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Default Extension="jpeg" ContentType="image/jpeg"/>
  <Default Extension="gif" ContentType="image/gif"/>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422AD" w:rsidRPr="00964962" w:rsidRDefault="00B422AD" w:rsidP="00B422AD">
      <w:pPr>
        <w:jc w:val="center"/>
      </w:pPr>
    </w:p>
    <w:p w:rsidR="00B422AD" w:rsidRPr="00964962" w:rsidRDefault="00B422AD" w:rsidP="00B422AD">
      <w:pPr>
        <w:jc w:val="center"/>
      </w:pPr>
      <w:r w:rsidRPr="00964962">
        <w:t>Activating Parents’ Persuasion Knowledge in Children’s Advergames: Testing the Effects of Advertising Disclosures and Cognitive Load</w:t>
      </w:r>
    </w:p>
    <w:p w:rsidR="00B422AD" w:rsidRDefault="00B422AD" w:rsidP="00B422AD">
      <w:pPr>
        <w:jc w:val="center"/>
        <w:rPr>
          <w:b/>
        </w:rPr>
      </w:pPr>
    </w:p>
    <w:p w:rsidR="00B422AD" w:rsidRDefault="00B422AD" w:rsidP="00B422AD">
      <w:pPr>
        <w:jc w:val="center"/>
        <w:rPr>
          <w:b/>
        </w:rPr>
      </w:pPr>
    </w:p>
    <w:p w:rsidR="00B422AD" w:rsidRDefault="00B422AD" w:rsidP="00B422AD">
      <w:pPr>
        <w:jc w:val="center"/>
        <w:rPr>
          <w:b/>
        </w:rPr>
      </w:pPr>
    </w:p>
    <w:p w:rsidR="00B422AD" w:rsidRDefault="00B422AD" w:rsidP="00B422AD">
      <w:pPr>
        <w:jc w:val="center"/>
        <w:rPr>
          <w:b/>
        </w:rPr>
      </w:pPr>
    </w:p>
    <w:p w:rsidR="00B422AD" w:rsidRDefault="00B422AD" w:rsidP="00B422AD">
      <w:pPr>
        <w:jc w:val="center"/>
        <w:rPr>
          <w:b/>
        </w:rPr>
      </w:pPr>
    </w:p>
    <w:p w:rsidR="00B422AD" w:rsidRDefault="00B422AD" w:rsidP="00B422AD">
      <w:pPr>
        <w:jc w:val="center"/>
        <w:rPr>
          <w:b/>
        </w:rPr>
      </w:pPr>
    </w:p>
    <w:p w:rsidR="00B422AD" w:rsidRDefault="00B422AD" w:rsidP="00B422AD">
      <w:pPr>
        <w:jc w:val="center"/>
        <w:rPr>
          <w:b/>
        </w:rPr>
      </w:pPr>
    </w:p>
    <w:p w:rsidR="00B422AD" w:rsidRDefault="00B422AD"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B422AD" w:rsidRDefault="00B422AD" w:rsidP="00B422AD">
      <w:pPr>
        <w:jc w:val="center"/>
        <w:rPr>
          <w:b/>
        </w:rPr>
      </w:pPr>
    </w:p>
    <w:p w:rsidR="00964962" w:rsidRDefault="00964962" w:rsidP="00964962">
      <w:pPr>
        <w:widowControl w:val="0"/>
        <w:autoSpaceDE w:val="0"/>
        <w:autoSpaceDN w:val="0"/>
        <w:adjustRightInd w:val="0"/>
        <w:jc w:val="center"/>
        <w:rPr>
          <w:rFonts w:cs="Times New Roman"/>
        </w:rPr>
      </w:pPr>
      <w:r>
        <w:rPr>
          <w:rFonts w:cs="Times New Roman"/>
        </w:rPr>
        <w:t>A Dissertation Presented for the</w:t>
      </w:r>
    </w:p>
    <w:p w:rsidR="00964962" w:rsidRDefault="00964962" w:rsidP="00964962">
      <w:pPr>
        <w:widowControl w:val="0"/>
        <w:autoSpaceDE w:val="0"/>
        <w:autoSpaceDN w:val="0"/>
        <w:adjustRightInd w:val="0"/>
        <w:jc w:val="center"/>
        <w:rPr>
          <w:rFonts w:cs="Times New Roman"/>
        </w:rPr>
      </w:pPr>
      <w:r>
        <w:rPr>
          <w:rFonts w:cs="Times New Roman"/>
        </w:rPr>
        <w:t>Doctor of Philosophy</w:t>
      </w:r>
    </w:p>
    <w:p w:rsidR="00964962" w:rsidRDefault="00964962" w:rsidP="00964962">
      <w:pPr>
        <w:widowControl w:val="0"/>
        <w:autoSpaceDE w:val="0"/>
        <w:autoSpaceDN w:val="0"/>
        <w:adjustRightInd w:val="0"/>
        <w:jc w:val="center"/>
        <w:rPr>
          <w:rFonts w:cs="Times New Roman"/>
        </w:rPr>
      </w:pPr>
      <w:r>
        <w:rPr>
          <w:rFonts w:cs="Times New Roman"/>
        </w:rPr>
        <w:t>Degree</w:t>
      </w:r>
    </w:p>
    <w:p w:rsidR="00B422AD" w:rsidRDefault="00964962" w:rsidP="00964962">
      <w:pPr>
        <w:jc w:val="center"/>
        <w:rPr>
          <w:b/>
        </w:rPr>
      </w:pPr>
      <w:r>
        <w:rPr>
          <w:rFonts w:cs="Times New Roman"/>
        </w:rPr>
        <w:t>The University of Tennessee, Knoxville</w:t>
      </w:r>
    </w:p>
    <w:p w:rsidR="00B422AD" w:rsidRDefault="00B422AD"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964962" w:rsidRDefault="00964962" w:rsidP="00B422AD">
      <w:pPr>
        <w:jc w:val="center"/>
        <w:rPr>
          <w:b/>
        </w:rPr>
      </w:pPr>
    </w:p>
    <w:p w:rsidR="00B422AD" w:rsidRDefault="00B422AD" w:rsidP="00B422AD">
      <w:pPr>
        <w:jc w:val="center"/>
        <w:rPr>
          <w:b/>
        </w:rPr>
      </w:pPr>
    </w:p>
    <w:p w:rsidR="00B422AD" w:rsidRPr="00964962" w:rsidRDefault="00B422AD" w:rsidP="00B422AD">
      <w:pPr>
        <w:jc w:val="center"/>
      </w:pPr>
      <w:r w:rsidRPr="00964962">
        <w:t>Nathaniel Evans</w:t>
      </w:r>
    </w:p>
    <w:p w:rsidR="00B422AD" w:rsidRPr="00964962" w:rsidRDefault="00964962" w:rsidP="00B422AD">
      <w:pPr>
        <w:jc w:val="center"/>
      </w:pPr>
      <w:r>
        <w:t>August 2013</w:t>
      </w: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B422AD" w:rsidRDefault="00B422AD" w:rsidP="00B422AD">
      <w:pPr>
        <w:jc w:val="center"/>
        <w:rPr>
          <w:b/>
        </w:rPr>
      </w:pPr>
      <w:r>
        <w:rPr>
          <w:b/>
        </w:rPr>
        <w:t>TABLE OF CONTENTS</w:t>
      </w:r>
    </w:p>
    <w:p w:rsidR="00B422AD" w:rsidRDefault="00B422AD" w:rsidP="00B422AD">
      <w:pPr>
        <w:rPr>
          <w:b/>
        </w:rPr>
      </w:pPr>
    </w:p>
    <w:p w:rsidR="00B422AD" w:rsidRDefault="00B422AD" w:rsidP="00B422AD">
      <w:pPr>
        <w:rPr>
          <w:i/>
        </w:rPr>
      </w:pPr>
      <w:r w:rsidRPr="00AF7594">
        <w:rPr>
          <w:i/>
        </w:rPr>
        <w:t xml:space="preserve">CHAPTER I </w:t>
      </w:r>
      <w:r w:rsidR="00250894">
        <w:rPr>
          <w:i/>
        </w:rPr>
        <w:t>Introduction</w:t>
      </w:r>
      <w:r>
        <w:rPr>
          <w:i/>
        </w:rPr>
        <w:t>……………</w:t>
      </w:r>
      <w:r w:rsidR="00250894">
        <w:rPr>
          <w:i/>
        </w:rPr>
        <w:t>……..</w:t>
      </w:r>
      <w:r>
        <w:rPr>
          <w:i/>
        </w:rPr>
        <w:t>………………………………………………………………1</w:t>
      </w:r>
    </w:p>
    <w:p w:rsidR="00B422AD" w:rsidRDefault="00B422AD" w:rsidP="00B422AD">
      <w:pPr>
        <w:rPr>
          <w:i/>
        </w:rPr>
      </w:pPr>
      <w:r>
        <w:rPr>
          <w:i/>
        </w:rPr>
        <w:t xml:space="preserve">CHAPTER II </w:t>
      </w:r>
      <w:r w:rsidR="00D22175">
        <w:rPr>
          <w:i/>
        </w:rPr>
        <w:t xml:space="preserve">Theoretical Framework and Literature </w:t>
      </w:r>
      <w:r w:rsidR="00250894">
        <w:rPr>
          <w:i/>
        </w:rPr>
        <w:t>Review</w:t>
      </w:r>
      <w:r w:rsidR="00D22175">
        <w:rPr>
          <w:i/>
        </w:rPr>
        <w:t>….</w:t>
      </w:r>
      <w:r w:rsidR="00250894">
        <w:rPr>
          <w:i/>
        </w:rPr>
        <w:t>………………….</w:t>
      </w:r>
      <w:r w:rsidR="00964962">
        <w:rPr>
          <w:i/>
        </w:rPr>
        <w:t>………………..10</w:t>
      </w:r>
    </w:p>
    <w:p w:rsidR="00250894" w:rsidRDefault="00250894" w:rsidP="00B422AD">
      <w:pPr>
        <w:rPr>
          <w:i/>
        </w:rPr>
      </w:pPr>
      <w:r>
        <w:rPr>
          <w:i/>
        </w:rPr>
        <w:t>CHAPTER III Method….</w:t>
      </w:r>
      <w:r w:rsidR="00B422AD">
        <w:rPr>
          <w:i/>
        </w:rPr>
        <w:t>……</w:t>
      </w:r>
      <w:r>
        <w:rPr>
          <w:i/>
        </w:rPr>
        <w:t>…...</w:t>
      </w:r>
      <w:r w:rsidR="00964962">
        <w:rPr>
          <w:i/>
        </w:rPr>
        <w:t>……………………………………………………………………….31</w:t>
      </w:r>
    </w:p>
    <w:p w:rsidR="00250894" w:rsidRDefault="00250894" w:rsidP="00B422AD">
      <w:pPr>
        <w:rPr>
          <w:i/>
        </w:rPr>
      </w:pPr>
      <w:r>
        <w:rPr>
          <w:i/>
        </w:rPr>
        <w:t>CHAPTER IV Results……………………………………………………………………………………</w:t>
      </w:r>
      <w:r w:rsidR="00843EB2">
        <w:rPr>
          <w:i/>
        </w:rPr>
        <w:t>..52</w:t>
      </w:r>
    </w:p>
    <w:p w:rsidR="00B422AD" w:rsidRDefault="00250894" w:rsidP="00B422AD">
      <w:pPr>
        <w:rPr>
          <w:i/>
        </w:rPr>
      </w:pPr>
      <w:r>
        <w:rPr>
          <w:i/>
        </w:rPr>
        <w:t>CHAPTER V Discussion and Implications………………………</w:t>
      </w:r>
      <w:r w:rsidR="000503DA">
        <w:rPr>
          <w:i/>
        </w:rPr>
        <w:t>……………..</w:t>
      </w:r>
      <w:r>
        <w:rPr>
          <w:i/>
        </w:rPr>
        <w:t>……………………...</w:t>
      </w:r>
      <w:r w:rsidR="00843EB2">
        <w:rPr>
          <w:i/>
        </w:rPr>
        <w:t>63</w:t>
      </w:r>
    </w:p>
    <w:p w:rsidR="00B422AD" w:rsidRDefault="00B422AD" w:rsidP="00B422AD">
      <w:pPr>
        <w:rPr>
          <w:i/>
        </w:rPr>
      </w:pPr>
      <w:r>
        <w:rPr>
          <w:i/>
        </w:rPr>
        <w:t>REFERNCES…………………</w:t>
      </w:r>
      <w:r w:rsidR="00250894">
        <w:rPr>
          <w:i/>
        </w:rPr>
        <w:t>…………………………………………………………………………….</w:t>
      </w:r>
      <w:r w:rsidR="00843EB2">
        <w:rPr>
          <w:i/>
        </w:rPr>
        <w:t>64</w:t>
      </w:r>
    </w:p>
    <w:p w:rsidR="00B422AD" w:rsidRPr="00AF7594" w:rsidRDefault="004920BC" w:rsidP="00B422AD">
      <w:pPr>
        <w:rPr>
          <w:i/>
        </w:rPr>
      </w:pPr>
      <w:r>
        <w:rPr>
          <w:i/>
        </w:rPr>
        <w:t>APPENDICIES.</w:t>
      </w:r>
      <w:r w:rsidR="00B422AD">
        <w:rPr>
          <w:i/>
        </w:rPr>
        <w:t>……………</w:t>
      </w:r>
      <w:r w:rsidR="00250894">
        <w:rPr>
          <w:i/>
        </w:rPr>
        <w:t>………………………………………………………………………………</w:t>
      </w:r>
      <w:r w:rsidR="00843EB2">
        <w:rPr>
          <w:i/>
        </w:rPr>
        <w:t>76</w:t>
      </w: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B422AD" w:rsidRDefault="00B422AD"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4920BC" w:rsidRDefault="004920BC" w:rsidP="00F307C5">
      <w:pPr>
        <w:jc w:val="center"/>
        <w:rPr>
          <w:b/>
        </w:rPr>
      </w:pPr>
    </w:p>
    <w:p w:rsidR="00843EB2" w:rsidRDefault="00843EB2" w:rsidP="00F307C5">
      <w:pPr>
        <w:jc w:val="center"/>
        <w:rPr>
          <w:b/>
        </w:rPr>
      </w:pPr>
    </w:p>
    <w:p w:rsidR="001B18DD" w:rsidRDefault="001B18DD" w:rsidP="00F307C5">
      <w:pPr>
        <w:jc w:val="center"/>
        <w:rPr>
          <w:b/>
        </w:rPr>
      </w:pPr>
      <w:r>
        <w:rPr>
          <w:b/>
        </w:rPr>
        <w:t>LIST OF TABLES</w:t>
      </w:r>
    </w:p>
    <w:p w:rsidR="00D22175" w:rsidRDefault="00D22175" w:rsidP="00D22175">
      <w:pPr>
        <w:rPr>
          <w:b/>
        </w:rPr>
      </w:pPr>
    </w:p>
    <w:p w:rsidR="00D22175" w:rsidRDefault="00D22175" w:rsidP="00D22175">
      <w:pPr>
        <w:rPr>
          <w:rFonts w:cs="Times-Roman"/>
          <w:i/>
          <w:szCs w:val="20"/>
        </w:rPr>
      </w:pPr>
      <w:r>
        <w:rPr>
          <w:rFonts w:cs="Times-Roman"/>
          <w:i/>
          <w:szCs w:val="20"/>
        </w:rPr>
        <w:t xml:space="preserve">Table 1. </w:t>
      </w:r>
      <w:r w:rsidRPr="00D22175">
        <w:rPr>
          <w:rFonts w:cs="Times-Roman"/>
          <w:i/>
          <w:szCs w:val="20"/>
        </w:rPr>
        <w:t>Dependent Variables and Covariate Component Factor Loadings</w:t>
      </w:r>
      <w:r>
        <w:rPr>
          <w:rFonts w:cs="Times-Roman"/>
          <w:i/>
          <w:szCs w:val="20"/>
        </w:rPr>
        <w:t>……………………</w:t>
      </w:r>
      <w:r w:rsidR="00843EB2">
        <w:rPr>
          <w:rFonts w:cs="Times-Roman"/>
          <w:i/>
          <w:szCs w:val="20"/>
        </w:rPr>
        <w:t>..49</w:t>
      </w:r>
    </w:p>
    <w:p w:rsidR="00D22175" w:rsidRPr="005358AB" w:rsidRDefault="00D22175" w:rsidP="00D22175">
      <w:pPr>
        <w:widowControl w:val="0"/>
        <w:autoSpaceDE w:val="0"/>
        <w:autoSpaceDN w:val="0"/>
        <w:adjustRightInd w:val="0"/>
        <w:rPr>
          <w:i/>
        </w:rPr>
      </w:pPr>
      <w:r w:rsidRPr="00D22175">
        <w:rPr>
          <w:i/>
        </w:rPr>
        <w:t>Table 2</w:t>
      </w:r>
      <w:r>
        <w:rPr>
          <w:i/>
        </w:rPr>
        <w:t>.</w:t>
      </w:r>
      <w:r>
        <w:t xml:space="preserve"> </w:t>
      </w:r>
      <w:r>
        <w:rPr>
          <w:i/>
        </w:rPr>
        <w:t>Hierarchical Regression on Selling and Persuasion Knowledge………………………</w:t>
      </w:r>
      <w:r w:rsidR="00843EB2">
        <w:rPr>
          <w:i/>
        </w:rPr>
        <w:t>..61</w:t>
      </w:r>
    </w:p>
    <w:p w:rsidR="00D22175" w:rsidRPr="005358AB" w:rsidRDefault="00D22175" w:rsidP="00D22175">
      <w:pPr>
        <w:widowControl w:val="0"/>
        <w:autoSpaceDE w:val="0"/>
        <w:autoSpaceDN w:val="0"/>
        <w:adjustRightInd w:val="0"/>
        <w:rPr>
          <w:i/>
        </w:rPr>
      </w:pPr>
      <w:r w:rsidRPr="00D22175">
        <w:rPr>
          <w:i/>
        </w:rPr>
        <w:t>Table 3</w:t>
      </w:r>
      <w:r>
        <w:rPr>
          <w:i/>
        </w:rPr>
        <w:t>.</w:t>
      </w:r>
      <w:r>
        <w:t xml:space="preserve"> </w:t>
      </w:r>
      <w:r>
        <w:rPr>
          <w:i/>
        </w:rPr>
        <w:t>Hierarchical Regression on Negative Perceptions of Advergames……………………..6</w:t>
      </w:r>
      <w:r w:rsidR="00843EB2">
        <w:rPr>
          <w:i/>
        </w:rPr>
        <w:t>2</w:t>
      </w:r>
    </w:p>
    <w:p w:rsidR="001B18DD" w:rsidRPr="00D22175" w:rsidRDefault="001B18DD" w:rsidP="00D22175">
      <w:pPr>
        <w:rPr>
          <w:i/>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1B18DD" w:rsidRDefault="001B18DD" w:rsidP="00F307C5">
      <w:pPr>
        <w:jc w:val="center"/>
        <w:rPr>
          <w:b/>
        </w:rPr>
      </w:pPr>
    </w:p>
    <w:p w:rsidR="00964962" w:rsidRDefault="00964962" w:rsidP="00F307C5">
      <w:pPr>
        <w:jc w:val="center"/>
        <w:rPr>
          <w:b/>
        </w:rPr>
      </w:pPr>
    </w:p>
    <w:p w:rsidR="001B18DD" w:rsidRDefault="001B18DD" w:rsidP="00F307C5">
      <w:pPr>
        <w:jc w:val="center"/>
        <w:rPr>
          <w:b/>
        </w:rPr>
      </w:pPr>
    </w:p>
    <w:p w:rsidR="001B18DD" w:rsidRPr="001B18DD" w:rsidRDefault="001B18DD" w:rsidP="00F307C5">
      <w:pPr>
        <w:jc w:val="center"/>
        <w:rPr>
          <w:b/>
        </w:rPr>
      </w:pPr>
    </w:p>
    <w:p w:rsidR="004920BC" w:rsidRDefault="004920BC" w:rsidP="00F307C5">
      <w:pPr>
        <w:jc w:val="center"/>
        <w:rPr>
          <w:b/>
        </w:rPr>
      </w:pPr>
      <w:r>
        <w:rPr>
          <w:b/>
        </w:rPr>
        <w:t>LIST OF FIGURES</w:t>
      </w:r>
    </w:p>
    <w:p w:rsidR="00B422AD" w:rsidRPr="004920BC" w:rsidRDefault="00B422AD" w:rsidP="004920BC">
      <w:pPr>
        <w:rPr>
          <w:b/>
        </w:rPr>
      </w:pPr>
    </w:p>
    <w:p w:rsidR="004920BC" w:rsidRPr="004920BC" w:rsidRDefault="00A41A49" w:rsidP="004920BC">
      <w:pPr>
        <w:spacing w:line="480" w:lineRule="auto"/>
        <w:rPr>
          <w:i/>
        </w:rPr>
      </w:pPr>
      <w:r>
        <w:rPr>
          <w:i/>
        </w:rPr>
        <w:t>Figure 1</w:t>
      </w:r>
      <w:r w:rsidR="00D22175">
        <w:rPr>
          <w:i/>
        </w:rPr>
        <w:t>.</w:t>
      </w:r>
      <w:r w:rsidR="004920BC" w:rsidRPr="004920BC">
        <w:rPr>
          <w:i/>
        </w:rPr>
        <w:t xml:space="preserve"> cognitively loaded/ no ad-disclosure condition</w:t>
      </w:r>
      <w:r w:rsidR="00843EB2">
        <w:rPr>
          <w:i/>
        </w:rPr>
        <w:t>……………………………………………38</w:t>
      </w:r>
    </w:p>
    <w:p w:rsidR="004920BC" w:rsidRPr="004920BC" w:rsidRDefault="00A41A49" w:rsidP="004920BC">
      <w:pPr>
        <w:spacing w:line="480" w:lineRule="auto"/>
        <w:rPr>
          <w:i/>
        </w:rPr>
      </w:pPr>
      <w:r>
        <w:rPr>
          <w:i/>
        </w:rPr>
        <w:t>Figure 2</w:t>
      </w:r>
      <w:r w:rsidR="00D22175">
        <w:rPr>
          <w:i/>
        </w:rPr>
        <w:t>.</w:t>
      </w:r>
      <w:r w:rsidR="004920BC" w:rsidRPr="004920BC">
        <w:rPr>
          <w:i/>
        </w:rPr>
        <w:t xml:space="preserve"> cognitively loaded/ single modality ad-disclosure condition</w:t>
      </w:r>
      <w:r w:rsidR="00843EB2">
        <w:rPr>
          <w:i/>
        </w:rPr>
        <w:t>…………………………….39</w:t>
      </w:r>
    </w:p>
    <w:p w:rsidR="004920BC" w:rsidRPr="004920BC" w:rsidRDefault="00A41A49" w:rsidP="004920BC">
      <w:pPr>
        <w:spacing w:line="480" w:lineRule="auto"/>
        <w:rPr>
          <w:i/>
        </w:rPr>
      </w:pPr>
      <w:r>
        <w:rPr>
          <w:i/>
        </w:rPr>
        <w:t>Figure 3</w:t>
      </w:r>
      <w:r w:rsidR="00D22175">
        <w:rPr>
          <w:i/>
        </w:rPr>
        <w:t>.</w:t>
      </w:r>
      <w:r w:rsidR="004920BC" w:rsidRPr="004920BC">
        <w:rPr>
          <w:i/>
        </w:rPr>
        <w:t xml:space="preserve"> cognitively loaded/ dual modality ad-disclosure condition</w:t>
      </w:r>
      <w:r w:rsidR="00843EB2">
        <w:rPr>
          <w:i/>
        </w:rPr>
        <w:t>………………………………40</w:t>
      </w:r>
    </w:p>
    <w:p w:rsidR="00FC1196" w:rsidRDefault="00A41A49" w:rsidP="004920BC">
      <w:pPr>
        <w:rPr>
          <w:i/>
        </w:rPr>
      </w:pPr>
      <w:r>
        <w:rPr>
          <w:i/>
        </w:rPr>
        <w:t>Figure 4</w:t>
      </w:r>
      <w:r w:rsidR="00D22175">
        <w:rPr>
          <w:i/>
        </w:rPr>
        <w:t>.</w:t>
      </w:r>
      <w:r w:rsidR="004920BC" w:rsidRPr="004920BC">
        <w:rPr>
          <w:i/>
        </w:rPr>
        <w:t xml:space="preserve"> cognitively unloaded/ no ad-disclosure condition</w:t>
      </w:r>
      <w:r w:rsidR="00843EB2">
        <w:rPr>
          <w:i/>
        </w:rPr>
        <w:t>…………………………………………41</w:t>
      </w:r>
    </w:p>
    <w:p w:rsidR="004920BC" w:rsidRPr="004920BC" w:rsidRDefault="004920BC" w:rsidP="004920BC">
      <w:pPr>
        <w:rPr>
          <w:i/>
        </w:rPr>
      </w:pPr>
    </w:p>
    <w:p w:rsidR="004920BC" w:rsidRDefault="00A41A49" w:rsidP="004920BC">
      <w:pPr>
        <w:rPr>
          <w:i/>
        </w:rPr>
      </w:pPr>
      <w:r>
        <w:rPr>
          <w:i/>
        </w:rPr>
        <w:t>Figure 5</w:t>
      </w:r>
      <w:r w:rsidR="00D22175">
        <w:rPr>
          <w:i/>
        </w:rPr>
        <w:t>.</w:t>
      </w:r>
      <w:r w:rsidR="004920BC" w:rsidRPr="004920BC">
        <w:rPr>
          <w:i/>
        </w:rPr>
        <w:t xml:space="preserve"> cognitively unloaded/ single modality ad-disclosure condition</w:t>
      </w:r>
      <w:r w:rsidR="00843EB2">
        <w:rPr>
          <w:i/>
        </w:rPr>
        <w:t>………………………….41</w:t>
      </w:r>
    </w:p>
    <w:p w:rsidR="004920BC" w:rsidRPr="004920BC" w:rsidRDefault="004920BC" w:rsidP="004920BC">
      <w:pPr>
        <w:rPr>
          <w:i/>
        </w:rPr>
      </w:pPr>
    </w:p>
    <w:p w:rsidR="004920BC" w:rsidRDefault="00A41A49" w:rsidP="004920BC">
      <w:pPr>
        <w:rPr>
          <w:i/>
        </w:rPr>
      </w:pPr>
      <w:r>
        <w:rPr>
          <w:i/>
        </w:rPr>
        <w:t>Figure 6</w:t>
      </w:r>
      <w:r w:rsidR="00D22175">
        <w:rPr>
          <w:i/>
        </w:rPr>
        <w:t>.</w:t>
      </w:r>
      <w:r w:rsidR="004920BC" w:rsidRPr="004920BC">
        <w:rPr>
          <w:i/>
        </w:rPr>
        <w:t xml:space="preserve"> cognitively unloaded/ dual modality ad-disclosure condition</w:t>
      </w:r>
      <w:r w:rsidR="00843EB2">
        <w:rPr>
          <w:i/>
        </w:rPr>
        <w:t>……………………………42</w:t>
      </w:r>
    </w:p>
    <w:p w:rsidR="004920BC" w:rsidRPr="004920BC" w:rsidRDefault="004920BC" w:rsidP="004920BC">
      <w:pPr>
        <w:rPr>
          <w:i/>
        </w:rPr>
      </w:pPr>
    </w:p>
    <w:p w:rsidR="00A41A49" w:rsidRDefault="00A41A49" w:rsidP="004920BC">
      <w:pPr>
        <w:widowControl w:val="0"/>
        <w:autoSpaceDE w:val="0"/>
        <w:autoSpaceDN w:val="0"/>
        <w:adjustRightInd w:val="0"/>
        <w:spacing w:line="480" w:lineRule="auto"/>
        <w:rPr>
          <w:rFonts w:cs="Times-Roman"/>
          <w:i/>
          <w:szCs w:val="20"/>
        </w:rPr>
      </w:pPr>
      <w:r>
        <w:rPr>
          <w:rFonts w:cs="AdvPS6F00"/>
          <w:i/>
          <w:szCs w:val="20"/>
        </w:rPr>
        <w:t>Figure 7</w:t>
      </w:r>
      <w:r w:rsidR="00D22175">
        <w:rPr>
          <w:rFonts w:cs="AdvPS6F00"/>
          <w:i/>
          <w:szCs w:val="20"/>
        </w:rPr>
        <w:t>.</w:t>
      </w:r>
      <w:r w:rsidR="004920BC" w:rsidRPr="004920BC">
        <w:rPr>
          <w:rFonts w:cs="AdvPS6F00"/>
          <w:i/>
          <w:szCs w:val="20"/>
        </w:rPr>
        <w:t xml:space="preserve"> </w:t>
      </w:r>
      <w:r w:rsidR="004920BC" w:rsidRPr="004920BC">
        <w:rPr>
          <w:rFonts w:cs="Times-Roman"/>
          <w:i/>
          <w:szCs w:val="20"/>
        </w:rPr>
        <w:t>Paas and van Merriënboer’s computational approach for mental efficiency</w:t>
      </w:r>
      <w:r w:rsidR="00843EB2">
        <w:rPr>
          <w:rFonts w:cs="Times-Roman"/>
          <w:i/>
          <w:szCs w:val="20"/>
        </w:rPr>
        <w:t>………….44</w:t>
      </w:r>
      <w:r w:rsidR="004920BC" w:rsidRPr="004920BC">
        <w:rPr>
          <w:rFonts w:cs="Times-Roman"/>
          <w:i/>
          <w:szCs w:val="20"/>
        </w:rPr>
        <w:t xml:space="preserve"> </w:t>
      </w:r>
    </w:p>
    <w:p w:rsidR="004920BC" w:rsidRPr="004920BC" w:rsidRDefault="001B18DD" w:rsidP="004920BC">
      <w:pPr>
        <w:widowControl w:val="0"/>
        <w:autoSpaceDE w:val="0"/>
        <w:autoSpaceDN w:val="0"/>
        <w:adjustRightInd w:val="0"/>
        <w:spacing w:line="480" w:lineRule="auto"/>
        <w:rPr>
          <w:rFonts w:cs="Times-Roman"/>
          <w:i/>
          <w:szCs w:val="20"/>
        </w:rPr>
      </w:pPr>
      <w:r>
        <w:rPr>
          <w:rFonts w:cs="AdvPS6F00"/>
          <w:i/>
          <w:szCs w:val="20"/>
        </w:rPr>
        <w:t>Figure 8</w:t>
      </w:r>
      <w:r w:rsidR="00D22175">
        <w:rPr>
          <w:rFonts w:cs="AdvPS6F00"/>
          <w:i/>
          <w:szCs w:val="20"/>
        </w:rPr>
        <w:t>.</w:t>
      </w:r>
      <w:r w:rsidR="00A41A49" w:rsidRPr="004920BC">
        <w:rPr>
          <w:rFonts w:cs="AdvPS6F00"/>
          <w:i/>
          <w:szCs w:val="20"/>
        </w:rPr>
        <w:t xml:space="preserve"> </w:t>
      </w:r>
      <w:r w:rsidR="00A41A49" w:rsidRPr="004920BC">
        <w:rPr>
          <w:rFonts w:cs="Times-Roman"/>
          <w:i/>
          <w:szCs w:val="20"/>
        </w:rPr>
        <w:t xml:space="preserve">Paas and van Merriënboer’s computational approach for </w:t>
      </w:r>
      <w:r w:rsidR="00A41A49">
        <w:rPr>
          <w:rFonts w:cs="Times-Roman"/>
          <w:i/>
          <w:szCs w:val="20"/>
        </w:rPr>
        <w:t>cognitive load…</w:t>
      </w:r>
      <w:r w:rsidR="00843EB2">
        <w:rPr>
          <w:rFonts w:cs="Times-Roman"/>
          <w:i/>
          <w:szCs w:val="20"/>
        </w:rPr>
        <w:t>.………….44</w:t>
      </w:r>
      <w:r w:rsidR="00A41A49">
        <w:rPr>
          <w:rFonts w:cs="Times-Roman"/>
          <w:i/>
          <w:szCs w:val="20"/>
        </w:rPr>
        <w:t xml:space="preserve"> </w:t>
      </w:r>
    </w:p>
    <w:p w:rsidR="001B18DD" w:rsidRDefault="001B18DD" w:rsidP="004920BC">
      <w:pPr>
        <w:widowControl w:val="0"/>
        <w:autoSpaceDE w:val="0"/>
        <w:autoSpaceDN w:val="0"/>
        <w:adjustRightInd w:val="0"/>
        <w:spacing w:line="480" w:lineRule="auto"/>
        <w:rPr>
          <w:rFonts w:cs="Times-Roman"/>
          <w:i/>
          <w:szCs w:val="20"/>
        </w:rPr>
      </w:pPr>
      <w:r>
        <w:rPr>
          <w:i/>
        </w:rPr>
        <w:t>Figure 9</w:t>
      </w:r>
      <w:r w:rsidR="00D22175">
        <w:rPr>
          <w:i/>
        </w:rPr>
        <w:t>.</w:t>
      </w:r>
      <w:r w:rsidR="004920BC" w:rsidRPr="004920BC">
        <w:rPr>
          <w:i/>
        </w:rPr>
        <w:t xml:space="preserve"> </w:t>
      </w:r>
      <w:r w:rsidR="004920BC" w:rsidRPr="004920BC">
        <w:rPr>
          <w:rFonts w:cs="Times-Roman"/>
          <w:i/>
          <w:szCs w:val="20"/>
        </w:rPr>
        <w:t xml:space="preserve">Paas and van Merriënboer’s graphical representation of </w:t>
      </w:r>
      <w:r>
        <w:rPr>
          <w:rFonts w:cs="Times-Roman"/>
          <w:i/>
          <w:szCs w:val="20"/>
        </w:rPr>
        <w:t>inverse mental efficiency……………………………………………………………</w:t>
      </w:r>
      <w:r w:rsidR="00D22175">
        <w:rPr>
          <w:rFonts w:cs="Times-Roman"/>
          <w:i/>
          <w:szCs w:val="20"/>
        </w:rPr>
        <w:t>…………………………………</w:t>
      </w:r>
      <w:r>
        <w:rPr>
          <w:rFonts w:cs="Times-Roman"/>
          <w:i/>
          <w:szCs w:val="20"/>
        </w:rPr>
        <w:t xml:space="preserve">…… </w:t>
      </w:r>
      <w:r w:rsidR="00843EB2">
        <w:rPr>
          <w:rFonts w:cs="Times-Roman"/>
          <w:i/>
          <w:szCs w:val="20"/>
        </w:rPr>
        <w:t>45</w:t>
      </w:r>
    </w:p>
    <w:p w:rsidR="001B18DD" w:rsidRDefault="001B18DD" w:rsidP="004920BC">
      <w:pPr>
        <w:widowControl w:val="0"/>
        <w:autoSpaceDE w:val="0"/>
        <w:autoSpaceDN w:val="0"/>
        <w:adjustRightInd w:val="0"/>
        <w:spacing w:line="480" w:lineRule="auto"/>
        <w:rPr>
          <w:bCs/>
          <w:i/>
        </w:rPr>
      </w:pPr>
      <w:r>
        <w:rPr>
          <w:rFonts w:cs="Times-Roman"/>
          <w:i/>
          <w:szCs w:val="20"/>
        </w:rPr>
        <w:t>Figure</w:t>
      </w:r>
      <w:r w:rsidR="00D22175">
        <w:rPr>
          <w:rFonts w:cs="Times-Roman"/>
          <w:i/>
          <w:szCs w:val="20"/>
        </w:rPr>
        <w:t xml:space="preserve"> 10.</w:t>
      </w:r>
      <w:r>
        <w:rPr>
          <w:rFonts w:cs="Times-Roman"/>
          <w:i/>
          <w:szCs w:val="20"/>
        </w:rPr>
        <w:t xml:space="preserve"> </w:t>
      </w:r>
      <w:r w:rsidRPr="001B18DD">
        <w:rPr>
          <w:bCs/>
          <w:i/>
        </w:rPr>
        <w:t>One-Way ANOVA for Advertising Modality Disclosures</w:t>
      </w:r>
      <w:r>
        <w:rPr>
          <w:bCs/>
          <w:i/>
        </w:rPr>
        <w:t>………………………………</w:t>
      </w:r>
      <w:r w:rsidR="00843EB2">
        <w:rPr>
          <w:bCs/>
          <w:i/>
        </w:rPr>
        <w:t>.52</w:t>
      </w:r>
    </w:p>
    <w:p w:rsidR="004920BC" w:rsidRPr="004920BC" w:rsidRDefault="00D22175" w:rsidP="004920BC">
      <w:pPr>
        <w:widowControl w:val="0"/>
        <w:autoSpaceDE w:val="0"/>
        <w:autoSpaceDN w:val="0"/>
        <w:adjustRightInd w:val="0"/>
        <w:spacing w:line="480" w:lineRule="auto"/>
        <w:rPr>
          <w:rFonts w:cs="Times-Roman"/>
          <w:i/>
          <w:szCs w:val="20"/>
        </w:rPr>
      </w:pPr>
      <w:r>
        <w:rPr>
          <w:bCs/>
          <w:i/>
        </w:rPr>
        <w:t>Figure 11.</w:t>
      </w:r>
      <w:r w:rsidR="001B18DD" w:rsidRPr="0094761B">
        <w:rPr>
          <w:bCs/>
          <w:i/>
        </w:rPr>
        <w:t xml:space="preserve"> </w:t>
      </w:r>
      <w:r w:rsidR="0094761B" w:rsidRPr="0094761B">
        <w:rPr>
          <w:bCs/>
          <w:i/>
        </w:rPr>
        <w:t>2 x 2 ANOVA for advertising disclosure modality and CL treatment (yes/no)</w:t>
      </w:r>
      <w:r>
        <w:rPr>
          <w:bCs/>
          <w:i/>
        </w:rPr>
        <w:t>………</w:t>
      </w:r>
      <w:r w:rsidR="00843EB2">
        <w:rPr>
          <w:bCs/>
          <w:i/>
        </w:rPr>
        <w:t>.54</w:t>
      </w:r>
      <w:r w:rsidR="001B18DD">
        <w:rPr>
          <w:rFonts w:cs="Times-Roman"/>
          <w:i/>
          <w:szCs w:val="20"/>
        </w:rPr>
        <w:t xml:space="preserve"> </w:t>
      </w:r>
    </w:p>
    <w:p w:rsidR="0094761B" w:rsidRDefault="0094761B" w:rsidP="0094761B">
      <w:pPr>
        <w:widowControl w:val="0"/>
        <w:autoSpaceDE w:val="0"/>
        <w:autoSpaceDN w:val="0"/>
        <w:adjustRightInd w:val="0"/>
        <w:spacing w:line="480" w:lineRule="auto"/>
        <w:rPr>
          <w:bCs/>
          <w:i/>
        </w:rPr>
      </w:pPr>
      <w:r>
        <w:rPr>
          <w:bCs/>
          <w:i/>
        </w:rPr>
        <w:t>Figure</w:t>
      </w:r>
      <w:r w:rsidR="00D22175">
        <w:rPr>
          <w:bCs/>
          <w:i/>
        </w:rPr>
        <w:t xml:space="preserve"> 12.</w:t>
      </w:r>
      <w:r w:rsidRPr="0094761B">
        <w:rPr>
          <w:bCs/>
          <w:i/>
        </w:rPr>
        <w:t xml:space="preserve"> One-Way ANOVA for CL quartiles</w:t>
      </w:r>
      <w:r w:rsidR="00D22175">
        <w:rPr>
          <w:bCs/>
          <w:i/>
        </w:rPr>
        <w:t>………………………………………………………...</w:t>
      </w:r>
      <w:r w:rsidR="00843EB2">
        <w:rPr>
          <w:bCs/>
          <w:i/>
        </w:rPr>
        <w:t>55</w:t>
      </w:r>
    </w:p>
    <w:p w:rsidR="0094761B" w:rsidRDefault="0094761B" w:rsidP="0094761B">
      <w:pPr>
        <w:widowControl w:val="0"/>
        <w:autoSpaceDE w:val="0"/>
        <w:autoSpaceDN w:val="0"/>
        <w:adjustRightInd w:val="0"/>
        <w:spacing w:line="480" w:lineRule="auto"/>
        <w:rPr>
          <w:bCs/>
          <w:i/>
        </w:rPr>
      </w:pPr>
      <w:r>
        <w:rPr>
          <w:bCs/>
          <w:i/>
        </w:rPr>
        <w:t xml:space="preserve">Figure </w:t>
      </w:r>
      <w:r w:rsidR="00D22175">
        <w:rPr>
          <w:bCs/>
          <w:i/>
        </w:rPr>
        <w:t>13.</w:t>
      </w:r>
      <w:r w:rsidRPr="0094761B">
        <w:rPr>
          <w:bCs/>
          <w:i/>
        </w:rPr>
        <w:t xml:space="preserve"> </w:t>
      </w:r>
      <w:r w:rsidRPr="0094761B">
        <w:rPr>
          <w:i/>
          <w:iCs/>
        </w:rPr>
        <w:t xml:space="preserve">2 x 2 ANOVA for </w:t>
      </w:r>
      <w:r w:rsidRPr="0094761B">
        <w:rPr>
          <w:bCs/>
          <w:i/>
        </w:rPr>
        <w:t>advertising disclosure modality and CL median split</w:t>
      </w:r>
      <w:r w:rsidR="00D22175">
        <w:rPr>
          <w:bCs/>
          <w:i/>
        </w:rPr>
        <w:t>………………</w:t>
      </w:r>
      <w:r w:rsidR="00843EB2">
        <w:rPr>
          <w:bCs/>
          <w:i/>
        </w:rPr>
        <w:t>56</w:t>
      </w:r>
    </w:p>
    <w:p w:rsidR="0094761B" w:rsidRPr="0094761B" w:rsidRDefault="0094761B" w:rsidP="0094761B">
      <w:pPr>
        <w:widowControl w:val="0"/>
        <w:autoSpaceDE w:val="0"/>
        <w:autoSpaceDN w:val="0"/>
        <w:adjustRightInd w:val="0"/>
        <w:spacing w:line="480" w:lineRule="auto"/>
        <w:rPr>
          <w:bCs/>
          <w:i/>
        </w:rPr>
      </w:pPr>
      <w:r>
        <w:rPr>
          <w:bCs/>
          <w:i/>
        </w:rPr>
        <w:t xml:space="preserve">Figure </w:t>
      </w:r>
      <w:r w:rsidR="00D22175">
        <w:rPr>
          <w:bCs/>
          <w:i/>
        </w:rPr>
        <w:t>14.</w:t>
      </w:r>
      <w:r w:rsidRPr="0094761B">
        <w:rPr>
          <w:bCs/>
          <w:i/>
        </w:rPr>
        <w:t xml:space="preserve"> 2 x 2 ANOVA for ad disclosure modality and CL (top 50%/no CL treatment)</w:t>
      </w:r>
      <w:r w:rsidR="00D22175">
        <w:rPr>
          <w:bCs/>
          <w:i/>
        </w:rPr>
        <w:t>………</w:t>
      </w:r>
      <w:r w:rsidR="00843EB2">
        <w:rPr>
          <w:bCs/>
          <w:i/>
        </w:rPr>
        <w:t>.56</w:t>
      </w:r>
    </w:p>
    <w:p w:rsidR="0094761B" w:rsidRDefault="0094761B" w:rsidP="0094761B">
      <w:pPr>
        <w:widowControl w:val="0"/>
        <w:autoSpaceDE w:val="0"/>
        <w:autoSpaceDN w:val="0"/>
        <w:adjustRightInd w:val="0"/>
        <w:spacing w:line="480" w:lineRule="auto"/>
        <w:rPr>
          <w:bCs/>
          <w:i/>
        </w:rPr>
      </w:pPr>
      <w:r>
        <w:rPr>
          <w:bCs/>
          <w:i/>
        </w:rPr>
        <w:t xml:space="preserve">Figure </w:t>
      </w:r>
      <w:r w:rsidR="00D22175">
        <w:rPr>
          <w:bCs/>
          <w:i/>
        </w:rPr>
        <w:t>15.</w:t>
      </w:r>
      <w:r w:rsidRPr="0094761B">
        <w:rPr>
          <w:bCs/>
          <w:i/>
        </w:rPr>
        <w:t xml:space="preserve"> </w:t>
      </w:r>
      <w:r w:rsidRPr="0094761B">
        <w:rPr>
          <w:i/>
          <w:iCs/>
        </w:rPr>
        <w:t xml:space="preserve">3 x 2 ANOVA for ad disclosure modality and </w:t>
      </w:r>
      <w:r w:rsidRPr="0094761B">
        <w:rPr>
          <w:bCs/>
          <w:i/>
        </w:rPr>
        <w:t>CL (top 50%/no CL treatment)</w:t>
      </w:r>
      <w:r w:rsidR="00D22175">
        <w:rPr>
          <w:bCs/>
          <w:i/>
        </w:rPr>
        <w:t>………</w:t>
      </w:r>
      <w:r w:rsidR="00843EB2">
        <w:rPr>
          <w:bCs/>
          <w:i/>
        </w:rPr>
        <w:t>.58</w:t>
      </w:r>
    </w:p>
    <w:p w:rsidR="00D22175" w:rsidRPr="00D22175" w:rsidRDefault="00D22175" w:rsidP="00D22175">
      <w:pPr>
        <w:widowControl w:val="0"/>
        <w:autoSpaceDE w:val="0"/>
        <w:autoSpaceDN w:val="0"/>
        <w:adjustRightInd w:val="0"/>
        <w:spacing w:line="480" w:lineRule="auto"/>
        <w:rPr>
          <w:i/>
          <w:iCs/>
        </w:rPr>
      </w:pPr>
      <w:r>
        <w:rPr>
          <w:i/>
          <w:iCs/>
        </w:rPr>
        <w:t>Figure 16.</w:t>
      </w:r>
      <w:r w:rsidRPr="00D22175">
        <w:rPr>
          <w:i/>
          <w:iCs/>
        </w:rPr>
        <w:t xml:space="preserve"> </w:t>
      </w:r>
      <w:r w:rsidRPr="00D22175">
        <w:rPr>
          <w:bCs/>
          <w:i/>
        </w:rPr>
        <w:t>2 x 2 ANOVA for disclosure modality and CL (top 50%/no CL treatment)</w:t>
      </w:r>
      <w:r>
        <w:rPr>
          <w:bCs/>
          <w:i/>
        </w:rPr>
        <w:t>…………</w:t>
      </w:r>
      <w:r w:rsidR="00843EB2">
        <w:rPr>
          <w:bCs/>
          <w:i/>
        </w:rPr>
        <w:t>..59</w:t>
      </w:r>
    </w:p>
    <w:p w:rsidR="0094761B" w:rsidRPr="0094761B" w:rsidRDefault="0094761B" w:rsidP="0094761B">
      <w:pPr>
        <w:widowControl w:val="0"/>
        <w:autoSpaceDE w:val="0"/>
        <w:autoSpaceDN w:val="0"/>
        <w:adjustRightInd w:val="0"/>
        <w:spacing w:line="480" w:lineRule="auto"/>
        <w:rPr>
          <w:i/>
          <w:iCs/>
        </w:rPr>
      </w:pPr>
    </w:p>
    <w:p w:rsidR="0094761B" w:rsidRPr="0094761B" w:rsidRDefault="0094761B" w:rsidP="0094761B">
      <w:pPr>
        <w:widowControl w:val="0"/>
        <w:autoSpaceDE w:val="0"/>
        <w:autoSpaceDN w:val="0"/>
        <w:adjustRightInd w:val="0"/>
        <w:spacing w:line="480" w:lineRule="auto"/>
        <w:rPr>
          <w:bCs/>
          <w:i/>
        </w:rPr>
      </w:pPr>
    </w:p>
    <w:p w:rsidR="0094761B" w:rsidRDefault="0094761B" w:rsidP="0094761B">
      <w:pPr>
        <w:widowControl w:val="0"/>
        <w:autoSpaceDE w:val="0"/>
        <w:autoSpaceDN w:val="0"/>
        <w:adjustRightInd w:val="0"/>
        <w:spacing w:line="480" w:lineRule="auto"/>
        <w:rPr>
          <w:bCs/>
          <w:i/>
        </w:rPr>
      </w:pPr>
    </w:p>
    <w:p w:rsidR="0094761B" w:rsidRPr="0094761B" w:rsidRDefault="0094761B" w:rsidP="0094761B">
      <w:pPr>
        <w:widowControl w:val="0"/>
        <w:autoSpaceDE w:val="0"/>
        <w:autoSpaceDN w:val="0"/>
        <w:adjustRightInd w:val="0"/>
        <w:spacing w:line="480" w:lineRule="auto"/>
        <w:rPr>
          <w:bCs/>
          <w:i/>
        </w:rPr>
      </w:pPr>
    </w:p>
    <w:p w:rsidR="004920BC" w:rsidRPr="00A214DB" w:rsidRDefault="004920BC" w:rsidP="004920BC">
      <w:pPr>
        <w:widowControl w:val="0"/>
        <w:autoSpaceDE w:val="0"/>
        <w:autoSpaceDN w:val="0"/>
        <w:adjustRightInd w:val="0"/>
        <w:spacing w:line="480" w:lineRule="auto"/>
        <w:rPr>
          <w:rFonts w:cs="Times-Roman"/>
          <w:b/>
          <w:szCs w:val="20"/>
        </w:rPr>
      </w:pPr>
    </w:p>
    <w:p w:rsidR="004920BC" w:rsidRDefault="004920BC" w:rsidP="00F307C5">
      <w:pPr>
        <w:jc w:val="center"/>
        <w:rPr>
          <w:b/>
        </w:rPr>
        <w:sectPr w:rsidR="004920BC">
          <w:footerReference w:type="even" r:id="rId5"/>
          <w:footerReference w:type="default" r:id="rId6"/>
          <w:pgSz w:w="12240" w:h="15840"/>
          <w:pgMar w:top="1440" w:right="1440" w:bottom="1440" w:left="1440" w:gutter="0"/>
          <w:pgNumType w:fmt="lowerRoman" w:start="1"/>
          <w:titlePg/>
        </w:sectPr>
      </w:pPr>
    </w:p>
    <w:p w:rsidR="00F307C5" w:rsidRDefault="00D22175" w:rsidP="00F307C5">
      <w:pPr>
        <w:jc w:val="center"/>
        <w:rPr>
          <w:b/>
        </w:rPr>
      </w:pPr>
      <w:r>
        <w:rPr>
          <w:b/>
        </w:rPr>
        <w:t>CHA</w:t>
      </w:r>
      <w:r w:rsidR="00F307C5">
        <w:rPr>
          <w:b/>
        </w:rPr>
        <w:t>PTER I</w:t>
      </w:r>
    </w:p>
    <w:p w:rsidR="009D525D" w:rsidRPr="00F307C5" w:rsidRDefault="00F307C5" w:rsidP="00F307C5">
      <w:pPr>
        <w:jc w:val="center"/>
        <w:rPr>
          <w:b/>
        </w:rPr>
      </w:pPr>
      <w:r>
        <w:rPr>
          <w:b/>
        </w:rPr>
        <w:t>INTRODUCTION</w:t>
      </w:r>
    </w:p>
    <w:p w:rsidR="00AE63C6" w:rsidRDefault="00AE63C6" w:rsidP="00482A06">
      <w:pPr>
        <w:rPr>
          <w:b/>
        </w:rPr>
      </w:pPr>
    </w:p>
    <w:p w:rsidR="00AE63C6" w:rsidRPr="00AE63C6" w:rsidRDefault="00AE63C6" w:rsidP="0058056E">
      <w:pPr>
        <w:spacing w:line="480" w:lineRule="auto"/>
      </w:pPr>
      <w:r>
        <w:rPr>
          <w:b/>
        </w:rPr>
        <w:tab/>
      </w:r>
      <w:r w:rsidR="00C14A69">
        <w:t>When advertisers mak</w:t>
      </w:r>
      <w:r w:rsidR="0058056E">
        <w:t>e decisions concerning where,</w:t>
      </w:r>
      <w:r w:rsidR="00C14A69">
        <w:t xml:space="preserve"> how</w:t>
      </w:r>
      <w:r w:rsidR="0058056E">
        <w:t>, and to whom</w:t>
      </w:r>
      <w:r w:rsidR="00C14A69">
        <w:t xml:space="preserve"> to advertise, they</w:t>
      </w:r>
      <w:r>
        <w:t xml:space="preserve"> have at their disposal a variety of </w:t>
      </w:r>
      <w:r w:rsidR="00EC753A">
        <w:t>formats</w:t>
      </w:r>
      <w:r w:rsidR="00C14A69">
        <w:t xml:space="preserve"> from which to choose</w:t>
      </w:r>
      <w:r>
        <w:t xml:space="preserve">. </w:t>
      </w:r>
      <w:r w:rsidR="00C14A69">
        <w:t>Advertising formats</w:t>
      </w:r>
      <w:r>
        <w:t xml:space="preserve"> include </w:t>
      </w:r>
      <w:r w:rsidR="00EC753A">
        <w:t xml:space="preserve">but are not limited to </w:t>
      </w:r>
      <w:r>
        <w:t xml:space="preserve">television, radio, </w:t>
      </w:r>
      <w:r w:rsidR="0058056E">
        <w:t>print,</w:t>
      </w:r>
      <w:r>
        <w:t xml:space="preserve"> </w:t>
      </w:r>
      <w:r w:rsidR="00EC753A">
        <w:t xml:space="preserve">outdoor, and the Internet. </w:t>
      </w:r>
      <w:r>
        <w:t xml:space="preserve">If </w:t>
      </w:r>
      <w:r w:rsidR="00C14A69">
        <w:t>advertising formats</w:t>
      </w:r>
      <w:r w:rsidR="00EC753A">
        <w:t xml:space="preserve"> are </w:t>
      </w:r>
      <w:r>
        <w:t>viewed on a continuum</w:t>
      </w:r>
      <w:r w:rsidR="00EC753A">
        <w:t xml:space="preserve"> of interactivity</w:t>
      </w:r>
      <w:r w:rsidR="00C14A69">
        <w:t xml:space="preserve">, more traditional </w:t>
      </w:r>
      <w:r w:rsidR="0058056E">
        <w:t>formats</w:t>
      </w:r>
      <w:r w:rsidR="00C14A69">
        <w:t xml:space="preserve"> like television, print, and radio </w:t>
      </w:r>
      <w:r w:rsidR="0047405F">
        <w:t>lay more so on the</w:t>
      </w:r>
      <w:r w:rsidR="00C14A69">
        <w:t xml:space="preserve"> non-interactivity</w:t>
      </w:r>
      <w:r w:rsidR="0058056E">
        <w:t xml:space="preserve"> portion of the continuum. Relatively newer online advertising formats like advergames</w:t>
      </w:r>
      <w:r w:rsidR="00562EE3">
        <w:t>, which are “custom-made games specifically designed around a product or service” (Interactive Advertising Bureau, 2007, p. 6)</w:t>
      </w:r>
      <w:r w:rsidR="0058056E">
        <w:t xml:space="preserve"> </w:t>
      </w:r>
      <w:r w:rsidR="0066446B">
        <w:t>belong firmly</w:t>
      </w:r>
      <w:r w:rsidR="0058056E">
        <w:t xml:space="preserve"> </w:t>
      </w:r>
      <w:r w:rsidR="00562EE3">
        <w:t>on</w:t>
      </w:r>
      <w:r w:rsidR="0058056E">
        <w:t xml:space="preserve"> the interactivity portion of the continuum. </w:t>
      </w:r>
    </w:p>
    <w:p w:rsidR="00995648" w:rsidRDefault="00562EE3" w:rsidP="00995648">
      <w:pPr>
        <w:widowControl w:val="0"/>
        <w:autoSpaceDE w:val="0"/>
        <w:autoSpaceDN w:val="0"/>
        <w:adjustRightInd w:val="0"/>
        <w:spacing w:line="480" w:lineRule="auto"/>
      </w:pPr>
      <w:r w:rsidRPr="00562EE3">
        <w:tab/>
      </w:r>
      <w:r>
        <w:t xml:space="preserve">Advergames are distinctly different from traditional television advertising, in that </w:t>
      </w:r>
      <w:r w:rsidRPr="00D93A32">
        <w:rPr>
          <w:bCs/>
        </w:rPr>
        <w:t>the inclusion of program separators, sponsorship disclosures, or jingles, which are pr</w:t>
      </w:r>
      <w:r w:rsidR="00874A09">
        <w:rPr>
          <w:bCs/>
        </w:rPr>
        <w:t xml:space="preserve">esent in television advertising </w:t>
      </w:r>
      <w:r w:rsidR="00874A09" w:rsidRPr="00D93A32">
        <w:rPr>
          <w:bCs/>
        </w:rPr>
        <w:t xml:space="preserve"> (</w:t>
      </w:r>
      <w:r w:rsidR="00874A09">
        <w:t>Levin, Petro &amp;</w:t>
      </w:r>
      <w:r w:rsidR="00874A09" w:rsidRPr="00D93A32">
        <w:t xml:space="preserve"> Petrella</w:t>
      </w:r>
      <w:r w:rsidR="00874A09">
        <w:t>, 1982),</w:t>
      </w:r>
      <w:r w:rsidRPr="00D93A32">
        <w:rPr>
          <w:bCs/>
        </w:rPr>
        <w:t xml:space="preserve"> are not present in </w:t>
      </w:r>
      <w:r>
        <w:rPr>
          <w:bCs/>
        </w:rPr>
        <w:t>advergames</w:t>
      </w:r>
      <w:r w:rsidR="00874A09">
        <w:rPr>
          <w:bCs/>
        </w:rPr>
        <w:t xml:space="preserve">. </w:t>
      </w:r>
      <w:r w:rsidR="00342978">
        <w:t xml:space="preserve">The inclusion of such program separators in traditional television advertising was based on the FCC’s (1974) ruling that “a clear separation be maintained </w:t>
      </w:r>
      <w:r w:rsidR="00674276">
        <w:t>between the program</w:t>
      </w:r>
      <w:r w:rsidR="00A8251F">
        <w:t xml:space="preserve"> content and the commercial message so as to aid the child in developing an ability to distinguish between the two” (p. 39401).</w:t>
      </w:r>
      <w:r w:rsidR="00342978">
        <w:t xml:space="preserve"> </w:t>
      </w:r>
      <w:r w:rsidR="00995648">
        <w:t xml:space="preserve">Advergames are </w:t>
      </w:r>
      <w:r w:rsidR="00353669">
        <w:t xml:space="preserve">both a form </w:t>
      </w:r>
      <w:r w:rsidR="00411FF1">
        <w:t>and</w:t>
      </w:r>
      <w:r w:rsidR="00995648">
        <w:t xml:space="preserve"> extension </w:t>
      </w:r>
      <w:r w:rsidR="00A8251F">
        <w:t xml:space="preserve">of product placement, </w:t>
      </w:r>
      <w:r w:rsidR="00342978">
        <w:t>which</w:t>
      </w:r>
      <w:r>
        <w:t xml:space="preserve"> </w:t>
      </w:r>
      <w:r w:rsidR="00A8251F">
        <w:rPr>
          <w:bCs/>
        </w:rPr>
        <w:t>commonly insert or embed</w:t>
      </w:r>
      <w:r w:rsidR="00342978" w:rsidRPr="00D93A32">
        <w:rPr>
          <w:bCs/>
        </w:rPr>
        <w:t xml:space="preserve"> products and/or product advertising into already existing </w:t>
      </w:r>
      <w:r w:rsidR="00A8251F">
        <w:rPr>
          <w:bCs/>
        </w:rPr>
        <w:t>media platforms</w:t>
      </w:r>
      <w:r w:rsidR="00411FF1">
        <w:rPr>
          <w:bCs/>
        </w:rPr>
        <w:t xml:space="preserve"> or vehicles</w:t>
      </w:r>
      <w:r w:rsidR="00771126">
        <w:rPr>
          <w:bCs/>
        </w:rPr>
        <w:t xml:space="preserve"> (Petty &amp;</w:t>
      </w:r>
      <w:r w:rsidR="00342978">
        <w:rPr>
          <w:bCs/>
        </w:rPr>
        <w:t xml:space="preserve"> Andrews</w:t>
      </w:r>
      <w:r w:rsidR="00771126">
        <w:rPr>
          <w:bCs/>
        </w:rPr>
        <w:t>,</w:t>
      </w:r>
      <w:r w:rsidR="00342978">
        <w:rPr>
          <w:bCs/>
        </w:rPr>
        <w:t xml:space="preserve"> 2008).</w:t>
      </w:r>
      <w:r w:rsidRPr="00D93A32">
        <w:t xml:space="preserve"> </w:t>
      </w:r>
      <w:r w:rsidR="00007B25">
        <w:t xml:space="preserve">Unlike the clear separation of the commercial message and program content found in traditional television advertising, </w:t>
      </w:r>
      <w:r w:rsidR="00290E67">
        <w:t>various forms of product placement</w:t>
      </w:r>
      <w:r w:rsidR="00995648">
        <w:t>, which include in-game advertising and advergaming,</w:t>
      </w:r>
      <w:r w:rsidR="00290E67">
        <w:t xml:space="preserve"> minimally delineate between the commercial and program content. </w:t>
      </w:r>
      <w:r w:rsidR="00995648">
        <w:rPr>
          <w:bCs/>
        </w:rPr>
        <w:t>While in-game advertising</w:t>
      </w:r>
      <w:r w:rsidR="00995648">
        <w:t xml:space="preserve"> “involves placing real-world marketing into pre-existing console and computer games, commonly in the form of billboards, posters, and sponsor signage in spo</w:t>
      </w:r>
      <w:r w:rsidR="00771126">
        <w:t>rts and racing games” (Lewis &amp;</w:t>
      </w:r>
      <w:r w:rsidR="00995648">
        <w:t xml:space="preserve"> Porter, 2010, p. 47), advergames have no delineation between the commercial and program content. With in-game advertising one can feasibly supplant any number or type of product advertisements in the game’s environment or background. However, in advergames the commercial content and entertainment content are inexorably connected. In other words, the game is the brand and the brand is the game.</w:t>
      </w:r>
    </w:p>
    <w:p w:rsidR="00CB3CD0" w:rsidRDefault="00290E67" w:rsidP="00262ABA">
      <w:pPr>
        <w:spacing w:line="480" w:lineRule="auto"/>
        <w:ind w:firstLine="720"/>
        <w:rPr>
          <w:bCs/>
        </w:rPr>
      </w:pPr>
      <w:r w:rsidRPr="00D93A32">
        <w:t>Tanaka (1994/199</w:t>
      </w:r>
      <w:r>
        <w:t>9</w:t>
      </w:r>
      <w:r w:rsidRPr="00D93A32">
        <w:t xml:space="preserve">) suggests that </w:t>
      </w:r>
      <w:r w:rsidR="00674276">
        <w:t>product placement</w:t>
      </w:r>
      <w:r w:rsidR="00262ABA">
        <w:t>s</w:t>
      </w:r>
      <w:r w:rsidR="00674276">
        <w:t xml:space="preserve"> </w:t>
      </w:r>
      <w:r w:rsidR="00995648">
        <w:t xml:space="preserve">are </w:t>
      </w:r>
      <w:r w:rsidRPr="00D93A32">
        <w:t xml:space="preserve">covert advertising </w:t>
      </w:r>
      <w:r w:rsidR="003F5BD9">
        <w:t>strategies that</w:t>
      </w:r>
      <w:r w:rsidR="00674276">
        <w:t xml:space="preserve"> </w:t>
      </w:r>
      <w:r w:rsidRPr="00D93A32">
        <w:t>attempt to overcome the “public distrust” of advertisers by preventing the individual from recognizing the manifest content of the advertisement.</w:t>
      </w:r>
      <w:r w:rsidR="00995648">
        <w:t xml:space="preserve"> </w:t>
      </w:r>
      <w:r w:rsidR="00411FF1">
        <w:t xml:space="preserve">While this may be a goal of product placement, </w:t>
      </w:r>
      <w:r w:rsidR="00411FF1">
        <w:rPr>
          <w:bCs/>
        </w:rPr>
        <w:t>i</w:t>
      </w:r>
      <w:r w:rsidR="00262ABA">
        <w:rPr>
          <w:bCs/>
        </w:rPr>
        <w:t xml:space="preserve">t is certainly reasonable that consumers may recognize some forms as advertising like billboards in video games. </w:t>
      </w:r>
      <w:r w:rsidR="0038486D">
        <w:rPr>
          <w:bCs/>
        </w:rPr>
        <w:t>Research indicates that d</w:t>
      </w:r>
      <w:r w:rsidR="004F0A04">
        <w:rPr>
          <w:bCs/>
        </w:rPr>
        <w:t>epending on the fit between the advertising theme and the video game environment, players may better remember or r</w:t>
      </w:r>
      <w:r w:rsidR="00771126">
        <w:rPr>
          <w:bCs/>
        </w:rPr>
        <w:t>ecall the advertising (Lewis &amp;</w:t>
      </w:r>
      <w:r w:rsidR="004F0A04">
        <w:rPr>
          <w:bCs/>
        </w:rPr>
        <w:t xml:space="preserve"> Porter</w:t>
      </w:r>
      <w:r w:rsidR="00771126">
        <w:rPr>
          <w:bCs/>
        </w:rPr>
        <w:t>,</w:t>
      </w:r>
      <w:r w:rsidR="004F0A04">
        <w:rPr>
          <w:bCs/>
        </w:rPr>
        <w:t xml:space="preserve"> 2010). </w:t>
      </w:r>
      <w:r w:rsidR="00CB3CD0">
        <w:rPr>
          <w:bCs/>
        </w:rPr>
        <w:t>However,</w:t>
      </w:r>
      <w:r w:rsidR="004F0A04">
        <w:rPr>
          <w:bCs/>
        </w:rPr>
        <w:t xml:space="preserve"> evidence</w:t>
      </w:r>
      <w:r w:rsidR="00262ABA">
        <w:rPr>
          <w:bCs/>
        </w:rPr>
        <w:t xml:space="preserve"> suggests consumers may not give product placement in television a promotional meaning (LaPastina</w:t>
      </w:r>
      <w:r w:rsidR="00771126">
        <w:rPr>
          <w:bCs/>
        </w:rPr>
        <w:t>,</w:t>
      </w:r>
      <w:r w:rsidR="00262ABA">
        <w:rPr>
          <w:bCs/>
        </w:rPr>
        <w:t xml:space="preserve"> 2001). Additionally, research suggests that game-players’ conversations about in-game advertising reflect an understanding of the promotional e</w:t>
      </w:r>
      <w:r w:rsidR="00771126">
        <w:rPr>
          <w:bCs/>
        </w:rPr>
        <w:t>ffort used therein (Lorenzon &amp;</w:t>
      </w:r>
      <w:r w:rsidR="00262ABA">
        <w:rPr>
          <w:bCs/>
        </w:rPr>
        <w:t xml:space="preserve"> Russell</w:t>
      </w:r>
      <w:r w:rsidR="00771126">
        <w:rPr>
          <w:bCs/>
        </w:rPr>
        <w:t>,</w:t>
      </w:r>
      <w:r w:rsidR="00262ABA">
        <w:rPr>
          <w:bCs/>
        </w:rPr>
        <w:t xml:space="preserve"> 2012). </w:t>
      </w:r>
    </w:p>
    <w:p w:rsidR="004F0A04" w:rsidRDefault="00CB3CD0" w:rsidP="004F0A04">
      <w:pPr>
        <w:widowControl w:val="0"/>
        <w:autoSpaceDE w:val="0"/>
        <w:autoSpaceDN w:val="0"/>
        <w:adjustRightInd w:val="0"/>
        <w:spacing w:line="480" w:lineRule="auto"/>
      </w:pPr>
      <w:r>
        <w:tab/>
        <w:t>Arguably,</w:t>
      </w:r>
      <w:r w:rsidRPr="00D93A32">
        <w:t xml:space="preserve"> the purpose of product placement</w:t>
      </w:r>
      <w:r>
        <w:t xml:space="preserve"> is to hide the persuasive or</w:t>
      </w:r>
      <w:r w:rsidRPr="00D93A32">
        <w:t xml:space="preserve"> commerci</w:t>
      </w:r>
      <w:r>
        <w:t>al nature of the message as well as the</w:t>
      </w:r>
      <w:r w:rsidRPr="00D93A32">
        <w:t xml:space="preserve"> advertiser (van Reijmersdal, </w:t>
      </w:r>
      <w:r w:rsidR="00771126">
        <w:rPr>
          <w:rFonts w:cs="AdvGulliv-R"/>
          <w:color w:val="000000"/>
        </w:rPr>
        <w:t>Jansz, Peters &amp;</w:t>
      </w:r>
      <w:r w:rsidRPr="00D93A32">
        <w:rPr>
          <w:rFonts w:cs="AdvGulliv-R"/>
          <w:color w:val="000000"/>
        </w:rPr>
        <w:t xml:space="preserve"> van Noort</w:t>
      </w:r>
      <w:r w:rsidR="00771126">
        <w:rPr>
          <w:rFonts w:cs="AdvGulliv-R"/>
          <w:color w:val="000000"/>
        </w:rPr>
        <w:t>,</w:t>
      </w:r>
      <w:r w:rsidRPr="00D93A32">
        <w:rPr>
          <w:i/>
          <w:iCs/>
        </w:rPr>
        <w:t xml:space="preserve"> </w:t>
      </w:r>
      <w:r w:rsidRPr="00D93A32">
        <w:t>2010).</w:t>
      </w:r>
      <w:r>
        <w:rPr>
          <w:rFonts w:cs="Times-Roman"/>
          <w:szCs w:val="20"/>
        </w:rPr>
        <w:t xml:space="preserve"> </w:t>
      </w:r>
      <w:r>
        <w:t>While in-game advertising and ad</w:t>
      </w:r>
      <w:r w:rsidR="0066446B">
        <w:t>vergames should both be considered interactive forms of advertising</w:t>
      </w:r>
      <w:r>
        <w:t xml:space="preserve">, advergames </w:t>
      </w:r>
      <w:r w:rsidR="0066446B">
        <w:t>provide a more immersive and interactive brand experience</w:t>
      </w:r>
      <w:r w:rsidR="00771126">
        <w:t xml:space="preserve"> (Grimes &amp; </w:t>
      </w:r>
      <w:r w:rsidR="00966FEB">
        <w:t>Shade</w:t>
      </w:r>
      <w:r w:rsidR="00771126">
        <w:t>,</w:t>
      </w:r>
      <w:r w:rsidR="00966FEB">
        <w:t xml:space="preserve"> 2005)</w:t>
      </w:r>
      <w:r>
        <w:t>.</w:t>
      </w:r>
      <w:r w:rsidR="0066446B">
        <w:t xml:space="preserve"> Therefore, when viewed on the</w:t>
      </w:r>
      <w:r>
        <w:t xml:space="preserve"> continuum of interactivi</w:t>
      </w:r>
      <w:r w:rsidR="0066446B">
        <w:t xml:space="preserve">ty, advergames exist as the more covert and interactive </w:t>
      </w:r>
      <w:r>
        <w:t xml:space="preserve">form of product placement. The </w:t>
      </w:r>
      <w:r w:rsidR="004F0A04">
        <w:t xml:space="preserve">blurring of </w:t>
      </w:r>
      <w:r>
        <w:t xml:space="preserve">commercial and entertainment content in advergames may prevent the individual from recognizing the commercial or persuasive content therein. </w:t>
      </w:r>
      <w:r w:rsidR="0066446B">
        <w:rPr>
          <w:bCs/>
        </w:rPr>
        <w:t>Existing research has demonstrated that children have difficulty understanding the commercial nature of advergames (</w:t>
      </w:r>
      <w:r w:rsidR="00771126">
        <w:t>An &amp; Stern, 2011; Mallinckrodt &amp;</w:t>
      </w:r>
      <w:r w:rsidR="0066446B">
        <w:t xml:space="preserve"> Mizerski</w:t>
      </w:r>
      <w:r w:rsidR="00771126">
        <w:t>,</w:t>
      </w:r>
      <w:r w:rsidR="0066446B">
        <w:t xml:space="preserve"> 2007; Owens, </w:t>
      </w:r>
      <w:r w:rsidR="00771126">
        <w:t>Lewis, Auty &amp; Buijzen,</w:t>
      </w:r>
      <w:r w:rsidR="0066446B">
        <w:t xml:space="preserve"> 2012).</w:t>
      </w:r>
      <w:r w:rsidR="0066446B">
        <w:rPr>
          <w:rFonts w:cs="Times-Roman"/>
          <w:szCs w:val="20"/>
        </w:rPr>
        <w:t xml:space="preserve"> However, </w:t>
      </w:r>
      <w:r w:rsidR="0066446B">
        <w:t>given the highly convoluted</w:t>
      </w:r>
      <w:r w:rsidR="00262ABA">
        <w:t xml:space="preserve"> commercial and entertainment conten</w:t>
      </w:r>
      <w:r w:rsidR="00771126">
        <w:t>t in advergames, Evans, Carlson,</w:t>
      </w:r>
      <w:r w:rsidR="00262ABA">
        <w:t xml:space="preserve"> and Hoy (2013</w:t>
      </w:r>
      <w:r w:rsidR="00CD28D6">
        <w:t xml:space="preserve">, p. 229) </w:t>
      </w:r>
      <w:r w:rsidR="00262ABA">
        <w:t>state that “adults’ recognition</w:t>
      </w:r>
      <w:r w:rsidR="0066446B">
        <w:t xml:space="preserve"> of</w:t>
      </w:r>
      <w:r w:rsidR="00262ABA">
        <w:t xml:space="preserve"> and defense against the persuasive intent in these immersive forms of advertising may also be hindered by the integrated and h</w:t>
      </w:r>
      <w:r w:rsidR="00771126">
        <w:t>idden nature therein” (Nairn &amp;</w:t>
      </w:r>
      <w:r w:rsidR="00262ABA">
        <w:t xml:space="preserve"> Fine</w:t>
      </w:r>
      <w:r w:rsidR="00771126">
        <w:t>,</w:t>
      </w:r>
      <w:r w:rsidR="00262ABA">
        <w:t xml:space="preserve"> 2008; van Reijmersdal et al.</w:t>
      </w:r>
      <w:r w:rsidR="00771126">
        <w:t>,</w:t>
      </w:r>
      <w:r w:rsidR="00262ABA">
        <w:t xml:space="preserve"> 2010)</w:t>
      </w:r>
      <w:r w:rsidR="004F0A04">
        <w:t>.</w:t>
      </w:r>
    </w:p>
    <w:p w:rsidR="004F0A04" w:rsidRPr="00411FF1" w:rsidRDefault="00411FF1" w:rsidP="004F0A04">
      <w:pPr>
        <w:widowControl w:val="0"/>
        <w:autoSpaceDE w:val="0"/>
        <w:autoSpaceDN w:val="0"/>
        <w:adjustRightInd w:val="0"/>
        <w:spacing w:line="480" w:lineRule="auto"/>
        <w:rPr>
          <w:b/>
        </w:rPr>
      </w:pPr>
      <w:r>
        <w:rPr>
          <w:b/>
        </w:rPr>
        <w:t>Purpose of the Study</w:t>
      </w:r>
    </w:p>
    <w:p w:rsidR="0025490E" w:rsidRPr="00174D75" w:rsidRDefault="00482A06" w:rsidP="00174D75">
      <w:pPr>
        <w:widowControl w:val="0"/>
        <w:autoSpaceDE w:val="0"/>
        <w:autoSpaceDN w:val="0"/>
        <w:adjustRightInd w:val="0"/>
        <w:spacing w:line="480" w:lineRule="auto"/>
      </w:pPr>
      <w:r>
        <w:tab/>
      </w:r>
      <w:r w:rsidR="00F320DD">
        <w:t>The pri</w:t>
      </w:r>
      <w:r w:rsidR="00411FF1">
        <w:t>mary purpose of this study is to examine</w:t>
      </w:r>
      <w:r w:rsidR="00F320DD">
        <w:t xml:space="preserve"> parents</w:t>
      </w:r>
      <w:r w:rsidR="00411FF1">
        <w:t xml:space="preserve">’ ability to recognize </w:t>
      </w:r>
      <w:r w:rsidR="00F320DD">
        <w:t xml:space="preserve">and understand </w:t>
      </w:r>
      <w:r w:rsidR="00411FF1">
        <w:t>a children’s advergame as advertising</w:t>
      </w:r>
      <w:r w:rsidR="00F320DD">
        <w:t>. Specifically, t</w:t>
      </w:r>
      <w:r>
        <w:t>here are thre</w:t>
      </w:r>
      <w:r w:rsidR="00F320DD">
        <w:t>e objectives underpinning this study</w:t>
      </w:r>
      <w:r>
        <w:t xml:space="preserve">. First, using the theoretical framework of the Persuasion Knowledge Model </w:t>
      </w:r>
      <w:r w:rsidRPr="007E6603">
        <w:t>(PKM)</w:t>
      </w:r>
      <w:r w:rsidR="00771126">
        <w:t xml:space="preserve"> (Friestad &amp;</w:t>
      </w:r>
      <w:r>
        <w:t xml:space="preserve"> Wright</w:t>
      </w:r>
      <w:r w:rsidR="00771126">
        <w:t>,</w:t>
      </w:r>
      <w:r>
        <w:t xml:space="preserve"> 1994),</w:t>
      </w:r>
      <w:r w:rsidRPr="007E6603">
        <w:t xml:space="preserve"> </w:t>
      </w:r>
      <w:r w:rsidR="00F320DD">
        <w:t>this study</w:t>
      </w:r>
      <w:r>
        <w:t xml:space="preserve"> experimentally test</w:t>
      </w:r>
      <w:r w:rsidR="00F320DD">
        <w:t>s</w:t>
      </w:r>
      <w:r>
        <w:t xml:space="preserve"> </w:t>
      </w:r>
      <w:r w:rsidRPr="007E6603">
        <w:t xml:space="preserve">the effects of advertising </w:t>
      </w:r>
      <w:r>
        <w:t xml:space="preserve">disclosures </w:t>
      </w:r>
      <w:r w:rsidR="00EC753A">
        <w:t>and cognitive load</w:t>
      </w:r>
      <w:r w:rsidRPr="007E6603">
        <w:t xml:space="preserve"> on parents’ activation of persuasion knowledge in children’s advergames. </w:t>
      </w:r>
      <w:r w:rsidR="00411FF1">
        <w:t>The second objective of this study</w:t>
      </w:r>
      <w:r>
        <w:t xml:space="preserve"> examine</w:t>
      </w:r>
      <w:r w:rsidR="00F320DD">
        <w:t>s</w:t>
      </w:r>
      <w:r>
        <w:t xml:space="preserve"> how parents’ </w:t>
      </w:r>
      <w:r w:rsidRPr="007E6603">
        <w:t>activation of persuasi</w:t>
      </w:r>
      <w:r w:rsidR="00F320DD">
        <w:t>on knowledge</w:t>
      </w:r>
      <w:r>
        <w:t xml:space="preserve"> affect</w:t>
      </w:r>
      <w:r w:rsidR="00F320DD">
        <w:t>s</w:t>
      </w:r>
      <w:r>
        <w:t xml:space="preserve"> their associated</w:t>
      </w:r>
      <w:r w:rsidRPr="007E6603">
        <w:t xml:space="preserve"> attitudes toward children’s advergames.</w:t>
      </w:r>
      <w:r w:rsidR="00F320DD">
        <w:t xml:space="preserve"> </w:t>
      </w:r>
      <w:r w:rsidR="00411FF1">
        <w:t>The third objective of this study</w:t>
      </w:r>
      <w:r>
        <w:t xml:space="preserve"> examine</w:t>
      </w:r>
      <w:r w:rsidR="00F320DD">
        <w:t>s</w:t>
      </w:r>
      <w:r>
        <w:t xml:space="preserve"> whether parents’ individual trait differences in persuasion knowledge and mediation of their children’s Internet use influence</w:t>
      </w:r>
      <w:r w:rsidR="00F320DD">
        <w:t>s</w:t>
      </w:r>
      <w:r>
        <w:t xml:space="preserve"> their activation of persuasion kno</w:t>
      </w:r>
      <w:r w:rsidR="00F320DD">
        <w:t>wledge in children’s advergames as well as</w:t>
      </w:r>
      <w:r>
        <w:t xml:space="preserve"> their attitudes toward children’s advergames</w:t>
      </w:r>
      <w:r w:rsidR="00F320DD">
        <w:t>.</w:t>
      </w:r>
      <w:r>
        <w:t xml:space="preserve"> </w:t>
      </w:r>
    </w:p>
    <w:p w:rsidR="00691DD4" w:rsidRDefault="00691DD4" w:rsidP="004429C0">
      <w:pPr>
        <w:spacing w:line="480" w:lineRule="auto"/>
      </w:pPr>
      <w:r>
        <w:rPr>
          <w:b/>
        </w:rPr>
        <w:t>Research on Children and Advergames</w:t>
      </w:r>
      <w:r>
        <w:tab/>
      </w:r>
    </w:p>
    <w:p w:rsidR="004429C0" w:rsidRDefault="00691DD4" w:rsidP="004429C0">
      <w:pPr>
        <w:spacing w:line="480" w:lineRule="auto"/>
      </w:pPr>
      <w:r>
        <w:tab/>
      </w:r>
      <w:r w:rsidR="004429C0">
        <w:t xml:space="preserve">A growing body of literature </w:t>
      </w:r>
      <w:r w:rsidR="0047405F">
        <w:t>indicates</w:t>
      </w:r>
      <w:r w:rsidR="004429C0">
        <w:t xml:space="preserve"> that children have difficulty recognizing advergames </w:t>
      </w:r>
      <w:r w:rsidR="00771126">
        <w:t>as a form of advertising (An &amp;</w:t>
      </w:r>
      <w:r w:rsidR="004429C0">
        <w:t xml:space="preserve"> Stern</w:t>
      </w:r>
      <w:r w:rsidR="00771126">
        <w:t>, 2011; Mallinckrodt &amp;</w:t>
      </w:r>
      <w:r w:rsidR="004429C0">
        <w:t xml:space="preserve"> Mizerski</w:t>
      </w:r>
      <w:r w:rsidR="00771126">
        <w:t>,</w:t>
      </w:r>
      <w:r w:rsidR="004429C0">
        <w:t xml:space="preserve"> 2007; Owens</w:t>
      </w:r>
      <w:r w:rsidR="00771126">
        <w:t xml:space="preserve"> et al.,</w:t>
      </w:r>
      <w:r w:rsidR="004429C0">
        <w:t xml:space="preserve"> 2012). When compared to more non-traditional formats like in-game advertising, movies, and advergames, research indicates that children have a significantly better understanding of advertising in television (O</w:t>
      </w:r>
      <w:r w:rsidR="00771126">
        <w:t>wens</w:t>
      </w:r>
      <w:r w:rsidR="004429C0">
        <w:t xml:space="preserve"> et al.</w:t>
      </w:r>
      <w:r w:rsidR="00771126">
        <w:t>,</w:t>
      </w:r>
      <w:r w:rsidR="004429C0">
        <w:t xml:space="preserve"> 2012). Even when provided with advertising breaks or notices, children’s understanding of the commercial content with an a</w:t>
      </w:r>
      <w:r w:rsidR="00771126">
        <w:t>dvergame is not enhanced (An &amp;</w:t>
      </w:r>
      <w:r w:rsidR="004429C0">
        <w:t xml:space="preserve"> Stern</w:t>
      </w:r>
      <w:r w:rsidR="00771126">
        <w:t>,</w:t>
      </w:r>
      <w:r w:rsidR="004429C0">
        <w:t xml:space="preserve"> 2011). The focus on children’s persuasion recognition in advergames is spurred by their</w:t>
      </w:r>
      <w:r w:rsidR="004429C0" w:rsidRPr="007E6603">
        <w:t xml:space="preserve"> limited</w:t>
      </w:r>
      <w:r w:rsidR="004429C0">
        <w:rPr>
          <w:color w:val="FF0000"/>
        </w:rPr>
        <w:t xml:space="preserve"> </w:t>
      </w:r>
      <w:r w:rsidR="004429C0">
        <w:t xml:space="preserve">cognitive ability and market place experience </w:t>
      </w:r>
      <w:r w:rsidR="00771126">
        <w:t>compared to adults (Friestad &amp;</w:t>
      </w:r>
      <w:r w:rsidR="004429C0">
        <w:t xml:space="preserve"> Wright</w:t>
      </w:r>
      <w:r w:rsidR="00771126">
        <w:t>,</w:t>
      </w:r>
      <w:r w:rsidR="004429C0">
        <w:t xml:space="preserve"> 1994; John</w:t>
      </w:r>
      <w:r w:rsidR="00771126">
        <w:t>, 1999; Wright, Friestad &amp;</w:t>
      </w:r>
      <w:r w:rsidR="004429C0">
        <w:t xml:space="preserve"> Boush</w:t>
      </w:r>
      <w:r w:rsidR="00771126">
        <w:t>,</w:t>
      </w:r>
      <w:r w:rsidR="004429C0">
        <w:t xml:space="preserve"> 2005). </w:t>
      </w:r>
    </w:p>
    <w:p w:rsidR="004429C0" w:rsidRDefault="004429C0" w:rsidP="004429C0">
      <w:pPr>
        <w:spacing w:line="480" w:lineRule="auto"/>
      </w:pPr>
      <w:r>
        <w:tab/>
        <w:t>Research indicates that advergames can influence children’s b</w:t>
      </w:r>
      <w:r w:rsidR="00771126">
        <w:t>rand attitudes (Mallinckrodt &amp;</w:t>
      </w:r>
      <w:r>
        <w:t xml:space="preserve"> Mizerski</w:t>
      </w:r>
      <w:r w:rsidR="00771126">
        <w:t>,</w:t>
      </w:r>
      <w:r>
        <w:t xml:space="preserve"> 2007; van Reijmersdal et al.</w:t>
      </w:r>
      <w:r w:rsidR="00771126">
        <w:t>,</w:t>
      </w:r>
      <w:r>
        <w:t xml:space="preserve"> 2010; Redondo</w:t>
      </w:r>
      <w:r w:rsidR="00771126">
        <w:t>, 2009; Waignuy, Nelson &amp;</w:t>
      </w:r>
      <w:r>
        <w:t xml:space="preserve"> Turlutter</w:t>
      </w:r>
      <w:r w:rsidR="00771126">
        <w:t>,</w:t>
      </w:r>
      <w:r>
        <w:t xml:space="preserve"> 2012), game attitudes (Bailey, Wise</w:t>
      </w:r>
      <w:r w:rsidR="007269B6">
        <w:t xml:space="preserve"> &amp; Bolls,</w:t>
      </w:r>
      <w:r>
        <w:t xml:space="preserve"> 2009; Hernandez</w:t>
      </w:r>
      <w:r w:rsidR="007269B6">
        <w:t>,</w:t>
      </w:r>
      <w:r>
        <w:t xml:space="preserve"> 2008; van Reijmersdal et al.</w:t>
      </w:r>
      <w:r w:rsidR="007269B6">
        <w:t>,</w:t>
      </w:r>
      <w:r>
        <w:t xml:space="preserve"> 2010), and food preference</w:t>
      </w:r>
      <w:r w:rsidR="007269B6">
        <w:t>s (Harris, Speers, Schwartz &amp;</w:t>
      </w:r>
      <w:r>
        <w:t xml:space="preserve"> Brownell</w:t>
      </w:r>
      <w:r w:rsidR="007269B6">
        <w:t>,</w:t>
      </w:r>
      <w:r>
        <w:t xml:space="preserve"> 2012).    </w:t>
      </w:r>
    </w:p>
    <w:p w:rsidR="00174D75" w:rsidRPr="00FF4D2E" w:rsidRDefault="00174D75" w:rsidP="00174D75">
      <w:pPr>
        <w:spacing w:line="480" w:lineRule="auto"/>
        <w:rPr>
          <w:b/>
        </w:rPr>
      </w:pPr>
      <w:r>
        <w:rPr>
          <w:b/>
        </w:rPr>
        <w:t>Advergame Prevalence</w:t>
      </w:r>
    </w:p>
    <w:p w:rsidR="007269B6" w:rsidRPr="00CD28D6" w:rsidRDefault="00174D75" w:rsidP="00174D75">
      <w:pPr>
        <w:spacing w:line="480" w:lineRule="auto"/>
      </w:pPr>
      <w:r>
        <w:tab/>
        <w:t>As evidenced by several content analyses, advergames are a ubiquitous feature of online marketing practices that target children (Moore</w:t>
      </w:r>
      <w:r w:rsidR="007269B6">
        <w:t>, 2006; Moore &amp;</w:t>
      </w:r>
      <w:r>
        <w:t xml:space="preserve"> Rideout</w:t>
      </w:r>
      <w:r w:rsidR="007269B6">
        <w:t>, 2007; Story &amp;</w:t>
      </w:r>
      <w:r>
        <w:t xml:space="preserve"> French</w:t>
      </w:r>
      <w:r w:rsidR="007269B6">
        <w:t>,</w:t>
      </w:r>
      <w:r>
        <w:t xml:space="preserve"> 2004). One study revealed that advergames are incorporated in 63% to 85% of company Web sites that feature these designated ch</w:t>
      </w:r>
      <w:r w:rsidR="007269B6">
        <w:t xml:space="preserve">ildren’s areas (Culp, Bell &amp; </w:t>
      </w:r>
      <w:r>
        <w:t>Cassady</w:t>
      </w:r>
      <w:r w:rsidR="007269B6">
        <w:t>, 2010; Henry &amp;</w:t>
      </w:r>
      <w:r>
        <w:t xml:space="preserve"> Story</w:t>
      </w:r>
      <w:r w:rsidR="007269B6">
        <w:t>,</w:t>
      </w:r>
      <w:r>
        <w:t xml:space="preserve"> 2009; Moore</w:t>
      </w:r>
      <w:r w:rsidR="007269B6">
        <w:t>, 2006; Moore &amp;</w:t>
      </w:r>
      <w:r>
        <w:t xml:space="preserve"> Rideout</w:t>
      </w:r>
      <w:r w:rsidR="007269B6">
        <w:t>, 2007; Weber, Story &amp;</w:t>
      </w:r>
      <w:r>
        <w:t xml:space="preserve"> Harnack</w:t>
      </w:r>
      <w:r w:rsidR="007269B6">
        <w:t>,</w:t>
      </w:r>
      <w:r>
        <w:t xml:space="preserve"> 2006). Another content analysis found that over 80% of U.S. based food and beverage Web sites contain advergames (Culp et al.</w:t>
      </w:r>
      <w:r w:rsidR="007269B6">
        <w:t>,</w:t>
      </w:r>
      <w:r>
        <w:t xml:space="preserve"> 2010). </w:t>
      </w:r>
      <w:r w:rsidR="00CD28D6">
        <w:t>Furthermore,</w:t>
      </w:r>
      <w:r>
        <w:t xml:space="preserve"> companies using advergames in designated children’s areas did not generally disclose the advertising nature inherent</w:t>
      </w:r>
      <w:r w:rsidR="007269B6">
        <w:t xml:space="preserve"> within the advergame (Henry &amp;</w:t>
      </w:r>
      <w:r>
        <w:t xml:space="preserve"> Story</w:t>
      </w:r>
      <w:r w:rsidR="007269B6">
        <w:t>,</w:t>
      </w:r>
      <w:r>
        <w:t xml:space="preserve"> 2009; Moore</w:t>
      </w:r>
      <w:r w:rsidR="007269B6">
        <w:t>,</w:t>
      </w:r>
      <w:r>
        <w:t xml:space="preserve"> 2006; Moore </w:t>
      </w:r>
      <w:r w:rsidR="007269B6">
        <w:t xml:space="preserve">&amp; </w:t>
      </w:r>
      <w:r>
        <w:t>Rideout</w:t>
      </w:r>
      <w:r w:rsidR="007269B6">
        <w:t>,</w:t>
      </w:r>
      <w:r>
        <w:t xml:space="preserve"> 2007). Additionally, companies that used child-focused advergames in desig</w:t>
      </w:r>
      <w:r w:rsidR="00CD28D6">
        <w:t>nated children’s areas did not typically</w:t>
      </w:r>
      <w:r>
        <w:t xml:space="preserve"> incorporate educational material nor did they promote the consumption of healthy</w:t>
      </w:r>
      <w:r w:rsidR="007269B6">
        <w:t xml:space="preserve"> foods (Lee, Choi, Quilliam &amp;</w:t>
      </w:r>
      <w:r>
        <w:t xml:space="preserve"> Cole</w:t>
      </w:r>
      <w:r w:rsidR="007269B6">
        <w:t>,</w:t>
      </w:r>
      <w:r>
        <w:t xml:space="preserve"> 2009). </w:t>
      </w:r>
    </w:p>
    <w:p w:rsidR="00174D75" w:rsidRPr="00FF4D2E" w:rsidRDefault="00174D75" w:rsidP="00174D75">
      <w:pPr>
        <w:spacing w:line="480" w:lineRule="auto"/>
        <w:rPr>
          <w:b/>
        </w:rPr>
      </w:pPr>
      <w:r>
        <w:rPr>
          <w:b/>
        </w:rPr>
        <w:t xml:space="preserve">Industry Growth for Online Gaming </w:t>
      </w:r>
    </w:p>
    <w:p w:rsidR="00174D75" w:rsidRDefault="00174D75" w:rsidP="00174D75">
      <w:pPr>
        <w:spacing w:line="480" w:lineRule="auto"/>
        <w:rPr>
          <w:bCs/>
          <w:szCs w:val="20"/>
        </w:rPr>
      </w:pPr>
      <w:r>
        <w:tab/>
        <w:t xml:space="preserve">In addition to the ubiquity of child-focused advergames, the industry has witnessed increased expenditures for and revenue generated by online gaming. </w:t>
      </w:r>
      <w:r>
        <w:rPr>
          <w:bCs/>
          <w:szCs w:val="20"/>
        </w:rPr>
        <w:t>In 2009 it was estimated that companies spent approximately $676 million on the production of advergames (Lee et al.</w:t>
      </w:r>
      <w:r w:rsidR="007269B6">
        <w:rPr>
          <w:bCs/>
          <w:szCs w:val="20"/>
        </w:rPr>
        <w:t>,</w:t>
      </w:r>
      <w:r>
        <w:rPr>
          <w:bCs/>
          <w:szCs w:val="20"/>
        </w:rPr>
        <w:t xml:space="preserve"> 2009). </w:t>
      </w:r>
      <w:r w:rsidRPr="002746BD">
        <w:rPr>
          <w:bCs/>
          <w:szCs w:val="20"/>
        </w:rPr>
        <w:t xml:space="preserve">According to </w:t>
      </w:r>
      <w:r>
        <w:rPr>
          <w:bCs/>
          <w:szCs w:val="20"/>
        </w:rPr>
        <w:t>businessinsider.com (2012)</w:t>
      </w:r>
      <w:r w:rsidRPr="002746BD">
        <w:rPr>
          <w:b/>
          <w:bCs/>
          <w:szCs w:val="20"/>
        </w:rPr>
        <w:t xml:space="preserve"> </w:t>
      </w:r>
      <w:r w:rsidRPr="002746BD">
        <w:rPr>
          <w:bCs/>
          <w:szCs w:val="20"/>
        </w:rPr>
        <w:t>rev</w:t>
      </w:r>
      <w:r>
        <w:rPr>
          <w:bCs/>
          <w:szCs w:val="20"/>
        </w:rPr>
        <w:t>enue for online gaming, which includes advergames, is projected to exceed</w:t>
      </w:r>
      <w:r w:rsidRPr="002746BD">
        <w:rPr>
          <w:bCs/>
          <w:szCs w:val="20"/>
        </w:rPr>
        <w:t xml:space="preserve"> $5 billion </w:t>
      </w:r>
      <w:r>
        <w:rPr>
          <w:bCs/>
          <w:szCs w:val="20"/>
        </w:rPr>
        <w:t xml:space="preserve">by 2015. The above estimates do not include the revenue created by advertising and lead generation, which place the projected revenue for online gaming at more than $1.3 billion for the 2012 fiscal year (EPI.com, 2011). While advergames represent only one form of online gaming, they nonetheless reflect the general industrial trends of increased expenditures on game creation and increased revenue garnered through potential customer participation—namely that of game play. </w:t>
      </w:r>
    </w:p>
    <w:p w:rsidR="00174D75" w:rsidRPr="00FF4D2E" w:rsidRDefault="00174D75" w:rsidP="00174D75">
      <w:pPr>
        <w:spacing w:line="480" w:lineRule="auto"/>
        <w:rPr>
          <w:b/>
          <w:bCs/>
          <w:szCs w:val="20"/>
        </w:rPr>
      </w:pPr>
      <w:r>
        <w:rPr>
          <w:b/>
          <w:bCs/>
          <w:szCs w:val="20"/>
        </w:rPr>
        <w:t>Children’s Online Presence</w:t>
      </w:r>
    </w:p>
    <w:p w:rsidR="00174D75" w:rsidRDefault="00174D75" w:rsidP="00174D75">
      <w:pPr>
        <w:spacing w:line="480" w:lineRule="auto"/>
        <w:rPr>
          <w:bCs/>
          <w:szCs w:val="20"/>
        </w:rPr>
      </w:pPr>
      <w:r>
        <w:rPr>
          <w:bCs/>
          <w:szCs w:val="20"/>
        </w:rPr>
        <w:tab/>
        <w:t xml:space="preserve">Revenue is not the only area that has seen growth in the online gaming market. Examinations of online population trends and Internet use indicate that younger individuals are getting online more often and staying there longer. </w:t>
      </w:r>
      <w:r w:rsidR="00CD28D6">
        <w:rPr>
          <w:bCs/>
          <w:szCs w:val="20"/>
        </w:rPr>
        <w:t>Approximately</w:t>
      </w:r>
      <w:r>
        <w:rPr>
          <w:bCs/>
          <w:szCs w:val="20"/>
        </w:rPr>
        <w:t xml:space="preserve"> 45% of children under the age of 12 became new Internet users in 2012 and spent nearly two hours online every week (eMarketer.com</w:t>
      </w:r>
      <w:r w:rsidR="007269B6">
        <w:rPr>
          <w:bCs/>
          <w:szCs w:val="20"/>
        </w:rPr>
        <w:t>,</w:t>
      </w:r>
      <w:r>
        <w:rPr>
          <w:bCs/>
          <w:szCs w:val="20"/>
        </w:rPr>
        <w:t xml:space="preserve"> 2012). Of the U.S. households with Internet access, 57% of children between the ages of 6-12 say that gaming is their most popular online activity (eMarketer.com</w:t>
      </w:r>
      <w:r w:rsidR="007269B6">
        <w:rPr>
          <w:bCs/>
          <w:szCs w:val="20"/>
        </w:rPr>
        <w:t>,</w:t>
      </w:r>
      <w:r>
        <w:rPr>
          <w:bCs/>
          <w:szCs w:val="20"/>
        </w:rPr>
        <w:t xml:space="preserve"> 2012). In fact, 54% of children in the same age group with access to an Internet-capable mobile device said they used that device to play games (eMarketer.com</w:t>
      </w:r>
      <w:r w:rsidR="007269B6">
        <w:rPr>
          <w:bCs/>
          <w:szCs w:val="20"/>
        </w:rPr>
        <w:t>,</w:t>
      </w:r>
      <w:r>
        <w:rPr>
          <w:bCs/>
          <w:szCs w:val="20"/>
        </w:rPr>
        <w:t xml:space="preserve"> 2012). When examining children’s household device use trends since 2010, those between the ages of 0-8 have seen use increases in tablets, internet-capable mobile phones, e-readers, gaming, and TV accessories. Only home computers and TVs witnessed slight decreases since 2010 (eMark</w:t>
      </w:r>
      <w:r w:rsidR="007269B6">
        <w:rPr>
          <w:bCs/>
          <w:szCs w:val="20"/>
        </w:rPr>
        <w:t>e</w:t>
      </w:r>
      <w:r>
        <w:rPr>
          <w:bCs/>
          <w:szCs w:val="20"/>
        </w:rPr>
        <w:t>ter.com</w:t>
      </w:r>
      <w:r w:rsidR="007269B6">
        <w:rPr>
          <w:bCs/>
          <w:szCs w:val="20"/>
        </w:rPr>
        <w:t>,</w:t>
      </w:r>
      <w:r>
        <w:rPr>
          <w:bCs/>
          <w:szCs w:val="20"/>
        </w:rPr>
        <w:t xml:space="preserve"> 2012).      </w:t>
      </w:r>
    </w:p>
    <w:p w:rsidR="00691DD4" w:rsidRDefault="00174D75" w:rsidP="00174D75">
      <w:pPr>
        <w:spacing w:line="480" w:lineRule="auto"/>
        <w:rPr>
          <w:bCs/>
          <w:szCs w:val="20"/>
        </w:rPr>
      </w:pPr>
      <w:r>
        <w:rPr>
          <w:bCs/>
          <w:szCs w:val="20"/>
        </w:rPr>
        <w:tab/>
      </w:r>
      <w:r>
        <w:t>As author Dan Tapscott notes, “This is the first time in human history where children are an authority on something important…this digital revolution” (</w:t>
      </w:r>
      <w:r w:rsidRPr="00680573">
        <w:rPr>
          <w:iCs/>
        </w:rPr>
        <w:t>Adweek</w:t>
      </w:r>
      <w:r w:rsidR="007269B6">
        <w:rPr>
          <w:iCs/>
        </w:rPr>
        <w:t>,</w:t>
      </w:r>
      <w:r>
        <w:rPr>
          <w:i/>
          <w:iCs/>
        </w:rPr>
        <w:t xml:space="preserve"> </w:t>
      </w:r>
      <w:r>
        <w:t>2012, p 1). There has been for some time now a clear trend toward children favoring online gaming. Perhaps it is no surprise to learn that parents’ attitudes towards the use of digital technologies, which include the Internet and Internet-capable devices, are seen as positives for family connectedness  (eMarketer.com</w:t>
      </w:r>
      <w:r w:rsidR="007269B6">
        <w:t>,</w:t>
      </w:r>
      <w:r>
        <w:t xml:space="preserve"> 2012). However, as </w:t>
      </w:r>
      <w:r>
        <w:rPr>
          <w:bCs/>
          <w:szCs w:val="20"/>
        </w:rPr>
        <w:t xml:space="preserve">Harris et al. (2012) found, children aren’t always with their parents or participating in family enriching activities when online. In their analysis, they found that 1.2 million children ages 2-11 and nearly 1 million adolescents ages 12-17 visited at least one advergame site once a month, sometimes for as long an hour at a time. </w:t>
      </w:r>
    </w:p>
    <w:p w:rsidR="00691DD4" w:rsidRPr="0064520B" w:rsidRDefault="00691DD4" w:rsidP="00174D75">
      <w:pPr>
        <w:spacing w:line="480" w:lineRule="auto"/>
        <w:rPr>
          <w:b/>
          <w:bCs/>
          <w:szCs w:val="20"/>
        </w:rPr>
      </w:pPr>
      <w:r w:rsidRPr="0064520B">
        <w:rPr>
          <w:b/>
          <w:bCs/>
          <w:szCs w:val="20"/>
        </w:rPr>
        <w:t>Research on Parents and Advergames</w:t>
      </w:r>
    </w:p>
    <w:p w:rsidR="00873981" w:rsidRPr="00683EA0" w:rsidRDefault="00691DD4" w:rsidP="00683EA0">
      <w:pPr>
        <w:widowControl w:val="0"/>
        <w:autoSpaceDE w:val="0"/>
        <w:autoSpaceDN w:val="0"/>
        <w:adjustRightInd w:val="0"/>
        <w:spacing w:line="480" w:lineRule="auto"/>
        <w:rPr>
          <w:rFonts w:cs="Times-Roman"/>
          <w:szCs w:val="20"/>
        </w:rPr>
      </w:pPr>
      <w:r w:rsidRPr="0064520B">
        <w:rPr>
          <w:bCs/>
          <w:szCs w:val="20"/>
        </w:rPr>
        <w:tab/>
        <w:t>Aside from the aforementioned research on children,</w:t>
      </w:r>
      <w:r w:rsidR="0047405F" w:rsidRPr="0064520B">
        <w:rPr>
          <w:bCs/>
          <w:szCs w:val="20"/>
        </w:rPr>
        <w:t xml:space="preserve"> </w:t>
      </w:r>
      <w:r w:rsidR="0047405F" w:rsidRPr="0064520B">
        <w:t xml:space="preserve">the majority of advergame research focuses on adults’ and adolescents’ game attitudes, brand attitudes, and </w:t>
      </w:r>
      <w:r w:rsidR="007269B6">
        <w:t>brand recall (e.g. Cauberghe &amp;</w:t>
      </w:r>
      <w:r w:rsidR="0047405F" w:rsidRPr="0064520B">
        <w:t xml:space="preserve"> De Pelsmacker</w:t>
      </w:r>
      <w:r w:rsidR="007269B6">
        <w:t>,</w:t>
      </w:r>
      <w:r w:rsidR="0047405F" w:rsidRPr="0064520B">
        <w:t xml:space="preserve"> 2010; Hernandez</w:t>
      </w:r>
      <w:r w:rsidR="007269B6">
        <w:t>,</w:t>
      </w:r>
      <w:r w:rsidR="0047405F" w:rsidRPr="0064520B">
        <w:t xml:space="preserve"> 2011; Nelson, Keum</w:t>
      </w:r>
      <w:r w:rsidR="007269B6">
        <w:t xml:space="preserve"> &amp;</w:t>
      </w:r>
      <w:r w:rsidR="0047405F" w:rsidRPr="0064520B">
        <w:t xml:space="preserve"> Yaros</w:t>
      </w:r>
      <w:r w:rsidR="007269B6">
        <w:t>,</w:t>
      </w:r>
      <w:r w:rsidR="0047405F" w:rsidRPr="0064520B">
        <w:t xml:space="preserve"> 2004). To this researcher’s knowledge, no prior studies have empirically investigated whether adults recognize the persuasive intent inherent within (children’s) advergames. </w:t>
      </w:r>
      <w:r w:rsidR="00174D75" w:rsidRPr="0064520B">
        <w:rPr>
          <w:bCs/>
          <w:szCs w:val="20"/>
        </w:rPr>
        <w:t xml:space="preserve">Whether parents are aware </w:t>
      </w:r>
      <w:r w:rsidR="004429C0" w:rsidRPr="0064520B">
        <w:rPr>
          <w:bCs/>
          <w:szCs w:val="20"/>
        </w:rPr>
        <w:t xml:space="preserve">of </w:t>
      </w:r>
      <w:r w:rsidR="0047405F" w:rsidRPr="0064520B">
        <w:rPr>
          <w:bCs/>
          <w:szCs w:val="20"/>
        </w:rPr>
        <w:t>advergames as a marketing practice or</w:t>
      </w:r>
      <w:r w:rsidR="004429C0" w:rsidRPr="0064520B">
        <w:rPr>
          <w:bCs/>
          <w:szCs w:val="20"/>
        </w:rPr>
        <w:t xml:space="preserve"> fully understand their</w:t>
      </w:r>
      <w:r w:rsidR="0047405F" w:rsidRPr="0064520B">
        <w:rPr>
          <w:bCs/>
          <w:szCs w:val="20"/>
        </w:rPr>
        <w:t xml:space="preserve"> purp</w:t>
      </w:r>
      <w:r w:rsidR="00581F72" w:rsidRPr="0064520B">
        <w:rPr>
          <w:bCs/>
          <w:szCs w:val="20"/>
        </w:rPr>
        <w:t>ose is a vastly underexplored topic. An extensive literature search resulted in only t</w:t>
      </w:r>
      <w:r w:rsidR="0047405F" w:rsidRPr="0064520B">
        <w:rPr>
          <w:bCs/>
          <w:szCs w:val="20"/>
        </w:rPr>
        <w:t xml:space="preserve">wo </w:t>
      </w:r>
      <w:r w:rsidR="00581F72" w:rsidRPr="0064520B">
        <w:rPr>
          <w:bCs/>
          <w:szCs w:val="20"/>
        </w:rPr>
        <w:t xml:space="preserve">studies that </w:t>
      </w:r>
      <w:r w:rsidR="0047405F" w:rsidRPr="0064520B">
        <w:rPr>
          <w:bCs/>
          <w:szCs w:val="20"/>
        </w:rPr>
        <w:t xml:space="preserve">specifically investigated parents and advergames. Bakir and Vitell (2010) </w:t>
      </w:r>
      <w:r w:rsidR="00581F72" w:rsidRPr="0064520B">
        <w:rPr>
          <w:bCs/>
          <w:szCs w:val="20"/>
        </w:rPr>
        <w:t xml:space="preserve">asked parents of children in kindergarten through eighth grade about their ethical judgments of three advertising scenarios, one of which was an advergame. </w:t>
      </w:r>
      <w:r w:rsidR="0064520B" w:rsidRPr="0064520B">
        <w:rPr>
          <w:bCs/>
          <w:szCs w:val="20"/>
        </w:rPr>
        <w:t>“</w:t>
      </w:r>
      <w:r w:rsidR="00683EA0">
        <w:rPr>
          <w:rFonts w:cs="Times-Roman"/>
          <w:szCs w:val="20"/>
        </w:rPr>
        <w:t>P</w:t>
      </w:r>
      <w:r w:rsidR="0064520B" w:rsidRPr="0064520B">
        <w:rPr>
          <w:rFonts w:cs="Times-Roman"/>
          <w:szCs w:val="20"/>
        </w:rPr>
        <w:t>arents</w:t>
      </w:r>
      <w:r w:rsidR="0064520B">
        <w:rPr>
          <w:rFonts w:cs="Times-Roman"/>
          <w:szCs w:val="20"/>
        </w:rPr>
        <w:t xml:space="preserve"> d</w:t>
      </w:r>
      <w:r w:rsidR="0064520B" w:rsidRPr="0064520B">
        <w:rPr>
          <w:rFonts w:cs="Times-Roman"/>
          <w:szCs w:val="20"/>
        </w:rPr>
        <w:t>id not really think the advergames and the use of well-known</w:t>
      </w:r>
      <w:r w:rsidR="0064520B">
        <w:rPr>
          <w:rFonts w:cs="Times-Roman"/>
          <w:szCs w:val="20"/>
        </w:rPr>
        <w:t xml:space="preserve"> </w:t>
      </w:r>
      <w:r w:rsidR="0064520B" w:rsidRPr="0064520B">
        <w:rPr>
          <w:rFonts w:cs="Times-Roman"/>
          <w:szCs w:val="20"/>
        </w:rPr>
        <w:t>characters to distribute food company products at schools and</w:t>
      </w:r>
      <w:r w:rsidR="0064520B">
        <w:rPr>
          <w:rFonts w:cs="Times-Roman"/>
          <w:szCs w:val="20"/>
        </w:rPr>
        <w:t xml:space="preserve"> </w:t>
      </w:r>
      <w:r w:rsidR="0064520B" w:rsidRPr="0064520B">
        <w:rPr>
          <w:rFonts w:cs="Times-Roman"/>
          <w:szCs w:val="20"/>
        </w:rPr>
        <w:t>child care facilities presented any potential unethical practices.</w:t>
      </w:r>
      <w:r w:rsidR="0064520B">
        <w:rPr>
          <w:rFonts w:cs="Times-Roman"/>
          <w:szCs w:val="20"/>
        </w:rPr>
        <w:t xml:space="preserve"> </w:t>
      </w:r>
      <w:r w:rsidR="0064520B" w:rsidRPr="0064520B">
        <w:rPr>
          <w:rFonts w:cs="Times-Roman"/>
          <w:szCs w:val="20"/>
        </w:rPr>
        <w:t>Particularly, advergames are new promotional tools used on the</w:t>
      </w:r>
      <w:r w:rsidR="0064520B">
        <w:rPr>
          <w:rFonts w:cs="Times-Roman"/>
          <w:szCs w:val="20"/>
        </w:rPr>
        <w:t xml:space="preserve"> </w:t>
      </w:r>
      <w:r w:rsidR="0064520B" w:rsidRPr="0064520B">
        <w:rPr>
          <w:rFonts w:cs="Times-Roman"/>
          <w:szCs w:val="20"/>
        </w:rPr>
        <w:t>Web to attract adults and children within a branded context”</w:t>
      </w:r>
      <w:r w:rsidR="00683EA0">
        <w:rPr>
          <w:rFonts w:cs="Times-Roman"/>
          <w:szCs w:val="20"/>
        </w:rPr>
        <w:t xml:space="preserve"> </w:t>
      </w:r>
      <w:r w:rsidR="007269B6">
        <w:rPr>
          <w:rFonts w:cs="Times-Roman"/>
          <w:szCs w:val="20"/>
        </w:rPr>
        <w:t>(Bakir &amp;</w:t>
      </w:r>
      <w:r w:rsidR="0064520B" w:rsidRPr="0064520B">
        <w:rPr>
          <w:rFonts w:cs="Times-Roman"/>
          <w:szCs w:val="20"/>
        </w:rPr>
        <w:t xml:space="preserve"> Vitell</w:t>
      </w:r>
      <w:r w:rsidR="007269B6">
        <w:rPr>
          <w:rFonts w:cs="Times-Roman"/>
          <w:szCs w:val="20"/>
        </w:rPr>
        <w:t>,</w:t>
      </w:r>
      <w:r w:rsidR="0064520B" w:rsidRPr="0064520B">
        <w:rPr>
          <w:rFonts w:cs="Times-Roman"/>
          <w:szCs w:val="20"/>
        </w:rPr>
        <w:t xml:space="preserve"> 2010, p. 307).</w:t>
      </w:r>
      <w:r w:rsidR="0064520B">
        <w:rPr>
          <w:bCs/>
          <w:szCs w:val="20"/>
        </w:rPr>
        <w:t xml:space="preserve"> More recently</w:t>
      </w:r>
      <w:r w:rsidR="00683EA0">
        <w:rPr>
          <w:bCs/>
          <w:szCs w:val="20"/>
        </w:rPr>
        <w:t>,</w:t>
      </w:r>
      <w:r w:rsidR="0064520B">
        <w:rPr>
          <w:bCs/>
          <w:szCs w:val="20"/>
        </w:rPr>
        <w:t xml:space="preserve"> </w:t>
      </w:r>
      <w:r w:rsidR="004429C0">
        <w:rPr>
          <w:bCs/>
          <w:szCs w:val="20"/>
        </w:rPr>
        <w:t xml:space="preserve">Evans et al. </w:t>
      </w:r>
      <w:r w:rsidR="0064520B">
        <w:rPr>
          <w:bCs/>
          <w:szCs w:val="20"/>
        </w:rPr>
        <w:t>(</w:t>
      </w:r>
      <w:r w:rsidR="004429C0">
        <w:rPr>
          <w:bCs/>
          <w:szCs w:val="20"/>
        </w:rPr>
        <w:t>2013 forthcoming)</w:t>
      </w:r>
      <w:r w:rsidR="0064520B">
        <w:rPr>
          <w:bCs/>
          <w:szCs w:val="20"/>
        </w:rPr>
        <w:t xml:space="preserve"> examined parents’ understanding of and experience </w:t>
      </w:r>
      <w:r w:rsidR="00AB1007">
        <w:rPr>
          <w:bCs/>
          <w:szCs w:val="20"/>
        </w:rPr>
        <w:t>with child-targeted advergames by giving them</w:t>
      </w:r>
      <w:r w:rsidR="0064520B">
        <w:rPr>
          <w:bCs/>
          <w:szCs w:val="20"/>
        </w:rPr>
        <w:t xml:space="preserve"> screen-captures of an </w:t>
      </w:r>
      <w:r w:rsidR="00AB1007">
        <w:rPr>
          <w:bCs/>
          <w:szCs w:val="20"/>
        </w:rPr>
        <w:t>Oreo and SpongeBob advergame as well as</w:t>
      </w:r>
      <w:r w:rsidR="0064520B">
        <w:rPr>
          <w:bCs/>
          <w:szCs w:val="20"/>
        </w:rPr>
        <w:t xml:space="preserve"> definition of advergaming, both of which were qualitatively and quantitatively pretested</w:t>
      </w:r>
      <w:r w:rsidR="00AB1007">
        <w:rPr>
          <w:bCs/>
          <w:szCs w:val="20"/>
        </w:rPr>
        <w:t>. Their findings revealed that, even with the screen-captures and advergaming definition, parents not only tended to hold negative attitudes toward child-targeted advergames but also over generalized as to what qualifie</w:t>
      </w:r>
      <w:r w:rsidR="007269B6">
        <w:rPr>
          <w:bCs/>
          <w:szCs w:val="20"/>
        </w:rPr>
        <w:t xml:space="preserve">d as an advergame (Evans et al., </w:t>
      </w:r>
      <w:r w:rsidR="00AB1007">
        <w:rPr>
          <w:bCs/>
          <w:szCs w:val="20"/>
        </w:rPr>
        <w:t xml:space="preserve">2013). </w:t>
      </w:r>
    </w:p>
    <w:p w:rsidR="00482A06" w:rsidRPr="00683EA0" w:rsidRDefault="00873981" w:rsidP="00683EA0">
      <w:pPr>
        <w:widowControl w:val="0"/>
        <w:autoSpaceDE w:val="0"/>
        <w:autoSpaceDN w:val="0"/>
        <w:adjustRightInd w:val="0"/>
        <w:spacing w:line="480" w:lineRule="auto"/>
        <w:rPr>
          <w:rFonts w:cs="Times-Roman"/>
          <w:szCs w:val="20"/>
        </w:rPr>
      </w:pPr>
      <w:r w:rsidRPr="00CB68D1">
        <w:rPr>
          <w:bCs/>
          <w:szCs w:val="20"/>
        </w:rPr>
        <w:tab/>
        <w:t>Research on persuasion recognition in advergames</w:t>
      </w:r>
      <w:r w:rsidR="00CB68D1" w:rsidRPr="00CB68D1">
        <w:rPr>
          <w:bCs/>
          <w:szCs w:val="20"/>
        </w:rPr>
        <w:t>, and the resultant focus on children as a population of interest, is</w:t>
      </w:r>
      <w:r w:rsidRPr="00CB68D1">
        <w:rPr>
          <w:bCs/>
          <w:szCs w:val="20"/>
        </w:rPr>
        <w:t xml:space="preserve"> fueled by</w:t>
      </w:r>
      <w:r w:rsidR="00CB68D1" w:rsidRPr="00CB68D1">
        <w:rPr>
          <w:bCs/>
          <w:szCs w:val="20"/>
        </w:rPr>
        <w:t xml:space="preserve"> the cognitive discrepancies</w:t>
      </w:r>
      <w:r w:rsidR="00CB68D1">
        <w:rPr>
          <w:bCs/>
          <w:szCs w:val="20"/>
        </w:rPr>
        <w:t xml:space="preserve"> and variations in marketplace experience</w:t>
      </w:r>
      <w:r w:rsidR="00CB68D1" w:rsidRPr="00CB68D1">
        <w:rPr>
          <w:bCs/>
          <w:szCs w:val="20"/>
        </w:rPr>
        <w:t xml:space="preserve"> that exist between children and adults. While such cognitive discrepancies undoubtedly exist, “</w:t>
      </w:r>
      <w:r w:rsidR="00CB68D1" w:rsidRPr="00CB68D1">
        <w:rPr>
          <w:rFonts w:cs="Times-Roman"/>
          <w:szCs w:val="20"/>
        </w:rPr>
        <w:t>research on persuasion recognition</w:t>
      </w:r>
      <w:r w:rsidR="00CB68D1">
        <w:rPr>
          <w:rFonts w:cs="Times-Roman"/>
          <w:szCs w:val="20"/>
        </w:rPr>
        <w:t xml:space="preserve"> </w:t>
      </w:r>
      <w:r w:rsidR="00CB68D1" w:rsidRPr="00CB68D1">
        <w:rPr>
          <w:rFonts w:cs="Times-Roman"/>
          <w:szCs w:val="20"/>
        </w:rPr>
        <w:t>in interactive environments assumes that adults, and parents for</w:t>
      </w:r>
      <w:r w:rsidR="00CB68D1">
        <w:rPr>
          <w:rFonts w:cs="Times-Roman"/>
          <w:szCs w:val="20"/>
        </w:rPr>
        <w:t xml:space="preserve"> </w:t>
      </w:r>
      <w:r w:rsidR="00CB68D1" w:rsidRPr="00CB68D1">
        <w:rPr>
          <w:rFonts w:cs="Times-Roman"/>
          <w:szCs w:val="20"/>
        </w:rPr>
        <w:t>that matter, have the ability to recognize persuasive intent in</w:t>
      </w:r>
      <w:r w:rsidR="00CB68D1">
        <w:rPr>
          <w:rFonts w:cs="Times-Roman"/>
          <w:szCs w:val="20"/>
        </w:rPr>
        <w:t xml:space="preserve"> </w:t>
      </w:r>
      <w:r w:rsidR="00CB68D1" w:rsidRPr="00CB68D1">
        <w:rPr>
          <w:rFonts w:cs="Times-Roman"/>
          <w:szCs w:val="20"/>
        </w:rPr>
        <w:t>advergames</w:t>
      </w:r>
      <w:r w:rsidR="00CB68D1">
        <w:rPr>
          <w:rFonts w:cs="Times-Roman"/>
          <w:szCs w:val="20"/>
        </w:rPr>
        <w:t>” (Evans et al.</w:t>
      </w:r>
      <w:r w:rsidR="007269B6">
        <w:rPr>
          <w:rFonts w:cs="Times-Roman"/>
          <w:szCs w:val="20"/>
        </w:rPr>
        <w:t>,</w:t>
      </w:r>
      <w:r w:rsidR="00EF6F9F">
        <w:rPr>
          <w:rFonts w:cs="Times-Roman"/>
          <w:szCs w:val="20"/>
        </w:rPr>
        <w:t xml:space="preserve"> 2013</w:t>
      </w:r>
      <w:r w:rsidR="00CB68D1">
        <w:rPr>
          <w:rFonts w:cs="Times-Roman"/>
          <w:szCs w:val="20"/>
        </w:rPr>
        <w:t>)</w:t>
      </w:r>
      <w:r w:rsidR="00CB68D1" w:rsidRPr="00CB68D1">
        <w:rPr>
          <w:rFonts w:cs="Times-Roman"/>
          <w:szCs w:val="20"/>
        </w:rPr>
        <w:t>.</w:t>
      </w:r>
      <w:r w:rsidR="00CB68D1" w:rsidRPr="00CB68D1">
        <w:rPr>
          <w:bCs/>
          <w:szCs w:val="20"/>
        </w:rPr>
        <w:t xml:space="preserve">  </w:t>
      </w:r>
      <w:r w:rsidR="00683EA0">
        <w:rPr>
          <w:bCs/>
          <w:szCs w:val="20"/>
        </w:rPr>
        <w:t xml:space="preserve">Examining and understating parents’ level of persuasion knowledge about children’s advergames </w:t>
      </w:r>
      <w:r w:rsidR="00174D75">
        <w:rPr>
          <w:bCs/>
          <w:szCs w:val="20"/>
        </w:rPr>
        <w:t>is a</w:t>
      </w:r>
      <w:r w:rsidR="00CD28D6">
        <w:rPr>
          <w:bCs/>
          <w:szCs w:val="20"/>
        </w:rPr>
        <w:t>n</w:t>
      </w:r>
      <w:r w:rsidR="00174D75">
        <w:rPr>
          <w:bCs/>
          <w:szCs w:val="20"/>
        </w:rPr>
        <w:t xml:space="preserve"> </w:t>
      </w:r>
      <w:r w:rsidR="00683EA0">
        <w:rPr>
          <w:bCs/>
          <w:szCs w:val="20"/>
        </w:rPr>
        <w:t>area</w:t>
      </w:r>
      <w:r w:rsidR="00174D75">
        <w:rPr>
          <w:bCs/>
          <w:szCs w:val="20"/>
        </w:rPr>
        <w:t xml:space="preserve"> that both deserves exploration and is central to this </w:t>
      </w:r>
      <w:r w:rsidR="00683EA0">
        <w:rPr>
          <w:bCs/>
          <w:szCs w:val="20"/>
        </w:rPr>
        <w:t>study</w:t>
      </w:r>
      <w:r w:rsidR="00174D75">
        <w:rPr>
          <w:bCs/>
          <w:szCs w:val="20"/>
        </w:rPr>
        <w:t>.</w:t>
      </w:r>
      <w:r w:rsidR="00174D75">
        <w:tab/>
      </w:r>
    </w:p>
    <w:p w:rsidR="00482A06" w:rsidRPr="00FF4D2E" w:rsidRDefault="00482A06" w:rsidP="00482A06">
      <w:pPr>
        <w:spacing w:line="480" w:lineRule="auto"/>
        <w:rPr>
          <w:b/>
        </w:rPr>
      </w:pPr>
      <w:r>
        <w:rPr>
          <w:b/>
        </w:rPr>
        <w:t xml:space="preserve">Parental </w:t>
      </w:r>
      <w:r w:rsidR="00683EA0">
        <w:rPr>
          <w:b/>
        </w:rPr>
        <w:t>Concern of Advertising</w:t>
      </w:r>
    </w:p>
    <w:p w:rsidR="00482A06" w:rsidRPr="00B27ED6" w:rsidRDefault="00482A06" w:rsidP="00B27ED6">
      <w:pPr>
        <w:widowControl w:val="0"/>
        <w:autoSpaceDE w:val="0"/>
        <w:autoSpaceDN w:val="0"/>
        <w:adjustRightInd w:val="0"/>
        <w:spacing w:line="480" w:lineRule="auto"/>
        <w:rPr>
          <w:rFonts w:cs="Times-Roman"/>
          <w:szCs w:val="20"/>
        </w:rPr>
      </w:pPr>
      <w:r>
        <w:tab/>
      </w:r>
      <w:r w:rsidRPr="00683EA0">
        <w:t xml:space="preserve">Parents have </w:t>
      </w:r>
      <w:r w:rsidR="00683EA0" w:rsidRPr="00683EA0">
        <w:t xml:space="preserve">historically </w:t>
      </w:r>
      <w:r w:rsidRPr="00683EA0">
        <w:t>expressed concern regarding advertising’s ability to socialize and i</w:t>
      </w:r>
      <w:r w:rsidR="007269B6">
        <w:t>nfluence children (Grossbart &amp;</w:t>
      </w:r>
      <w:r w:rsidRPr="00683EA0">
        <w:t xml:space="preserve"> Crosby</w:t>
      </w:r>
      <w:r w:rsidR="007269B6">
        <w:t>,</w:t>
      </w:r>
      <w:r w:rsidRPr="00683EA0">
        <w:t xml:space="preserve"> 1984) and more recently their children’s on</w:t>
      </w:r>
      <w:r w:rsidR="007269B6">
        <w:t>line activities (Livingstone &amp;</w:t>
      </w:r>
      <w:r w:rsidRPr="00683EA0">
        <w:t xml:space="preserve"> Bober</w:t>
      </w:r>
      <w:r w:rsidR="007269B6">
        <w:t>,</w:t>
      </w:r>
      <w:r w:rsidRPr="00683EA0">
        <w:t xml:space="preserve"> 2006). </w:t>
      </w:r>
      <w:r w:rsidR="00683EA0" w:rsidRPr="00683EA0">
        <w:t>Children’s exposure to online content that is inappropriate (</w:t>
      </w:r>
      <w:r w:rsidR="00683EA0" w:rsidRPr="00683EA0">
        <w:rPr>
          <w:rFonts w:cs="Times-Roman"/>
          <w:szCs w:val="20"/>
        </w:rPr>
        <w:t>Eagle</w:t>
      </w:r>
      <w:r w:rsidR="007269B6">
        <w:rPr>
          <w:rFonts w:cs="Times-Roman"/>
          <w:szCs w:val="20"/>
        </w:rPr>
        <w:t>,</w:t>
      </w:r>
      <w:r w:rsidR="00683EA0">
        <w:rPr>
          <w:rFonts w:cs="Times-Roman"/>
          <w:szCs w:val="20"/>
        </w:rPr>
        <w:t xml:space="preserve"> </w:t>
      </w:r>
      <w:r w:rsidR="007269B6">
        <w:rPr>
          <w:rFonts w:cs="Times-Roman"/>
          <w:szCs w:val="20"/>
        </w:rPr>
        <w:t xml:space="preserve">2007; Eagle, Bulmer &amp; </w:t>
      </w:r>
      <w:r w:rsidR="00683EA0" w:rsidRPr="00683EA0">
        <w:rPr>
          <w:rFonts w:cs="Times-Roman"/>
          <w:szCs w:val="20"/>
        </w:rPr>
        <w:t>de Bruin</w:t>
      </w:r>
      <w:r w:rsidR="007269B6">
        <w:rPr>
          <w:rFonts w:cs="Times-Roman"/>
          <w:szCs w:val="20"/>
        </w:rPr>
        <w:t>,</w:t>
      </w:r>
      <w:r w:rsidR="00683EA0" w:rsidRPr="00683EA0">
        <w:rPr>
          <w:rFonts w:cs="Times-Roman"/>
          <w:szCs w:val="20"/>
        </w:rPr>
        <w:t xml:space="preserve"> 2</w:t>
      </w:r>
      <w:r w:rsidR="007269B6">
        <w:rPr>
          <w:rFonts w:cs="Times-Roman"/>
          <w:szCs w:val="20"/>
        </w:rPr>
        <w:t>003; Livingstone &amp;</w:t>
      </w:r>
      <w:r w:rsidR="00683EA0">
        <w:rPr>
          <w:rFonts w:cs="Times-Roman"/>
          <w:szCs w:val="20"/>
        </w:rPr>
        <w:t xml:space="preserve"> </w:t>
      </w:r>
      <w:r w:rsidR="00683EA0" w:rsidRPr="00683EA0">
        <w:rPr>
          <w:rFonts w:cs="Times-Roman"/>
          <w:szCs w:val="20"/>
        </w:rPr>
        <w:t>Bober</w:t>
      </w:r>
      <w:r w:rsidR="007269B6">
        <w:rPr>
          <w:rFonts w:cs="Times-Roman"/>
          <w:szCs w:val="20"/>
        </w:rPr>
        <w:t>,</w:t>
      </w:r>
      <w:r w:rsidR="00683EA0" w:rsidRPr="00683EA0">
        <w:rPr>
          <w:rFonts w:cs="Times-Roman"/>
          <w:szCs w:val="20"/>
        </w:rPr>
        <w:t xml:space="preserve"> 2006)</w:t>
      </w:r>
      <w:r w:rsidR="00683EA0" w:rsidRPr="00683EA0">
        <w:t>, violent</w:t>
      </w:r>
      <w:r w:rsidR="007269B6">
        <w:rPr>
          <w:rFonts w:cs="Times-Roman"/>
          <w:szCs w:val="20"/>
        </w:rPr>
        <w:t xml:space="preserve"> (Eagle</w:t>
      </w:r>
      <w:r w:rsidR="00683EA0" w:rsidRPr="00683EA0">
        <w:rPr>
          <w:rFonts w:cs="Times-Roman"/>
          <w:szCs w:val="20"/>
        </w:rPr>
        <w:t xml:space="preserve"> </w:t>
      </w:r>
      <w:r w:rsidR="00B27ED6">
        <w:rPr>
          <w:rFonts w:cs="Times-Roman"/>
          <w:szCs w:val="20"/>
        </w:rPr>
        <w:t>et al.</w:t>
      </w:r>
      <w:r w:rsidR="007269B6">
        <w:rPr>
          <w:rFonts w:cs="Times-Roman"/>
          <w:szCs w:val="20"/>
        </w:rPr>
        <w:t>,</w:t>
      </w:r>
      <w:r w:rsidR="00B27ED6">
        <w:rPr>
          <w:rFonts w:cs="Times-Roman"/>
          <w:szCs w:val="20"/>
        </w:rPr>
        <w:t xml:space="preserve"> 2003</w:t>
      </w:r>
      <w:r w:rsidR="00683EA0" w:rsidRPr="00683EA0">
        <w:rPr>
          <w:rFonts w:cs="Times-Roman"/>
          <w:szCs w:val="20"/>
        </w:rPr>
        <w:t>),</w:t>
      </w:r>
      <w:r w:rsidR="00683EA0">
        <w:rPr>
          <w:rFonts w:cs="Times-Roman"/>
          <w:szCs w:val="20"/>
        </w:rPr>
        <w:t xml:space="preserve"> </w:t>
      </w:r>
      <w:r w:rsidR="00B27ED6">
        <w:rPr>
          <w:rFonts w:cs="Times-Roman"/>
          <w:szCs w:val="20"/>
        </w:rPr>
        <w:t>or intimidating (i.e. cyberbullying) (Eagle</w:t>
      </w:r>
      <w:r w:rsidR="007269B6">
        <w:rPr>
          <w:rFonts w:cs="Times-Roman"/>
          <w:szCs w:val="20"/>
        </w:rPr>
        <w:t>,</w:t>
      </w:r>
      <w:r w:rsidR="00B27ED6">
        <w:rPr>
          <w:rFonts w:cs="Times-Roman"/>
          <w:szCs w:val="20"/>
        </w:rPr>
        <w:t xml:space="preserve"> 2007) have been cited as more concerning to parents than online games with merchandising content (Eagle et al.</w:t>
      </w:r>
      <w:r w:rsidR="007269B6">
        <w:rPr>
          <w:rFonts w:cs="Times-Roman"/>
          <w:szCs w:val="20"/>
        </w:rPr>
        <w:t>,</w:t>
      </w:r>
      <w:r w:rsidR="00B27ED6">
        <w:rPr>
          <w:rFonts w:cs="Times-Roman"/>
          <w:szCs w:val="20"/>
        </w:rPr>
        <w:t xml:space="preserve"> 2003). While parents may more closely supervise their child’s online time (Eagle</w:t>
      </w:r>
      <w:r w:rsidR="007269B6">
        <w:rPr>
          <w:rFonts w:cs="Times-Roman"/>
          <w:szCs w:val="20"/>
        </w:rPr>
        <w:t>,</w:t>
      </w:r>
      <w:r w:rsidR="00B27ED6">
        <w:rPr>
          <w:rFonts w:cs="Times-Roman"/>
          <w:szCs w:val="20"/>
        </w:rPr>
        <w:t xml:space="preserve"> 2007) and overestimate their control over such ac</w:t>
      </w:r>
      <w:r w:rsidR="007269B6">
        <w:rPr>
          <w:rFonts w:cs="Times-Roman"/>
          <w:szCs w:val="20"/>
        </w:rPr>
        <w:t>tivities online (Livingstone &amp;</w:t>
      </w:r>
      <w:r w:rsidR="00B27ED6">
        <w:rPr>
          <w:rFonts w:cs="Times-Roman"/>
          <w:szCs w:val="20"/>
        </w:rPr>
        <w:t xml:space="preserve"> Bober</w:t>
      </w:r>
      <w:r w:rsidR="007269B6">
        <w:rPr>
          <w:rFonts w:cs="Times-Roman"/>
          <w:szCs w:val="20"/>
        </w:rPr>
        <w:t>,</w:t>
      </w:r>
      <w:r w:rsidR="00B27ED6">
        <w:rPr>
          <w:rFonts w:cs="Times-Roman"/>
          <w:szCs w:val="20"/>
        </w:rPr>
        <w:t xml:space="preserve"> 2006) </w:t>
      </w:r>
      <w:r>
        <w:t xml:space="preserve">“it is unclear how much oversight parents actually give to their children’s activities in commercial websites” (Moore </w:t>
      </w:r>
      <w:r w:rsidR="007269B6">
        <w:t>&amp;</w:t>
      </w:r>
      <w:r>
        <w:t xml:space="preserve"> Rideout</w:t>
      </w:r>
      <w:r w:rsidR="007269B6">
        <w:t>,</w:t>
      </w:r>
      <w:r>
        <w:t xml:space="preserve"> 2007, p.213). Even if parents </w:t>
      </w:r>
      <w:r>
        <w:rPr>
          <w:i/>
          <w:iCs/>
        </w:rPr>
        <w:t>think</w:t>
      </w:r>
      <w:r>
        <w:t xml:space="preserve"> they know and understand what their children are doing online, research indicates that children are spending far more time on such sites than parents really know (Nowak</w:t>
      </w:r>
      <w:r w:rsidR="007269B6">
        <w:t>,</w:t>
      </w:r>
      <w:r>
        <w:t xml:space="preserve"> 2010). </w:t>
      </w:r>
      <w:r w:rsidRPr="007E6603">
        <w:t>As evidenced by parents’ inability to accurately identify advergames even when given examples and a definition, they too may not fully understand this more covert form of advert</w:t>
      </w:r>
      <w:r w:rsidR="00B27ED6">
        <w:t>ising (Evans et al.</w:t>
      </w:r>
      <w:r w:rsidR="00284939">
        <w:t>,</w:t>
      </w:r>
      <w:r w:rsidR="00B27ED6">
        <w:t xml:space="preserve"> </w:t>
      </w:r>
      <w:r>
        <w:t>2013</w:t>
      </w:r>
      <w:r w:rsidRPr="007E6603">
        <w:t>).</w:t>
      </w:r>
      <w:r>
        <w:t xml:space="preserve">  </w:t>
      </w:r>
    </w:p>
    <w:p w:rsidR="00505B74" w:rsidRDefault="00482A06" w:rsidP="00505B74">
      <w:pPr>
        <w:spacing w:line="480" w:lineRule="auto"/>
        <w:rPr>
          <w:b/>
        </w:rPr>
      </w:pPr>
      <w:r>
        <w:tab/>
        <w:t xml:space="preserve">If parents are to remain central in socializing and educating their children about non-traditional forms of advertising like advergames they should provide the necessary commercial information to their children </w:t>
      </w:r>
      <w:r w:rsidRPr="007E6603">
        <w:t>regarding this format</w:t>
      </w:r>
      <w:r>
        <w:t xml:space="preserve"> (Owens et al.</w:t>
      </w:r>
      <w:r w:rsidR="00284939">
        <w:t>,</w:t>
      </w:r>
      <w:r>
        <w:t xml:space="preserve"> 2012). Yet as noted, parents may not have a sufficient understanding of advergames to provide such commercial information to their children (Evans et al.</w:t>
      </w:r>
      <w:r w:rsidR="00284939">
        <w:t>,</w:t>
      </w:r>
      <w:r>
        <w:t xml:space="preserve"> </w:t>
      </w:r>
      <w:r w:rsidR="00CD28D6">
        <w:t>2013</w:t>
      </w:r>
      <w:r>
        <w:t>). While this lack of understanding may warrant non-traditional media literacy programs aimed at children and adults (Owens et al.</w:t>
      </w:r>
      <w:r w:rsidR="00284939">
        <w:t>,</w:t>
      </w:r>
      <w:r>
        <w:t xml:space="preserve"> 2012), research should first examine whether parents have the ability to recognize persuasion in children’s advergames.</w:t>
      </w:r>
      <w:r w:rsidR="009D525D" w:rsidRPr="00482A06">
        <w:rPr>
          <w:b/>
        </w:rPr>
        <w:t xml:space="preserve"> </w:t>
      </w:r>
    </w:p>
    <w:p w:rsidR="00505B74" w:rsidRDefault="00505B74" w:rsidP="00505B74">
      <w:pPr>
        <w:spacing w:line="480" w:lineRule="auto"/>
        <w:rPr>
          <w:b/>
        </w:rPr>
      </w:pPr>
      <w:r>
        <w:rPr>
          <w:b/>
        </w:rPr>
        <w:t xml:space="preserve">The Study’s Importance and </w:t>
      </w:r>
      <w:r w:rsidR="002C0A70">
        <w:rPr>
          <w:b/>
        </w:rPr>
        <w:t xml:space="preserve">Synopsis of </w:t>
      </w:r>
      <w:r>
        <w:rPr>
          <w:b/>
        </w:rPr>
        <w:t>C</w:t>
      </w:r>
      <w:r w:rsidR="002C0A70">
        <w:rPr>
          <w:b/>
        </w:rPr>
        <w:t>hapters</w:t>
      </w:r>
    </w:p>
    <w:p w:rsidR="009B6F4D" w:rsidRDefault="00505B74" w:rsidP="00505B74">
      <w:pPr>
        <w:spacing w:line="480" w:lineRule="auto"/>
      </w:pPr>
      <w:r>
        <w:rPr>
          <w:b/>
        </w:rPr>
        <w:tab/>
      </w:r>
      <w:r w:rsidR="009569EB">
        <w:t xml:space="preserve">Advergames inherently blur the lines between what is recognized as entertainment and what is recognized as commercial. The current state </w:t>
      </w:r>
      <w:r w:rsidR="009B6F4D">
        <w:t>of advergaming research indicates that children have an inability to effectively understand the commercial nature of advergames.</w:t>
      </w:r>
      <w:r w:rsidR="009569EB">
        <w:t xml:space="preserve"> </w:t>
      </w:r>
      <w:r w:rsidR="009B6F4D">
        <w:t xml:space="preserve">Additionally, </w:t>
      </w:r>
      <w:r w:rsidR="009569EB">
        <w:t>chil</w:t>
      </w:r>
      <w:r w:rsidR="009B6F4D">
        <w:t>dren’s attitudes toward advergames</w:t>
      </w:r>
      <w:r w:rsidR="009569EB">
        <w:t xml:space="preserve">, their attitudes toward the brands within </w:t>
      </w:r>
      <w:r w:rsidR="009B6F4D">
        <w:t>advergames, and their preferences for foods featured in advergames</w:t>
      </w:r>
      <w:r w:rsidR="009569EB">
        <w:t xml:space="preserve"> are affected by the advergames they play. Research on parents and advergames is less conclusive and certainly lacking </w:t>
      </w:r>
      <w:r w:rsidR="009B6F4D">
        <w:t xml:space="preserve">in </w:t>
      </w:r>
      <w:r w:rsidR="009569EB">
        <w:t xml:space="preserve">volume. </w:t>
      </w:r>
      <w:r w:rsidR="009B6F4D">
        <w:t xml:space="preserve">However, the extant research on parents and advergames suggests that parents may not be much better than children at comprehending fully the nature of advergames. </w:t>
      </w:r>
    </w:p>
    <w:p w:rsidR="00DA796E" w:rsidRDefault="009B6F4D" w:rsidP="00505B74">
      <w:pPr>
        <w:spacing w:line="480" w:lineRule="auto"/>
      </w:pPr>
      <w:r>
        <w:tab/>
        <w:t>Owens et al. (2012) posits that parents</w:t>
      </w:r>
      <w:r w:rsidR="00A031F4">
        <w:t xml:space="preserve"> should</w:t>
      </w:r>
      <w:r>
        <w:t xml:space="preserve"> take a more central role in improving children’s non-traditional advertising literacy. Alternatively, the authors suggest </w:t>
      </w:r>
      <w:r w:rsidR="00A031F4">
        <w:t xml:space="preserve">the implementation of non-traditional advertising </w:t>
      </w:r>
      <w:r>
        <w:t>literacy programs ai</w:t>
      </w:r>
      <w:r w:rsidR="00A031F4">
        <w:t>med at both children and adults. However, before parents are told to improve their children’s advergame literacy, before nation-wide media literacy programs are implemented, it is prudent that an empirical examination of parental advergaming persuasion knowledge be carried out. Given that parents have demonstrated a limited understanding of advergaming and concurrently desire to remain the key socialization agents in their children’s lives, it is this study’</w:t>
      </w:r>
      <w:r w:rsidR="00DA796E">
        <w:t>s purpose to understand parents’</w:t>
      </w:r>
      <w:r w:rsidR="00A031F4">
        <w:t xml:space="preserve"> capacity for understanding the commercial </w:t>
      </w:r>
      <w:r w:rsidR="00DA796E">
        <w:t xml:space="preserve">nature </w:t>
      </w:r>
      <w:r w:rsidR="00A031F4">
        <w:t>and persuasive</w:t>
      </w:r>
      <w:r w:rsidR="00DA796E">
        <w:t xml:space="preserve"> intent</w:t>
      </w:r>
      <w:r w:rsidR="00A031F4">
        <w:t xml:space="preserve"> of children’s advergames. </w:t>
      </w:r>
      <w:r w:rsidR="00DA796E">
        <w:t xml:space="preserve">Using the theoretical framework of the Persuasion Knowledge Model </w:t>
      </w:r>
      <w:r w:rsidR="00DA796E" w:rsidRPr="007E6603">
        <w:t>(PKM)</w:t>
      </w:r>
      <w:r w:rsidR="00284939">
        <w:t xml:space="preserve"> (Friestad &amp;</w:t>
      </w:r>
      <w:r w:rsidR="00DA796E">
        <w:t xml:space="preserve"> Wright</w:t>
      </w:r>
      <w:r w:rsidR="00284939">
        <w:t>,</w:t>
      </w:r>
      <w:r w:rsidR="00DA796E">
        <w:t xml:space="preserve"> 1994),</w:t>
      </w:r>
      <w:r w:rsidR="00DA796E" w:rsidRPr="007E6603">
        <w:t xml:space="preserve"> </w:t>
      </w:r>
      <w:r w:rsidR="00DA796E">
        <w:t xml:space="preserve">this study experimentally tests </w:t>
      </w:r>
      <w:r w:rsidR="00DA796E" w:rsidRPr="007E6603">
        <w:t xml:space="preserve">the effects of advertising </w:t>
      </w:r>
      <w:r w:rsidR="00DA796E">
        <w:t>disclosures and cognitive load</w:t>
      </w:r>
      <w:r w:rsidR="00DA796E" w:rsidRPr="007E6603">
        <w:t xml:space="preserve"> on parents’ activation of persuasion knowledge in </w:t>
      </w:r>
      <w:r w:rsidR="0088623E">
        <w:t>a children’s advergame</w:t>
      </w:r>
      <w:r w:rsidR="00DA796E" w:rsidRPr="007E6603">
        <w:t>.</w:t>
      </w:r>
    </w:p>
    <w:p w:rsidR="00F307C5" w:rsidRDefault="0088623E" w:rsidP="00F307C5">
      <w:pPr>
        <w:spacing w:line="480" w:lineRule="auto"/>
      </w:pPr>
      <w:r>
        <w:tab/>
        <w:t>Consequently, Chapter II</w:t>
      </w:r>
      <w:r w:rsidR="00DA796E">
        <w:t xml:space="preserve"> </w:t>
      </w:r>
      <w:r>
        <w:t>begins</w:t>
      </w:r>
      <w:r w:rsidR="00DA796E">
        <w:t xml:space="preserve"> with an overview of PKM as a theoretical basis. Following a review of the extant literature on persuasion knowledge activation and attitudes, this study presents the relevant literature on advertising disclosures and. </w:t>
      </w:r>
      <w:r>
        <w:t xml:space="preserve">The first </w:t>
      </w:r>
      <w:r w:rsidR="00CD28D6">
        <w:t>set of hypotheses are</w:t>
      </w:r>
      <w:r>
        <w:t xml:space="preserve"> then presented. </w:t>
      </w:r>
      <w:r w:rsidR="00DA796E">
        <w:t>The theoretical concepts of cognitive capa</w:t>
      </w:r>
      <w:r>
        <w:t>city and</w:t>
      </w:r>
      <w:r w:rsidR="00DA796E">
        <w:t xml:space="preserve"> cognitive </w:t>
      </w:r>
      <w:r w:rsidR="00CD28D6">
        <w:t>load</w:t>
      </w:r>
      <w:r>
        <w:t xml:space="preserve"> </w:t>
      </w:r>
      <w:r w:rsidR="00DA796E">
        <w:t xml:space="preserve">are </w:t>
      </w:r>
      <w:r>
        <w:t xml:space="preserve">presented in the following sections ending with the second set of hypotheses. Chapter II concludes with the final theoretical model, third set of hypotheses, the pertinent covariates, and research questions. Chapter III begins with the study </w:t>
      </w:r>
      <w:r w:rsidR="001803DF">
        <w:t>design and sample and then proceeds to</w:t>
      </w:r>
      <w:r>
        <w:t xml:space="preserve"> recruitment, data</w:t>
      </w:r>
      <w:r w:rsidR="00F47F76">
        <w:t xml:space="preserve"> collection, procedure, stimuli</w:t>
      </w:r>
      <w:r>
        <w:t xml:space="preserve">, </w:t>
      </w:r>
      <w:r w:rsidR="00F47F76">
        <w:t xml:space="preserve">pretests, </w:t>
      </w:r>
      <w:r w:rsidR="00AA0643">
        <w:t xml:space="preserve">experimental treatments, </w:t>
      </w:r>
      <w:r>
        <w:t>induction</w:t>
      </w:r>
      <w:r w:rsidR="00AA0643">
        <w:t xml:space="preserve"> checks, and concludes with the measures. Chapter IV presents the results of the study and Chapter V includes discussion, implications, limitations, and conclusion sections.</w:t>
      </w:r>
    </w:p>
    <w:p w:rsidR="00F307C5" w:rsidRDefault="00F307C5" w:rsidP="00F307C5">
      <w:pPr>
        <w:jc w:val="center"/>
        <w:rPr>
          <w:b/>
        </w:rPr>
      </w:pPr>
    </w:p>
    <w:p w:rsidR="00F307C5" w:rsidRDefault="00F307C5" w:rsidP="00F307C5">
      <w:pPr>
        <w:jc w:val="center"/>
        <w:rPr>
          <w:b/>
        </w:rPr>
      </w:pPr>
    </w:p>
    <w:p w:rsidR="00F307C5" w:rsidRDefault="00F307C5" w:rsidP="00F307C5">
      <w:pPr>
        <w:jc w:val="center"/>
        <w:rPr>
          <w:b/>
        </w:rPr>
      </w:pPr>
    </w:p>
    <w:p w:rsidR="00F307C5" w:rsidRDefault="00F307C5" w:rsidP="00F307C5">
      <w:pPr>
        <w:jc w:val="center"/>
        <w:rPr>
          <w:b/>
        </w:rPr>
      </w:pPr>
    </w:p>
    <w:p w:rsidR="00F307C5" w:rsidRDefault="00F307C5" w:rsidP="00F307C5">
      <w:pPr>
        <w:jc w:val="center"/>
        <w:rPr>
          <w:b/>
        </w:rPr>
      </w:pPr>
    </w:p>
    <w:p w:rsidR="00F307C5" w:rsidRDefault="00F307C5" w:rsidP="00F307C5">
      <w:pPr>
        <w:jc w:val="center"/>
        <w:rPr>
          <w:b/>
        </w:rPr>
      </w:pPr>
    </w:p>
    <w:p w:rsidR="00F307C5" w:rsidRDefault="00F307C5" w:rsidP="00F307C5">
      <w:pPr>
        <w:jc w:val="center"/>
        <w:rPr>
          <w:b/>
        </w:rPr>
      </w:pPr>
    </w:p>
    <w:p w:rsidR="00F307C5" w:rsidRDefault="00F307C5" w:rsidP="00F307C5">
      <w:pPr>
        <w:jc w:val="center"/>
        <w:rPr>
          <w:b/>
        </w:rPr>
      </w:pPr>
    </w:p>
    <w:p w:rsidR="00964962" w:rsidRDefault="00964962" w:rsidP="00F307C5">
      <w:pPr>
        <w:jc w:val="center"/>
        <w:rPr>
          <w:b/>
        </w:rPr>
      </w:pPr>
    </w:p>
    <w:p w:rsidR="00964962" w:rsidRDefault="00964962" w:rsidP="00F307C5">
      <w:pPr>
        <w:jc w:val="center"/>
        <w:rPr>
          <w:b/>
        </w:rPr>
      </w:pPr>
    </w:p>
    <w:p w:rsidR="00F307C5" w:rsidRDefault="00F307C5" w:rsidP="00F307C5">
      <w:pPr>
        <w:jc w:val="center"/>
        <w:rPr>
          <w:b/>
        </w:rPr>
      </w:pPr>
      <w:r>
        <w:rPr>
          <w:b/>
        </w:rPr>
        <w:t>CHAPTER II</w:t>
      </w:r>
    </w:p>
    <w:p w:rsidR="002C0A70" w:rsidRPr="00F307C5" w:rsidRDefault="002C0A70" w:rsidP="00F307C5">
      <w:pPr>
        <w:jc w:val="center"/>
      </w:pPr>
      <w:r w:rsidRPr="00F307C5">
        <w:rPr>
          <w:b/>
        </w:rPr>
        <w:t>THEORETICAL FRAMEWORK AND LITERATURE REVIEW</w:t>
      </w:r>
    </w:p>
    <w:p w:rsidR="00482A06" w:rsidRDefault="00482A06" w:rsidP="00482A06">
      <w:pPr>
        <w:rPr>
          <w:b/>
        </w:rPr>
      </w:pPr>
    </w:p>
    <w:p w:rsidR="00482A06" w:rsidRDefault="00482A06" w:rsidP="00482A06">
      <w:pPr>
        <w:spacing w:line="480" w:lineRule="auto"/>
        <w:rPr>
          <w:b/>
          <w:bCs/>
        </w:rPr>
      </w:pPr>
      <w:r>
        <w:rPr>
          <w:b/>
          <w:bCs/>
        </w:rPr>
        <w:t xml:space="preserve">The Persuasion Knowledge Model  </w:t>
      </w:r>
    </w:p>
    <w:p w:rsidR="00482A06" w:rsidRPr="00C1318F" w:rsidRDefault="00482A06" w:rsidP="00482A06">
      <w:pPr>
        <w:widowControl w:val="0"/>
        <w:autoSpaceDE w:val="0"/>
        <w:autoSpaceDN w:val="0"/>
        <w:adjustRightInd w:val="0"/>
        <w:spacing w:line="480" w:lineRule="auto"/>
        <w:rPr>
          <w:rFonts w:cs="Times-Roman"/>
          <w:szCs w:val="20"/>
        </w:rPr>
      </w:pPr>
      <w:r>
        <w:rPr>
          <w:bCs/>
        </w:rPr>
        <w:tab/>
      </w:r>
      <w:r w:rsidRPr="00C1318F">
        <w:rPr>
          <w:bCs/>
        </w:rPr>
        <w:t xml:space="preserve">Friestad and Wright’s (1994) Persuasion Knowledge Model (PKM), “postulates that </w:t>
      </w:r>
      <w:r w:rsidRPr="00C1318F">
        <w:rPr>
          <w:rFonts w:cs="Times-Roman"/>
          <w:szCs w:val="20"/>
        </w:rPr>
        <w:t xml:space="preserve">consumers </w:t>
      </w:r>
      <w:r w:rsidR="005D32A8">
        <w:rPr>
          <w:rFonts w:cs="Times-Roman"/>
          <w:szCs w:val="20"/>
        </w:rPr>
        <w:t xml:space="preserve">(parents) </w:t>
      </w:r>
      <w:r w:rsidRPr="00C1318F">
        <w:rPr>
          <w:rFonts w:cs="Times-Roman"/>
          <w:szCs w:val="20"/>
        </w:rPr>
        <w:t>develop knowledge about persuasion and use this knowledge to cope with pe</w:t>
      </w:r>
      <w:r w:rsidR="00284939">
        <w:rPr>
          <w:rFonts w:cs="Times-Roman"/>
          <w:szCs w:val="20"/>
        </w:rPr>
        <w:t>rsuasion episodes” (Campbell &amp;</w:t>
      </w:r>
      <w:r w:rsidRPr="00C1318F">
        <w:rPr>
          <w:rFonts w:cs="Times-Roman"/>
          <w:szCs w:val="20"/>
        </w:rPr>
        <w:t xml:space="preserve"> Kirmani</w:t>
      </w:r>
      <w:r w:rsidR="00284939">
        <w:rPr>
          <w:rFonts w:cs="Times-Roman"/>
          <w:szCs w:val="20"/>
        </w:rPr>
        <w:t>,</w:t>
      </w:r>
      <w:r w:rsidRPr="00C1318F">
        <w:rPr>
          <w:rFonts w:cs="Times-Roman"/>
          <w:szCs w:val="20"/>
        </w:rPr>
        <w:t xml:space="preserve"> 2000, p. 1). </w:t>
      </w:r>
      <w:r w:rsidRPr="00C1318F">
        <w:t xml:space="preserve">In other words, </w:t>
      </w:r>
      <w:r w:rsidR="005D32A8">
        <w:t>parents</w:t>
      </w:r>
      <w:r w:rsidRPr="00C1318F">
        <w:t xml:space="preserve"> use coping skills in order to decide how to best respond to advertisers’ </w:t>
      </w:r>
      <w:r w:rsidR="00284939">
        <w:t>persuasion attempts (Shrum, Liu &amp;</w:t>
      </w:r>
      <w:r w:rsidRPr="00C1318F">
        <w:t xml:space="preserve"> Mespoli</w:t>
      </w:r>
      <w:r w:rsidR="00284939">
        <w:t>,</w:t>
      </w:r>
      <w:r w:rsidRPr="00C1318F">
        <w:t xml:space="preserve"> 2012). Coping skills development is a function of agent, topic, and persuasion knowledge. Agent knowledge is defined as beliefs about the traits, competencies, and goals of the individual or entity responsible for the persuasion attempt. Topic knowledge is defined as </w:t>
      </w:r>
      <w:r w:rsidR="005D32A8">
        <w:t>parents’</w:t>
      </w:r>
      <w:r w:rsidRPr="00C1318F">
        <w:t xml:space="preserve"> beliefs regarding advertisers’ various tactics and strategies. Persuasi</w:t>
      </w:r>
      <w:r w:rsidR="005D32A8">
        <w:t>on knowledge is defined as paren</w:t>
      </w:r>
      <w:r w:rsidRPr="00C1318F">
        <w:t>ts’ confidence in their ability to infer that they are the objects of agents’ p</w:t>
      </w:r>
      <w:r w:rsidR="00284939">
        <w:t>ersuasive attempts (Friestad &amp;</w:t>
      </w:r>
      <w:r w:rsidRPr="00C1318F">
        <w:t xml:space="preserve"> Wright</w:t>
      </w:r>
      <w:r w:rsidR="00284939">
        <w:t>,</w:t>
      </w:r>
      <w:r w:rsidRPr="00C1318F">
        <w:t xml:space="preserve"> 1994). </w:t>
      </w:r>
    </w:p>
    <w:p w:rsidR="00482A06" w:rsidRDefault="00482A06" w:rsidP="00482A06">
      <w:pPr>
        <w:spacing w:line="480" w:lineRule="auto"/>
      </w:pPr>
      <w:r>
        <w:tab/>
        <w:t>The</w:t>
      </w:r>
      <w:r w:rsidRPr="007E6603">
        <w:t xml:space="preserve"> </w:t>
      </w:r>
      <w:r>
        <w:t xml:space="preserve">PKM proposes that as </w:t>
      </w:r>
      <w:r w:rsidR="005D32A8">
        <w:t>parents</w:t>
      </w:r>
      <w:r>
        <w:t xml:space="preserve"> gain more experience with agents’ persuasive attempts they will become more knowledgeable of the marketplace, they will be better able to use coping skills, and those coping skills will aid in guiding the most appropriate response to the persuasive episode (Shrum et al.</w:t>
      </w:r>
      <w:r w:rsidR="00284939">
        <w:t>,</w:t>
      </w:r>
      <w:r>
        <w:t xml:space="preserve"> 2012). Coping skills development, which result from increased experience with and incre</w:t>
      </w:r>
      <w:r w:rsidR="003A2F3E">
        <w:t>ased knowledge of agents, topics</w:t>
      </w:r>
      <w:r>
        <w:t>, and persuasion</w:t>
      </w:r>
      <w:r w:rsidR="005D32A8">
        <w:t xml:space="preserve"> tactics, suggest that parents</w:t>
      </w:r>
      <w:r>
        <w:t xml:space="preserve"> will better know how to respond to advertisers’ p</w:t>
      </w:r>
      <w:r w:rsidR="00284939">
        <w:t>ersuasive attempts (Friestad &amp;</w:t>
      </w:r>
      <w:r>
        <w:t xml:space="preserve"> Wright</w:t>
      </w:r>
      <w:r w:rsidR="00284939">
        <w:t>,</w:t>
      </w:r>
      <w:r>
        <w:t xml:space="preserve"> 1994). </w:t>
      </w:r>
      <w:r w:rsidRPr="00D9136C">
        <w:rPr>
          <w:rFonts w:cs="Times-Roman"/>
          <w:szCs w:val="20"/>
        </w:rPr>
        <w:t>Over time</w:t>
      </w:r>
      <w:r>
        <w:rPr>
          <w:rFonts w:cs="Times-Roman"/>
          <w:szCs w:val="20"/>
        </w:rPr>
        <w:t>,</w:t>
      </w:r>
      <w:r w:rsidRPr="00D9136C">
        <w:rPr>
          <w:rFonts w:cs="Times-Roman"/>
          <w:szCs w:val="20"/>
        </w:rPr>
        <w:t xml:space="preserve"> </w:t>
      </w:r>
      <w:r>
        <w:rPr>
          <w:rFonts w:cs="Times-Roman"/>
          <w:szCs w:val="20"/>
        </w:rPr>
        <w:t xml:space="preserve">the increases in experience and knowledge will aid the </w:t>
      </w:r>
      <w:r w:rsidR="005D32A8">
        <w:rPr>
          <w:rFonts w:cs="Times-Roman"/>
          <w:szCs w:val="20"/>
        </w:rPr>
        <w:t xml:space="preserve">parent </w:t>
      </w:r>
      <w:r>
        <w:rPr>
          <w:rFonts w:cs="Times-Roman"/>
          <w:szCs w:val="20"/>
        </w:rPr>
        <w:t xml:space="preserve">in </w:t>
      </w:r>
      <w:r w:rsidRPr="00D9136C">
        <w:rPr>
          <w:rFonts w:cs="Times-Roman"/>
          <w:szCs w:val="20"/>
        </w:rPr>
        <w:t>identify</w:t>
      </w:r>
      <w:r>
        <w:rPr>
          <w:rFonts w:cs="Times-Roman"/>
          <w:szCs w:val="20"/>
        </w:rPr>
        <w:t>ing</w:t>
      </w:r>
      <w:r w:rsidRPr="00D9136C">
        <w:rPr>
          <w:rFonts w:cs="Times-Roman"/>
          <w:szCs w:val="20"/>
        </w:rPr>
        <w:t xml:space="preserve"> how, when, and why marketers and advertisers attem</w:t>
      </w:r>
      <w:r>
        <w:rPr>
          <w:rFonts w:cs="Times-Roman"/>
          <w:szCs w:val="20"/>
        </w:rPr>
        <w:t>pt to infl</w:t>
      </w:r>
      <w:r w:rsidR="00284939">
        <w:rPr>
          <w:rFonts w:cs="Times-Roman"/>
          <w:szCs w:val="20"/>
        </w:rPr>
        <w:t>uence them (Friestad &amp;</w:t>
      </w:r>
      <w:r>
        <w:rPr>
          <w:rFonts w:cs="Times-Roman"/>
          <w:szCs w:val="20"/>
        </w:rPr>
        <w:t xml:space="preserve"> Wright</w:t>
      </w:r>
      <w:r w:rsidR="00284939">
        <w:rPr>
          <w:rFonts w:cs="Times-Roman"/>
          <w:szCs w:val="20"/>
        </w:rPr>
        <w:t>,</w:t>
      </w:r>
      <w:r w:rsidRPr="00D9136C">
        <w:rPr>
          <w:rFonts w:cs="Times-Roman"/>
          <w:szCs w:val="20"/>
        </w:rPr>
        <w:t xml:space="preserve"> 1994).</w:t>
      </w:r>
      <w:r>
        <w:t xml:space="preserve"> Ultimately, with such marketplace experience, all aspects of persuasion knowledge become more implicit. The ability to access advertising and persuasion knowledge from memory, recognize the occurrence of persuasive attempts, note specific advertising tactics and goals, formulate and carry out appropriate coping skills, and store in memory such tactics for future persuasive attempts become automatic and effortless (Wright et al.</w:t>
      </w:r>
      <w:r w:rsidR="00284939">
        <w:t>,</w:t>
      </w:r>
      <w:r>
        <w:t xml:space="preserve"> 2005)  </w:t>
      </w:r>
    </w:p>
    <w:p w:rsidR="0025490E" w:rsidRPr="00482A06" w:rsidRDefault="00482A06" w:rsidP="00482A06">
      <w:pPr>
        <w:spacing w:line="480" w:lineRule="auto"/>
        <w:rPr>
          <w:rFonts w:cs="Times-Roman"/>
          <w:szCs w:val="22"/>
        </w:rPr>
      </w:pPr>
      <w:r>
        <w:tab/>
      </w:r>
      <w:r w:rsidRPr="00D9136C">
        <w:rPr>
          <w:rFonts w:cs="Times-Roman"/>
          <w:szCs w:val="22"/>
        </w:rPr>
        <w:t>The current study and previous studies ut</w:t>
      </w:r>
      <w:r>
        <w:rPr>
          <w:rFonts w:cs="Times-Roman"/>
          <w:szCs w:val="22"/>
        </w:rPr>
        <w:t>il</w:t>
      </w:r>
      <w:r w:rsidR="00284939">
        <w:rPr>
          <w:rFonts w:cs="Times-Roman"/>
          <w:szCs w:val="22"/>
        </w:rPr>
        <w:t>izing the PKM (e.g. Campbell &amp;</w:t>
      </w:r>
      <w:r>
        <w:rPr>
          <w:rFonts w:cs="Times-Roman"/>
          <w:szCs w:val="22"/>
        </w:rPr>
        <w:t xml:space="preserve"> Kirmani</w:t>
      </w:r>
      <w:r w:rsidR="00284939">
        <w:rPr>
          <w:rFonts w:cs="Times-Roman"/>
          <w:szCs w:val="22"/>
        </w:rPr>
        <w:t>, 2000; Friestad &amp;</w:t>
      </w:r>
      <w:r w:rsidRPr="00D9136C">
        <w:rPr>
          <w:rFonts w:cs="Times-Roman"/>
          <w:szCs w:val="22"/>
        </w:rPr>
        <w:t xml:space="preserve"> </w:t>
      </w:r>
      <w:r>
        <w:rPr>
          <w:rFonts w:cs="Times-Roman"/>
          <w:szCs w:val="22"/>
        </w:rPr>
        <w:t>Wright</w:t>
      </w:r>
      <w:r w:rsidR="00284939">
        <w:rPr>
          <w:rFonts w:cs="Times-Roman"/>
          <w:szCs w:val="22"/>
        </w:rPr>
        <w:t>,</w:t>
      </w:r>
      <w:r>
        <w:rPr>
          <w:rFonts w:cs="Times-Roman"/>
          <w:szCs w:val="22"/>
        </w:rPr>
        <w:t xml:space="preserve"> </w:t>
      </w:r>
      <w:r w:rsidRPr="00D9136C">
        <w:rPr>
          <w:rFonts w:cs="Times-Roman"/>
          <w:szCs w:val="22"/>
        </w:rPr>
        <w:t xml:space="preserve">1994) research the persuasion process from the point of view of the </w:t>
      </w:r>
      <w:r w:rsidR="003A2F3E">
        <w:rPr>
          <w:rFonts w:cs="Times-Roman"/>
          <w:szCs w:val="22"/>
        </w:rPr>
        <w:t xml:space="preserve">consumer, </w:t>
      </w:r>
      <w:r w:rsidRPr="00D9136C">
        <w:rPr>
          <w:rFonts w:cs="Times-Roman"/>
          <w:szCs w:val="20"/>
        </w:rPr>
        <w:t>which refer</w:t>
      </w:r>
      <w:r w:rsidR="006C4EE9">
        <w:rPr>
          <w:rFonts w:cs="Times-Roman"/>
          <w:szCs w:val="20"/>
        </w:rPr>
        <w:t>s</w:t>
      </w:r>
      <w:r w:rsidRPr="00D9136C">
        <w:rPr>
          <w:rFonts w:cs="Times-Roman"/>
          <w:szCs w:val="20"/>
        </w:rPr>
        <w:t xml:space="preserve"> to those for whom a persuasion attempt is meant</w:t>
      </w:r>
      <w:r w:rsidR="005D32A8">
        <w:rPr>
          <w:rFonts w:cs="Times-Roman"/>
          <w:szCs w:val="22"/>
        </w:rPr>
        <w:t>. As paren</w:t>
      </w:r>
      <w:r>
        <w:rPr>
          <w:rFonts w:cs="Times-Roman"/>
          <w:szCs w:val="22"/>
        </w:rPr>
        <w:t>t</w:t>
      </w:r>
      <w:r w:rsidRPr="00D9136C">
        <w:rPr>
          <w:rFonts w:cs="Times-Roman"/>
          <w:szCs w:val="22"/>
        </w:rPr>
        <w:t xml:space="preserve">s’ persuasion coping </w:t>
      </w:r>
      <w:r>
        <w:rPr>
          <w:rFonts w:cs="Times-Roman"/>
          <w:szCs w:val="22"/>
        </w:rPr>
        <w:t xml:space="preserve">skills </w:t>
      </w:r>
      <w:r w:rsidRPr="00D9136C">
        <w:rPr>
          <w:rFonts w:cs="Times-Roman"/>
          <w:szCs w:val="22"/>
        </w:rPr>
        <w:t xml:space="preserve">becomes more advanced, they are better able to recognize, analyze, interpret, evaluate, and remember episodes in which they experience persuasion. As a result, they are also better able to select from a set of coping tactics </w:t>
      </w:r>
      <w:r>
        <w:rPr>
          <w:rFonts w:cs="Times-Roman"/>
          <w:szCs w:val="22"/>
        </w:rPr>
        <w:t>t</w:t>
      </w:r>
      <w:r w:rsidR="00284939">
        <w:rPr>
          <w:rFonts w:cs="Times-Roman"/>
          <w:szCs w:val="22"/>
        </w:rPr>
        <w:t>hat are appropriate (Friestad &amp;</w:t>
      </w:r>
      <w:r>
        <w:rPr>
          <w:rFonts w:cs="Times-Roman"/>
          <w:szCs w:val="22"/>
        </w:rPr>
        <w:t xml:space="preserve"> Wright</w:t>
      </w:r>
      <w:r w:rsidR="00284939">
        <w:rPr>
          <w:rFonts w:cs="Times-Roman"/>
          <w:szCs w:val="22"/>
        </w:rPr>
        <w:t>,</w:t>
      </w:r>
      <w:r>
        <w:rPr>
          <w:rFonts w:cs="Times-Roman"/>
          <w:szCs w:val="22"/>
        </w:rPr>
        <w:t xml:space="preserve"> </w:t>
      </w:r>
      <w:r w:rsidRPr="00D9136C">
        <w:rPr>
          <w:rFonts w:cs="Times-Roman"/>
          <w:szCs w:val="22"/>
        </w:rPr>
        <w:t>1994). Therefore, the persuasion coping</w:t>
      </w:r>
      <w:r>
        <w:rPr>
          <w:rFonts w:cs="Times-Roman"/>
          <w:szCs w:val="22"/>
        </w:rPr>
        <w:t xml:space="preserve"> process directs </w:t>
      </w:r>
      <w:r w:rsidR="005D32A8">
        <w:rPr>
          <w:rFonts w:cs="Times-Roman"/>
          <w:szCs w:val="22"/>
        </w:rPr>
        <w:t>parent</w:t>
      </w:r>
      <w:r w:rsidRPr="00D9136C">
        <w:rPr>
          <w:rFonts w:cs="Times-Roman"/>
          <w:szCs w:val="22"/>
        </w:rPr>
        <w:t>s</w:t>
      </w:r>
      <w:r>
        <w:rPr>
          <w:rFonts w:cs="Times-Roman"/>
          <w:szCs w:val="22"/>
        </w:rPr>
        <w:t>’</w:t>
      </w:r>
      <w:r w:rsidRPr="00D9136C">
        <w:rPr>
          <w:rFonts w:cs="Times-Roman"/>
          <w:szCs w:val="22"/>
        </w:rPr>
        <w:t xml:space="preserve"> attention to salient features of an advertisement, which aids in inferring the reasoning behind the agent’s construction </w:t>
      </w:r>
      <w:r>
        <w:rPr>
          <w:rFonts w:cs="Times-Roman"/>
          <w:szCs w:val="22"/>
        </w:rPr>
        <w:t>of</w:t>
      </w:r>
      <w:r w:rsidR="00284939">
        <w:rPr>
          <w:rFonts w:cs="Times-Roman"/>
          <w:szCs w:val="22"/>
        </w:rPr>
        <w:t xml:space="preserve"> the advertisement (Friestad &amp;</w:t>
      </w:r>
      <w:r>
        <w:rPr>
          <w:rFonts w:cs="Times-Roman"/>
          <w:szCs w:val="22"/>
        </w:rPr>
        <w:t xml:space="preserve"> Wright</w:t>
      </w:r>
      <w:r w:rsidR="00284939">
        <w:rPr>
          <w:rFonts w:cs="Times-Roman"/>
          <w:szCs w:val="22"/>
        </w:rPr>
        <w:t xml:space="preserve">, </w:t>
      </w:r>
      <w:r w:rsidRPr="00D9136C">
        <w:rPr>
          <w:rFonts w:cs="Times-Roman"/>
          <w:szCs w:val="22"/>
        </w:rPr>
        <w:t>1994).</w:t>
      </w:r>
    </w:p>
    <w:p w:rsidR="00A3548E" w:rsidRPr="00F44247" w:rsidRDefault="00F61972" w:rsidP="00A3548E">
      <w:pPr>
        <w:spacing w:line="480" w:lineRule="auto"/>
        <w:rPr>
          <w:b/>
        </w:rPr>
      </w:pPr>
      <w:r>
        <w:rPr>
          <w:rFonts w:cs="Times-Roman"/>
          <w:b/>
          <w:szCs w:val="22"/>
        </w:rPr>
        <w:t xml:space="preserve">Parents’ </w:t>
      </w:r>
      <w:r w:rsidR="00A3548E">
        <w:rPr>
          <w:rFonts w:cs="Times-Roman"/>
          <w:b/>
          <w:szCs w:val="22"/>
        </w:rPr>
        <w:t>Advertising Recognition, Selling Intent, and Persuasive Intent</w:t>
      </w:r>
    </w:p>
    <w:p w:rsidR="00A3548E" w:rsidRPr="00D67531" w:rsidRDefault="00A3548E" w:rsidP="00D67531">
      <w:pPr>
        <w:widowControl w:val="0"/>
        <w:autoSpaceDE w:val="0"/>
        <w:autoSpaceDN w:val="0"/>
        <w:adjustRightInd w:val="0"/>
        <w:spacing w:line="480" w:lineRule="auto"/>
        <w:rPr>
          <w:rFonts w:ascii="TimesNewRomanPSMT" w:hAnsi="TimesNewRomanPSMT" w:cs="TimesNewRomanPSMT"/>
        </w:rPr>
      </w:pPr>
      <w:r>
        <w:tab/>
      </w:r>
      <w:r w:rsidR="00F61972">
        <w:t>While past research has demonstrated that children eight years and above are able to recognize and defend against adv</w:t>
      </w:r>
      <w:r w:rsidR="00284939">
        <w:t xml:space="preserve">ertising (Bijmolt, Claassen &amp; Brus 1998; Butter, Popovich, Stackhouse &amp; Garner, </w:t>
      </w:r>
      <w:r w:rsidR="00F61972">
        <w:t xml:space="preserve">1981; </w:t>
      </w:r>
      <w:r w:rsidR="00D67531">
        <w:t>John</w:t>
      </w:r>
      <w:r w:rsidR="00284939">
        <w:t>,</w:t>
      </w:r>
      <w:r w:rsidR="00D67531">
        <w:t xml:space="preserve"> 1999; Kunkle et al</w:t>
      </w:r>
      <w:r w:rsidR="00284939">
        <w:t>.,</w:t>
      </w:r>
      <w:r w:rsidR="00D67531">
        <w:t xml:space="preserve"> 2004; </w:t>
      </w:r>
      <w:r w:rsidR="00F61972">
        <w:t>Levin et al.</w:t>
      </w:r>
      <w:r w:rsidR="00284939">
        <w:t>, 1982; Palmer &amp;</w:t>
      </w:r>
      <w:r w:rsidR="00F61972">
        <w:t xml:space="preserve"> McDowell</w:t>
      </w:r>
      <w:r w:rsidR="00284939">
        <w:t>, 1979; Stephens &amp;</w:t>
      </w:r>
      <w:r w:rsidR="00F61972">
        <w:t xml:space="preserve"> Stutts</w:t>
      </w:r>
      <w:r w:rsidR="00284939">
        <w:t>, 1982; Stutts, Vance &amp; Hudleson,</w:t>
      </w:r>
      <w:r w:rsidR="00F61972">
        <w:t xml:space="preserve"> 1981), Owens et al. (2012) </w:t>
      </w:r>
      <w:r w:rsidR="00D67531">
        <w:t>suggests that</w:t>
      </w:r>
      <w:r w:rsidR="00F61972">
        <w:t xml:space="preserve"> this widely held </w:t>
      </w:r>
      <w:r w:rsidR="00D67531">
        <w:t>assumption “</w:t>
      </w:r>
      <w:r w:rsidR="00D67531">
        <w:rPr>
          <w:rFonts w:ascii="TimesNewRomanPSMT" w:hAnsi="TimesNewRomanPSMT" w:cs="TimesNewRomanPSMT"/>
        </w:rPr>
        <w:t>must be reconsidered in line with children’s more limited understanding of increasingly utilized non-traditional techniques” (p. 32).</w:t>
      </w:r>
      <w:r w:rsidR="00D67531">
        <w:t xml:space="preserve"> B</w:t>
      </w:r>
      <w:r>
        <w:t>ecause adults have more experience with the variety and context of advertisers’ persuasive attempts</w:t>
      </w:r>
      <w:r w:rsidR="003A2F3E">
        <w:t>, and because adults have more cognitive ability compared to children,</w:t>
      </w:r>
      <w:r>
        <w:t xml:space="preserve"> it has been assumed that they, more so than children, have better developed persuasion knowledge and are better able to infer the persuasive</w:t>
      </w:r>
      <w:r w:rsidR="009C73D6">
        <w:t xml:space="preserve"> and selling</w:t>
      </w:r>
      <w:r>
        <w:t xml:space="preserve"> intent of most fo</w:t>
      </w:r>
      <w:r w:rsidR="00284939">
        <w:t>rms of advertising (Friestad &amp;</w:t>
      </w:r>
      <w:r>
        <w:t xml:space="preserve"> Wright</w:t>
      </w:r>
      <w:r w:rsidR="00284939">
        <w:t>,</w:t>
      </w:r>
      <w:r>
        <w:t xml:space="preserve"> 1994;</w:t>
      </w:r>
      <w:r w:rsidR="003A2F3E">
        <w:t xml:space="preserve"> John</w:t>
      </w:r>
      <w:r w:rsidR="00284939">
        <w:t>,</w:t>
      </w:r>
      <w:r w:rsidR="003A2F3E">
        <w:t xml:space="preserve"> 1999; Wright et al.</w:t>
      </w:r>
      <w:r w:rsidR="00284939">
        <w:t>,</w:t>
      </w:r>
      <w:r w:rsidR="003A2F3E">
        <w:t xml:space="preserve"> 2005)</w:t>
      </w:r>
      <w:r>
        <w:t>.</w:t>
      </w:r>
      <w:r w:rsidR="00D67531">
        <w:t xml:space="preserve"> As Evans et al. (2013)</w:t>
      </w:r>
      <w:r w:rsidR="009C73D6">
        <w:t xml:space="preserve"> notes</w:t>
      </w:r>
      <w:r w:rsidR="00D67531">
        <w:t xml:space="preserve">, “parents’ ability to recognize the persuasive intent in advergames…may be just that: an assumption” (p. 237). </w:t>
      </w:r>
      <w:r>
        <w:t xml:space="preserve"> </w:t>
      </w:r>
    </w:p>
    <w:p w:rsidR="00A3548E" w:rsidRPr="00F61972" w:rsidRDefault="00A3548E" w:rsidP="00F61972">
      <w:pPr>
        <w:widowControl w:val="0"/>
        <w:autoSpaceDE w:val="0"/>
        <w:autoSpaceDN w:val="0"/>
        <w:adjustRightInd w:val="0"/>
        <w:spacing w:line="480" w:lineRule="auto"/>
        <w:rPr>
          <w:rFonts w:cs="Times-Roman"/>
          <w:szCs w:val="20"/>
        </w:rPr>
      </w:pPr>
      <w:r>
        <w:tab/>
      </w:r>
      <w:r>
        <w:rPr>
          <w:rFonts w:cs="Times-Roman"/>
          <w:szCs w:val="20"/>
        </w:rPr>
        <w:t>Persuasion knowledge</w:t>
      </w:r>
      <w:r w:rsidRPr="00C1318F">
        <w:rPr>
          <w:rFonts w:cs="Times-Roman"/>
          <w:szCs w:val="20"/>
        </w:rPr>
        <w:t xml:space="preserve"> </w:t>
      </w:r>
      <w:r>
        <w:rPr>
          <w:rFonts w:cs="Times-Roman"/>
          <w:szCs w:val="20"/>
        </w:rPr>
        <w:t>“</w:t>
      </w:r>
      <w:r w:rsidRPr="00C1318F">
        <w:rPr>
          <w:rFonts w:cs="Times-Roman"/>
          <w:szCs w:val="20"/>
        </w:rPr>
        <w:t>reflects the individual's</w:t>
      </w:r>
      <w:r>
        <w:rPr>
          <w:rFonts w:cs="Times-Roman"/>
          <w:szCs w:val="20"/>
        </w:rPr>
        <w:t xml:space="preserve"> </w:t>
      </w:r>
      <w:r w:rsidRPr="00C1318F">
        <w:rPr>
          <w:rFonts w:cs="Times-Roman"/>
          <w:szCs w:val="20"/>
        </w:rPr>
        <w:t>confidence in his or her ability to understand</w:t>
      </w:r>
      <w:r>
        <w:rPr>
          <w:rFonts w:cs="Times-Roman"/>
          <w:szCs w:val="20"/>
        </w:rPr>
        <w:t xml:space="preserve"> </w:t>
      </w:r>
      <w:r w:rsidRPr="00C1318F">
        <w:rPr>
          <w:rFonts w:cs="Times-Roman"/>
          <w:szCs w:val="20"/>
        </w:rPr>
        <w:t>marketers' tactics and to cope with these tactics</w:t>
      </w:r>
      <w:r>
        <w:rPr>
          <w:rFonts w:cs="Times-Roman"/>
          <w:szCs w:val="20"/>
        </w:rPr>
        <w:t xml:space="preserve">” </w:t>
      </w:r>
      <w:r w:rsidR="00284939">
        <w:rPr>
          <w:rFonts w:cs="Times-Roman"/>
          <w:szCs w:val="20"/>
        </w:rPr>
        <w:t xml:space="preserve">(Bearden, Hardesty &amp; </w:t>
      </w:r>
      <w:r>
        <w:rPr>
          <w:rFonts w:cs="Times-Roman"/>
          <w:szCs w:val="20"/>
        </w:rPr>
        <w:t>Rose 2001,</w:t>
      </w:r>
      <w:r w:rsidR="00AF6E5E">
        <w:rPr>
          <w:rFonts w:cs="Times-Roman"/>
          <w:szCs w:val="20"/>
        </w:rPr>
        <w:t xml:space="preserve"> </w:t>
      </w:r>
      <w:r>
        <w:rPr>
          <w:rFonts w:cs="Times-Roman"/>
          <w:szCs w:val="20"/>
        </w:rPr>
        <w:t>p. 123)</w:t>
      </w:r>
      <w:r w:rsidRPr="00C1318F">
        <w:rPr>
          <w:rFonts w:cs="Times-Roman"/>
          <w:szCs w:val="20"/>
        </w:rPr>
        <w:t>.</w:t>
      </w:r>
      <w:r>
        <w:rPr>
          <w:rFonts w:cs="Times-Roman"/>
          <w:szCs w:val="20"/>
        </w:rPr>
        <w:t xml:space="preserve"> </w:t>
      </w:r>
      <w:r w:rsidR="005D32A8">
        <w:rPr>
          <w:rFonts w:cs="Times-Roman"/>
          <w:szCs w:val="20"/>
        </w:rPr>
        <w:t xml:space="preserve">This study conceptualizes </w:t>
      </w:r>
      <w:r w:rsidR="005D32A8">
        <w:t>persuasion knowledge</w:t>
      </w:r>
      <w:r>
        <w:t xml:space="preserve"> as </w:t>
      </w:r>
      <w:r w:rsidR="005D32A8">
        <w:t>parents’</w:t>
      </w:r>
      <w:r w:rsidR="00D67531">
        <w:t xml:space="preserve"> ability to recognize advertising</w:t>
      </w:r>
      <w:r>
        <w:t xml:space="preserve">, </w:t>
      </w:r>
      <w:r w:rsidR="005D32A8">
        <w:t>parents’</w:t>
      </w:r>
      <w:r>
        <w:t xml:space="preserve"> understanding of adverti</w:t>
      </w:r>
      <w:r w:rsidR="005D32A8">
        <w:t xml:space="preserve">sing’s selling intent, and parents’ </w:t>
      </w:r>
      <w:r>
        <w:t xml:space="preserve">understanding of </w:t>
      </w:r>
      <w:r w:rsidR="005D32A8">
        <w:t>advertising’s</w:t>
      </w:r>
      <w:r>
        <w:t xml:space="preserve"> persuasive intent (</w:t>
      </w:r>
      <w:r w:rsidR="00284939">
        <w:t xml:space="preserve">Friestad &amp; </w:t>
      </w:r>
      <w:r>
        <w:t>Wri</w:t>
      </w:r>
      <w:r w:rsidR="005D32A8">
        <w:t>ght</w:t>
      </w:r>
      <w:r w:rsidR="00284939">
        <w:t>,</w:t>
      </w:r>
      <w:r w:rsidR="005D32A8">
        <w:t xml:space="preserve"> 1994; Wright et al.</w:t>
      </w:r>
      <w:r w:rsidR="00284939">
        <w:t>,</w:t>
      </w:r>
      <w:r w:rsidR="005D32A8">
        <w:t xml:space="preserve"> 2005). While advertising recognition </w:t>
      </w:r>
      <w:r w:rsidR="00F61972">
        <w:t>can be</w:t>
      </w:r>
      <w:r>
        <w:t xml:space="preserve"> defined as </w:t>
      </w:r>
      <w:r w:rsidR="005D32A8">
        <w:t>parents’</w:t>
      </w:r>
      <w:r>
        <w:t xml:space="preserve"> ability to distinguish advertising content from e</w:t>
      </w:r>
      <w:r w:rsidR="00284939">
        <w:t>ntertainment content (Gunter &amp;</w:t>
      </w:r>
      <w:r>
        <w:t xml:space="preserve"> Furham</w:t>
      </w:r>
      <w:r w:rsidR="00284939">
        <w:t>, 1998; Rozendaal, Buijzen &amp; Valkenburg,</w:t>
      </w:r>
      <w:r>
        <w:t xml:space="preserve"> 2010; W</w:t>
      </w:r>
      <w:r w:rsidR="00284939">
        <w:t>ard, Wackman &amp;</w:t>
      </w:r>
      <w:r w:rsidR="005D32A8">
        <w:t xml:space="preserve"> Wartella</w:t>
      </w:r>
      <w:r w:rsidR="00284939">
        <w:t>, 1977</w:t>
      </w:r>
      <w:r w:rsidR="005D32A8">
        <w:t>), parents’</w:t>
      </w:r>
      <w:r>
        <w:t xml:space="preserve"> un</w:t>
      </w:r>
      <w:r w:rsidR="005D32A8">
        <w:t>derstand</w:t>
      </w:r>
      <w:r w:rsidR="00284939">
        <w:t>ing of selling intent (Moses &amp;</w:t>
      </w:r>
      <w:r w:rsidR="005D32A8">
        <w:t xml:space="preserve"> Baldwin</w:t>
      </w:r>
      <w:r w:rsidR="00284939">
        <w:t>,</w:t>
      </w:r>
      <w:r w:rsidR="005D32A8">
        <w:t xml:space="preserve"> 200</w:t>
      </w:r>
      <w:r w:rsidR="00284939">
        <w:t>5; Wilson &amp;</w:t>
      </w:r>
      <w:r w:rsidR="00F61972">
        <w:t xml:space="preserve"> Weiss</w:t>
      </w:r>
      <w:r w:rsidR="00284939">
        <w:t>,</w:t>
      </w:r>
      <w:r w:rsidR="00F61972">
        <w:t xml:space="preserve"> 1992) is</w:t>
      </w:r>
      <w:r w:rsidR="005D32A8">
        <w:t xml:space="preserve"> defined</w:t>
      </w:r>
      <w:r>
        <w:t xml:space="preserve"> as the</w:t>
      </w:r>
      <w:r w:rsidR="00D67531">
        <w:t xml:space="preserve"> </w:t>
      </w:r>
      <w:r>
        <w:t xml:space="preserve">“advertiser’s attempt to influence consumers’ behavior directly, namely to induce them to buy a product” </w:t>
      </w:r>
      <w:r w:rsidR="005D32A8">
        <w:t>(Rozendaal et al.</w:t>
      </w:r>
      <w:r w:rsidR="00284939">
        <w:t>,</w:t>
      </w:r>
      <w:r w:rsidR="005D32A8">
        <w:t xml:space="preserve"> 2010, p. 80)</w:t>
      </w:r>
      <w:r w:rsidR="00F61972">
        <w:t>, and parents’</w:t>
      </w:r>
      <w:r w:rsidR="005D32A8">
        <w:t xml:space="preserve"> </w:t>
      </w:r>
      <w:r>
        <w:t xml:space="preserve">understanding of persuasive intent </w:t>
      </w:r>
      <w:r w:rsidR="006C4EE9">
        <w:t xml:space="preserve">(Moses &amp; Baldwin, 2005) is defined </w:t>
      </w:r>
      <w:r>
        <w:t>as the “advertiser’s attempt to influence consumers’ behavior indirectly through changing their mental state…desires and bel</w:t>
      </w:r>
      <w:r w:rsidR="00284939">
        <w:t xml:space="preserve">iefs about a product” </w:t>
      </w:r>
      <w:r w:rsidR="006C4EE9">
        <w:t>(Rozendaal et al., 2010, p. 80).</w:t>
      </w:r>
    </w:p>
    <w:p w:rsidR="00F61972" w:rsidRDefault="00A3548E" w:rsidP="00A3548E">
      <w:pPr>
        <w:spacing w:line="480" w:lineRule="auto"/>
      </w:pPr>
      <w:r>
        <w:rPr>
          <w:b/>
          <w:bCs/>
        </w:rPr>
        <w:t>Persuasion Knowledge Activation and Attitudes Toward Advertising</w:t>
      </w:r>
    </w:p>
    <w:p w:rsidR="00A3548E" w:rsidRDefault="00D67531" w:rsidP="00A3548E">
      <w:pPr>
        <w:spacing w:line="480" w:lineRule="auto"/>
      </w:pPr>
      <w:r>
        <w:tab/>
        <w:t>T</w:t>
      </w:r>
      <w:r w:rsidR="00A3548E">
        <w:t xml:space="preserve">he recognition of advertisers’ persuasive and selling intent </w:t>
      </w:r>
      <w:r w:rsidR="00C624A9">
        <w:t>is</w:t>
      </w:r>
      <w:r w:rsidR="00A3548E">
        <w:t xml:space="preserve"> in lar</w:t>
      </w:r>
      <w:r>
        <w:t>ge part contingent upon parent</w:t>
      </w:r>
      <w:r w:rsidR="00A3548E">
        <w:t xml:space="preserve">s’ experience with advertiser tactics and a general understanding of the marketplace (Friestad </w:t>
      </w:r>
      <w:r w:rsidR="00284939">
        <w:t>&amp;</w:t>
      </w:r>
      <w:r w:rsidR="00A3548E">
        <w:t xml:space="preserve"> Wright 1994; Wright et al.</w:t>
      </w:r>
      <w:r w:rsidR="00284939">
        <w:t>,</w:t>
      </w:r>
      <w:r w:rsidR="00A3548E">
        <w:t xml:space="preserve"> 2005). The more readily accessible or easily recognized an advertiser’s persuasive and selling intent, the more likely it is to lead to persuasion kno</w:t>
      </w:r>
      <w:r w:rsidR="00284939">
        <w:t xml:space="preserve">wledge activation (Campbell &amp; </w:t>
      </w:r>
      <w:r w:rsidR="00A3548E">
        <w:t>Kirmani</w:t>
      </w:r>
      <w:r w:rsidR="00284939">
        <w:t>,</w:t>
      </w:r>
      <w:r w:rsidR="00A3548E">
        <w:t xml:space="preserve"> 2000). </w:t>
      </w:r>
      <w:r w:rsidR="00A3548E">
        <w:tab/>
      </w:r>
    </w:p>
    <w:p w:rsidR="00A3548E" w:rsidRDefault="00A3548E" w:rsidP="00A3548E">
      <w:pPr>
        <w:spacing w:line="480" w:lineRule="auto"/>
      </w:pPr>
      <w:r>
        <w:tab/>
        <w:t xml:space="preserve">The </w:t>
      </w:r>
      <w:r w:rsidR="00D67531">
        <w:t>parent</w:t>
      </w:r>
      <w:r>
        <w:t xml:space="preserve"> may better recognize persuasive and selling intent if they are presented with additional agent, advertiser, or topical information. Research has demonstrated that</w:t>
      </w:r>
      <w:r w:rsidR="00D67531">
        <w:t xml:space="preserve"> participants who receive greater</w:t>
      </w:r>
      <w:r>
        <w:t xml:space="preserve"> amounts of information about agents’ </w:t>
      </w:r>
      <w:r w:rsidR="00C624A9">
        <w:t>selling</w:t>
      </w:r>
      <w:r>
        <w:t xml:space="preserve"> or persuasive motives </w:t>
      </w:r>
      <w:r w:rsidR="00D67531">
        <w:t>are better able to</w:t>
      </w:r>
      <w:r>
        <w:t xml:space="preserve"> </w:t>
      </w:r>
      <w:r w:rsidR="002D7835">
        <w:t>recognize and report</w:t>
      </w:r>
      <w:r w:rsidR="00C624A9">
        <w:t xml:space="preserve"> selling and</w:t>
      </w:r>
      <w:r w:rsidR="00620654">
        <w:t xml:space="preserve"> persuasive intent. For example, Campbell and Kirmani (2000)</w:t>
      </w:r>
      <w:r>
        <w:t xml:space="preserve"> provided</w:t>
      </w:r>
      <w:r w:rsidR="00620654">
        <w:t xml:space="preserve"> participants</w:t>
      </w:r>
      <w:r>
        <w:t xml:space="preserve"> with two versions of a script describing a salesperson-consumer interaction at a clothing store and were asked to imagine that they were observing the interaction</w:t>
      </w:r>
      <w:r w:rsidR="00620654">
        <w:t xml:space="preserve">. One version of the script contained more information about the salesperson’s persuasive motivations while the other version had less information about the </w:t>
      </w:r>
      <w:r w:rsidR="00C624A9">
        <w:t>salesperson’s persuasive motivations</w:t>
      </w:r>
      <w:r w:rsidR="00620654">
        <w:t xml:space="preserve">. </w:t>
      </w:r>
      <w:r>
        <w:t>The</w:t>
      </w:r>
      <w:r w:rsidR="00620654">
        <w:t>ir</w:t>
      </w:r>
      <w:r>
        <w:t xml:space="preserve"> results indicated that participants who received </w:t>
      </w:r>
      <w:r w:rsidR="00620654">
        <w:t>the script with more information</w:t>
      </w:r>
      <w:r>
        <w:t xml:space="preserve"> </w:t>
      </w:r>
      <w:r w:rsidR="00620654">
        <w:t>were better able to recognize and report the salesperson’s underlying</w:t>
      </w:r>
      <w:r>
        <w:t xml:space="preserve"> persuasive and selling intent than the participants who received </w:t>
      </w:r>
      <w:r w:rsidR="00620654">
        <w:t>the script with less information</w:t>
      </w:r>
      <w:r w:rsidR="00284939">
        <w:t xml:space="preserve"> (Campbell &amp;</w:t>
      </w:r>
      <w:r>
        <w:t xml:space="preserve"> Kirmani</w:t>
      </w:r>
      <w:r w:rsidR="00284939">
        <w:t>,</w:t>
      </w:r>
      <w:r>
        <w:t xml:space="preserve"> 2000). </w:t>
      </w:r>
      <w:r w:rsidR="00620654">
        <w:t xml:space="preserve">These findings imply that the presence of more obvious persuasive and selling motives lead to persuasion knowledge activation. </w:t>
      </w:r>
      <w:r w:rsidR="00C624A9">
        <w:t>In other words, understanding and recognizing selling and persuasive intent lead to persuasion k</w:t>
      </w:r>
      <w:r w:rsidR="00284939">
        <w:t>nowledge activation (Friestad &amp;</w:t>
      </w:r>
      <w:r w:rsidR="00C624A9">
        <w:t xml:space="preserve"> Wright</w:t>
      </w:r>
      <w:r w:rsidR="00284939">
        <w:t>,</w:t>
      </w:r>
      <w:r w:rsidR="00C624A9">
        <w:t xml:space="preserve"> 1994).   </w:t>
      </w:r>
    </w:p>
    <w:p w:rsidR="00C624A9" w:rsidRDefault="00BF586C" w:rsidP="00A3548E">
      <w:pPr>
        <w:spacing w:line="480" w:lineRule="auto"/>
      </w:pPr>
      <w:r>
        <w:tab/>
        <w:t>While these findings are</w:t>
      </w:r>
      <w:r w:rsidR="00A3548E">
        <w:t xml:space="preserve"> not in the context of  “advertising” and more within the bounds of marketing or selling </w:t>
      </w:r>
      <w:r w:rsidR="00A3548E" w:rsidRPr="006C4EE9">
        <w:rPr>
          <w:i/>
        </w:rPr>
        <w:t>per say</w:t>
      </w:r>
      <w:r w:rsidR="00A3548E">
        <w:t>, they nonetheless support a centr</w:t>
      </w:r>
      <w:r w:rsidR="00620654">
        <w:t>al tenet of the PKM: When parent</w:t>
      </w:r>
      <w:r w:rsidR="00A3548E">
        <w:t xml:space="preserve">s are provided with additional agent information it </w:t>
      </w:r>
      <w:r w:rsidR="00C624A9">
        <w:t>in</w:t>
      </w:r>
      <w:r w:rsidR="009C73D6">
        <w:t>fluences</w:t>
      </w:r>
      <w:r w:rsidR="00C624A9">
        <w:t xml:space="preserve"> their ability to recognize the presence of </w:t>
      </w:r>
      <w:r w:rsidR="00A3548E">
        <w:t xml:space="preserve">underlying </w:t>
      </w:r>
      <w:r w:rsidR="002D34CA">
        <w:t>selling and persuasive motives. A</w:t>
      </w:r>
      <w:r>
        <w:t xml:space="preserve">dvertising formats that have </w:t>
      </w:r>
      <w:r w:rsidR="002D34CA">
        <w:t xml:space="preserve">more agent, advertiser, or topical information have a greater chance of being recognized as advertising, which leads to an inference of persuasive </w:t>
      </w:r>
      <w:r w:rsidR="00284939">
        <w:t>and selling intent (Friestad &amp;</w:t>
      </w:r>
      <w:r w:rsidR="002D34CA">
        <w:t xml:space="preserve"> Wright</w:t>
      </w:r>
      <w:r w:rsidR="00284939">
        <w:t>,</w:t>
      </w:r>
      <w:r w:rsidR="002D34CA">
        <w:t xml:space="preserve"> 1994). Therefore,</w:t>
      </w:r>
      <w:r>
        <w:t xml:space="preserve"> parents’ ability to recognize the selling and persu</w:t>
      </w:r>
      <w:r w:rsidR="002D34CA">
        <w:t xml:space="preserve">asive intent within advergames may be hindered by the blurring of entertainment and commercial content </w:t>
      </w:r>
      <w:r w:rsidR="009C73D6">
        <w:t xml:space="preserve">and by </w:t>
      </w:r>
      <w:r w:rsidR="002D34CA">
        <w:t>the lack of additional age</w:t>
      </w:r>
      <w:r w:rsidR="00033049">
        <w:t>nt or</w:t>
      </w:r>
      <w:r w:rsidR="002D34CA">
        <w:t xml:space="preserve"> advertiser information</w:t>
      </w:r>
      <w:r w:rsidR="00033049">
        <w:t xml:space="preserve"> as well</w:t>
      </w:r>
      <w:r w:rsidR="002D34CA">
        <w:t xml:space="preserve">.  </w:t>
      </w:r>
    </w:p>
    <w:p w:rsidR="00A3548E" w:rsidRDefault="00C624A9" w:rsidP="00A3548E">
      <w:pPr>
        <w:spacing w:line="480" w:lineRule="auto"/>
      </w:pPr>
      <w:r>
        <w:tab/>
      </w:r>
      <w:r w:rsidR="00A3548E">
        <w:t>This additional inf</w:t>
      </w:r>
      <w:r w:rsidR="009C73D6">
        <w:t>ormation, which can help the parent</w:t>
      </w:r>
      <w:r w:rsidR="00A3548E">
        <w:t xml:space="preserve"> better understand selling intent, persuasive intent, and activate persuasion knowledge, need not specifically pertain to the agent </w:t>
      </w:r>
      <w:r w:rsidR="00033049">
        <w:t xml:space="preserve">or advertiser </w:t>
      </w:r>
      <w:r w:rsidR="009C73D6">
        <w:t>during the persuasion</w:t>
      </w:r>
      <w:r w:rsidR="00284939">
        <w:t xml:space="preserve"> episode (Friestad &amp;</w:t>
      </w:r>
      <w:r w:rsidR="00A3548E">
        <w:t xml:space="preserve"> Wright</w:t>
      </w:r>
      <w:r w:rsidR="00284939">
        <w:t>,</w:t>
      </w:r>
      <w:r w:rsidR="00A3548E">
        <w:t xml:space="preserve"> 1994). Additional information can be topical (i.e. based on </w:t>
      </w:r>
      <w:r w:rsidR="009C73D6">
        <w:t>parents</w:t>
      </w:r>
      <w:r w:rsidR="00A3548E">
        <w:t xml:space="preserve">’ beliefs regarding advertisers’ various tactics and strategies). Research, which examines the relationship between advertising format and adults’ persuasion knowledge, indicate that certain </w:t>
      </w:r>
      <w:r w:rsidR="00033049">
        <w:t>forms of advertising differentially</w:t>
      </w:r>
      <w:r w:rsidR="00A3548E">
        <w:t xml:space="preserve"> affect the activation of persuasion knowledge. For example, Tutaj and van</w:t>
      </w:r>
      <w:r w:rsidR="00284939">
        <w:t xml:space="preserve"> </w:t>
      </w:r>
      <w:r w:rsidR="00A3548E">
        <w:t xml:space="preserve">Reijmersdal </w:t>
      </w:r>
      <w:r w:rsidR="00033049">
        <w:t>(</w:t>
      </w:r>
      <w:r w:rsidR="00A3548E">
        <w:t>2012</w:t>
      </w:r>
      <w:r w:rsidR="00033049">
        <w:t>)</w:t>
      </w:r>
      <w:r w:rsidR="00A3548E">
        <w:t xml:space="preserve"> examined </w:t>
      </w:r>
      <w:r w:rsidR="00033049">
        <w:t>how online banner and</w:t>
      </w:r>
      <w:r w:rsidR="00A3548E">
        <w:t xml:space="preserve"> sponsored advertising conditions affected </w:t>
      </w:r>
      <w:r w:rsidR="00033049">
        <w:t>adults’ advertising recognition and</w:t>
      </w:r>
      <w:r w:rsidR="00A3548E">
        <w:t xml:space="preserve"> understanding of selling and persuasive</w:t>
      </w:r>
      <w:r w:rsidR="00033049">
        <w:t xml:space="preserve"> intent</w:t>
      </w:r>
      <w:r w:rsidR="00A3548E">
        <w:t>. The banner advertising condition contained an informational news article about tablets with no brands mentioned and was accompanied by a banner advertisement for the iPad on the ri</w:t>
      </w:r>
      <w:r w:rsidR="00284939">
        <w:t>ght of the screen (Tutaj &amp;</w:t>
      </w:r>
      <w:r w:rsidR="00A3548E">
        <w:t xml:space="preserve"> van</w:t>
      </w:r>
      <w:r w:rsidR="00284939">
        <w:t xml:space="preserve"> </w:t>
      </w:r>
      <w:r w:rsidR="00A3548E">
        <w:t>Reijmersdal</w:t>
      </w:r>
      <w:r w:rsidR="00284939">
        <w:t>,</w:t>
      </w:r>
      <w:r w:rsidR="00A3548E">
        <w:t xml:space="preserve"> 2012). The sponsored advertising condition contained an informational news article with integrated sponsored content, which featured </w:t>
      </w:r>
      <w:r w:rsidR="00033049">
        <w:t>a tag line mentioning Apple and</w:t>
      </w:r>
      <w:r w:rsidR="00A3548E">
        <w:t xml:space="preserve"> an accompanying logo. A neutral banner with no brand information took the same position as in the banner ad</w:t>
      </w:r>
      <w:r w:rsidR="00284939">
        <w:t>vertisement condition (Tutaj &amp;</w:t>
      </w:r>
      <w:r w:rsidR="00A3548E">
        <w:t xml:space="preserve"> van</w:t>
      </w:r>
      <w:r w:rsidR="00284939">
        <w:t xml:space="preserve"> </w:t>
      </w:r>
      <w:r w:rsidR="00A3548E">
        <w:t>Reijmersdal</w:t>
      </w:r>
      <w:r w:rsidR="00284939">
        <w:t>,</w:t>
      </w:r>
      <w:r w:rsidR="00A3548E">
        <w:t xml:space="preserve"> 2012). </w:t>
      </w:r>
      <w:r w:rsidR="00621E6E">
        <w:t xml:space="preserve">Their results indicated that </w:t>
      </w:r>
      <w:r w:rsidR="009C73D6">
        <w:t>participants</w:t>
      </w:r>
      <w:r w:rsidR="00A3548E">
        <w:t xml:space="preserve"> in the banner advertisement condition</w:t>
      </w:r>
      <w:r w:rsidR="00621E6E">
        <w:t>,</w:t>
      </w:r>
      <w:r w:rsidR="00A3548E">
        <w:t xml:space="preserve"> </w:t>
      </w:r>
      <w:r w:rsidR="00621E6E">
        <w:t xml:space="preserve">compared to those in the sponsored advertisement condition, </w:t>
      </w:r>
      <w:r w:rsidR="00A3548E">
        <w:t xml:space="preserve">were better at distinguishing the advertisement from the </w:t>
      </w:r>
      <w:r w:rsidR="00621E6E">
        <w:t>rest of the website</w:t>
      </w:r>
      <w:r w:rsidR="00A3548E">
        <w:t>. In other words, the sponsored advertisement condition was less recognizable as advertising compared to the banner ad condition (T</w:t>
      </w:r>
      <w:r w:rsidR="00284939">
        <w:t>utaj &amp;</w:t>
      </w:r>
      <w:r w:rsidR="009C73D6">
        <w:t xml:space="preserve"> van Reijmersdal</w:t>
      </w:r>
      <w:r w:rsidR="00284939">
        <w:t>,</w:t>
      </w:r>
      <w:r w:rsidR="009C73D6">
        <w:t xml:space="preserve"> 2012).</w:t>
      </w:r>
      <w:r w:rsidR="00A3548E">
        <w:t xml:space="preserve"> </w:t>
      </w:r>
      <w:r w:rsidR="00621E6E">
        <w:t>Findings indicated that</w:t>
      </w:r>
      <w:r w:rsidR="00A3548E">
        <w:t xml:space="preserve"> participants in the banner advertisement condition reported a better understanding of the selling and persuasive intent compared to participants in the sponsored advertisement condition. </w:t>
      </w:r>
    </w:p>
    <w:p w:rsidR="00A3548E" w:rsidRDefault="00A3548E" w:rsidP="00A3548E">
      <w:pPr>
        <w:spacing w:line="480" w:lineRule="auto"/>
      </w:pPr>
      <w:r>
        <w:tab/>
        <w:t>Tutaj and van Reijmersdal’s (2012) findings suggest that more recognizable advertising formats, like online banner ads in this case, result in a be</w:t>
      </w:r>
      <w:r w:rsidR="00621E6E">
        <w:t>tter recognition of advertising and</w:t>
      </w:r>
      <w:r>
        <w:t xml:space="preserve"> a better understand</w:t>
      </w:r>
      <w:r w:rsidR="006C4EE9">
        <w:t>ing</w:t>
      </w:r>
      <w:r>
        <w:t xml:space="preserve"> of the selling and persuasive intent.</w:t>
      </w:r>
      <w:r w:rsidR="00284939">
        <w:t xml:space="preserve"> P</w:t>
      </w:r>
      <w:r w:rsidR="005C7258">
        <w:t>arents who are exposed to a highly</w:t>
      </w:r>
      <w:r>
        <w:t xml:space="preserve"> integrated </w:t>
      </w:r>
      <w:r w:rsidR="005C7258">
        <w:t xml:space="preserve">and interactive </w:t>
      </w:r>
      <w:r w:rsidR="009C73D6">
        <w:t>advergame</w:t>
      </w:r>
      <w:r>
        <w:t xml:space="preserve"> may </w:t>
      </w:r>
      <w:r w:rsidR="005C7258">
        <w:t xml:space="preserve">have difficulty recognizing </w:t>
      </w:r>
      <w:r w:rsidR="009C73D6">
        <w:t>it</w:t>
      </w:r>
      <w:r w:rsidR="005C7258">
        <w:t xml:space="preserve"> as advertising and may not understand the selling and persuasive motivations therein.</w:t>
      </w:r>
    </w:p>
    <w:p w:rsidR="00A3548E" w:rsidRDefault="00A3548E" w:rsidP="00A3548E">
      <w:pPr>
        <w:widowControl w:val="0"/>
        <w:autoSpaceDE w:val="0"/>
        <w:autoSpaceDN w:val="0"/>
        <w:adjustRightInd w:val="0"/>
        <w:spacing w:line="480" w:lineRule="auto"/>
      </w:pPr>
      <w:r>
        <w:tab/>
      </w:r>
      <w:r w:rsidR="009C73D6">
        <w:t xml:space="preserve">Research that focuses on </w:t>
      </w:r>
      <w:r>
        <w:t xml:space="preserve">topical information (i.e. information based on targets’ beliefs regarding advertisers’ various tactics and strategies) has </w:t>
      </w:r>
      <w:r w:rsidRPr="00465A0F">
        <w:t>been manipulated in order</w:t>
      </w:r>
      <w:r w:rsidR="009C73D6">
        <w:t xml:space="preserve"> to examine and improve</w:t>
      </w:r>
      <w:r w:rsidRPr="00465A0F">
        <w:t xml:space="preserve"> recognition and understanding of subtle and covert advertising prac</w:t>
      </w:r>
      <w:r w:rsidR="00284939">
        <w:t>tices. For example, Wei, Fisher, and</w:t>
      </w:r>
      <w:r w:rsidRPr="00465A0F">
        <w:t xml:space="preserve"> Main (2008) conducted a series of experiments that tested how the activation of persuasion knowledge influenced </w:t>
      </w:r>
      <w:r w:rsidR="009C73D6">
        <w:t>participan</w:t>
      </w:r>
      <w:r w:rsidR="009C73D6" w:rsidRPr="00465A0F">
        <w:t>ts</w:t>
      </w:r>
      <w:r w:rsidRPr="00465A0F">
        <w:t>’ evaluations of embedded brands. Wei et al. (2008) manipulated participants’ level of persuasion kn</w:t>
      </w:r>
      <w:r>
        <w:t xml:space="preserve">owledge and informed them that a radio show, used as stimuli, </w:t>
      </w:r>
      <w:r w:rsidRPr="00465A0F">
        <w:t xml:space="preserve">was sponsored by an advertiser (persuasion knowledge activated condition), whereas participants that were not informed about the radio show’s sponsor did not have their persuasion knowledge activated. </w:t>
      </w:r>
      <w:r>
        <w:t>The results indicated that participants’ with activated persuasion knowledge evaluated the brands featured in the radio shows more negatively than participants’ that did not have their persuasion knowledge activated (Wei et al.</w:t>
      </w:r>
      <w:r w:rsidR="00942520">
        <w:t>,</w:t>
      </w:r>
      <w:r>
        <w:t xml:space="preserve"> 2008). </w:t>
      </w:r>
      <w:r w:rsidRPr="00465A0F">
        <w:t xml:space="preserve">Their </w:t>
      </w:r>
      <w:r>
        <w:t xml:space="preserve">findings support the notion </w:t>
      </w:r>
      <w:r w:rsidRPr="00465A0F">
        <w:rPr>
          <w:rFonts w:cs="Times-Roman"/>
          <w:szCs w:val="20"/>
        </w:rPr>
        <w:t xml:space="preserve">that </w:t>
      </w:r>
      <w:r>
        <w:rPr>
          <w:rFonts w:cs="Times-Roman"/>
          <w:szCs w:val="20"/>
        </w:rPr>
        <w:t>“</w:t>
      </w:r>
      <w:r w:rsidRPr="00465A0F">
        <w:rPr>
          <w:rFonts w:cs="Times-Roman"/>
          <w:szCs w:val="20"/>
        </w:rPr>
        <w:t>consumers will lower brand evaluations when</w:t>
      </w:r>
      <w:r>
        <w:rPr>
          <w:rFonts w:cs="Times-Roman"/>
          <w:szCs w:val="20"/>
        </w:rPr>
        <w:t xml:space="preserve"> </w:t>
      </w:r>
      <w:r w:rsidRPr="00465A0F">
        <w:rPr>
          <w:rFonts w:cs="Times-Roman"/>
          <w:szCs w:val="20"/>
        </w:rPr>
        <w:t>they know that covert marketing is at work</w:t>
      </w:r>
      <w:r>
        <w:rPr>
          <w:rFonts w:cs="Times-Roman"/>
          <w:szCs w:val="20"/>
        </w:rPr>
        <w:t>” (Wei et al</w:t>
      </w:r>
      <w:r w:rsidR="009C73D6">
        <w:rPr>
          <w:rFonts w:cs="Times-Roman"/>
          <w:szCs w:val="20"/>
        </w:rPr>
        <w:t>.</w:t>
      </w:r>
      <w:r w:rsidR="00284939">
        <w:rPr>
          <w:rFonts w:cs="Times-Roman"/>
          <w:szCs w:val="20"/>
        </w:rPr>
        <w:t>,</w:t>
      </w:r>
      <w:r>
        <w:rPr>
          <w:rFonts w:cs="Times-Roman"/>
          <w:szCs w:val="20"/>
        </w:rPr>
        <w:t xml:space="preserve"> 2008, p. 42)</w:t>
      </w:r>
      <w:r w:rsidRPr="00465A0F">
        <w:rPr>
          <w:rFonts w:cs="Times-Roman"/>
          <w:szCs w:val="20"/>
        </w:rPr>
        <w:t>.</w:t>
      </w:r>
      <w:r w:rsidRPr="00465A0F">
        <w:t xml:space="preserve"> </w:t>
      </w:r>
    </w:p>
    <w:p w:rsidR="00A3548E" w:rsidRPr="00290F62" w:rsidRDefault="00A3548E" w:rsidP="00A3548E">
      <w:pPr>
        <w:widowControl w:val="0"/>
        <w:autoSpaceDE w:val="0"/>
        <w:autoSpaceDN w:val="0"/>
        <w:adjustRightInd w:val="0"/>
        <w:spacing w:line="480" w:lineRule="auto"/>
        <w:rPr>
          <w:rFonts w:cs="Times-Roman"/>
          <w:szCs w:val="20"/>
        </w:rPr>
      </w:pPr>
      <w:r>
        <w:tab/>
        <w:t xml:space="preserve">In a similar study, Yun (2009) examined how the activation of persuasion knowledge would affect participants’ selection of key-word search advertisements. As Wei et al. (2008), Yun (2009) manipulated persuasion knowledge by informing participants that search engine </w:t>
      </w:r>
      <w:r w:rsidRPr="00290F62">
        <w:t xml:space="preserve">companies were paid for advertising certain key-word search terms. For example, “participants in the primed persuasion knowledge condition </w:t>
      </w:r>
      <w:r w:rsidRPr="00290F62">
        <w:rPr>
          <w:rFonts w:cs="Times-Roman"/>
          <w:szCs w:val="20"/>
        </w:rPr>
        <w:t xml:space="preserve">were told that search engine companies were paid for placing some results from advertisers, and those results were labeled </w:t>
      </w:r>
      <w:r>
        <w:rPr>
          <w:rFonts w:cs="Times-Roman"/>
          <w:szCs w:val="20"/>
        </w:rPr>
        <w:t xml:space="preserve">with sponsored links or </w:t>
      </w:r>
      <w:r w:rsidRPr="00290F62">
        <w:rPr>
          <w:rFonts w:cs="Times-Roman"/>
          <w:szCs w:val="20"/>
        </w:rPr>
        <w:t>sponsor</w:t>
      </w:r>
      <w:r>
        <w:rPr>
          <w:rFonts w:cs="Times-Roman"/>
          <w:szCs w:val="20"/>
        </w:rPr>
        <w:t>ed results,</w:t>
      </w:r>
      <w:r w:rsidRPr="00290F62">
        <w:rPr>
          <w:rFonts w:cs="Times-Roman"/>
          <w:szCs w:val="20"/>
        </w:rPr>
        <w:t xml:space="preserve"> and, sometimes highlighted in a search results page” (p. 407). Participants in this condition were also informed that the purpose of these ads was to increase traffic and encourage click-through rate. Participants in the non-primed condition were given no additional information on key-word search advertising. Yun’s (2009) results indicate</w:t>
      </w:r>
      <w:r>
        <w:rPr>
          <w:rFonts w:cs="Times-Roman"/>
          <w:szCs w:val="20"/>
        </w:rPr>
        <w:t>d</w:t>
      </w:r>
      <w:r w:rsidRPr="00290F62">
        <w:rPr>
          <w:rFonts w:cs="Times-Roman"/>
          <w:szCs w:val="20"/>
        </w:rPr>
        <w:t xml:space="preserve"> that participants in the primed persuasion knowledge condition were less likely to click through key-word search ads compared to the non-primed participants.</w:t>
      </w:r>
    </w:p>
    <w:p w:rsidR="00A3548E" w:rsidRPr="00290F62" w:rsidRDefault="00A3548E" w:rsidP="00A3548E">
      <w:pPr>
        <w:widowControl w:val="0"/>
        <w:autoSpaceDE w:val="0"/>
        <w:autoSpaceDN w:val="0"/>
        <w:adjustRightInd w:val="0"/>
        <w:spacing w:line="480" w:lineRule="auto"/>
        <w:rPr>
          <w:rFonts w:cs="Times-Roman"/>
          <w:szCs w:val="20"/>
        </w:rPr>
      </w:pPr>
      <w:r w:rsidRPr="00290F62">
        <w:rPr>
          <w:rFonts w:cs="Times-Roman"/>
          <w:szCs w:val="20"/>
        </w:rPr>
        <w:tab/>
      </w:r>
      <w:r w:rsidR="00844E12">
        <w:rPr>
          <w:rFonts w:cs="Times-Roman"/>
          <w:szCs w:val="20"/>
        </w:rPr>
        <w:t>P</w:t>
      </w:r>
      <w:r w:rsidR="005C7258">
        <w:rPr>
          <w:rFonts w:cs="Times-Roman"/>
          <w:szCs w:val="20"/>
        </w:rPr>
        <w:t>arents</w:t>
      </w:r>
      <w:r w:rsidRPr="00290F62">
        <w:rPr>
          <w:rFonts w:cs="Times-Roman"/>
          <w:szCs w:val="20"/>
        </w:rPr>
        <w:t xml:space="preserve"> may better recognize advertising and understand its selling and persuasive intent when provided with additional agent or topic information (</w:t>
      </w:r>
      <w:r w:rsidR="00942520">
        <w:rPr>
          <w:rFonts w:cs="Times-Roman"/>
          <w:szCs w:val="20"/>
        </w:rPr>
        <w:t>Friestad &amp;</w:t>
      </w:r>
      <w:r w:rsidRPr="00290F62">
        <w:rPr>
          <w:rFonts w:cs="Times-Roman"/>
          <w:szCs w:val="20"/>
        </w:rPr>
        <w:t xml:space="preserve"> Wright 1994; Wri</w:t>
      </w:r>
      <w:r w:rsidR="005C7258">
        <w:rPr>
          <w:rFonts w:cs="Times-Roman"/>
          <w:szCs w:val="20"/>
        </w:rPr>
        <w:t>ght et al.</w:t>
      </w:r>
      <w:r w:rsidR="00942520">
        <w:rPr>
          <w:rFonts w:cs="Times-Roman"/>
          <w:szCs w:val="20"/>
        </w:rPr>
        <w:t>,</w:t>
      </w:r>
      <w:r w:rsidR="005C7258">
        <w:rPr>
          <w:rFonts w:cs="Times-Roman"/>
          <w:szCs w:val="20"/>
        </w:rPr>
        <w:t xml:space="preserve"> 2005). </w:t>
      </w:r>
      <w:r w:rsidR="00942520">
        <w:rPr>
          <w:rFonts w:cs="Times-Roman"/>
          <w:szCs w:val="20"/>
        </w:rPr>
        <w:t>Boerman, van Reijmersdal, and</w:t>
      </w:r>
      <w:r w:rsidRPr="00290F62">
        <w:rPr>
          <w:rFonts w:cs="Times-Roman"/>
          <w:szCs w:val="20"/>
        </w:rPr>
        <w:t xml:space="preserve"> Neijens (2012) manipulated sponsorship disclosure </w:t>
      </w:r>
      <w:r w:rsidR="005C7258">
        <w:rPr>
          <w:rFonts w:cs="Times-Roman"/>
          <w:szCs w:val="20"/>
        </w:rPr>
        <w:t xml:space="preserve">length </w:t>
      </w:r>
      <w:r w:rsidR="00844E12">
        <w:rPr>
          <w:rFonts w:cs="Times-Roman"/>
          <w:szCs w:val="20"/>
        </w:rPr>
        <w:t>of</w:t>
      </w:r>
      <w:r w:rsidR="005C7258" w:rsidRPr="00290F62">
        <w:rPr>
          <w:rFonts w:cs="Times-Roman"/>
          <w:szCs w:val="20"/>
        </w:rPr>
        <w:t xml:space="preserve"> </w:t>
      </w:r>
      <w:r w:rsidR="005C7258">
        <w:rPr>
          <w:rFonts w:cs="Times-Roman"/>
          <w:szCs w:val="20"/>
        </w:rPr>
        <w:t xml:space="preserve">a </w:t>
      </w:r>
      <w:r w:rsidR="005C7258" w:rsidRPr="00290F62">
        <w:rPr>
          <w:rFonts w:cs="Times-Roman"/>
          <w:szCs w:val="20"/>
        </w:rPr>
        <w:t>televised product placement</w:t>
      </w:r>
      <w:r w:rsidR="005C7258">
        <w:rPr>
          <w:rFonts w:cs="Times-Roman"/>
          <w:szCs w:val="20"/>
        </w:rPr>
        <w:t xml:space="preserve">. They </w:t>
      </w:r>
      <w:r w:rsidRPr="00290F62">
        <w:rPr>
          <w:rFonts w:cs="Times-Roman"/>
          <w:szCs w:val="20"/>
        </w:rPr>
        <w:t>were intere</w:t>
      </w:r>
      <w:r w:rsidR="00844E12">
        <w:rPr>
          <w:rFonts w:cs="Times-Roman"/>
          <w:szCs w:val="20"/>
        </w:rPr>
        <w:t>sted in the effects</w:t>
      </w:r>
      <w:r w:rsidRPr="00290F62">
        <w:rPr>
          <w:rFonts w:cs="Times-Roman"/>
          <w:szCs w:val="20"/>
        </w:rPr>
        <w:t xml:space="preserve"> disclosure length had on </w:t>
      </w:r>
      <w:r w:rsidR="00065BEF">
        <w:rPr>
          <w:rFonts w:cs="Times-Roman"/>
          <w:szCs w:val="20"/>
        </w:rPr>
        <w:t>persuasion knowledge activation</w:t>
      </w:r>
      <w:r w:rsidRPr="00290F62">
        <w:rPr>
          <w:rFonts w:cs="Times-Roman"/>
          <w:szCs w:val="20"/>
        </w:rPr>
        <w:t xml:space="preserve"> and how </w:t>
      </w:r>
      <w:r>
        <w:rPr>
          <w:rFonts w:cs="Times-Roman"/>
          <w:szCs w:val="20"/>
        </w:rPr>
        <w:t xml:space="preserve">that </w:t>
      </w:r>
      <w:r w:rsidRPr="00290F62">
        <w:rPr>
          <w:rFonts w:cs="Times-Roman"/>
          <w:szCs w:val="20"/>
        </w:rPr>
        <w:t>persuasion knowledge activation affe</w:t>
      </w:r>
      <w:r w:rsidR="00844E12">
        <w:rPr>
          <w:rFonts w:cs="Times-Roman"/>
          <w:szCs w:val="20"/>
        </w:rPr>
        <w:t>cted brand memory and attitudes</w:t>
      </w:r>
      <w:r w:rsidRPr="00290F62">
        <w:rPr>
          <w:rFonts w:cs="Times-Roman"/>
          <w:szCs w:val="20"/>
        </w:rPr>
        <w:t xml:space="preserve">. The </w:t>
      </w:r>
      <w:r w:rsidR="00065BEF">
        <w:rPr>
          <w:rFonts w:cs="Times-Roman"/>
          <w:szCs w:val="20"/>
        </w:rPr>
        <w:t>sponsorship disclosure indentified</w:t>
      </w:r>
      <w:r w:rsidRPr="00290F62">
        <w:rPr>
          <w:rFonts w:cs="Times-Roman"/>
          <w:szCs w:val="20"/>
        </w:rPr>
        <w:t xml:space="preserve"> the brand and highlighted itself as advertising in the program (Boerman et al.</w:t>
      </w:r>
      <w:r w:rsidR="00942520">
        <w:rPr>
          <w:rFonts w:cs="Times-Roman"/>
          <w:szCs w:val="20"/>
        </w:rPr>
        <w:t>,</w:t>
      </w:r>
      <w:r w:rsidRPr="00290F62">
        <w:rPr>
          <w:rFonts w:cs="Times-Roman"/>
          <w:szCs w:val="20"/>
        </w:rPr>
        <w:t xml:space="preserve"> 2012). </w:t>
      </w:r>
      <w:r w:rsidR="00844E12" w:rsidRPr="00290F62">
        <w:rPr>
          <w:rFonts w:cs="Times-Roman"/>
          <w:szCs w:val="20"/>
        </w:rPr>
        <w:t>Sponsorship disclosure length lasted either 3 seconds, 6 seconds, or was not present (control)</w:t>
      </w:r>
      <w:r w:rsidR="00844E12">
        <w:rPr>
          <w:rFonts w:cs="Times-Roman"/>
          <w:szCs w:val="20"/>
        </w:rPr>
        <w:t xml:space="preserve">. </w:t>
      </w:r>
      <w:r w:rsidRPr="00290F62">
        <w:rPr>
          <w:rFonts w:cs="Times-Roman"/>
          <w:szCs w:val="20"/>
        </w:rPr>
        <w:t xml:space="preserve">Results indicated that participants exposed to either the 3 or 6 second disclosure had higher levels of persuasion knowledge, had greater brand memory, and less favorable brand attitudes than participants not exposed to any disclosure. </w:t>
      </w:r>
    </w:p>
    <w:p w:rsidR="00065BEF" w:rsidRDefault="00A3548E" w:rsidP="00A3548E">
      <w:pPr>
        <w:spacing w:line="480" w:lineRule="auto"/>
      </w:pPr>
      <w:r>
        <w:tab/>
        <w:t>In general, PKM proposes that persuasion knowledge activation typically leads to more negative evaluation of the ad, product, or brand (Shrum et al.</w:t>
      </w:r>
      <w:r w:rsidR="00942520">
        <w:t>,</w:t>
      </w:r>
      <w:r>
        <w:t xml:space="preserve"> 2012). As evidenced by previous research, persuasion knowled</w:t>
      </w:r>
      <w:r w:rsidR="00065BEF">
        <w:t>ge activation can be differentially</w:t>
      </w:r>
      <w:r>
        <w:t xml:space="preserve"> affected depending on the advertising format </w:t>
      </w:r>
      <w:r w:rsidR="00942520">
        <w:t>(Tutaj &amp;</w:t>
      </w:r>
      <w:r w:rsidR="00065BEF">
        <w:t xml:space="preserve"> van Reijmersdal</w:t>
      </w:r>
      <w:r w:rsidR="00942520">
        <w:t>,</w:t>
      </w:r>
      <w:r w:rsidR="00065BEF">
        <w:t xml:space="preserve"> 2012) </w:t>
      </w:r>
      <w:r>
        <w:t>and presence of disclosures</w:t>
      </w:r>
      <w:r w:rsidR="00065BEF">
        <w:t xml:space="preserve"> (Boermen et al.</w:t>
      </w:r>
      <w:r w:rsidR="00942520">
        <w:t>,</w:t>
      </w:r>
      <w:r w:rsidR="00065BEF">
        <w:t xml:space="preserve"> 2012)</w:t>
      </w:r>
      <w:r>
        <w:t>. Furthermore, when per</w:t>
      </w:r>
      <w:r w:rsidR="009F7697">
        <w:t>suasion knowledge is activated</w:t>
      </w:r>
      <w:r>
        <w:t xml:space="preserve">, such activation tends to negatively affect </w:t>
      </w:r>
      <w:r w:rsidR="00065BEF">
        <w:t>the desired behavior (Yun</w:t>
      </w:r>
      <w:r w:rsidR="00942520">
        <w:t>,</w:t>
      </w:r>
      <w:r w:rsidR="00065BEF">
        <w:t xml:space="preserve"> 2009) and</w:t>
      </w:r>
      <w:r>
        <w:t xml:space="preserve"> brand attitudes (Boermen et al.</w:t>
      </w:r>
      <w:r w:rsidR="00942520">
        <w:t>, 2012; Tutaj &amp;</w:t>
      </w:r>
      <w:r>
        <w:t xml:space="preserve"> van Reijmersdal</w:t>
      </w:r>
      <w:r w:rsidR="00942520">
        <w:t>,</w:t>
      </w:r>
      <w:r>
        <w:t xml:space="preserve"> 2012; Wei et al.</w:t>
      </w:r>
      <w:r w:rsidR="00942520">
        <w:t>,</w:t>
      </w:r>
      <w:r>
        <w:t xml:space="preserve"> 2008),</w:t>
      </w:r>
    </w:p>
    <w:p w:rsidR="00A3548E" w:rsidRPr="00422303" w:rsidRDefault="00065BEF" w:rsidP="00422303">
      <w:pPr>
        <w:spacing w:line="480" w:lineRule="auto"/>
      </w:pPr>
      <w:r>
        <w:tab/>
      </w:r>
      <w:r w:rsidR="009F7697">
        <w:t xml:space="preserve">Based on the above findings, if </w:t>
      </w:r>
      <w:r>
        <w:t>parents</w:t>
      </w:r>
      <w:r w:rsidR="009F7697">
        <w:t xml:space="preserve"> play an advergame and</w:t>
      </w:r>
      <w:r>
        <w:t xml:space="preserve"> are provided with additional agent, advertiser, or topical information by means of disclosures, the extant literature indicates that parents’ resultant persuasion knowledge </w:t>
      </w:r>
      <w:r w:rsidR="009F7697">
        <w:t xml:space="preserve">of advergames </w:t>
      </w:r>
      <w:r>
        <w:t xml:space="preserve">may increase. As a result of this increase in persuasion knowledge, research also indicates that parents’ attitudes toward the practice of children’s advergaming may be negatively affected. </w:t>
      </w:r>
    </w:p>
    <w:p w:rsidR="00A3548E" w:rsidRDefault="00A3548E" w:rsidP="00A3548E">
      <w:pPr>
        <w:spacing w:line="480" w:lineRule="auto"/>
        <w:rPr>
          <w:b/>
          <w:bCs/>
        </w:rPr>
      </w:pPr>
      <w:r>
        <w:rPr>
          <w:b/>
          <w:bCs/>
        </w:rPr>
        <w:t xml:space="preserve">Advertising Disclosures </w:t>
      </w:r>
    </w:p>
    <w:p w:rsidR="00422303" w:rsidRDefault="00A3548E" w:rsidP="00065BEF">
      <w:pPr>
        <w:widowControl w:val="0"/>
        <w:autoSpaceDE w:val="0"/>
        <w:autoSpaceDN w:val="0"/>
        <w:adjustRightInd w:val="0"/>
        <w:spacing w:line="480" w:lineRule="auto"/>
        <w:rPr>
          <w:b/>
          <w:bCs/>
        </w:rPr>
      </w:pPr>
      <w:r>
        <w:rPr>
          <w:rFonts w:cs="AdvTT3713a231"/>
          <w:color w:val="131413"/>
          <w:szCs w:val="19"/>
        </w:rPr>
        <w:tab/>
        <w:t>The FTC set a legal precedent in the 1970s following their creation and implementation of the “clear and conspicuous standards” (CCS) for advertising disclosures (FTC 1970). The underlying objectives of these standards include advertiser protection from future legal issues, confirmation to specific laws and regulations, and a more</w:t>
      </w:r>
      <w:r w:rsidR="00D92CFA">
        <w:rPr>
          <w:rFonts w:cs="AdvTT3713a231"/>
          <w:color w:val="131413"/>
          <w:szCs w:val="19"/>
        </w:rPr>
        <w:t xml:space="preserve"> informed consumer (Stewart &amp; </w:t>
      </w:r>
      <w:r>
        <w:rPr>
          <w:rFonts w:cs="AdvTT3713a231"/>
          <w:color w:val="131413"/>
          <w:szCs w:val="19"/>
        </w:rPr>
        <w:t xml:space="preserve">Martin 2004). CSS guidelines for advertising disclosures include modality (simultaneous audio and video disclosure), sufficient type size, high contrast, a single background, sufficient presentation rate, distraction avoidance (conflicting sounds for audio disclosures), proximity (presentation of the disclosures immediately after the claim), sufficient disclosure duration, and audience consideration (i.e. children and </w:t>
      </w:r>
      <w:r w:rsidR="00942520">
        <w:rPr>
          <w:rFonts w:cs="AdvTT3713a231"/>
          <w:color w:val="131413"/>
          <w:szCs w:val="19"/>
        </w:rPr>
        <w:t>vulnerable populations) (Hoy &amp; Andrews 2004; Hoy &amp;</w:t>
      </w:r>
      <w:r>
        <w:rPr>
          <w:rFonts w:cs="AdvTT3713a231"/>
          <w:color w:val="131413"/>
          <w:szCs w:val="19"/>
        </w:rPr>
        <w:t xml:space="preserve"> Lwin</w:t>
      </w:r>
      <w:r w:rsidR="00942520">
        <w:rPr>
          <w:rFonts w:cs="AdvTT3713a231"/>
          <w:color w:val="131413"/>
          <w:szCs w:val="19"/>
        </w:rPr>
        <w:t>,</w:t>
      </w:r>
      <w:r>
        <w:rPr>
          <w:rFonts w:cs="AdvTT3713a231"/>
          <w:color w:val="131413"/>
          <w:szCs w:val="19"/>
        </w:rPr>
        <w:t xml:space="preserve"> 2008; FTC</w:t>
      </w:r>
      <w:r w:rsidR="00942520">
        <w:rPr>
          <w:rFonts w:cs="AdvTT3713a231"/>
          <w:color w:val="131413"/>
          <w:szCs w:val="19"/>
        </w:rPr>
        <w:t>, 1970; FTC, 1984</w:t>
      </w:r>
      <w:r>
        <w:rPr>
          <w:rFonts w:cs="AdvTT3713a231"/>
          <w:color w:val="131413"/>
          <w:szCs w:val="19"/>
        </w:rPr>
        <w:t>). As Stewart and Martin note, “</w:t>
      </w:r>
      <w:r>
        <w:rPr>
          <w:rFonts w:cs="Times-Roman"/>
          <w:color w:val="231F20"/>
          <w:szCs w:val="20"/>
        </w:rPr>
        <w:t xml:space="preserve">CCS standards are </w:t>
      </w:r>
      <w:r w:rsidRPr="001723A8">
        <w:rPr>
          <w:rFonts w:cs="Times-Roman"/>
          <w:color w:val="231F20"/>
          <w:szCs w:val="20"/>
        </w:rPr>
        <w:t xml:space="preserve">especially useful </w:t>
      </w:r>
      <w:r>
        <w:rPr>
          <w:rFonts w:cs="Times-Roman"/>
          <w:color w:val="231F20"/>
          <w:szCs w:val="20"/>
        </w:rPr>
        <w:t>…</w:t>
      </w:r>
      <w:r w:rsidRPr="001723A8">
        <w:rPr>
          <w:rFonts w:cs="Times-Roman"/>
          <w:color w:val="231F20"/>
          <w:szCs w:val="20"/>
        </w:rPr>
        <w:t>when there is reason</w:t>
      </w:r>
      <w:r>
        <w:rPr>
          <w:rFonts w:cs="Times-Roman"/>
          <w:color w:val="231F20"/>
          <w:szCs w:val="20"/>
        </w:rPr>
        <w:t xml:space="preserve"> </w:t>
      </w:r>
      <w:r w:rsidRPr="001723A8">
        <w:rPr>
          <w:rFonts w:cs="Times-Roman"/>
          <w:color w:val="231F20"/>
          <w:szCs w:val="20"/>
        </w:rPr>
        <w:t>to believe that the presence of disclosures will have the</w:t>
      </w:r>
      <w:r>
        <w:rPr>
          <w:rFonts w:cs="Times-Roman"/>
          <w:color w:val="231F20"/>
          <w:szCs w:val="20"/>
        </w:rPr>
        <w:t xml:space="preserve"> </w:t>
      </w:r>
      <w:r w:rsidRPr="001723A8">
        <w:rPr>
          <w:rFonts w:cs="Times-Roman"/>
          <w:color w:val="231F20"/>
          <w:szCs w:val="20"/>
        </w:rPr>
        <w:t>intended consequence of creating more informed consumers</w:t>
      </w:r>
      <w:r>
        <w:rPr>
          <w:rFonts w:cs="Times-Roman"/>
          <w:color w:val="231F20"/>
          <w:szCs w:val="20"/>
        </w:rPr>
        <w:t>” (2004, p</w:t>
      </w:r>
      <w:r w:rsidR="00942520">
        <w:rPr>
          <w:rFonts w:cs="Times-Roman"/>
          <w:color w:val="231F20"/>
          <w:szCs w:val="20"/>
        </w:rPr>
        <w:t>.</w:t>
      </w:r>
      <w:r>
        <w:rPr>
          <w:rFonts w:cs="Times-Roman"/>
          <w:color w:val="231F20"/>
          <w:szCs w:val="20"/>
        </w:rPr>
        <w:t xml:space="preserve"> 190)</w:t>
      </w:r>
      <w:r w:rsidRPr="001723A8">
        <w:rPr>
          <w:rFonts w:cs="Times-Roman"/>
          <w:color w:val="231F20"/>
          <w:szCs w:val="20"/>
        </w:rPr>
        <w:t>.</w:t>
      </w:r>
      <w:r w:rsidRPr="001723A8">
        <w:rPr>
          <w:rFonts w:cs="AdvTT3713a231"/>
          <w:color w:val="131413"/>
          <w:szCs w:val="19"/>
        </w:rPr>
        <w:t xml:space="preserve">  </w:t>
      </w:r>
    </w:p>
    <w:p w:rsidR="00A3548E" w:rsidRPr="00422303" w:rsidRDefault="00A3548E" w:rsidP="00065BEF">
      <w:pPr>
        <w:widowControl w:val="0"/>
        <w:autoSpaceDE w:val="0"/>
        <w:autoSpaceDN w:val="0"/>
        <w:adjustRightInd w:val="0"/>
        <w:spacing w:line="480" w:lineRule="auto"/>
        <w:rPr>
          <w:b/>
          <w:bCs/>
        </w:rPr>
      </w:pPr>
      <w:r>
        <w:rPr>
          <w:b/>
          <w:bCs/>
        </w:rPr>
        <w:t xml:space="preserve">Advertising Disclosures </w:t>
      </w:r>
      <w:r w:rsidR="00422303">
        <w:rPr>
          <w:b/>
          <w:bCs/>
        </w:rPr>
        <w:t>and Advergames</w:t>
      </w:r>
    </w:p>
    <w:p w:rsidR="00422303" w:rsidRDefault="00A3548E" w:rsidP="00A3548E">
      <w:pPr>
        <w:widowControl w:val="0"/>
        <w:autoSpaceDE w:val="0"/>
        <w:autoSpaceDN w:val="0"/>
        <w:adjustRightInd w:val="0"/>
        <w:spacing w:line="480" w:lineRule="auto"/>
        <w:rPr>
          <w:szCs w:val="20"/>
        </w:rPr>
      </w:pPr>
      <w:r>
        <w:rPr>
          <w:bCs/>
        </w:rPr>
        <w:tab/>
      </w:r>
      <w:r w:rsidR="00422303">
        <w:rPr>
          <w:bCs/>
        </w:rPr>
        <w:t xml:space="preserve">Under the FTC’s (1984) “Policy Statement on Deception” </w:t>
      </w:r>
      <w:r w:rsidR="00422303">
        <w:rPr>
          <w:szCs w:val="20"/>
        </w:rPr>
        <w:t xml:space="preserve">the role of the FTC has been to ensure that advertising practices are not deceptive. Acts deemed to be deceptive are those that </w:t>
      </w:r>
      <w:r w:rsidR="00422303" w:rsidRPr="005767D1">
        <w:rPr>
          <w:rFonts w:cs="Times-Roman"/>
          <w:szCs w:val="20"/>
        </w:rPr>
        <w:t xml:space="preserve">include a representation </w:t>
      </w:r>
      <w:r w:rsidR="00422303">
        <w:rPr>
          <w:rFonts w:cs="Times-Roman"/>
          <w:szCs w:val="20"/>
        </w:rPr>
        <w:t>or omission that is</w:t>
      </w:r>
      <w:r w:rsidR="00422303" w:rsidRPr="005767D1">
        <w:rPr>
          <w:rFonts w:cs="Times-Roman"/>
          <w:szCs w:val="20"/>
        </w:rPr>
        <w:t xml:space="preserve"> likely</w:t>
      </w:r>
      <w:r w:rsidR="00422303">
        <w:rPr>
          <w:rFonts w:cs="Times-Roman"/>
          <w:szCs w:val="20"/>
        </w:rPr>
        <w:t xml:space="preserve"> to mislead the reasonable consumer</w:t>
      </w:r>
      <w:r w:rsidR="00422303" w:rsidRPr="005767D1">
        <w:rPr>
          <w:rFonts w:cs="Times-Roman"/>
          <w:szCs w:val="20"/>
        </w:rPr>
        <w:t xml:space="preserve"> and the representation or omission is material</w:t>
      </w:r>
      <w:r w:rsidR="00422303">
        <w:rPr>
          <w:szCs w:val="20"/>
        </w:rPr>
        <w:t xml:space="preserve"> (FTC</w:t>
      </w:r>
      <w:r w:rsidR="00942520">
        <w:rPr>
          <w:szCs w:val="20"/>
        </w:rPr>
        <w:t>,</w:t>
      </w:r>
      <w:r w:rsidR="00422303">
        <w:rPr>
          <w:szCs w:val="20"/>
        </w:rPr>
        <w:t xml:space="preserve"> 1984). The second requirement for deception requires that the FTC examine marketing or advertising practices from the viewpoint of the reasonable consumer (FTC</w:t>
      </w:r>
      <w:r w:rsidR="00942520">
        <w:rPr>
          <w:szCs w:val="20"/>
        </w:rPr>
        <w:t>,</w:t>
      </w:r>
      <w:r w:rsidR="00422303">
        <w:rPr>
          <w:szCs w:val="20"/>
        </w:rPr>
        <w:t xml:space="preserve"> 1984). The third element in the FTC’s deception policy states that the omission or misrepresentation of information that is likely to affect the reasonable consumer’s decision making is “material” (1984). Therefore, the FTC requires that advertisers disclose product or performance claims if such claims are material to or affect the reasonable consumer’s decision making (FTC</w:t>
      </w:r>
      <w:r w:rsidR="00942520">
        <w:rPr>
          <w:szCs w:val="20"/>
        </w:rPr>
        <w:t>,</w:t>
      </w:r>
      <w:r w:rsidR="00422303">
        <w:rPr>
          <w:szCs w:val="20"/>
        </w:rPr>
        <w:t xml:space="preserve"> 1984).</w:t>
      </w:r>
    </w:p>
    <w:p w:rsidR="00622175" w:rsidRDefault="00422303" w:rsidP="00A3548E">
      <w:pPr>
        <w:widowControl w:val="0"/>
        <w:autoSpaceDE w:val="0"/>
        <w:autoSpaceDN w:val="0"/>
        <w:adjustRightInd w:val="0"/>
        <w:spacing w:line="480" w:lineRule="auto"/>
        <w:rPr>
          <w:rFonts w:cs="Times-Roman"/>
          <w:szCs w:val="20"/>
        </w:rPr>
      </w:pPr>
      <w:r>
        <w:rPr>
          <w:szCs w:val="20"/>
        </w:rPr>
        <w:tab/>
      </w:r>
      <w:r w:rsidR="00A3548E" w:rsidRPr="005368C6">
        <w:rPr>
          <w:bCs/>
        </w:rPr>
        <w:t>The FTC’s Policy Statement on Deception was crafted “largely in the context of misle</w:t>
      </w:r>
      <w:r w:rsidR="00942520">
        <w:rPr>
          <w:bCs/>
        </w:rPr>
        <w:t>ading product claims” (Petty &amp;</w:t>
      </w:r>
      <w:r w:rsidR="00A3548E" w:rsidRPr="005368C6">
        <w:rPr>
          <w:bCs/>
        </w:rPr>
        <w:t xml:space="preserve"> Andrews</w:t>
      </w:r>
      <w:r w:rsidR="00942520">
        <w:rPr>
          <w:bCs/>
        </w:rPr>
        <w:t>,</w:t>
      </w:r>
      <w:r w:rsidR="00A3548E" w:rsidRPr="005368C6">
        <w:rPr>
          <w:bCs/>
        </w:rPr>
        <w:t xml:space="preserve"> 2008, p 8). Therefore, while advertisements</w:t>
      </w:r>
      <w:r w:rsidR="00A3548E">
        <w:rPr>
          <w:bCs/>
        </w:rPr>
        <w:t xml:space="preserve"> in traditional formats</w:t>
      </w:r>
      <w:r w:rsidR="00A3548E" w:rsidRPr="005368C6">
        <w:rPr>
          <w:bCs/>
        </w:rPr>
        <w:t xml:space="preserve"> are subject to existing CSS guidelines and FTC disclosure mandates, forms of product placement</w:t>
      </w:r>
      <w:r w:rsidR="00A9555B">
        <w:rPr>
          <w:bCs/>
        </w:rPr>
        <w:t xml:space="preserve"> like advergames </w:t>
      </w:r>
      <w:r w:rsidR="00A3548E" w:rsidRPr="005368C6">
        <w:rPr>
          <w:bCs/>
        </w:rPr>
        <w:t xml:space="preserve">are not necessarily held to the same standards due to the lack of product claims and </w:t>
      </w:r>
      <w:r w:rsidR="00A9555B">
        <w:rPr>
          <w:bCs/>
        </w:rPr>
        <w:t xml:space="preserve">brand </w:t>
      </w:r>
      <w:r w:rsidR="00A3548E" w:rsidRPr="005368C6">
        <w:rPr>
          <w:bCs/>
        </w:rPr>
        <w:t>performance expectations. This l</w:t>
      </w:r>
      <w:r w:rsidR="00A3548E">
        <w:rPr>
          <w:bCs/>
        </w:rPr>
        <w:t>ack of regulatory conformity</w:t>
      </w:r>
      <w:r w:rsidR="00A3548E" w:rsidRPr="005368C6">
        <w:rPr>
          <w:bCs/>
        </w:rPr>
        <w:t xml:space="preserve"> garnered attention from </w:t>
      </w:r>
      <w:r w:rsidR="00A3548E">
        <w:rPr>
          <w:bCs/>
        </w:rPr>
        <w:t>the consumer group</w:t>
      </w:r>
      <w:r w:rsidR="00A3548E" w:rsidRPr="005368C6">
        <w:rPr>
          <w:bCs/>
        </w:rPr>
        <w:t xml:space="preserve"> Commercial Alert</w:t>
      </w:r>
      <w:r w:rsidR="00A3548E">
        <w:rPr>
          <w:bCs/>
        </w:rPr>
        <w:t xml:space="preserve"> (2003), who </w:t>
      </w:r>
      <w:r w:rsidR="00A3548E" w:rsidRPr="005368C6">
        <w:rPr>
          <w:bCs/>
        </w:rPr>
        <w:t xml:space="preserve"> </w:t>
      </w:r>
      <w:r w:rsidR="00A3548E">
        <w:rPr>
          <w:bCs/>
        </w:rPr>
        <w:t>“</w:t>
      </w:r>
      <w:r w:rsidR="00A3548E" w:rsidRPr="005368C6">
        <w:rPr>
          <w:bCs/>
        </w:rPr>
        <w:t xml:space="preserve">requested that the FTC </w:t>
      </w:r>
      <w:r w:rsidR="00A3548E">
        <w:rPr>
          <w:bCs/>
        </w:rPr>
        <w:t xml:space="preserve">require </w:t>
      </w:r>
      <w:r w:rsidR="00A3548E" w:rsidRPr="005368C6">
        <w:rPr>
          <w:rFonts w:cs="Times-Roman"/>
          <w:szCs w:val="20"/>
        </w:rPr>
        <w:t xml:space="preserve">advertisers </w:t>
      </w:r>
      <w:r w:rsidR="00A3548E">
        <w:rPr>
          <w:rFonts w:cs="Times-Roman"/>
          <w:szCs w:val="20"/>
        </w:rPr>
        <w:t xml:space="preserve">to </w:t>
      </w:r>
      <w:r w:rsidR="00A3548E" w:rsidRPr="005368C6">
        <w:rPr>
          <w:rFonts w:cs="Times-Roman"/>
          <w:szCs w:val="20"/>
        </w:rPr>
        <w:t>disclose product placements in a</w:t>
      </w:r>
      <w:r w:rsidR="00A3548E">
        <w:rPr>
          <w:rFonts w:cs="Times-Roman"/>
          <w:szCs w:val="20"/>
        </w:rPr>
        <w:t xml:space="preserve"> </w:t>
      </w:r>
      <w:r w:rsidR="00A3548E" w:rsidRPr="005368C6">
        <w:rPr>
          <w:rFonts w:cs="Times-Roman"/>
          <w:szCs w:val="20"/>
        </w:rPr>
        <w:t>clear and conspicuous manner</w:t>
      </w:r>
      <w:r w:rsidR="00942520">
        <w:rPr>
          <w:rFonts w:cs="Times-Roman"/>
          <w:szCs w:val="20"/>
        </w:rPr>
        <w:t>” (Petty &amp;</w:t>
      </w:r>
      <w:r w:rsidR="00A3548E">
        <w:rPr>
          <w:rFonts w:cs="Times-Roman"/>
          <w:szCs w:val="20"/>
        </w:rPr>
        <w:t xml:space="preserve"> Andrews</w:t>
      </w:r>
      <w:r w:rsidR="00942520">
        <w:rPr>
          <w:rFonts w:cs="Times-Roman"/>
          <w:szCs w:val="20"/>
        </w:rPr>
        <w:t>,</w:t>
      </w:r>
      <w:r w:rsidR="00A3548E">
        <w:rPr>
          <w:rFonts w:cs="Times-Roman"/>
          <w:szCs w:val="20"/>
        </w:rPr>
        <w:t xml:space="preserve"> 2008, p. 11). In response, the FTC took action only in regard to misleading objective representations (Commercial Alert</w:t>
      </w:r>
      <w:r w:rsidR="0053153B">
        <w:rPr>
          <w:rFonts w:cs="Times-Roman"/>
          <w:szCs w:val="20"/>
        </w:rPr>
        <w:t>,</w:t>
      </w:r>
      <w:r w:rsidR="00A3548E">
        <w:rPr>
          <w:rFonts w:cs="Times-Roman"/>
          <w:szCs w:val="20"/>
        </w:rPr>
        <w:t xml:space="preserve"> 2005). Furthermore, the FTC took no stance on passive product </w:t>
      </w:r>
      <w:r w:rsidR="00A3548E" w:rsidRPr="00213BB3">
        <w:rPr>
          <w:rFonts w:cs="Times-Roman"/>
          <w:szCs w:val="20"/>
        </w:rPr>
        <w:t>placements stating a lack of objective claims</w:t>
      </w:r>
      <w:r w:rsidR="00A3548E">
        <w:rPr>
          <w:rFonts w:cs="Times-Roman"/>
          <w:szCs w:val="20"/>
        </w:rPr>
        <w:t xml:space="preserve"> and </w:t>
      </w:r>
      <w:r w:rsidR="00A3548E" w:rsidRPr="00213BB3">
        <w:rPr>
          <w:rFonts w:cs="Times-Roman"/>
          <w:szCs w:val="20"/>
        </w:rPr>
        <w:t>a lack of</w:t>
      </w:r>
      <w:r w:rsidR="00A3548E">
        <w:rPr>
          <w:rFonts w:cs="Times-Roman"/>
          <w:szCs w:val="20"/>
        </w:rPr>
        <w:t xml:space="preserve"> </w:t>
      </w:r>
      <w:r w:rsidR="00A3548E" w:rsidRPr="00213BB3">
        <w:rPr>
          <w:rFonts w:cs="Times-Roman"/>
          <w:szCs w:val="20"/>
        </w:rPr>
        <w:t xml:space="preserve">evidence that such claims </w:t>
      </w:r>
      <w:r w:rsidR="00A3548E">
        <w:rPr>
          <w:rFonts w:cs="Times-Roman"/>
          <w:szCs w:val="20"/>
        </w:rPr>
        <w:t>may mislead consumers</w:t>
      </w:r>
      <w:r w:rsidR="00A3548E" w:rsidRPr="00213BB3">
        <w:rPr>
          <w:rFonts w:cs="Times-Roman"/>
          <w:szCs w:val="20"/>
        </w:rPr>
        <w:t xml:space="preserve"> </w:t>
      </w:r>
      <w:r w:rsidR="00A3548E">
        <w:rPr>
          <w:rFonts w:cs="Times-Roman"/>
          <w:szCs w:val="20"/>
        </w:rPr>
        <w:t>as outlined in</w:t>
      </w:r>
      <w:r w:rsidR="00A3548E" w:rsidRPr="00213BB3">
        <w:rPr>
          <w:rFonts w:cs="Times-Roman"/>
          <w:szCs w:val="20"/>
        </w:rPr>
        <w:t xml:space="preserve"> the </w:t>
      </w:r>
      <w:r w:rsidR="00A3548E">
        <w:rPr>
          <w:rFonts w:cs="Times-Roman"/>
          <w:szCs w:val="20"/>
        </w:rPr>
        <w:t xml:space="preserve">FTC’s </w:t>
      </w:r>
      <w:r w:rsidR="00A3548E" w:rsidRPr="00213BB3">
        <w:rPr>
          <w:rFonts w:cs="Times-Roman"/>
          <w:szCs w:val="20"/>
        </w:rPr>
        <w:t>deception policy statement</w:t>
      </w:r>
      <w:r w:rsidR="00A3548E">
        <w:rPr>
          <w:rFonts w:cs="Times-Roman"/>
          <w:szCs w:val="20"/>
        </w:rPr>
        <w:t xml:space="preserve"> (Petty</w:t>
      </w:r>
      <w:r w:rsidR="00942520">
        <w:rPr>
          <w:rFonts w:cs="Times-Roman"/>
          <w:szCs w:val="20"/>
        </w:rPr>
        <w:t xml:space="preserve"> &amp;</w:t>
      </w:r>
      <w:r w:rsidR="00A3548E">
        <w:rPr>
          <w:rFonts w:cs="Times-Roman"/>
          <w:szCs w:val="20"/>
        </w:rPr>
        <w:t xml:space="preserve"> Andrews</w:t>
      </w:r>
      <w:r w:rsidR="0053153B">
        <w:rPr>
          <w:rFonts w:cs="Times-Roman"/>
          <w:szCs w:val="20"/>
        </w:rPr>
        <w:t>,</w:t>
      </w:r>
      <w:r w:rsidR="00A3548E">
        <w:rPr>
          <w:rFonts w:cs="Times-Roman"/>
          <w:szCs w:val="20"/>
        </w:rPr>
        <w:t xml:space="preserve"> 2008). </w:t>
      </w:r>
    </w:p>
    <w:p w:rsidR="00E13DBF" w:rsidRDefault="00622175" w:rsidP="00A3548E">
      <w:pPr>
        <w:widowControl w:val="0"/>
        <w:autoSpaceDE w:val="0"/>
        <w:autoSpaceDN w:val="0"/>
        <w:adjustRightInd w:val="0"/>
        <w:spacing w:line="480" w:lineRule="auto"/>
      </w:pPr>
      <w:r>
        <w:tab/>
        <w:t>Advergames make no explicit claims regarding product performance nor do they incur specific expectations regarding such performance. Accordi</w:t>
      </w:r>
      <w:r w:rsidR="006C4EE9">
        <w:t>ng to this logic, advergames would not</w:t>
      </w:r>
      <w:r>
        <w:t xml:space="preserve"> </w:t>
      </w:r>
      <w:r w:rsidR="006C4EE9">
        <w:t xml:space="preserve">be deemed </w:t>
      </w:r>
      <w:r>
        <w:t>misleading because they do not create expectations in the reasonable consumer (FTC</w:t>
      </w:r>
      <w:r w:rsidR="00942520">
        <w:t>,</w:t>
      </w:r>
      <w:r>
        <w:t xml:space="preserve"> 1984). Advergames </w:t>
      </w:r>
      <w:r w:rsidR="006C4EE9">
        <w:t>would not be</w:t>
      </w:r>
      <w:r>
        <w:t xml:space="preserve"> misleading because the absence of product information, in combination with the lack of product expectations, has no measureable impact on the reasonable consumer’s decision-making process (FTC</w:t>
      </w:r>
      <w:r w:rsidR="00942520">
        <w:t>,</w:t>
      </w:r>
      <w:r>
        <w:t xml:space="preserve"> 1984). In other words, the lack of non-objective information (i.e. information which is not concerned with the product ‘s performance or resultant expectation) is not necessarily “material” to the consumer’s decision making (FTC</w:t>
      </w:r>
      <w:r w:rsidR="00942520">
        <w:t>,</w:t>
      </w:r>
      <w:r>
        <w:t xml:space="preserve"> 1984). Therefore, the FTC’s decision not to take action regarding passive product placements (Commercial Alert</w:t>
      </w:r>
      <w:r w:rsidR="00942520">
        <w:t>,</w:t>
      </w:r>
      <w:r>
        <w:t xml:space="preserve"> 2003; 2005) is based not only on the lack of objective claims but also on what they view as material to the reasonable consumer. The FTC’s decision in this case assumes that the reasonable consumer would have similar attitudes toward</w:t>
      </w:r>
      <w:r w:rsidR="00E13DBF">
        <w:t>s</w:t>
      </w:r>
      <w:r>
        <w:t xml:space="preserve"> </w:t>
      </w:r>
      <w:r w:rsidR="00E13DBF">
        <w:t>a</w:t>
      </w:r>
      <w:r>
        <w:t xml:space="preserve"> brand depicted in an advergame</w:t>
      </w:r>
      <w:r w:rsidR="00E13DBF">
        <w:t>, or an</w:t>
      </w:r>
      <w:r>
        <w:t xml:space="preserve"> advergame itself, even if given additional disclosure information designed to improve </w:t>
      </w:r>
      <w:r w:rsidR="00E13DBF">
        <w:t xml:space="preserve">their </w:t>
      </w:r>
      <w:r>
        <w:t>understand</w:t>
      </w:r>
      <w:r w:rsidR="00E13DBF">
        <w:t>ing</w:t>
      </w:r>
      <w:r>
        <w:t xml:space="preserve"> and recognition of advergames’</w:t>
      </w:r>
      <w:r w:rsidR="006C4EE9">
        <w:t xml:space="preserve"> commercial nature. Recent research</w:t>
      </w:r>
      <w:r>
        <w:t xml:space="preserve"> concerning this statement have resulted in two pertinent findings: 1) children’s understanding of the commercial nature of advergames is not improved through the use of advertising disclosures or</w:t>
      </w:r>
      <w:r w:rsidR="00942520">
        <w:t xml:space="preserve"> breaks within the game (An &amp; </w:t>
      </w:r>
      <w:r>
        <w:t>Stern</w:t>
      </w:r>
      <w:r w:rsidR="00942520">
        <w:t>,</w:t>
      </w:r>
      <w:r>
        <w:t xml:space="preserve"> 2011) and 2) children’s desire for products in advergames are not quelled through the use of additional </w:t>
      </w:r>
      <w:r w:rsidR="00942520">
        <w:t>disclosures or ad-breaks (An &amp;</w:t>
      </w:r>
      <w:r>
        <w:t xml:space="preserve"> Stern</w:t>
      </w:r>
      <w:r w:rsidR="00942520">
        <w:t>,</w:t>
      </w:r>
      <w:r>
        <w:t xml:space="preserve"> 2011). Currently, no such research exists that </w:t>
      </w:r>
      <w:r w:rsidR="006C4EE9">
        <w:t>examines</w:t>
      </w:r>
      <w:r>
        <w:t xml:space="preserve"> a</w:t>
      </w:r>
      <w:r w:rsidR="00844E12">
        <w:t xml:space="preserve">dults or parents in an advergaming </w:t>
      </w:r>
      <w:r>
        <w:t>c</w:t>
      </w:r>
      <w:r w:rsidR="00844E12">
        <w:t>o</w:t>
      </w:r>
      <w:r>
        <w:t xml:space="preserve">ntext.  </w:t>
      </w:r>
    </w:p>
    <w:p w:rsidR="00A9555B" w:rsidRPr="00E13DBF" w:rsidRDefault="00E13DBF" w:rsidP="00A3548E">
      <w:pPr>
        <w:widowControl w:val="0"/>
        <w:autoSpaceDE w:val="0"/>
        <w:autoSpaceDN w:val="0"/>
        <w:adjustRightInd w:val="0"/>
        <w:spacing w:line="480" w:lineRule="auto"/>
        <w:rPr>
          <w:b/>
        </w:rPr>
      </w:pPr>
      <w:r>
        <w:rPr>
          <w:b/>
        </w:rPr>
        <w:t>Disclosure Prevalence in Advergames</w:t>
      </w:r>
    </w:p>
    <w:p w:rsidR="00A3548E" w:rsidRPr="00A9555B" w:rsidRDefault="00A9555B" w:rsidP="00A9555B">
      <w:pPr>
        <w:pStyle w:val="BodyTextIndent2"/>
      </w:pPr>
      <w:r>
        <w:t xml:space="preserve">Research that has focused on the prevalence of advertising disclosures within children’s advergames </w:t>
      </w:r>
      <w:r w:rsidR="00C32336">
        <w:t>reveals</w:t>
      </w:r>
      <w:r>
        <w:t xml:space="preserve"> that marketers do not typically disclose or bring attention to the promotional or commercial nature of the advergame. For example, in a study of the top 40 Web sites representing the top five brands across eight product categories that regularly marketed to children, Weber et al. (2006) found that 63% contained advergames. Of the sites that contained children’s advergames, only 22% labeled advergames as containing advertising content. Moore and Rideout (2006) investigated 96 brands in 2005 that were heavily advertised to children. Of the resulting 77 websites, 73% contained one or more advergames. Only 18% of these sites disclosed its advertising content. Similarly, in an analysis of 130 food and beverage Web sites from 2005, Henry and Story (2009) found that 48% had a designated children’s area. Of these Web sites with designated children’s areas, 85% had advergames with only one-third offering some form of advertising disclosure.</w:t>
      </w:r>
    </w:p>
    <w:p w:rsidR="00A3548E" w:rsidRDefault="00A3548E" w:rsidP="00A3548E">
      <w:pPr>
        <w:widowControl w:val="0"/>
        <w:autoSpaceDE w:val="0"/>
        <w:autoSpaceDN w:val="0"/>
        <w:adjustRightInd w:val="0"/>
        <w:spacing w:line="480" w:lineRule="auto"/>
      </w:pPr>
      <w:r>
        <w:rPr>
          <w:rFonts w:cs="Times-Roman"/>
          <w:szCs w:val="20"/>
        </w:rPr>
        <w:tab/>
        <w:t>Due to their highly embedded and integrated nature, advergames have garnered regulatory attention from the FTC, the Department of Health and Human Services (FTC/DHHS</w:t>
      </w:r>
      <w:r w:rsidR="00942520">
        <w:rPr>
          <w:rFonts w:cs="Times-Roman"/>
          <w:szCs w:val="20"/>
        </w:rPr>
        <w:t>,</w:t>
      </w:r>
      <w:r>
        <w:rPr>
          <w:rFonts w:cs="Times-Roman"/>
          <w:szCs w:val="20"/>
        </w:rPr>
        <w:t xml:space="preserve"> 2005), and self-regulatory attention from the Children’s Advertising Review Unit (CARU</w:t>
      </w:r>
      <w:r w:rsidR="00942520">
        <w:rPr>
          <w:rFonts w:cs="Times-Roman"/>
          <w:szCs w:val="20"/>
        </w:rPr>
        <w:t>,</w:t>
      </w:r>
      <w:r>
        <w:rPr>
          <w:rFonts w:cs="Times-Roman"/>
          <w:szCs w:val="20"/>
        </w:rPr>
        <w:t xml:space="preserve"> 2006). For examp</w:t>
      </w:r>
      <w:r w:rsidR="006C4EE9">
        <w:rPr>
          <w:rFonts w:cs="Times-Roman"/>
          <w:szCs w:val="20"/>
        </w:rPr>
        <w:t>le, in CARU’s revisions to its guidelines it</w:t>
      </w:r>
      <w:r>
        <w:rPr>
          <w:rFonts w:cs="Times-Roman"/>
          <w:szCs w:val="20"/>
        </w:rPr>
        <w:t xml:space="preserve"> </w:t>
      </w:r>
      <w:r>
        <w:t xml:space="preserve">added a section specifically addressing the “Blurring of Advertising and Editorial/Program Content”, which reiterated the issues involved with immersive branded environments and stated, “the advertiser should make clear, in a manner that will be easily understood by the intended audience, that it is an advertisement” (p. 7). Additionally, the self-regulatory focused Children’s Food and Beverage Advertising Initiative (CFBAI) members have made pledges to devote more than half their television, radio, print, and Internet advertising to children under the age of 12, </w:t>
      </w:r>
      <w:r w:rsidR="00844E12">
        <w:t xml:space="preserve">as </w:t>
      </w:r>
      <w:r>
        <w:t>products that they define as better for you or healthier (CBBB</w:t>
      </w:r>
      <w:r w:rsidR="00942520">
        <w:t>,</w:t>
      </w:r>
      <w:r>
        <w:t xml:space="preserve"> 2009). Furthermore, the CFBAI commitments for interactive games, which include advergames, state the following: “Participants will commit that, in any interactive game primarily directed to children under 12 where the company's food or beverage products are incorporated into the game, the interactive game must incorporate or be accompanied by products representing healthy dietary choices… or healthy lifestyle messaging…” (CBBB</w:t>
      </w:r>
      <w:r w:rsidR="00942520">
        <w:t>,</w:t>
      </w:r>
      <w:r>
        <w:t xml:space="preserve"> 2009,</w:t>
      </w:r>
      <w:r w:rsidRPr="0076089A">
        <w:t xml:space="preserve"> p. 57</w:t>
      </w:r>
      <w:r>
        <w:t xml:space="preserve">). </w:t>
      </w:r>
    </w:p>
    <w:p w:rsidR="00A3548E" w:rsidRDefault="00A3548E" w:rsidP="00A3548E">
      <w:pPr>
        <w:widowControl w:val="0"/>
        <w:autoSpaceDE w:val="0"/>
        <w:autoSpaceDN w:val="0"/>
        <w:adjustRightInd w:val="0"/>
        <w:spacing w:line="480" w:lineRule="auto"/>
      </w:pPr>
      <w:r>
        <w:tab/>
        <w:t xml:space="preserve">While the self-regulatory guidelines for CARU and the CFBAI are warranted and needed, especially when one considers the current </w:t>
      </w:r>
      <w:r w:rsidR="006C4EE9">
        <w:t xml:space="preserve">childhood </w:t>
      </w:r>
      <w:r>
        <w:t>obesity problem the United States faces, they a</w:t>
      </w:r>
      <w:r w:rsidR="006C4EE9">
        <w:t>re neither mandated nor are</w:t>
      </w:r>
      <w:r>
        <w:t xml:space="preserve"> held to any specified scientific or industry benchmark. For example, one of the main tenets of the CFBAI guidelines for advertising “better for you” or “healthy lifestyle” products is based on the notion that such advertising should be “consistent with established scientific and/or government standards” (CBBB</w:t>
      </w:r>
      <w:r w:rsidR="00942520">
        <w:t>,</w:t>
      </w:r>
      <w:r>
        <w:t xml:space="preserve"> 2009, p. 57). However, on closer inspection “companies are allowed to choose their own criteria” (Quilliam et al.</w:t>
      </w:r>
      <w:r w:rsidR="00942520">
        <w:t>,</w:t>
      </w:r>
      <w:r>
        <w:t xml:space="preserve"> 2011</w:t>
      </w:r>
      <w:r w:rsidR="00942520">
        <w:t>,</w:t>
      </w:r>
      <w:r>
        <w:t xml:space="preserve"> p. 237). Therefore, adherence to CFBAI “better for you” guidelines does not guarantee that food or beverage advertising to children in advergames, or any advertising for that matter, is in fact healthy for them.  </w:t>
      </w:r>
    </w:p>
    <w:p w:rsidR="00A3548E" w:rsidRDefault="00A3548E" w:rsidP="00A3548E">
      <w:pPr>
        <w:pStyle w:val="BodyTextIndent2"/>
      </w:pPr>
      <w:r>
        <w:t>These individually defined and enforced standards for advergames are an issue not only for the CFBAI commitments but also for CARU’s (2006) guideline revisions. Much like the self-enforced CFBAI commitments, the CARU guidelines simply suggest that advertisers adhere to the “easily understood” principle (CARU</w:t>
      </w:r>
      <w:r w:rsidR="00942520">
        <w:t>,</w:t>
      </w:r>
      <w:r>
        <w:t xml:space="preserve"> 2006, p. 7). Advertisers are neither required to include additional disclosure information, which bring attention to and help individuals understand the commercial nature of the advertisement, nor are they held to any specified benchmark of compliance. </w:t>
      </w:r>
      <w:r>
        <w:tab/>
      </w:r>
    </w:p>
    <w:p w:rsidR="005C6C17" w:rsidRPr="00942520" w:rsidRDefault="00A3548E" w:rsidP="00942520">
      <w:pPr>
        <w:widowControl w:val="0"/>
        <w:autoSpaceDE w:val="0"/>
        <w:autoSpaceDN w:val="0"/>
        <w:adjustRightInd w:val="0"/>
        <w:spacing w:line="480" w:lineRule="auto"/>
      </w:pPr>
      <w:r>
        <w:tab/>
        <w:t>Given that children’s online presence is continually growing and children are accustomed to operating multiple Internet-capable mobile devices (eMarketer.com</w:t>
      </w:r>
      <w:r w:rsidR="00942520">
        <w:t>,</w:t>
      </w:r>
      <w:r>
        <w:t xml:space="preserve"> 2012), it should not be surprising that children are considered the experts in the digital arena (Adweek</w:t>
      </w:r>
      <w:r w:rsidR="00942520">
        <w:t>,</w:t>
      </w:r>
      <w:r>
        <w:t xml:space="preserve"> 2012). Therefore, when children are considered the experts and they have difficulty understanding and recognizing the persuasive intent in advergames, it appears imprudent to assume that adults and parents, merely by </w:t>
      </w:r>
      <w:r w:rsidR="007A3DDC">
        <w:t>possessing more cognitive ability</w:t>
      </w:r>
      <w:r>
        <w:t xml:space="preserve"> and more marketplace experience, </w:t>
      </w:r>
      <w:r w:rsidR="00A9555B">
        <w:t>are able to</w:t>
      </w:r>
      <w:r>
        <w:t xml:space="preserve"> recognize persuasive intent with advergames (Evans et al.</w:t>
      </w:r>
      <w:r w:rsidR="007A3DDC">
        <w:t>,</w:t>
      </w:r>
      <w:r>
        <w:t xml:space="preserve"> </w:t>
      </w:r>
      <w:r w:rsidR="007A3DDC">
        <w:t>2013</w:t>
      </w:r>
      <w:r>
        <w:t>).</w:t>
      </w:r>
    </w:p>
    <w:p w:rsidR="00A3548E" w:rsidRPr="00356444" w:rsidRDefault="00A3548E" w:rsidP="00A3548E">
      <w:pPr>
        <w:spacing w:line="480" w:lineRule="auto"/>
        <w:rPr>
          <w:b/>
        </w:rPr>
      </w:pPr>
      <w:r>
        <w:rPr>
          <w:b/>
        </w:rPr>
        <w:t>Dual Modality Disclosures</w:t>
      </w:r>
    </w:p>
    <w:p w:rsidR="00A3548E" w:rsidRDefault="00A3548E" w:rsidP="00A3548E">
      <w:pPr>
        <w:spacing w:line="480" w:lineRule="auto"/>
      </w:pPr>
      <w:r w:rsidRPr="00003E27">
        <w:tab/>
        <w:t xml:space="preserve">As </w:t>
      </w:r>
      <w:r>
        <w:t xml:space="preserve">one of several </w:t>
      </w:r>
      <w:r w:rsidRPr="00003E27">
        <w:t xml:space="preserve">clear and conspicuous standards (CCS), the FTC (1970, 7569.09) supports the notion that “disclosures </w:t>
      </w:r>
      <w:r w:rsidRPr="00003E27">
        <w:rPr>
          <w:rFonts w:cs="Times-Roman"/>
          <w:color w:val="231F20"/>
          <w:szCs w:val="20"/>
        </w:rPr>
        <w:t>should be presented simultaneously in</w:t>
      </w:r>
      <w:r>
        <w:rPr>
          <w:rFonts w:cs="Times-Roman"/>
          <w:color w:val="231F20"/>
          <w:szCs w:val="20"/>
        </w:rPr>
        <w:t xml:space="preserve"> </w:t>
      </w:r>
      <w:r w:rsidRPr="00003E27">
        <w:rPr>
          <w:rFonts w:cs="Times-Roman"/>
          <w:color w:val="231F20"/>
          <w:szCs w:val="20"/>
        </w:rPr>
        <w:t>both audio and video portions of the advertisement.”</w:t>
      </w:r>
      <w:r>
        <w:rPr>
          <w:rFonts w:cs="Times-Roman"/>
          <w:color w:val="231F20"/>
          <w:szCs w:val="20"/>
        </w:rPr>
        <w:t xml:space="preserve"> Based on Pavio’s (1971) dual-code theory, the presentation of material in more than one modality</w:t>
      </w:r>
      <w:r w:rsidR="007A3DDC">
        <w:rPr>
          <w:rFonts w:cs="Times-Roman"/>
          <w:color w:val="231F20"/>
          <w:szCs w:val="20"/>
        </w:rPr>
        <w:t xml:space="preserve"> (i.e. audio and visual)</w:t>
      </w:r>
      <w:r>
        <w:rPr>
          <w:rFonts w:cs="Times-Roman"/>
          <w:color w:val="231F20"/>
          <w:szCs w:val="20"/>
        </w:rPr>
        <w:t xml:space="preserve">, predicts better memory of that material compared to information appearing in just one modality. </w:t>
      </w:r>
      <w:r>
        <w:t>The use of both audio and video formats in the context of advertising disclosures is known as dual modality and</w:t>
      </w:r>
      <w:r w:rsidRPr="00A73893">
        <w:t xml:space="preserve"> is superior to single modality (i.e. print or audio only) (Andrews</w:t>
      </w:r>
      <w:r w:rsidR="00942520">
        <w:t>,</w:t>
      </w:r>
      <w:r w:rsidRPr="00A73893">
        <w:t xml:space="preserve"> 2011).</w:t>
      </w:r>
      <w:r>
        <w:t xml:space="preserve"> </w:t>
      </w:r>
    </w:p>
    <w:p w:rsidR="00E13DBF" w:rsidRDefault="00A3548E" w:rsidP="00E13DBF">
      <w:pPr>
        <w:widowControl w:val="0"/>
        <w:autoSpaceDE w:val="0"/>
        <w:autoSpaceDN w:val="0"/>
        <w:adjustRightInd w:val="0"/>
        <w:spacing w:line="480" w:lineRule="auto"/>
      </w:pPr>
      <w:r>
        <w:tab/>
        <w:t xml:space="preserve">Morris, Mazis, and Brinberg (1989) demonstrated that participants had greater risk awareness and knowledge of prescription drug advertising when exposed to dual modality disclosures compared to single modality disclosures. </w:t>
      </w:r>
      <w:r w:rsidR="005C6C17">
        <w:t>T</w:t>
      </w:r>
      <w:r>
        <w:t xml:space="preserve">he use of dual modality disclosures for alcohol advertising on television </w:t>
      </w:r>
      <w:r w:rsidR="005C6C17">
        <w:t xml:space="preserve">has </w:t>
      </w:r>
      <w:r>
        <w:t>resulted in better recall than participants exposed to audio warnings alone</w:t>
      </w:r>
      <w:r w:rsidR="005C6C17">
        <w:t xml:space="preserve"> (Barlow &amp; Woglater, 1993; Smith, 1990)</w:t>
      </w:r>
      <w:r>
        <w:t xml:space="preserve">. </w:t>
      </w:r>
      <w:r w:rsidR="005C6C17">
        <w:t xml:space="preserve">Additionally, </w:t>
      </w:r>
      <w:r w:rsidRPr="00364DE2">
        <w:t>Mur</w:t>
      </w:r>
      <w:r>
        <w:t>r</w:t>
      </w:r>
      <w:r w:rsidRPr="00364DE2">
        <w:t xml:space="preserve">ay, Manrai, and Manrai </w:t>
      </w:r>
      <w:r>
        <w:t>(</w:t>
      </w:r>
      <w:r w:rsidRPr="00364DE2">
        <w:t>1998)</w:t>
      </w:r>
      <w:r>
        <w:t xml:space="preserve"> demonstrated that the use of dual modality disclosures is more effective in ensuring information comprehension compared to single modality presentations.</w:t>
      </w:r>
    </w:p>
    <w:p w:rsidR="00A3548E" w:rsidRPr="00364DE2" w:rsidRDefault="00E13DBF" w:rsidP="00A3548E">
      <w:pPr>
        <w:spacing w:line="480" w:lineRule="auto"/>
        <w:rPr>
          <w:b/>
        </w:rPr>
      </w:pPr>
      <w:r>
        <w:tab/>
      </w:r>
      <w:r w:rsidR="00A3548E">
        <w:t>Given the effectiveness of dual</w:t>
      </w:r>
      <w:r w:rsidR="007A3DDC">
        <w:t xml:space="preserve"> modality</w:t>
      </w:r>
      <w:r w:rsidR="00A3548E">
        <w:t xml:space="preserve"> disclosures in generating awareness, knowledge, and comprehension across a variety of subjects, the following hypotheses are generated to test the effects of advertising disclosures in children’s advergames on parents’ act</w:t>
      </w:r>
      <w:r w:rsidR="00422303">
        <w:t>ivation of persuasion knowledge and</w:t>
      </w:r>
      <w:r w:rsidR="00A3548E">
        <w:t xml:space="preserve"> attitudes towa</w:t>
      </w:r>
      <w:r w:rsidR="00422303">
        <w:t>rd advergames.</w:t>
      </w:r>
    </w:p>
    <w:p w:rsidR="00A3548E" w:rsidRDefault="00A3548E" w:rsidP="00A3548E">
      <w:pPr>
        <w:ind w:left="720"/>
        <w:rPr>
          <w:i/>
          <w:iCs/>
        </w:rPr>
      </w:pPr>
      <w:r w:rsidRPr="00F33ADD">
        <w:rPr>
          <w:rFonts w:ascii="新細明體" w:eastAsia="新細明體" w:hAnsi="新細明體" w:cs="新細明體" w:hint="eastAsia"/>
          <w:i/>
          <w:iCs/>
        </w:rPr>
        <w:t></w:t>
      </w:r>
      <w:r w:rsidRPr="00F33ADD">
        <w:rPr>
          <w:b/>
          <w:bCs/>
          <w:i/>
          <w:iCs/>
        </w:rPr>
        <w:t>H1</w:t>
      </w:r>
      <w:r>
        <w:rPr>
          <w:i/>
          <w:iCs/>
        </w:rPr>
        <w:t xml:space="preserve">: </w:t>
      </w:r>
      <w:r>
        <w:rPr>
          <w:i/>
          <w:iCs/>
        </w:rPr>
        <w:tab/>
        <w:t>Parents exposed to a dual modality ad-d</w:t>
      </w:r>
      <w:r w:rsidRPr="00F33ADD">
        <w:rPr>
          <w:i/>
          <w:iCs/>
        </w:rPr>
        <w:t xml:space="preserve">isclosure </w:t>
      </w:r>
      <w:r>
        <w:rPr>
          <w:i/>
          <w:iCs/>
        </w:rPr>
        <w:t xml:space="preserve">treatment will report higher </w:t>
      </w:r>
      <w:r>
        <w:rPr>
          <w:i/>
          <w:iCs/>
        </w:rPr>
        <w:tab/>
        <w:t>levels of</w:t>
      </w:r>
      <w:r w:rsidRPr="00F33ADD">
        <w:rPr>
          <w:i/>
          <w:iCs/>
        </w:rPr>
        <w:t xml:space="preserve"> persuasion knowledge</w:t>
      </w:r>
      <w:r>
        <w:rPr>
          <w:i/>
          <w:iCs/>
        </w:rPr>
        <w:t xml:space="preserve"> than parents </w:t>
      </w:r>
      <w:r>
        <w:rPr>
          <w:i/>
          <w:iCs/>
        </w:rPr>
        <w:tab/>
        <w:t>exposed to a s</w:t>
      </w:r>
      <w:r w:rsidRPr="00F33ADD">
        <w:rPr>
          <w:i/>
          <w:iCs/>
        </w:rPr>
        <w:t xml:space="preserve">ingle </w:t>
      </w:r>
      <w:r>
        <w:rPr>
          <w:i/>
          <w:iCs/>
        </w:rPr>
        <w:t>modality ad-</w:t>
      </w:r>
      <w:r>
        <w:rPr>
          <w:i/>
          <w:iCs/>
        </w:rPr>
        <w:tab/>
        <w:t>disclosure treatment</w:t>
      </w:r>
      <w:r w:rsidRPr="00F33ADD">
        <w:rPr>
          <w:i/>
          <w:iCs/>
        </w:rPr>
        <w:t>.</w:t>
      </w:r>
    </w:p>
    <w:p w:rsidR="00A3548E" w:rsidRPr="00F33ADD" w:rsidRDefault="00A3548E" w:rsidP="00A3548E">
      <w:pPr>
        <w:ind w:left="720"/>
        <w:rPr>
          <w:i/>
          <w:iCs/>
        </w:rPr>
      </w:pPr>
    </w:p>
    <w:p w:rsidR="00A3548E" w:rsidRDefault="00A3548E" w:rsidP="00A3548E">
      <w:pPr>
        <w:ind w:left="720"/>
        <w:rPr>
          <w:i/>
          <w:iCs/>
        </w:rPr>
      </w:pPr>
      <w:r w:rsidRPr="00F33ADD">
        <w:rPr>
          <w:rFonts w:ascii="新細明體" w:eastAsia="新細明體" w:hAnsi="新細明體" w:cs="新細明體" w:hint="eastAsia"/>
          <w:i/>
          <w:iCs/>
        </w:rPr>
        <w:t></w:t>
      </w:r>
      <w:r w:rsidRPr="00F33ADD">
        <w:rPr>
          <w:b/>
          <w:bCs/>
          <w:i/>
          <w:iCs/>
        </w:rPr>
        <w:t>H</w:t>
      </w:r>
      <w:r w:rsidR="00422303">
        <w:rPr>
          <w:b/>
          <w:bCs/>
          <w:i/>
          <w:iCs/>
        </w:rPr>
        <w:t>2</w:t>
      </w:r>
      <w:r w:rsidRPr="00F33ADD">
        <w:rPr>
          <w:i/>
          <w:iCs/>
        </w:rPr>
        <w:t xml:space="preserve">:  </w:t>
      </w:r>
      <w:r>
        <w:rPr>
          <w:i/>
          <w:iCs/>
        </w:rPr>
        <w:tab/>
        <w:t>Parents exposed to a single modality ad-d</w:t>
      </w:r>
      <w:r w:rsidRPr="00F33ADD">
        <w:rPr>
          <w:i/>
          <w:iCs/>
        </w:rPr>
        <w:t>isclosure</w:t>
      </w:r>
      <w:r w:rsidRPr="00586581">
        <w:rPr>
          <w:i/>
          <w:iCs/>
        </w:rPr>
        <w:t xml:space="preserve"> </w:t>
      </w:r>
      <w:r>
        <w:rPr>
          <w:i/>
          <w:iCs/>
        </w:rPr>
        <w:t>treatment</w:t>
      </w:r>
      <w:r w:rsidRPr="00F33ADD">
        <w:rPr>
          <w:i/>
          <w:iCs/>
        </w:rPr>
        <w:t xml:space="preserve"> </w:t>
      </w:r>
      <w:r>
        <w:rPr>
          <w:i/>
          <w:iCs/>
        </w:rPr>
        <w:t xml:space="preserve">will report higher </w:t>
      </w:r>
      <w:r>
        <w:rPr>
          <w:i/>
          <w:iCs/>
        </w:rPr>
        <w:tab/>
        <w:t>levels of</w:t>
      </w:r>
      <w:r w:rsidRPr="00F33ADD">
        <w:rPr>
          <w:i/>
          <w:iCs/>
        </w:rPr>
        <w:t xml:space="preserve"> persuasion knowledge</w:t>
      </w:r>
      <w:r>
        <w:rPr>
          <w:i/>
          <w:iCs/>
        </w:rPr>
        <w:t xml:space="preserve"> than parents </w:t>
      </w:r>
      <w:r>
        <w:rPr>
          <w:i/>
          <w:iCs/>
        </w:rPr>
        <w:tab/>
        <w:t>exposed to a no ad-d</w:t>
      </w:r>
      <w:r w:rsidRPr="00F33ADD">
        <w:rPr>
          <w:i/>
          <w:iCs/>
        </w:rPr>
        <w:t xml:space="preserve">isclosure </w:t>
      </w:r>
      <w:r>
        <w:rPr>
          <w:i/>
          <w:iCs/>
        </w:rPr>
        <w:tab/>
        <w:t>treatment</w:t>
      </w:r>
      <w:r w:rsidRPr="00F33ADD">
        <w:rPr>
          <w:i/>
          <w:iCs/>
        </w:rPr>
        <w:t>.</w:t>
      </w:r>
    </w:p>
    <w:p w:rsidR="00A3548E" w:rsidRPr="00F33ADD" w:rsidRDefault="00A3548E" w:rsidP="00A3548E">
      <w:pPr>
        <w:ind w:left="720"/>
        <w:rPr>
          <w:i/>
          <w:iCs/>
        </w:rPr>
      </w:pPr>
    </w:p>
    <w:p w:rsidR="00A3548E" w:rsidRDefault="00A3548E" w:rsidP="00A3548E">
      <w:pPr>
        <w:ind w:left="720"/>
        <w:rPr>
          <w:i/>
          <w:iCs/>
        </w:rPr>
      </w:pPr>
      <w:r w:rsidRPr="00F33ADD">
        <w:rPr>
          <w:rFonts w:ascii="新細明體" w:eastAsia="新細明體" w:hAnsi="新細明體" w:cs="新細明體" w:hint="eastAsia"/>
          <w:i/>
          <w:iCs/>
        </w:rPr>
        <w:t></w:t>
      </w:r>
      <w:r w:rsidRPr="00F33ADD">
        <w:rPr>
          <w:b/>
          <w:bCs/>
          <w:i/>
          <w:iCs/>
        </w:rPr>
        <w:t>H</w:t>
      </w:r>
      <w:r w:rsidR="00422303">
        <w:rPr>
          <w:b/>
          <w:bCs/>
          <w:i/>
          <w:iCs/>
        </w:rPr>
        <w:t>3</w:t>
      </w:r>
      <w:r w:rsidRPr="00F33ADD">
        <w:rPr>
          <w:i/>
          <w:iCs/>
        </w:rPr>
        <w:t xml:space="preserve">:  </w:t>
      </w:r>
      <w:r>
        <w:rPr>
          <w:i/>
          <w:iCs/>
        </w:rPr>
        <w:tab/>
        <w:t>Parents exposed to a dual modality ad-disclosure treatment will report more</w:t>
      </w:r>
      <w:r w:rsidRPr="00F33ADD">
        <w:rPr>
          <w:i/>
          <w:iCs/>
        </w:rPr>
        <w:t xml:space="preserve"> </w:t>
      </w:r>
      <w:r>
        <w:rPr>
          <w:i/>
          <w:iCs/>
        </w:rPr>
        <w:tab/>
      </w:r>
      <w:r w:rsidRPr="00F33ADD">
        <w:rPr>
          <w:i/>
          <w:iCs/>
        </w:rPr>
        <w:t xml:space="preserve">negative attitudes </w:t>
      </w:r>
      <w:r>
        <w:rPr>
          <w:i/>
          <w:iCs/>
        </w:rPr>
        <w:t>toward children’s</w:t>
      </w:r>
      <w:r w:rsidRPr="00F33ADD">
        <w:rPr>
          <w:i/>
          <w:iCs/>
        </w:rPr>
        <w:t xml:space="preserve"> advergame</w:t>
      </w:r>
      <w:r>
        <w:rPr>
          <w:i/>
          <w:iCs/>
        </w:rPr>
        <w:t>s</w:t>
      </w:r>
      <w:r w:rsidRPr="00F33ADD">
        <w:rPr>
          <w:i/>
          <w:iCs/>
        </w:rPr>
        <w:t xml:space="preserve"> </w:t>
      </w:r>
      <w:r>
        <w:rPr>
          <w:i/>
          <w:iCs/>
        </w:rPr>
        <w:t xml:space="preserve">than parents exposed to a single </w:t>
      </w:r>
      <w:r>
        <w:rPr>
          <w:i/>
          <w:iCs/>
        </w:rPr>
        <w:tab/>
        <w:t>modality ad-disclosure treatment</w:t>
      </w:r>
      <w:r w:rsidRPr="00F33ADD">
        <w:rPr>
          <w:i/>
          <w:iCs/>
        </w:rPr>
        <w:t>.</w:t>
      </w:r>
    </w:p>
    <w:p w:rsidR="00A3548E" w:rsidRPr="00F33ADD" w:rsidRDefault="00A3548E" w:rsidP="00A3548E">
      <w:pPr>
        <w:ind w:left="720"/>
        <w:rPr>
          <w:i/>
          <w:iCs/>
        </w:rPr>
      </w:pPr>
    </w:p>
    <w:p w:rsidR="00963FA7" w:rsidRDefault="00A3548E" w:rsidP="00A3548E">
      <w:pPr>
        <w:ind w:left="720"/>
        <w:rPr>
          <w:i/>
          <w:iCs/>
        </w:rPr>
      </w:pPr>
      <w:r w:rsidRPr="00F33ADD">
        <w:rPr>
          <w:rFonts w:ascii="新細明體" w:eastAsia="新細明體" w:hAnsi="新細明體" w:cs="新細明體" w:hint="eastAsia"/>
          <w:i/>
          <w:iCs/>
        </w:rPr>
        <w:t></w:t>
      </w:r>
      <w:r w:rsidRPr="00F33ADD">
        <w:rPr>
          <w:b/>
          <w:bCs/>
          <w:i/>
          <w:iCs/>
        </w:rPr>
        <w:t>H</w:t>
      </w:r>
      <w:r w:rsidR="00422303">
        <w:rPr>
          <w:b/>
          <w:bCs/>
          <w:i/>
          <w:iCs/>
        </w:rPr>
        <w:t>4</w:t>
      </w:r>
      <w:r w:rsidRPr="00F33ADD">
        <w:rPr>
          <w:i/>
          <w:iCs/>
        </w:rPr>
        <w:t xml:space="preserve">:  </w:t>
      </w:r>
      <w:r>
        <w:rPr>
          <w:i/>
          <w:iCs/>
        </w:rPr>
        <w:tab/>
        <w:t>Parents exposed to a single modality ad-d</w:t>
      </w:r>
      <w:r w:rsidRPr="00F33ADD">
        <w:rPr>
          <w:i/>
          <w:iCs/>
        </w:rPr>
        <w:t xml:space="preserve">isclosure </w:t>
      </w:r>
      <w:r>
        <w:rPr>
          <w:i/>
          <w:iCs/>
        </w:rPr>
        <w:t xml:space="preserve">treatment will report more </w:t>
      </w:r>
      <w:r>
        <w:rPr>
          <w:i/>
          <w:iCs/>
        </w:rPr>
        <w:tab/>
        <w:t>negative attitudes toward children’s advergames than parents exposed to a no ad-</w:t>
      </w:r>
      <w:r>
        <w:rPr>
          <w:i/>
          <w:iCs/>
        </w:rPr>
        <w:tab/>
        <w:t>disclosure treatment</w:t>
      </w:r>
      <w:r w:rsidRPr="00F33ADD">
        <w:rPr>
          <w:i/>
          <w:iCs/>
        </w:rPr>
        <w:t>.</w:t>
      </w:r>
    </w:p>
    <w:p w:rsidR="00963FA7" w:rsidRDefault="00963FA7" w:rsidP="00A3548E">
      <w:pPr>
        <w:ind w:left="720"/>
        <w:rPr>
          <w:i/>
          <w:iCs/>
        </w:rPr>
      </w:pPr>
    </w:p>
    <w:p w:rsidR="00963FA7" w:rsidRDefault="00963FA7" w:rsidP="00963FA7">
      <w:pPr>
        <w:rPr>
          <w:i/>
          <w:iCs/>
        </w:rPr>
      </w:pPr>
    </w:p>
    <w:p w:rsidR="00A3548E" w:rsidRDefault="00A3548E" w:rsidP="00A3548E">
      <w:pPr>
        <w:spacing w:line="480" w:lineRule="auto"/>
        <w:rPr>
          <w:b/>
          <w:bCs/>
        </w:rPr>
      </w:pPr>
      <w:r>
        <w:rPr>
          <w:b/>
          <w:bCs/>
        </w:rPr>
        <w:t>Cognitive Capacity</w:t>
      </w:r>
    </w:p>
    <w:p w:rsidR="00B75E34" w:rsidRDefault="00A3548E" w:rsidP="00A3548E">
      <w:pPr>
        <w:spacing w:line="480" w:lineRule="auto"/>
      </w:pPr>
      <w:r>
        <w:tab/>
        <w:t>Situated in information processing theory, cognitive capacity is defined as the amount of mental resources one can devote to any given stimulus or activity. Lang’s (2000) limited cognitive capacity theory states that “one’s total cognitive capacity at any one point in time is limited and the capacity being used to perform one task cannot be used to perform another task” (Yun</w:t>
      </w:r>
      <w:r w:rsidR="00942520">
        <w:t>,</w:t>
      </w:r>
      <w:r>
        <w:t xml:space="preserve"> 2009, p. 405). </w:t>
      </w:r>
      <w:r w:rsidR="00B75E34">
        <w:t>According to Lang’s (2000) limited cognitive capacity theory, multitasking is not possible. While our attention and mental resources can shift very quickly from one task to another, we can never focus simultaneously on two tasks at a given point in time. In other words, cognitive capacity is finite and undividable.</w:t>
      </w:r>
    </w:p>
    <w:p w:rsidR="0015673D" w:rsidRDefault="00B75E34" w:rsidP="00A3548E">
      <w:pPr>
        <w:spacing w:line="480" w:lineRule="auto"/>
      </w:pPr>
      <w:r>
        <w:tab/>
      </w:r>
      <w:r w:rsidR="00A3548E">
        <w:t>The ab</w:t>
      </w:r>
      <w:r>
        <w:t>ility to recognize advertising and understand its</w:t>
      </w:r>
      <w:r w:rsidR="00A3548E">
        <w:t xml:space="preserve"> persuasive</w:t>
      </w:r>
      <w:r>
        <w:t xml:space="preserve"> and selling</w:t>
      </w:r>
      <w:r w:rsidR="00A3548E">
        <w:t xml:space="preserve"> intent requires cognitive capacity (Campbell </w:t>
      </w:r>
      <w:r w:rsidR="005C6C17">
        <w:t>&amp; Kirmani, 2000; Friestad &amp;</w:t>
      </w:r>
      <w:r w:rsidR="00A3548E">
        <w:t xml:space="preserve"> Wright</w:t>
      </w:r>
      <w:r w:rsidR="005C6C17">
        <w:t>,</w:t>
      </w:r>
      <w:r w:rsidR="00A3548E">
        <w:t xml:space="preserve"> 199</w:t>
      </w:r>
      <w:r w:rsidR="0009769A">
        <w:t xml:space="preserve">4). Our mental resources are constantly shifting from task to task during any given day. When individuals’ </w:t>
      </w:r>
      <w:r w:rsidR="00A3548E">
        <w:t xml:space="preserve">perform </w:t>
      </w:r>
      <w:r w:rsidR="0009769A">
        <w:t xml:space="preserve">such </w:t>
      </w:r>
      <w:r w:rsidR="00A3548E">
        <w:t>tasks</w:t>
      </w:r>
      <w:r w:rsidR="0009769A">
        <w:t>, no matter how mundane,</w:t>
      </w:r>
      <w:r w:rsidR="00A3548E">
        <w:t xml:space="preserve"> while simultaneously exposed to </w:t>
      </w:r>
      <w:r w:rsidR="0009769A">
        <w:t>a persuasive attempt</w:t>
      </w:r>
      <w:r w:rsidR="00A3548E">
        <w:t>, their cognitive capacity shifts toward task completi</w:t>
      </w:r>
      <w:r w:rsidR="0009769A">
        <w:t>on and away from determining the</w:t>
      </w:r>
      <w:r w:rsidR="00A3548E">
        <w:t xml:space="preserve"> persuasive </w:t>
      </w:r>
      <w:r w:rsidR="0009769A">
        <w:t>or selling intent therein</w:t>
      </w:r>
      <w:r w:rsidR="005C6C17">
        <w:t xml:space="preserve"> (Campbell &amp; Kirmani, 2000; Friestad &amp; Wright, 1994)</w:t>
      </w:r>
      <w:r w:rsidR="0009769A">
        <w:t xml:space="preserve">. Gilbert and Osborne (1989) refer to these commonplace tasks as ubiquitous features of everyday life. For example, when a mother is watching her child play an advergame and the phone rings, her attention is drawn to the task at hand (i.e. answering the phone) and away from the persuasive episode (i.e. the advergame). The </w:t>
      </w:r>
      <w:r w:rsidR="0015673D">
        <w:t>cognitive demands</w:t>
      </w:r>
      <w:r w:rsidR="0009769A">
        <w:t xml:space="preserve"> required to answer the </w:t>
      </w:r>
      <w:r w:rsidR="008507A0">
        <w:t>phone theoretically detracts</w:t>
      </w:r>
      <w:r w:rsidR="0009769A">
        <w:t xml:space="preserve"> from </w:t>
      </w:r>
      <w:r w:rsidR="0015673D">
        <w:t xml:space="preserve">her </w:t>
      </w:r>
      <w:r w:rsidR="0009769A">
        <w:t xml:space="preserve">ability to determine the persuasive and selling intent within a children’s advergame. </w:t>
      </w:r>
      <w:r w:rsidR="0015673D">
        <w:t>Campbell and Kirmani (2000) conceive that, “…using persuasion knowledge would seem to require cognitive capacity in most circumstances… persuasion knowledge is less likely to be used in forming an impression of a salesperson</w:t>
      </w:r>
      <w:r w:rsidR="005C6C17">
        <w:t xml:space="preserve"> (or advergame)</w:t>
      </w:r>
      <w:r w:rsidR="0015673D">
        <w:t xml:space="preserve"> when the consumer has competing cognitive demands” (p. 71). </w:t>
      </w:r>
    </w:p>
    <w:p w:rsidR="0015673D" w:rsidRPr="0015673D" w:rsidRDefault="0015673D" w:rsidP="00A3548E">
      <w:pPr>
        <w:spacing w:line="480" w:lineRule="auto"/>
        <w:rPr>
          <w:b/>
        </w:rPr>
      </w:pPr>
      <w:r>
        <w:rPr>
          <w:b/>
        </w:rPr>
        <w:t>Cognitive Load</w:t>
      </w:r>
    </w:p>
    <w:p w:rsidR="008975E2" w:rsidRDefault="0015673D" w:rsidP="009140D7">
      <w:pPr>
        <w:widowControl w:val="0"/>
        <w:autoSpaceDE w:val="0"/>
        <w:autoSpaceDN w:val="0"/>
        <w:adjustRightInd w:val="0"/>
        <w:spacing w:line="480" w:lineRule="auto"/>
      </w:pPr>
      <w:r w:rsidRPr="009140D7">
        <w:tab/>
      </w:r>
      <w:r w:rsidR="00A3548E" w:rsidRPr="009140D7">
        <w:t xml:space="preserve">When individuals perform </w:t>
      </w:r>
      <w:r w:rsidRPr="009140D7">
        <w:t xml:space="preserve">tasks during </w:t>
      </w:r>
      <w:r w:rsidR="009140D7">
        <w:t>simultaneous exposure to an advertising</w:t>
      </w:r>
      <w:r w:rsidRPr="009140D7">
        <w:t xml:space="preserve"> episode </w:t>
      </w:r>
      <w:r w:rsidR="002E4B35">
        <w:t>they can become</w:t>
      </w:r>
      <w:r w:rsidR="0009769A" w:rsidRPr="009140D7">
        <w:t xml:space="preserve"> cognitively loaded</w:t>
      </w:r>
      <w:r w:rsidR="00942520">
        <w:t xml:space="preserve"> (Yoon, Choi &amp;</w:t>
      </w:r>
      <w:r w:rsidR="00A3548E" w:rsidRPr="009140D7">
        <w:t xml:space="preserve"> Song</w:t>
      </w:r>
      <w:r w:rsidR="00942520">
        <w:t>,</w:t>
      </w:r>
      <w:r w:rsidR="00A3548E" w:rsidRPr="009140D7">
        <w:t xml:space="preserve"> 2011).</w:t>
      </w:r>
      <w:r w:rsidR="009140D7">
        <w:t xml:space="preserve"> Their c</w:t>
      </w:r>
      <w:r w:rsidR="009140D7" w:rsidRPr="009140D7">
        <w:t xml:space="preserve">ognitive capacity is reduced and full mental resources cannot be devoted to determining the persuasive intent of advertising episodes. </w:t>
      </w:r>
      <w:r w:rsidR="009140D7">
        <w:t>“Cognitive load (CL) has been</w:t>
      </w:r>
      <w:r w:rsidR="008507A0" w:rsidRPr="009140D7">
        <w:t xml:space="preserve"> defined as the mental load imposed on the cognitive system of the learner by a certain task” (</w:t>
      </w:r>
      <w:r w:rsidR="00942520">
        <w:rPr>
          <w:rFonts w:cs="Times-Roman"/>
          <w:szCs w:val="16"/>
        </w:rPr>
        <w:t xml:space="preserve">Camp, Paas, Rikers </w:t>
      </w:r>
      <w:r w:rsidR="008507A0" w:rsidRPr="009140D7">
        <w:rPr>
          <w:rFonts w:cs="Times-Roman"/>
          <w:szCs w:val="16"/>
        </w:rPr>
        <w:t xml:space="preserve">&amp; van Merriënboer, 2001, p. 576). </w:t>
      </w:r>
      <w:r w:rsidR="009140D7">
        <w:rPr>
          <w:rFonts w:cs="Times-Roman"/>
          <w:szCs w:val="16"/>
        </w:rPr>
        <w:t>CL has also been defined as the perceived effort invested by an individual during task completion (</w:t>
      </w:r>
      <w:r w:rsidR="008F55C7" w:rsidRPr="00B331C9">
        <w:rPr>
          <w:rFonts w:cs="MinionPro-Regular"/>
          <w:szCs w:val="18"/>
        </w:rPr>
        <w:t xml:space="preserve">Yin, </w:t>
      </w:r>
      <w:r w:rsidR="00942520">
        <w:rPr>
          <w:rFonts w:cs="MinionPro-Regular"/>
          <w:szCs w:val="18"/>
        </w:rPr>
        <w:t>Chen, Ruiz</w:t>
      </w:r>
      <w:r w:rsidR="008F55C7">
        <w:rPr>
          <w:rFonts w:cs="MinionPro-Regular"/>
          <w:szCs w:val="18"/>
        </w:rPr>
        <w:t xml:space="preserve"> &amp; </w:t>
      </w:r>
      <w:r w:rsidR="008F55C7" w:rsidRPr="00B331C9">
        <w:rPr>
          <w:rFonts w:cs="MinionPro-Regular"/>
          <w:szCs w:val="18"/>
        </w:rPr>
        <w:t>Ambikairajah</w:t>
      </w:r>
      <w:r w:rsidR="008F55C7">
        <w:rPr>
          <w:rFonts w:cs="Times-Roman"/>
          <w:szCs w:val="16"/>
        </w:rPr>
        <w:t xml:space="preserve">, 2008). </w:t>
      </w:r>
      <w:r w:rsidR="002E4B35">
        <w:rPr>
          <w:rFonts w:cs="Times-Roman"/>
          <w:szCs w:val="16"/>
        </w:rPr>
        <w:t xml:space="preserve">While there exists disagreement on the appropriateness </w:t>
      </w:r>
      <w:r w:rsidR="0069467B">
        <w:rPr>
          <w:rFonts w:cs="Times-Roman"/>
          <w:szCs w:val="16"/>
        </w:rPr>
        <w:t>of a single technique</w:t>
      </w:r>
      <w:r w:rsidR="002E4B35">
        <w:rPr>
          <w:rFonts w:cs="Times-Roman"/>
          <w:szCs w:val="16"/>
        </w:rPr>
        <w:t>, there</w:t>
      </w:r>
      <w:r w:rsidR="0069467B">
        <w:rPr>
          <w:rFonts w:cs="Times-Roman"/>
          <w:szCs w:val="16"/>
        </w:rPr>
        <w:t xml:space="preserve"> are four generally agreed </w:t>
      </w:r>
      <w:r w:rsidR="005C6C17">
        <w:rPr>
          <w:rFonts w:cs="Times-Roman"/>
          <w:szCs w:val="16"/>
        </w:rPr>
        <w:t xml:space="preserve">upon </w:t>
      </w:r>
      <w:r w:rsidR="0069467B">
        <w:rPr>
          <w:rFonts w:cs="Times-Roman"/>
          <w:szCs w:val="16"/>
        </w:rPr>
        <w:t>methods for measuring CL</w:t>
      </w:r>
      <w:r w:rsidR="002E4B35">
        <w:rPr>
          <w:rFonts w:cs="Times-Roman"/>
          <w:szCs w:val="16"/>
        </w:rPr>
        <w:t xml:space="preserve">: </w:t>
      </w:r>
      <w:r w:rsidR="0069467B" w:rsidRPr="0069467B">
        <w:rPr>
          <w:rFonts w:cs="Times-Roman"/>
          <w:i/>
          <w:szCs w:val="20"/>
        </w:rPr>
        <w:t>rating scale techniques,</w:t>
      </w:r>
      <w:r w:rsidR="002E4B35" w:rsidRPr="0069467B">
        <w:rPr>
          <w:rFonts w:cs="Times-Roman"/>
          <w:i/>
          <w:szCs w:val="20"/>
        </w:rPr>
        <w:t xml:space="preserve"> physiological technique</w:t>
      </w:r>
      <w:r w:rsidR="0069467B" w:rsidRPr="0069467B">
        <w:rPr>
          <w:rFonts w:cs="Times-Roman"/>
          <w:i/>
          <w:szCs w:val="20"/>
        </w:rPr>
        <w:t>s, performance-based techniques,</w:t>
      </w:r>
      <w:r w:rsidR="005C6C17">
        <w:rPr>
          <w:rFonts w:cs="Times-Roman"/>
          <w:i/>
          <w:szCs w:val="20"/>
        </w:rPr>
        <w:t xml:space="preserve"> </w:t>
      </w:r>
      <w:r w:rsidR="005C6C17">
        <w:rPr>
          <w:rFonts w:cs="Times-Roman"/>
          <w:szCs w:val="20"/>
        </w:rPr>
        <w:t>and</w:t>
      </w:r>
      <w:r w:rsidR="002E4B35" w:rsidRPr="0069467B">
        <w:rPr>
          <w:rFonts w:cs="Times-Roman"/>
          <w:i/>
          <w:szCs w:val="20"/>
        </w:rPr>
        <w:t xml:space="preserve"> </w:t>
      </w:r>
      <w:r w:rsidR="0069467B" w:rsidRPr="0069467B">
        <w:rPr>
          <w:rFonts w:cs="Times-Roman"/>
          <w:i/>
          <w:szCs w:val="20"/>
        </w:rPr>
        <w:t>analytical techniques</w:t>
      </w:r>
      <w:r w:rsidR="0069467B" w:rsidRPr="0069467B">
        <w:rPr>
          <w:rFonts w:ascii="Times-Roman" w:hAnsi="Times-Roman" w:cs="Times-Roman"/>
          <w:i/>
          <w:sz w:val="20"/>
          <w:szCs w:val="20"/>
        </w:rPr>
        <w:t>.</w:t>
      </w:r>
      <w:r w:rsidR="002E4B35">
        <w:rPr>
          <w:rFonts w:cs="Times-Roman"/>
          <w:szCs w:val="16"/>
        </w:rPr>
        <w:t xml:space="preserve"> </w:t>
      </w:r>
      <w:r w:rsidR="00EA7AAB">
        <w:rPr>
          <w:rFonts w:cs="Times-Roman"/>
          <w:szCs w:val="16"/>
        </w:rPr>
        <w:t xml:space="preserve">First, </w:t>
      </w:r>
      <w:r w:rsidR="00EA7AAB">
        <w:rPr>
          <w:rFonts w:cs="Times-Roman"/>
          <w:i/>
          <w:szCs w:val="16"/>
        </w:rPr>
        <w:t>r</w:t>
      </w:r>
      <w:r w:rsidR="0069467B" w:rsidRPr="0069467B">
        <w:rPr>
          <w:rFonts w:cs="Times-Roman"/>
          <w:i/>
          <w:szCs w:val="16"/>
        </w:rPr>
        <w:t>ating scale techniques</w:t>
      </w:r>
      <w:r w:rsidR="0069467B">
        <w:rPr>
          <w:rFonts w:cs="Times-Roman"/>
          <w:szCs w:val="16"/>
        </w:rPr>
        <w:t xml:space="preserve"> focus on individuals’ self-assessment of their perceived mental effort during task exposure </w:t>
      </w:r>
      <w:r w:rsidR="002E4B35">
        <w:rPr>
          <w:rFonts w:cs="Times-Roman"/>
          <w:szCs w:val="16"/>
        </w:rPr>
        <w:t>(</w:t>
      </w:r>
      <w:r w:rsidR="00942520">
        <w:t>Paas, Tuovinen, Tabbers</w:t>
      </w:r>
      <w:r w:rsidR="002E4B35">
        <w:t xml:space="preserve"> &amp; Van Gerven, 2003). </w:t>
      </w:r>
      <w:r w:rsidR="00EA7AAB">
        <w:t xml:space="preserve">Second, </w:t>
      </w:r>
      <w:r w:rsidR="00EA7AAB">
        <w:rPr>
          <w:i/>
        </w:rPr>
        <w:t>p</w:t>
      </w:r>
      <w:r w:rsidR="0069467B" w:rsidRPr="0069467B">
        <w:rPr>
          <w:i/>
        </w:rPr>
        <w:t>hysiological techniques</w:t>
      </w:r>
      <w:r w:rsidR="0069467B">
        <w:t xml:space="preserve"> measure brain activity, heart rate, and pupil dilation and assume that changes in mental functioning are reflected by changes in physical functioning (Paas et al., 2003). </w:t>
      </w:r>
      <w:r w:rsidR="00EA7AAB">
        <w:t xml:space="preserve">Third, </w:t>
      </w:r>
      <w:r w:rsidR="00EA7AAB">
        <w:rPr>
          <w:i/>
        </w:rPr>
        <w:t>p</w:t>
      </w:r>
      <w:r w:rsidR="00EA7AAB" w:rsidRPr="00EA7AAB">
        <w:rPr>
          <w:i/>
        </w:rPr>
        <w:t>erformance-based techniques</w:t>
      </w:r>
      <w:r w:rsidR="00EA7AAB">
        <w:t xml:space="preserve"> estimate CL by measuring reaction time, accuracy, and error rate relative to the given task. Fourth, </w:t>
      </w:r>
      <w:r w:rsidR="00EA7AAB">
        <w:rPr>
          <w:i/>
        </w:rPr>
        <w:t>a</w:t>
      </w:r>
      <w:r w:rsidR="0069467B" w:rsidRPr="0069467B">
        <w:rPr>
          <w:i/>
        </w:rPr>
        <w:t>nalytical techniques</w:t>
      </w:r>
      <w:r w:rsidR="0069467B">
        <w:t xml:space="preserve"> estimate CL through mathematical model generation (Paas et al., 2003). </w:t>
      </w:r>
    </w:p>
    <w:p w:rsidR="00C11F2C" w:rsidRPr="008975E2" w:rsidRDefault="008975E2" w:rsidP="008975E2">
      <w:pPr>
        <w:widowControl w:val="0"/>
        <w:autoSpaceDE w:val="0"/>
        <w:autoSpaceDN w:val="0"/>
        <w:adjustRightInd w:val="0"/>
        <w:spacing w:line="480" w:lineRule="auto"/>
        <w:rPr>
          <w:rFonts w:cs="Times-Roman"/>
          <w:szCs w:val="16"/>
        </w:rPr>
      </w:pPr>
      <w:r>
        <w:tab/>
      </w:r>
      <w:r w:rsidR="00EA7AAB">
        <w:t xml:space="preserve">For the purposes of this study, CL is defined as the relationship between </w:t>
      </w:r>
      <w:r>
        <w:t xml:space="preserve">an individual’s </w:t>
      </w:r>
      <w:r w:rsidR="00EA7AAB">
        <w:t xml:space="preserve">perceived mental effort </w:t>
      </w:r>
      <w:r>
        <w:t xml:space="preserve">and task performance. Paas and van Merrienboer (1993) refer to this relationship as mental efficiency, where high efficiency is reflected by lower mental effort and better task performance and low efficiency is reflected by higher mental effort and poorer task performance. CL is the inverse of mental efficiency, in that high mental efficiency denotes low CL and low mental efficiency denotes high CL.   </w:t>
      </w:r>
    </w:p>
    <w:p w:rsidR="00A3548E" w:rsidRPr="0015673D" w:rsidRDefault="0015673D" w:rsidP="0015673D">
      <w:pPr>
        <w:spacing w:line="480" w:lineRule="auto"/>
      </w:pPr>
      <w:r>
        <w:rPr>
          <w:b/>
        </w:rPr>
        <w:t>The Effects of</w:t>
      </w:r>
      <w:r w:rsidR="00F41BB9">
        <w:rPr>
          <w:b/>
        </w:rPr>
        <w:t xml:space="preserve"> Cognitive Loading</w:t>
      </w:r>
      <w:r w:rsidR="00AB5097" w:rsidRPr="00AB5097">
        <w:rPr>
          <w:b/>
        </w:rPr>
        <w:t xml:space="preserve"> </w:t>
      </w:r>
      <w:r>
        <w:rPr>
          <w:b/>
        </w:rPr>
        <w:t>on Persuasion Knowledge and Attitudes</w:t>
      </w:r>
    </w:p>
    <w:p w:rsidR="002312EB" w:rsidRDefault="003E6555" w:rsidP="00A3548E">
      <w:pPr>
        <w:widowControl w:val="0"/>
        <w:autoSpaceDE w:val="0"/>
        <w:autoSpaceDN w:val="0"/>
        <w:adjustRightInd w:val="0"/>
        <w:spacing w:line="480" w:lineRule="auto"/>
      </w:pPr>
      <w:r>
        <w:rPr>
          <w:b/>
        </w:rPr>
        <w:tab/>
      </w:r>
      <w:r w:rsidR="00A3548E">
        <w:t xml:space="preserve">If, as Gilbert and Osborne (1989) suggest, cognitive load is a ubiquitous feature of everyday life, it seems plausible that </w:t>
      </w:r>
      <w:r w:rsidR="002312EB">
        <w:t>an increase in cognitive demand</w:t>
      </w:r>
      <w:r w:rsidR="00A3548E">
        <w:t xml:space="preserve"> can </w:t>
      </w:r>
      <w:r w:rsidR="002312EB">
        <w:t>not only affect the ability to recognize persuasion in advertising but can also distort individuals’ impression</w:t>
      </w:r>
      <w:r w:rsidR="00A3548E">
        <w:t xml:space="preserve"> of others. By extending this logic to a sales interaction, Campbell and Kirmani (2000) tested how variations in cognitive load affected perceptions of salespersons’ underlying motives. Cognitive </w:t>
      </w:r>
      <w:r w:rsidR="00E30C27">
        <w:t>load</w:t>
      </w:r>
      <w:r w:rsidR="00A3548E">
        <w:t xml:space="preserve"> was manipulated through the use of a memory task. Participants that were cognitively loaded were asked to remember a number sequence while reading a scenario describing a salesperson-consumer interaction at a c</w:t>
      </w:r>
      <w:r w:rsidR="00E30C27">
        <w:t>lothing store. Participants who</w:t>
      </w:r>
      <w:r w:rsidR="00A3548E">
        <w:t xml:space="preserve"> were cognitively unloaded were not given the memory task and asked only to read the interaction. Both groups of participants were then asked to form an impression </w:t>
      </w:r>
      <w:r w:rsidR="00942520">
        <w:t>of the salesperson (Campbell &amp;</w:t>
      </w:r>
      <w:r w:rsidR="00A3548E">
        <w:t xml:space="preserve"> Kirmani</w:t>
      </w:r>
      <w:r w:rsidR="00942520">
        <w:t>,</w:t>
      </w:r>
      <w:r w:rsidR="00A3548E">
        <w:t xml:space="preserve"> 2000). The results indicated that cognitively loaded participants rated the salesperson as more sincere when tha</w:t>
      </w:r>
      <w:r w:rsidR="002312EB">
        <w:t>t salesperson’s motives were</w:t>
      </w:r>
      <w:r w:rsidR="00A3548E">
        <w:t xml:space="preserve"> made </w:t>
      </w:r>
      <w:r w:rsidR="002312EB">
        <w:t xml:space="preserve">less </w:t>
      </w:r>
      <w:r w:rsidR="00A3548E">
        <w:t>obvious in the scenario. The findings imply that the use of persuasion knowledge and the recognition of less obvious persuasion moti</w:t>
      </w:r>
      <w:r w:rsidR="00E30C27">
        <w:t>ves require cognitive capacity</w:t>
      </w:r>
      <w:r w:rsidR="00942520">
        <w:t xml:space="preserve"> (Campbell &amp;</w:t>
      </w:r>
      <w:r w:rsidR="00A3548E">
        <w:t xml:space="preserve"> Kirmani</w:t>
      </w:r>
      <w:r w:rsidR="00942520">
        <w:t>,</w:t>
      </w:r>
      <w:r w:rsidR="00A3548E">
        <w:t xml:space="preserve"> 2000). </w:t>
      </w:r>
      <w:r w:rsidR="00A3548E" w:rsidRPr="00536986">
        <w:t>In other</w:t>
      </w:r>
      <w:r w:rsidR="00A3548E">
        <w:t xml:space="preserve"> words</w:t>
      </w:r>
      <w:r w:rsidR="00A3548E" w:rsidRPr="00536986">
        <w:t>, “</w:t>
      </w:r>
      <w:r w:rsidR="00A3548E">
        <w:t xml:space="preserve">in </w:t>
      </w:r>
      <w:r w:rsidR="00A3548E">
        <w:rPr>
          <w:rFonts w:cs="Times-Roman"/>
          <w:szCs w:val="20"/>
        </w:rPr>
        <w:t>situations th</w:t>
      </w:r>
      <w:r w:rsidR="00A3548E" w:rsidRPr="00536986">
        <w:rPr>
          <w:rFonts w:cs="Times-Roman"/>
          <w:szCs w:val="20"/>
        </w:rPr>
        <w:t>at are not strongly lin</w:t>
      </w:r>
      <w:r w:rsidR="00A3548E">
        <w:rPr>
          <w:rFonts w:cs="Times-Roman"/>
          <w:szCs w:val="20"/>
        </w:rPr>
        <w:t xml:space="preserve">ked to high-pressure persuasion, </w:t>
      </w:r>
      <w:r w:rsidR="00A3548E" w:rsidRPr="00536986">
        <w:rPr>
          <w:rFonts w:cs="Times-Roman"/>
          <w:szCs w:val="20"/>
        </w:rPr>
        <w:t>the use of persuasion</w:t>
      </w:r>
      <w:r w:rsidR="00A3548E">
        <w:rPr>
          <w:rFonts w:cs="Times-Roman"/>
          <w:szCs w:val="20"/>
        </w:rPr>
        <w:t xml:space="preserve"> </w:t>
      </w:r>
      <w:r w:rsidR="00A3548E" w:rsidRPr="00536986">
        <w:rPr>
          <w:rFonts w:cs="Times-Roman"/>
          <w:szCs w:val="20"/>
        </w:rPr>
        <w:t>knowledge may be contingen</w:t>
      </w:r>
      <w:r w:rsidR="00A3548E">
        <w:rPr>
          <w:rFonts w:cs="Times-Roman"/>
          <w:szCs w:val="20"/>
        </w:rPr>
        <w:t xml:space="preserve">t upon the consumer's cognitive </w:t>
      </w:r>
      <w:r w:rsidR="00A3548E" w:rsidRPr="00536986">
        <w:rPr>
          <w:rFonts w:cs="Times-Roman"/>
          <w:szCs w:val="20"/>
        </w:rPr>
        <w:t>capacity</w:t>
      </w:r>
      <w:r w:rsidR="00A3548E">
        <w:rPr>
          <w:rFonts w:cs="Times-Roman"/>
          <w:szCs w:val="20"/>
        </w:rPr>
        <w:t>” (p. 81).</w:t>
      </w:r>
      <w:r w:rsidR="00A3548E" w:rsidRPr="00536986">
        <w:t xml:space="preserve"> </w:t>
      </w:r>
      <w:r w:rsidR="002312EB">
        <w:t>Based on these findings, it is theorized that parents who play an advergame while cognitive</w:t>
      </w:r>
      <w:r w:rsidR="007A3DDC">
        <w:t>ly</w:t>
      </w:r>
      <w:r w:rsidR="002312EB">
        <w:t xml:space="preserve"> loaded are less</w:t>
      </w:r>
      <w:r w:rsidR="00E0350B">
        <w:t xml:space="preserve"> likely </w:t>
      </w:r>
      <w:r w:rsidR="002312EB">
        <w:t>to identify the persuasive</w:t>
      </w:r>
      <w:r w:rsidR="00E0350B">
        <w:t xml:space="preserve"> and selling intent of</w:t>
      </w:r>
      <w:r w:rsidR="002312EB">
        <w:t xml:space="preserve"> the game. </w:t>
      </w:r>
      <w:r w:rsidR="00E0350B">
        <w:t>P</w:t>
      </w:r>
      <w:r w:rsidR="002312EB">
        <w:t>arents</w:t>
      </w:r>
      <w:r w:rsidR="00E0350B">
        <w:t xml:space="preserve">’ predicted inability is a result of the hidden selling and persuasive intent of the advergame and the increased cognitive demands of task completion.  </w:t>
      </w:r>
      <w:r w:rsidR="002312EB">
        <w:t xml:space="preserve"> </w:t>
      </w:r>
      <w:r w:rsidR="00A3548E">
        <w:tab/>
      </w:r>
    </w:p>
    <w:p w:rsidR="00A3548E" w:rsidRDefault="002312EB" w:rsidP="00A3548E">
      <w:pPr>
        <w:widowControl w:val="0"/>
        <w:autoSpaceDE w:val="0"/>
        <w:autoSpaceDN w:val="0"/>
        <w:adjustRightInd w:val="0"/>
        <w:spacing w:line="480" w:lineRule="auto"/>
      </w:pPr>
      <w:r>
        <w:tab/>
      </w:r>
      <w:r w:rsidR="00A3548E">
        <w:t>Research indicates that variations in individuals’ cognitive load can differently affe</w:t>
      </w:r>
      <w:r w:rsidR="005C6C17">
        <w:t>ct attitudes toward advertising</w:t>
      </w:r>
      <w:r w:rsidR="00A3548E">
        <w:t>. Yoon et al. (2011) examined the influence of cognitive</w:t>
      </w:r>
      <w:r w:rsidR="00E0350B">
        <w:t xml:space="preserve"> load on brand attitudes in a</w:t>
      </w:r>
      <w:r w:rsidR="00A3548E">
        <w:t xml:space="preserve"> well-integrated and intrusive</w:t>
      </w:r>
      <w:r w:rsidR="00E0350B">
        <w:t>-integrated product placement environment</w:t>
      </w:r>
      <w:r w:rsidR="00A3548E">
        <w:t>. Participants who were cognitively loaded were asked to re</w:t>
      </w:r>
      <w:r w:rsidR="00E0350B">
        <w:t>member</w:t>
      </w:r>
      <w:r w:rsidR="00A3548E">
        <w:t xml:space="preserve"> an eight</w:t>
      </w:r>
      <w:r w:rsidR="00E0350B">
        <w:t>-digit number sequence while</w:t>
      </w:r>
      <w:r w:rsidR="00A3548E">
        <w:t xml:space="preserve"> </w:t>
      </w:r>
      <w:r w:rsidR="00E0350B">
        <w:t xml:space="preserve">exposed </w:t>
      </w:r>
      <w:r w:rsidR="005C6C17">
        <w:t>to an</w:t>
      </w:r>
      <w:r w:rsidR="00A3548E">
        <w:t xml:space="preserve"> advertisement</w:t>
      </w:r>
      <w:r w:rsidR="00E0350B">
        <w:t xml:space="preserve"> an</w:t>
      </w:r>
      <w:r w:rsidR="00197E77">
        <w:t>d were asked to recall the same number</w:t>
      </w:r>
      <w:r w:rsidR="00E0350B">
        <w:t xml:space="preserve"> sequence following ad exposure</w:t>
      </w:r>
      <w:r w:rsidR="00A3548E">
        <w:t xml:space="preserve">. Findings indicated that a well-integrated product placement resulted in more negative </w:t>
      </w:r>
      <w:r w:rsidR="00E0350B">
        <w:t>attitudes toward the ad</w:t>
      </w:r>
      <w:r w:rsidR="00A3548E">
        <w:t xml:space="preserve"> among cognitively loaded versus unloaded participants. Additionally, an intrusive</w:t>
      </w:r>
      <w:r w:rsidR="00E0350B">
        <w:t>-integrated</w:t>
      </w:r>
      <w:r w:rsidR="00A3548E">
        <w:t xml:space="preserve"> product placement resulted in more positive attitudes toward the advertising among cognitively loaded versus unloaded participants (Yoon et al.</w:t>
      </w:r>
      <w:r w:rsidR="00711B83">
        <w:t>,</w:t>
      </w:r>
      <w:r w:rsidR="00A3548E">
        <w:t xml:space="preserve"> 2011). “Consumers who have insufficient cognitive resources to allocate to information processing may be forced to rely on the disruptive salience of the p</w:t>
      </w:r>
      <w:r w:rsidR="00E0350B">
        <w:t>lacement, where the intrusively-</w:t>
      </w:r>
      <w:r w:rsidR="00A3548E">
        <w:t>integrated (versus well-integrated)…placement leads to inflated attitude” (p. 70). Following the same logic, because advergames are an immersive, integrated, and entertaining form of advertising, cognitive load</w:t>
      </w:r>
      <w:r w:rsidR="00E0350B">
        <w:t>ing</w:t>
      </w:r>
      <w:r w:rsidR="00A3548E">
        <w:t xml:space="preserve"> may prevent </w:t>
      </w:r>
      <w:r w:rsidR="003E6555">
        <w:t>parents</w:t>
      </w:r>
      <w:r w:rsidR="00A3548E">
        <w:t xml:space="preserve"> from recognizin</w:t>
      </w:r>
      <w:r w:rsidR="003E6555">
        <w:t>g the game’s persuasive motives</w:t>
      </w:r>
      <w:r w:rsidR="00A3548E">
        <w:t xml:space="preserve"> and </w:t>
      </w:r>
      <w:r w:rsidR="003E6555">
        <w:t>possibly</w:t>
      </w:r>
      <w:r w:rsidR="00A3548E">
        <w:t xml:space="preserve"> </w:t>
      </w:r>
      <w:r w:rsidR="008C3BEC">
        <w:t>result in more</w:t>
      </w:r>
      <w:r w:rsidR="00A3548E">
        <w:t xml:space="preserve"> positive attitudes </w:t>
      </w:r>
      <w:r w:rsidR="008C3BEC">
        <w:t>toward advergames.</w:t>
      </w:r>
    </w:p>
    <w:p w:rsidR="00A3548E" w:rsidRDefault="00A3548E" w:rsidP="00A3548E">
      <w:pPr>
        <w:widowControl w:val="0"/>
        <w:autoSpaceDE w:val="0"/>
        <w:autoSpaceDN w:val="0"/>
        <w:adjustRightInd w:val="0"/>
        <w:spacing w:line="480" w:lineRule="auto"/>
      </w:pPr>
      <w:r>
        <w:tab/>
        <w:t>Research indicates that variations in individuals’ cognitive load can different</w:t>
      </w:r>
      <w:r w:rsidR="00E0350B">
        <w:t>ial</w:t>
      </w:r>
      <w:r>
        <w:t>ly affect desired behaviors as well. Yun (2009) examined how task complexity</w:t>
      </w:r>
      <w:r w:rsidR="00177BF3">
        <w:t xml:space="preserve"> </w:t>
      </w:r>
      <w:r>
        <w:t>influenced participants’ click-through rate of keyword search advertising. Participants in the complex task</w:t>
      </w:r>
      <w:r w:rsidR="00177BF3">
        <w:t xml:space="preserve"> </w:t>
      </w:r>
      <w:r>
        <w:t>condition were given a poorly structured story about the need for a new laptop computer, which gave them little information on how, where, and what to search for in a new laptop computer.</w:t>
      </w:r>
      <w:r w:rsidR="00177BF3">
        <w:t xml:space="preserve"> In the complex task condition, task complexity was linked to increases in cognitive load.</w:t>
      </w:r>
      <w:r>
        <w:t xml:space="preserve"> Participants in the less-complex task condition were given a story, which had specific information to look for in a new lap</w:t>
      </w:r>
      <w:r w:rsidR="00214C1D">
        <w:t>top computer. Cognitive load</w:t>
      </w:r>
      <w:r>
        <w:t xml:space="preserve"> was measured by how much time participants searched for the information. Manipulation checks revealed that participants in the more complex task were under more cognitive load</w:t>
      </w:r>
      <w:r w:rsidR="00177BF3">
        <w:t>, as indicated by more time required to complete the task,</w:t>
      </w:r>
      <w:r>
        <w:t xml:space="preserve"> compared to participants in the less complex search task (Yun</w:t>
      </w:r>
      <w:r w:rsidR="003905F9">
        <w:t>,</w:t>
      </w:r>
      <w:r>
        <w:t xml:space="preserve"> 2009). Results indicated that when participants were made aware of keyword search a</w:t>
      </w:r>
      <w:r w:rsidR="00214C1D">
        <w:t xml:space="preserve">dvertising as a practice, cognitively loaded participants </w:t>
      </w:r>
      <w:r>
        <w:t>were more likely to click through keyword search ads than those in the less complex task condition (Yun</w:t>
      </w:r>
      <w:r w:rsidR="003905F9">
        <w:t>,</w:t>
      </w:r>
      <w:r>
        <w:t xml:space="preserve"> 2009). These findings suggest that even when persuasion knowledge is activated, the resultant negative attitudes and behavior may be attenuated by </w:t>
      </w:r>
      <w:r w:rsidR="0015673D">
        <w:t>increases in cognitive load.</w:t>
      </w:r>
      <w:r>
        <w:t xml:space="preserve"> </w:t>
      </w:r>
    </w:p>
    <w:p w:rsidR="00A3548E" w:rsidRPr="00214C1D" w:rsidRDefault="00A3548E" w:rsidP="00214C1D">
      <w:pPr>
        <w:spacing w:line="480" w:lineRule="auto"/>
        <w:rPr>
          <w:b/>
        </w:rPr>
      </w:pPr>
      <w:r>
        <w:tab/>
        <w:t xml:space="preserve">Overall, research </w:t>
      </w:r>
      <w:r w:rsidR="00214C1D">
        <w:t>indicates</w:t>
      </w:r>
      <w:r>
        <w:t xml:space="preserve"> that increases in </w:t>
      </w:r>
      <w:r w:rsidR="00214C1D">
        <w:t>CL</w:t>
      </w:r>
      <w:r>
        <w:t xml:space="preserve"> </w:t>
      </w:r>
      <w:r w:rsidR="00214C1D">
        <w:t xml:space="preserve">may </w:t>
      </w:r>
      <w:r>
        <w:t>make persuasive intent more difficult to recognize</w:t>
      </w:r>
      <w:r w:rsidR="003905F9">
        <w:t xml:space="preserve"> (Cambpell &amp;</w:t>
      </w:r>
      <w:r w:rsidR="00214C1D">
        <w:t xml:space="preserve"> Kirmani</w:t>
      </w:r>
      <w:r w:rsidR="003905F9">
        <w:t>,</w:t>
      </w:r>
      <w:r w:rsidR="00214C1D">
        <w:t xml:space="preserve"> 2000) in advergames, increases in CL </w:t>
      </w:r>
      <w:r>
        <w:t xml:space="preserve">can positively influence brand attitudes in product placement environments </w:t>
      </w:r>
      <w:r w:rsidR="00214C1D">
        <w:t>(Yoon et al.</w:t>
      </w:r>
      <w:r w:rsidR="003905F9">
        <w:t xml:space="preserve">, </w:t>
      </w:r>
      <w:r w:rsidR="00214C1D">
        <w:t>2011) such as advergames, and increases in CL</w:t>
      </w:r>
      <w:r>
        <w:t xml:space="preserve"> can moderate the effects of persuasion knowledge on </w:t>
      </w:r>
      <w:r w:rsidR="00214C1D">
        <w:t xml:space="preserve">desired </w:t>
      </w:r>
      <w:r>
        <w:t>behavior (Yun</w:t>
      </w:r>
      <w:r w:rsidR="003905F9">
        <w:t>,</w:t>
      </w:r>
      <w:r>
        <w:t xml:space="preserve"> 2009).</w:t>
      </w:r>
      <w:r w:rsidR="00214C1D">
        <w:rPr>
          <w:b/>
        </w:rPr>
        <w:t xml:space="preserve"> </w:t>
      </w:r>
      <w:r>
        <w:t xml:space="preserve">Given this evidence, the following hypotheses are generated to test the effects of cognitive </w:t>
      </w:r>
      <w:r w:rsidR="00D26351">
        <w:t>load</w:t>
      </w:r>
      <w:r>
        <w:t xml:space="preserve"> on parents’ act</w:t>
      </w:r>
      <w:r w:rsidR="00214C1D">
        <w:t>ivation of persuasion knowledge and attitudes toward the advergame</w:t>
      </w:r>
      <w:r>
        <w:t>.</w:t>
      </w:r>
    </w:p>
    <w:p w:rsidR="00A3548E" w:rsidRDefault="00A3548E" w:rsidP="00A3548E">
      <w:pPr>
        <w:ind w:left="720"/>
        <w:rPr>
          <w:i/>
          <w:iCs/>
        </w:rPr>
      </w:pPr>
      <w:r w:rsidRPr="00F33ADD">
        <w:rPr>
          <w:b/>
          <w:bCs/>
          <w:i/>
          <w:iCs/>
        </w:rPr>
        <w:t>H</w:t>
      </w:r>
      <w:r w:rsidR="00EA1E30">
        <w:rPr>
          <w:b/>
          <w:bCs/>
          <w:i/>
          <w:iCs/>
        </w:rPr>
        <w:t>5</w:t>
      </w:r>
      <w:r w:rsidRPr="00F33ADD">
        <w:rPr>
          <w:i/>
          <w:iCs/>
        </w:rPr>
        <w:t xml:space="preserve">: </w:t>
      </w:r>
      <w:r w:rsidR="00177BF3">
        <w:rPr>
          <w:i/>
          <w:iCs/>
        </w:rPr>
        <w:tab/>
        <w:t>Increases in p</w:t>
      </w:r>
      <w:r w:rsidR="00D26351" w:rsidRPr="00D26351">
        <w:rPr>
          <w:i/>
          <w:iCs/>
        </w:rPr>
        <w:t xml:space="preserve">arents’ cognitive loading </w:t>
      </w:r>
      <w:r w:rsidR="00177BF3">
        <w:rPr>
          <w:i/>
          <w:iCs/>
        </w:rPr>
        <w:t xml:space="preserve">will be </w:t>
      </w:r>
      <w:r w:rsidR="00D26351" w:rsidRPr="00D26351">
        <w:rPr>
          <w:i/>
          <w:iCs/>
        </w:rPr>
        <w:t>nega</w:t>
      </w:r>
      <w:r w:rsidR="00177BF3">
        <w:rPr>
          <w:i/>
          <w:iCs/>
        </w:rPr>
        <w:t xml:space="preserve">tively associated with reports </w:t>
      </w:r>
      <w:r w:rsidR="00177BF3">
        <w:rPr>
          <w:i/>
          <w:iCs/>
        </w:rPr>
        <w:tab/>
        <w:t xml:space="preserve">of parents’ persuasion </w:t>
      </w:r>
      <w:r w:rsidR="00D26351">
        <w:rPr>
          <w:i/>
          <w:iCs/>
        </w:rPr>
        <w:t>knowledge.</w:t>
      </w:r>
    </w:p>
    <w:p w:rsidR="00A3548E" w:rsidRPr="00F33ADD" w:rsidRDefault="00A3548E" w:rsidP="00A3548E">
      <w:pPr>
        <w:ind w:left="720"/>
        <w:rPr>
          <w:i/>
          <w:iCs/>
        </w:rPr>
      </w:pPr>
    </w:p>
    <w:p w:rsidR="00A3548E" w:rsidRPr="00740B6E" w:rsidRDefault="00A3548E" w:rsidP="00740B6E">
      <w:pPr>
        <w:ind w:left="720" w:right="720"/>
        <w:rPr>
          <w:i/>
          <w:iCs/>
        </w:rPr>
      </w:pPr>
      <w:r w:rsidRPr="00F33ADD">
        <w:rPr>
          <w:rFonts w:ascii="新細明體" w:eastAsia="新細明體" w:hAnsi="新細明體" w:cs="新細明體" w:hint="eastAsia"/>
          <w:i/>
          <w:iCs/>
        </w:rPr>
        <w:t></w:t>
      </w:r>
      <w:r w:rsidRPr="00F33ADD">
        <w:rPr>
          <w:b/>
          <w:bCs/>
          <w:i/>
          <w:iCs/>
        </w:rPr>
        <w:t>H</w:t>
      </w:r>
      <w:r w:rsidR="00EA1E30">
        <w:rPr>
          <w:b/>
          <w:bCs/>
          <w:i/>
          <w:iCs/>
        </w:rPr>
        <w:t>6</w:t>
      </w:r>
      <w:r w:rsidRPr="00F33ADD">
        <w:rPr>
          <w:i/>
          <w:iCs/>
        </w:rPr>
        <w:t xml:space="preserve">: </w:t>
      </w:r>
      <w:r>
        <w:rPr>
          <w:i/>
          <w:iCs/>
        </w:rPr>
        <w:tab/>
      </w:r>
      <w:r w:rsidR="00177BF3">
        <w:rPr>
          <w:i/>
          <w:iCs/>
        </w:rPr>
        <w:t>Increases in p</w:t>
      </w:r>
      <w:r w:rsidR="00177BF3" w:rsidRPr="00D26351">
        <w:rPr>
          <w:i/>
          <w:iCs/>
        </w:rPr>
        <w:t xml:space="preserve">arents’ cognitive loading </w:t>
      </w:r>
      <w:r w:rsidR="00177BF3">
        <w:rPr>
          <w:i/>
          <w:iCs/>
        </w:rPr>
        <w:t>will be positively associated</w:t>
      </w:r>
      <w:r w:rsidR="00D26351">
        <w:rPr>
          <w:i/>
          <w:iCs/>
        </w:rPr>
        <w:t xml:space="preserve"> with </w:t>
      </w:r>
      <w:r w:rsidR="00EF6F9F">
        <w:rPr>
          <w:i/>
          <w:iCs/>
        </w:rPr>
        <w:tab/>
        <w:t>parents’</w:t>
      </w:r>
      <w:r w:rsidR="001B52F5">
        <w:rPr>
          <w:i/>
          <w:iCs/>
        </w:rPr>
        <w:t xml:space="preserve"> </w:t>
      </w:r>
      <w:r w:rsidR="00611FA9">
        <w:rPr>
          <w:i/>
          <w:iCs/>
        </w:rPr>
        <w:t xml:space="preserve"> </w:t>
      </w:r>
      <w:r w:rsidR="00D26351" w:rsidRPr="00D26351">
        <w:rPr>
          <w:i/>
          <w:iCs/>
        </w:rPr>
        <w:t>attitudes toward children’s advergames</w:t>
      </w:r>
      <w:r w:rsidRPr="00F33ADD">
        <w:rPr>
          <w:i/>
          <w:iCs/>
        </w:rPr>
        <w:t>.</w:t>
      </w:r>
    </w:p>
    <w:p w:rsidR="00740B6E" w:rsidRDefault="00A3548E" w:rsidP="00740B6E">
      <w:pPr>
        <w:ind w:left="720" w:right="720"/>
        <w:rPr>
          <w:i/>
          <w:iCs/>
        </w:rPr>
      </w:pPr>
      <w:r w:rsidRPr="00F33ADD">
        <w:rPr>
          <w:rFonts w:ascii="新細明體" w:eastAsia="新細明體" w:hAnsi="新細明體" w:cs="新細明體" w:hint="eastAsia"/>
          <w:i/>
          <w:iCs/>
        </w:rPr>
        <w:t></w:t>
      </w:r>
    </w:p>
    <w:p w:rsidR="00A3548E" w:rsidRPr="00740B6E" w:rsidRDefault="00A3548E" w:rsidP="00740B6E">
      <w:pPr>
        <w:ind w:left="720" w:right="720"/>
        <w:rPr>
          <w:i/>
          <w:iCs/>
        </w:rPr>
      </w:pPr>
    </w:p>
    <w:p w:rsidR="00A3548E" w:rsidRDefault="00E30C27" w:rsidP="00A3548E">
      <w:pPr>
        <w:spacing w:line="480" w:lineRule="auto"/>
        <w:ind w:right="720"/>
        <w:rPr>
          <w:iCs/>
        </w:rPr>
      </w:pPr>
      <w:r>
        <w:rPr>
          <w:iCs/>
        </w:rPr>
        <w:tab/>
      </w:r>
      <w:r w:rsidR="00A3548E">
        <w:rPr>
          <w:iCs/>
        </w:rPr>
        <w:t>In addition to the above hypotheses, it is predicted that the effects of the ad-disclosure conditions in activating parents’ persuasion knowledge will vary across cognitive capacity conditions. Therefore, the following hypotheses are generated to test for these potential interactions.</w:t>
      </w:r>
    </w:p>
    <w:p w:rsidR="00A3548E" w:rsidRDefault="00A3548E" w:rsidP="00A3548E">
      <w:pPr>
        <w:rPr>
          <w:i/>
          <w:iCs/>
        </w:rPr>
      </w:pPr>
      <w:r>
        <w:rPr>
          <w:iCs/>
        </w:rPr>
        <w:tab/>
        <w:t>Interaction effect hypothesis 1 (</w:t>
      </w:r>
      <w:r w:rsidR="00E30C27">
        <w:rPr>
          <w:b/>
          <w:bCs/>
          <w:i/>
          <w:iCs/>
        </w:rPr>
        <w:t>H7</w:t>
      </w:r>
      <w:r>
        <w:rPr>
          <w:b/>
          <w:bCs/>
          <w:i/>
          <w:iCs/>
        </w:rPr>
        <w:t>)</w:t>
      </w:r>
      <w:r w:rsidRPr="00F33ADD">
        <w:rPr>
          <w:i/>
          <w:iCs/>
        </w:rPr>
        <w:t>:</w:t>
      </w:r>
      <w:r>
        <w:rPr>
          <w:i/>
          <w:iCs/>
        </w:rPr>
        <w:t xml:space="preserve"> Cognitive capacity and ad-disclosure treatments </w:t>
      </w:r>
      <w:r>
        <w:rPr>
          <w:i/>
          <w:iCs/>
        </w:rPr>
        <w:tab/>
        <w:t xml:space="preserve">will interact such that cognitively unloaded parents will report higher levels of </w:t>
      </w:r>
      <w:r>
        <w:rPr>
          <w:i/>
          <w:iCs/>
        </w:rPr>
        <w:tab/>
        <w:t xml:space="preserve">persuasion knowledge when exposed to the single modality ad-disclosure treatment </w:t>
      </w:r>
      <w:r>
        <w:rPr>
          <w:i/>
          <w:iCs/>
        </w:rPr>
        <w:tab/>
        <w:t xml:space="preserve">versus the no ad-disclosure (control) treatment.  </w:t>
      </w:r>
    </w:p>
    <w:p w:rsidR="00A3548E" w:rsidRDefault="00A3548E" w:rsidP="00A3548E">
      <w:pPr>
        <w:ind w:right="720"/>
        <w:rPr>
          <w:i/>
          <w:iCs/>
        </w:rPr>
      </w:pPr>
    </w:p>
    <w:p w:rsidR="00A3548E" w:rsidRDefault="00A3548E" w:rsidP="00A3548E">
      <w:pPr>
        <w:rPr>
          <w:i/>
          <w:iCs/>
        </w:rPr>
      </w:pPr>
      <w:r>
        <w:rPr>
          <w:iCs/>
        </w:rPr>
        <w:tab/>
        <w:t>Interaction effect hypothesis 2 (</w:t>
      </w:r>
      <w:r w:rsidR="00E30C27">
        <w:rPr>
          <w:b/>
          <w:bCs/>
          <w:i/>
          <w:iCs/>
        </w:rPr>
        <w:t>H8</w:t>
      </w:r>
      <w:r>
        <w:rPr>
          <w:b/>
          <w:bCs/>
          <w:i/>
          <w:iCs/>
        </w:rPr>
        <w:t>)</w:t>
      </w:r>
      <w:r w:rsidRPr="00F33ADD">
        <w:rPr>
          <w:i/>
          <w:iCs/>
        </w:rPr>
        <w:t>:</w:t>
      </w:r>
      <w:r>
        <w:rPr>
          <w:i/>
          <w:iCs/>
        </w:rPr>
        <w:t xml:space="preserve"> Cognitive capacity and ad-disclosure treatments </w:t>
      </w:r>
      <w:r>
        <w:rPr>
          <w:i/>
          <w:iCs/>
        </w:rPr>
        <w:tab/>
        <w:t xml:space="preserve">will interact such that cognitively unloaded parents will report higher levels of </w:t>
      </w:r>
      <w:r>
        <w:rPr>
          <w:i/>
          <w:iCs/>
        </w:rPr>
        <w:tab/>
        <w:t xml:space="preserve">persuasion knowledge when exposed to the dual modality ad-disclosure treatment versus </w:t>
      </w:r>
      <w:r>
        <w:rPr>
          <w:i/>
          <w:iCs/>
        </w:rPr>
        <w:tab/>
        <w:t>the single modality ad-disclosure treatment.</w:t>
      </w:r>
    </w:p>
    <w:p w:rsidR="00A3548E" w:rsidRDefault="00A3548E" w:rsidP="00A3548E">
      <w:pPr>
        <w:ind w:right="720"/>
        <w:rPr>
          <w:i/>
          <w:iCs/>
        </w:rPr>
      </w:pPr>
    </w:p>
    <w:p w:rsidR="00A3548E" w:rsidRDefault="00A3548E" w:rsidP="00A3548E">
      <w:pPr>
        <w:rPr>
          <w:i/>
          <w:iCs/>
        </w:rPr>
      </w:pPr>
      <w:r>
        <w:rPr>
          <w:iCs/>
        </w:rPr>
        <w:tab/>
        <w:t>Interaction effect hypothesis 3 (</w:t>
      </w:r>
      <w:r w:rsidR="00E30C27">
        <w:rPr>
          <w:b/>
          <w:bCs/>
          <w:i/>
          <w:iCs/>
        </w:rPr>
        <w:t>H9</w:t>
      </w:r>
      <w:r>
        <w:rPr>
          <w:b/>
          <w:bCs/>
          <w:i/>
          <w:iCs/>
        </w:rPr>
        <w:t>)</w:t>
      </w:r>
      <w:r w:rsidRPr="00F33ADD">
        <w:rPr>
          <w:i/>
          <w:iCs/>
        </w:rPr>
        <w:t>:</w:t>
      </w:r>
      <w:r>
        <w:rPr>
          <w:i/>
          <w:iCs/>
        </w:rPr>
        <w:t xml:space="preserve"> Cognitive capacity and ad-disclosure treatments </w:t>
      </w:r>
      <w:r>
        <w:rPr>
          <w:i/>
          <w:iCs/>
        </w:rPr>
        <w:tab/>
        <w:t xml:space="preserve">will interact such that parents exposed to the no ad-disclosure (control) treatment will </w:t>
      </w:r>
      <w:r>
        <w:rPr>
          <w:i/>
          <w:iCs/>
        </w:rPr>
        <w:tab/>
        <w:t xml:space="preserve">report higher levels of persuasion knowledge when cognitively unloaded versus </w:t>
      </w:r>
      <w:r>
        <w:rPr>
          <w:i/>
          <w:iCs/>
        </w:rPr>
        <w:tab/>
        <w:t>cognitively loaded.</w:t>
      </w:r>
    </w:p>
    <w:p w:rsidR="00A3548E" w:rsidRDefault="00A3548E" w:rsidP="00A3548E">
      <w:pPr>
        <w:ind w:right="720"/>
        <w:rPr>
          <w:i/>
          <w:iCs/>
        </w:rPr>
      </w:pPr>
    </w:p>
    <w:p w:rsidR="00A3548E" w:rsidRDefault="00A3548E" w:rsidP="00A3548E">
      <w:pPr>
        <w:rPr>
          <w:i/>
          <w:iCs/>
        </w:rPr>
      </w:pPr>
      <w:r>
        <w:rPr>
          <w:iCs/>
        </w:rPr>
        <w:tab/>
        <w:t>Interaction effect hypothesis 4 (</w:t>
      </w:r>
      <w:r w:rsidR="00E30C27">
        <w:rPr>
          <w:b/>
          <w:bCs/>
          <w:i/>
          <w:iCs/>
        </w:rPr>
        <w:t>H10</w:t>
      </w:r>
      <w:r>
        <w:rPr>
          <w:b/>
          <w:bCs/>
          <w:i/>
          <w:iCs/>
        </w:rPr>
        <w:t>)</w:t>
      </w:r>
      <w:r w:rsidRPr="00F33ADD">
        <w:rPr>
          <w:i/>
          <w:iCs/>
        </w:rPr>
        <w:t>:</w:t>
      </w:r>
      <w:r>
        <w:rPr>
          <w:i/>
          <w:iCs/>
        </w:rPr>
        <w:t xml:space="preserve"> Cognitive capacity and ad-disclosure treatments </w:t>
      </w:r>
      <w:r>
        <w:rPr>
          <w:i/>
          <w:iCs/>
        </w:rPr>
        <w:tab/>
        <w:t xml:space="preserve">will interact such that parents exposed to the single modality ad-disclosure treatment will </w:t>
      </w:r>
      <w:r>
        <w:rPr>
          <w:i/>
          <w:iCs/>
        </w:rPr>
        <w:tab/>
        <w:t xml:space="preserve">report higher levels of persuasion knowledge when cognitively unloaded versus </w:t>
      </w:r>
      <w:r>
        <w:rPr>
          <w:i/>
          <w:iCs/>
        </w:rPr>
        <w:tab/>
        <w:t>cognitively loaded.</w:t>
      </w:r>
    </w:p>
    <w:p w:rsidR="00A3548E" w:rsidRDefault="00A3548E" w:rsidP="00A3548E">
      <w:pPr>
        <w:ind w:right="720"/>
        <w:rPr>
          <w:i/>
          <w:iCs/>
        </w:rPr>
      </w:pPr>
    </w:p>
    <w:p w:rsidR="00FC1196" w:rsidRDefault="00A3548E" w:rsidP="00FC1196">
      <w:pPr>
        <w:rPr>
          <w:i/>
          <w:iCs/>
        </w:rPr>
      </w:pPr>
      <w:r>
        <w:rPr>
          <w:iCs/>
        </w:rPr>
        <w:tab/>
        <w:t>Interaction effect hypothesis 5 (</w:t>
      </w:r>
      <w:r w:rsidR="00E30C27">
        <w:rPr>
          <w:b/>
          <w:bCs/>
          <w:i/>
          <w:iCs/>
        </w:rPr>
        <w:t>H11</w:t>
      </w:r>
      <w:r>
        <w:rPr>
          <w:b/>
          <w:bCs/>
          <w:i/>
          <w:iCs/>
        </w:rPr>
        <w:t>)</w:t>
      </w:r>
      <w:r w:rsidRPr="00F33ADD">
        <w:rPr>
          <w:i/>
          <w:iCs/>
        </w:rPr>
        <w:t>:</w:t>
      </w:r>
      <w:r>
        <w:rPr>
          <w:i/>
          <w:iCs/>
        </w:rPr>
        <w:t xml:space="preserve"> Cognitive capacity and ad-disclosure treatments </w:t>
      </w:r>
      <w:r>
        <w:rPr>
          <w:i/>
          <w:iCs/>
        </w:rPr>
        <w:tab/>
        <w:t xml:space="preserve">will interact such that parents exposed to the dual modality ad-disclosure treatment will </w:t>
      </w:r>
      <w:r>
        <w:rPr>
          <w:i/>
          <w:iCs/>
        </w:rPr>
        <w:tab/>
        <w:t xml:space="preserve">report higher levels of persuasion knowledge when cognitively unloaded versus </w:t>
      </w:r>
      <w:r>
        <w:rPr>
          <w:i/>
          <w:iCs/>
        </w:rPr>
        <w:tab/>
        <w:t>cognitively loaded.</w:t>
      </w:r>
    </w:p>
    <w:p w:rsidR="004920BC" w:rsidRPr="00FC1196" w:rsidRDefault="004920BC" w:rsidP="00FC1196">
      <w:pPr>
        <w:rPr>
          <w:i/>
          <w:iCs/>
        </w:rPr>
      </w:pPr>
    </w:p>
    <w:p w:rsidR="00A3548E" w:rsidRDefault="00A3548E" w:rsidP="00A3548E">
      <w:pPr>
        <w:spacing w:line="480" w:lineRule="auto"/>
        <w:rPr>
          <w:rFonts w:cs="AdvPS6F00"/>
          <w:b/>
          <w:szCs w:val="20"/>
        </w:rPr>
      </w:pPr>
      <w:r w:rsidRPr="003F1B4B">
        <w:rPr>
          <w:rFonts w:cs="AdvPS6F00"/>
          <w:b/>
          <w:szCs w:val="20"/>
        </w:rPr>
        <w:t>Trait Differences in Persuasion Knowledge</w:t>
      </w:r>
    </w:p>
    <w:p w:rsidR="00A3548E" w:rsidRDefault="00A3548E" w:rsidP="00A3548E">
      <w:pPr>
        <w:widowControl w:val="0"/>
        <w:autoSpaceDE w:val="0"/>
        <w:autoSpaceDN w:val="0"/>
        <w:adjustRightInd w:val="0"/>
        <w:spacing w:line="480" w:lineRule="auto"/>
        <w:rPr>
          <w:rFonts w:cs="Times-Roman"/>
          <w:szCs w:val="20"/>
        </w:rPr>
      </w:pPr>
      <w:r>
        <w:rPr>
          <w:rFonts w:cs="Times-Roman"/>
          <w:szCs w:val="20"/>
        </w:rPr>
        <w:tab/>
        <w:t>According to Friestad and Wright (1994) individuals have varying levels of marketplace persuasion knowledge and that knowledge develops over a lifetime (Wright et al.</w:t>
      </w:r>
      <w:r w:rsidR="003905F9">
        <w:rPr>
          <w:rFonts w:cs="Times-Roman"/>
          <w:szCs w:val="20"/>
        </w:rPr>
        <w:t>,</w:t>
      </w:r>
      <w:r>
        <w:rPr>
          <w:rFonts w:cs="Times-Roman"/>
          <w:szCs w:val="20"/>
        </w:rPr>
        <w:t xml:space="preserve"> 2005). Such marketplace persuasion knowledge is informed by the general social discourse regarding advertiser tactics in addition to exposure to the various persuasion episodes across a multitude of advertising contexts. Given this logic, some parents may have more experience with and persuasion knowledge of advertising tactics than others. That knowledge, which is a function of experience, exposure, and social discourse, may very well influence a parent’s ability to determine whether an advergame qualifies as a persuasive episode. Furthermore, a parent’s existing persuasion knowledge may also influence their attitudes toward an advergame. </w:t>
      </w:r>
    </w:p>
    <w:p w:rsidR="00A3548E" w:rsidRPr="003F1B4B" w:rsidRDefault="00A3548E" w:rsidP="00A3548E">
      <w:pPr>
        <w:widowControl w:val="0"/>
        <w:autoSpaceDE w:val="0"/>
        <w:autoSpaceDN w:val="0"/>
        <w:adjustRightInd w:val="0"/>
        <w:spacing w:line="480" w:lineRule="auto"/>
        <w:rPr>
          <w:b/>
        </w:rPr>
      </w:pPr>
      <w:r>
        <w:rPr>
          <w:rFonts w:cs="Times-Roman"/>
          <w:szCs w:val="20"/>
        </w:rPr>
        <w:tab/>
        <w:t>Research has demonstrated that preexisting individual level differences affect the ability to recall brands in a product placement environment. Matthes, Wirth, Schemer, and Kissling (2011) found that individual differences in field independence-</w:t>
      </w:r>
      <w:r>
        <w:t xml:space="preserve">dependence (i.e. the ability to recognize brands within product-placement environments) influenced brand recall and liking. Those that were field </w:t>
      </w:r>
      <w:r w:rsidR="003905F9">
        <w:t>in</w:t>
      </w:r>
      <w:r>
        <w:t>dependent (i.e. better able to separate figures from its surrounding field) were better able to recognize brands in product placement environments. Given these findings, it is possible that preexisting individual differences like persuasion knowledge may also affect parents’ ability to recognize the advertising content and persuasive intent within advergames. Furthermore, as demonstrated by Matthes et al. (2011), preexisting individual level differences may also affect attitudes in a product placement environment like child-targeted advergames. The following research question is put forth as a means to explore the influence that preexisting trait differences in persuasion knowledge have on persuasion recognition in children’s advergames, parents’ attitudes toward them, and their attitudes toward regulating them.</w:t>
      </w:r>
    </w:p>
    <w:p w:rsidR="00A3548E" w:rsidRDefault="00A3548E" w:rsidP="00A3548E">
      <w:pPr>
        <w:widowControl w:val="0"/>
        <w:autoSpaceDE w:val="0"/>
        <w:autoSpaceDN w:val="0"/>
        <w:adjustRightInd w:val="0"/>
        <w:rPr>
          <w:i/>
        </w:rPr>
      </w:pPr>
      <w:r>
        <w:rPr>
          <w:rFonts w:cs="AdvPS6F00"/>
          <w:i/>
          <w:szCs w:val="20"/>
        </w:rPr>
        <w:tab/>
      </w:r>
      <w:r w:rsidRPr="00705C0F">
        <w:rPr>
          <w:rFonts w:cs="AdvPS6F00"/>
          <w:b/>
          <w:i/>
          <w:szCs w:val="20"/>
        </w:rPr>
        <w:t>RQ</w:t>
      </w:r>
      <w:r>
        <w:rPr>
          <w:rFonts w:cs="AdvPS6F00"/>
          <w:b/>
          <w:i/>
          <w:szCs w:val="20"/>
        </w:rPr>
        <w:t>1</w:t>
      </w:r>
      <w:r w:rsidRPr="00705C0F">
        <w:rPr>
          <w:rFonts w:cs="AdvPS6F00"/>
          <w:i/>
          <w:szCs w:val="20"/>
        </w:rPr>
        <w:t xml:space="preserve">: Do parents’ trait differences in persuasion knowledge influence their level of </w:t>
      </w:r>
      <w:r>
        <w:rPr>
          <w:rFonts w:cs="AdvPS6F00"/>
          <w:i/>
          <w:szCs w:val="20"/>
        </w:rPr>
        <w:tab/>
      </w:r>
      <w:r>
        <w:rPr>
          <w:rFonts w:cs="AdvPS6F00"/>
          <w:i/>
          <w:szCs w:val="20"/>
        </w:rPr>
        <w:tab/>
      </w:r>
      <w:r w:rsidRPr="00705C0F">
        <w:rPr>
          <w:rFonts w:cs="AdvPS6F00"/>
          <w:i/>
          <w:szCs w:val="20"/>
        </w:rPr>
        <w:t>persuasion kno</w:t>
      </w:r>
      <w:r w:rsidR="003B366D">
        <w:rPr>
          <w:rFonts w:cs="AdvPS6F00"/>
          <w:i/>
          <w:szCs w:val="20"/>
        </w:rPr>
        <w:t>wledge of children’s advergames and</w:t>
      </w:r>
      <w:r w:rsidRPr="00705C0F">
        <w:rPr>
          <w:rFonts w:cs="AdvPS6F00"/>
          <w:i/>
          <w:szCs w:val="20"/>
        </w:rPr>
        <w:t xml:space="preserve"> </w:t>
      </w:r>
      <w:r w:rsidRPr="00705C0F">
        <w:rPr>
          <w:i/>
        </w:rPr>
        <w:t xml:space="preserve">attitudes toward children’s </w:t>
      </w:r>
      <w:r w:rsidR="003B366D">
        <w:rPr>
          <w:i/>
        </w:rPr>
        <w:tab/>
        <w:t>advergames</w:t>
      </w:r>
      <w:r w:rsidRPr="00705C0F">
        <w:rPr>
          <w:i/>
        </w:rPr>
        <w:t>?</w:t>
      </w:r>
    </w:p>
    <w:p w:rsidR="00A3548E" w:rsidRDefault="00A3548E" w:rsidP="00A3548E">
      <w:pPr>
        <w:rPr>
          <w:b/>
        </w:rPr>
      </w:pPr>
    </w:p>
    <w:p w:rsidR="00A3548E" w:rsidRDefault="00A3548E" w:rsidP="00A3548E">
      <w:pPr>
        <w:widowControl w:val="0"/>
        <w:autoSpaceDE w:val="0"/>
        <w:autoSpaceDN w:val="0"/>
        <w:adjustRightInd w:val="0"/>
        <w:spacing w:line="480" w:lineRule="auto"/>
        <w:rPr>
          <w:rFonts w:cs="Times-Roman"/>
          <w:b/>
          <w:szCs w:val="20"/>
        </w:rPr>
      </w:pPr>
      <w:r w:rsidRPr="003F1B4B">
        <w:rPr>
          <w:rFonts w:cs="Times-Roman"/>
          <w:b/>
          <w:szCs w:val="20"/>
        </w:rPr>
        <w:t>Parental Mediation of Children’s Internet Use</w:t>
      </w:r>
    </w:p>
    <w:p w:rsidR="00A3548E" w:rsidRDefault="00A3548E" w:rsidP="00A3548E">
      <w:pPr>
        <w:widowControl w:val="0"/>
        <w:autoSpaceDE w:val="0"/>
        <w:autoSpaceDN w:val="0"/>
        <w:adjustRightInd w:val="0"/>
        <w:spacing w:line="480" w:lineRule="auto"/>
        <w:rPr>
          <w:rFonts w:cs="Times-Roman"/>
          <w:szCs w:val="20"/>
        </w:rPr>
      </w:pPr>
      <w:r>
        <w:rPr>
          <w:rFonts w:cs="Times-Roman"/>
          <w:szCs w:val="20"/>
        </w:rPr>
        <w:tab/>
        <w:t>Research indicates that parents underestimate their children’s exposure to inappropriate online content (Livingstone,</w:t>
      </w:r>
      <w:r>
        <w:rPr>
          <w:rFonts w:cs="TimesNewRomanPSMT"/>
          <w:szCs w:val="18"/>
        </w:rPr>
        <w:t xml:space="preserve"> Haddon, </w:t>
      </w:r>
      <w:r w:rsidRPr="00D62013">
        <w:rPr>
          <w:rFonts w:cs="TimesNewRomanPSMT"/>
          <w:szCs w:val="18"/>
        </w:rPr>
        <w:t>Gö</w:t>
      </w:r>
      <w:r w:rsidR="00CD6641">
        <w:rPr>
          <w:rFonts w:cs="TimesNewRomanPSMT"/>
          <w:szCs w:val="18"/>
        </w:rPr>
        <w:t>rzig &amp;</w:t>
      </w:r>
      <w:r>
        <w:rPr>
          <w:rFonts w:cs="TimesNewRomanPSMT"/>
          <w:szCs w:val="18"/>
        </w:rPr>
        <w:t xml:space="preserve"> Olafsson</w:t>
      </w:r>
      <w:r w:rsidR="00CD6641">
        <w:rPr>
          <w:rFonts w:cs="TimesNewRomanPSMT"/>
          <w:szCs w:val="18"/>
        </w:rPr>
        <w:t>,</w:t>
      </w:r>
      <w:r>
        <w:rPr>
          <w:rFonts w:cs="TimesNewRomanPSMT"/>
          <w:szCs w:val="18"/>
        </w:rPr>
        <w:t xml:space="preserve"> 2011;</w:t>
      </w:r>
      <w:r w:rsidR="00CD6641">
        <w:rPr>
          <w:rFonts w:cs="Times-Roman"/>
          <w:szCs w:val="20"/>
        </w:rPr>
        <w:t xml:space="preserve"> Sorbring &amp;</w:t>
      </w:r>
      <w:r>
        <w:rPr>
          <w:rFonts w:cs="Times-Roman"/>
          <w:szCs w:val="20"/>
        </w:rPr>
        <w:t xml:space="preserve"> Lundin</w:t>
      </w:r>
      <w:r w:rsidR="00CD6641">
        <w:rPr>
          <w:rFonts w:cs="Times-Roman"/>
          <w:szCs w:val="20"/>
        </w:rPr>
        <w:t>,</w:t>
      </w:r>
      <w:r>
        <w:rPr>
          <w:rFonts w:cs="Times-Roman"/>
          <w:szCs w:val="20"/>
        </w:rPr>
        <w:t xml:space="preserve"> 2012), their exposure to online bullying (</w:t>
      </w:r>
      <w:r w:rsidR="00CD6641">
        <w:rPr>
          <w:rFonts w:cs="TimesNewRomanPSMT"/>
          <w:szCs w:val="20"/>
        </w:rPr>
        <w:t>Cho &amp;</w:t>
      </w:r>
      <w:r>
        <w:rPr>
          <w:rFonts w:cs="TimesNewRomanPSMT"/>
          <w:szCs w:val="20"/>
        </w:rPr>
        <w:t xml:space="preserve"> Cheon</w:t>
      </w:r>
      <w:r w:rsidR="00CD6641">
        <w:rPr>
          <w:rFonts w:cs="TimesNewRomanPSMT"/>
          <w:szCs w:val="20"/>
        </w:rPr>
        <w:t>,</w:t>
      </w:r>
      <w:r>
        <w:rPr>
          <w:rFonts w:cs="TimesNewRomanPSMT"/>
          <w:szCs w:val="20"/>
        </w:rPr>
        <w:t xml:space="preserve"> 2005)</w:t>
      </w:r>
      <w:r>
        <w:rPr>
          <w:rFonts w:ascii="TimesNewRomanPSMT" w:hAnsi="TimesNewRomanPSMT" w:cs="TimesNewRomanPSMT"/>
          <w:sz w:val="20"/>
          <w:szCs w:val="20"/>
        </w:rPr>
        <w:t xml:space="preserve">, </w:t>
      </w:r>
      <w:r>
        <w:rPr>
          <w:rFonts w:ascii="TimesNewRoman" w:hAnsi="TimesNewRoman" w:cs="TimesNewRomanPSMT"/>
          <w:szCs w:val="20"/>
        </w:rPr>
        <w:t>and their</w:t>
      </w:r>
      <w:r>
        <w:rPr>
          <w:rFonts w:cs="Times-Roman"/>
          <w:szCs w:val="20"/>
        </w:rPr>
        <w:t xml:space="preserve"> time spent on various online Web sites (Nowak</w:t>
      </w:r>
      <w:r w:rsidR="00CD6641">
        <w:rPr>
          <w:rFonts w:cs="Times-Roman"/>
          <w:szCs w:val="20"/>
        </w:rPr>
        <w:t>,</w:t>
      </w:r>
      <w:r>
        <w:rPr>
          <w:rFonts w:cs="Times-Roman"/>
          <w:szCs w:val="20"/>
        </w:rPr>
        <w:t xml:space="preserve"> 2010). Given this underestimation and lack of awareness, it is not surprising to find that parents’ accounts of children’s Internet use are often in discord with children’s descriptions on what they actually do while onl</w:t>
      </w:r>
      <w:r w:rsidR="00CD6641">
        <w:rPr>
          <w:rFonts w:cs="Times-Roman"/>
          <w:szCs w:val="20"/>
        </w:rPr>
        <w:t>ine (Livingstone &amp;</w:t>
      </w:r>
      <w:r>
        <w:rPr>
          <w:rFonts w:cs="Times-Roman"/>
          <w:szCs w:val="20"/>
        </w:rPr>
        <w:t xml:space="preserve"> Bober</w:t>
      </w:r>
      <w:r w:rsidR="00CD6641">
        <w:rPr>
          <w:rFonts w:cs="Times-Roman"/>
          <w:szCs w:val="20"/>
        </w:rPr>
        <w:t>,</w:t>
      </w:r>
      <w:r>
        <w:rPr>
          <w:rFonts w:cs="Times-Roman"/>
          <w:szCs w:val="20"/>
        </w:rPr>
        <w:t xml:space="preserve"> 2006). Research demonstrates that parental strategies for mediating and monitoring their children’s Internet use come from two main information sources. The first source of information originates from children’s disclosure of their own online activities to parents (</w:t>
      </w:r>
      <w:r>
        <w:rPr>
          <w:rFonts w:cs="TimesNewRomanPSMT"/>
          <w:szCs w:val="20"/>
        </w:rPr>
        <w:t>Fleming, Gree</w:t>
      </w:r>
      <w:r w:rsidR="00CD6641">
        <w:rPr>
          <w:rFonts w:cs="TimesNewRomanPSMT"/>
          <w:szCs w:val="20"/>
        </w:rPr>
        <w:t>ntree, Cocotti-Muller, Elias &amp;</w:t>
      </w:r>
      <w:r>
        <w:rPr>
          <w:rFonts w:cs="TimesNewRomanPSMT"/>
          <w:szCs w:val="20"/>
        </w:rPr>
        <w:t xml:space="preserve"> Morrison</w:t>
      </w:r>
      <w:r w:rsidR="00CD6641">
        <w:rPr>
          <w:rFonts w:cs="TimesNewRomanPSMT"/>
          <w:szCs w:val="20"/>
        </w:rPr>
        <w:t>,</w:t>
      </w:r>
      <w:r w:rsidRPr="00D4011B">
        <w:rPr>
          <w:rFonts w:cs="TimesNewRomanPSMT"/>
          <w:szCs w:val="20"/>
        </w:rPr>
        <w:t xml:space="preserve"> 2006</w:t>
      </w:r>
      <w:r>
        <w:rPr>
          <w:rFonts w:cs="TimesNewRomanPSMT"/>
          <w:szCs w:val="20"/>
        </w:rPr>
        <w:t>;</w:t>
      </w:r>
      <w:r w:rsidR="00CD6641">
        <w:rPr>
          <w:rFonts w:cs="TimesNewRomanPSMT"/>
          <w:szCs w:val="20"/>
        </w:rPr>
        <w:t xml:space="preserve"> Juvonen &amp;</w:t>
      </w:r>
      <w:r w:rsidRPr="00D4011B">
        <w:rPr>
          <w:rFonts w:cs="TimesNewRomanPSMT"/>
          <w:szCs w:val="20"/>
        </w:rPr>
        <w:t xml:space="preserve"> Gross</w:t>
      </w:r>
      <w:r w:rsidR="00CD6641">
        <w:rPr>
          <w:rFonts w:cs="TimesNewRomanPSMT"/>
          <w:szCs w:val="20"/>
        </w:rPr>
        <w:t>,</w:t>
      </w:r>
      <w:r w:rsidRPr="00D4011B">
        <w:rPr>
          <w:rFonts w:cs="TimesNewRomanPSMT"/>
          <w:szCs w:val="20"/>
        </w:rPr>
        <w:t xml:space="preserve"> 2008</w:t>
      </w:r>
      <w:r>
        <w:rPr>
          <w:rFonts w:cs="TimesNewRomanPSMT"/>
          <w:szCs w:val="20"/>
        </w:rPr>
        <w:t>;</w:t>
      </w:r>
      <w:r w:rsidR="00CD6641">
        <w:rPr>
          <w:rFonts w:cs="TimesNewRomanPSMT"/>
          <w:szCs w:val="20"/>
        </w:rPr>
        <w:t xml:space="preserve"> Stattin &amp;</w:t>
      </w:r>
      <w:r w:rsidRPr="00D4011B">
        <w:rPr>
          <w:rFonts w:cs="TimesNewRomanPSMT"/>
          <w:szCs w:val="20"/>
        </w:rPr>
        <w:t xml:space="preserve"> Kerr</w:t>
      </w:r>
      <w:r w:rsidR="00CD6641">
        <w:rPr>
          <w:rFonts w:cs="TimesNewRomanPSMT"/>
          <w:szCs w:val="20"/>
        </w:rPr>
        <w:t>,</w:t>
      </w:r>
      <w:r w:rsidRPr="00D4011B">
        <w:rPr>
          <w:rFonts w:cs="TimesNewRomanPSMT"/>
          <w:szCs w:val="20"/>
        </w:rPr>
        <w:t xml:space="preserve"> 2000</w:t>
      </w:r>
      <w:r>
        <w:rPr>
          <w:rFonts w:cs="TimesNewRomanPSMT"/>
          <w:szCs w:val="20"/>
        </w:rPr>
        <w:t>). The second information source that allows parents insights into their children’s online activities originates from parents active participation in childre</w:t>
      </w:r>
      <w:r w:rsidR="00CD6641">
        <w:rPr>
          <w:rFonts w:cs="TimesNewRomanPSMT"/>
          <w:szCs w:val="20"/>
        </w:rPr>
        <w:t>n’s Internet activities (Cho &amp;</w:t>
      </w:r>
      <w:r>
        <w:rPr>
          <w:rFonts w:cs="TimesNewRomanPSMT"/>
          <w:szCs w:val="20"/>
        </w:rPr>
        <w:t xml:space="preserve"> Chen</w:t>
      </w:r>
      <w:r w:rsidR="00CD6641">
        <w:rPr>
          <w:rFonts w:cs="TimesNewRomanPSMT"/>
          <w:szCs w:val="20"/>
        </w:rPr>
        <w:t>, 2005; Livingstone &amp;</w:t>
      </w:r>
      <w:r>
        <w:rPr>
          <w:rFonts w:cs="TimesNewRomanPSMT"/>
          <w:szCs w:val="20"/>
        </w:rPr>
        <w:t xml:space="preserve"> Helsper</w:t>
      </w:r>
      <w:r w:rsidR="00CD6641">
        <w:rPr>
          <w:rFonts w:cs="TimesNewRomanPSMT"/>
          <w:szCs w:val="20"/>
        </w:rPr>
        <w:t>,</w:t>
      </w:r>
      <w:r>
        <w:rPr>
          <w:rFonts w:cs="TimesNewRomanPSMT"/>
          <w:szCs w:val="20"/>
        </w:rPr>
        <w:t xml:space="preserve"> 2008; Waizenhoffer, </w:t>
      </w:r>
      <w:r w:rsidR="00CD6641">
        <w:rPr>
          <w:rFonts w:cs="TimesNewRomanPSMT"/>
          <w:szCs w:val="18"/>
        </w:rPr>
        <w:t>Buchanan &amp;</w:t>
      </w:r>
      <w:r>
        <w:rPr>
          <w:rFonts w:cs="TimesNewRomanPSMT"/>
          <w:szCs w:val="18"/>
        </w:rPr>
        <w:t xml:space="preserve"> Jackson-Newson</w:t>
      </w:r>
      <w:r w:rsidR="00CD6641">
        <w:rPr>
          <w:rFonts w:cs="TimesNewRomanPSMT"/>
          <w:szCs w:val="18"/>
        </w:rPr>
        <w:t>,</w:t>
      </w:r>
      <w:r>
        <w:rPr>
          <w:rFonts w:cs="TimesNewRomanPSMT"/>
          <w:szCs w:val="18"/>
        </w:rPr>
        <w:t xml:space="preserve"> 2002).</w:t>
      </w:r>
      <w:r>
        <w:rPr>
          <w:rFonts w:cs="TimesNewRomanPSMT"/>
          <w:szCs w:val="20"/>
        </w:rPr>
        <w:t xml:space="preserve"> </w:t>
      </w:r>
    </w:p>
    <w:p w:rsidR="00A3548E" w:rsidRDefault="00A3548E" w:rsidP="00A3548E">
      <w:pPr>
        <w:widowControl w:val="0"/>
        <w:autoSpaceDE w:val="0"/>
        <w:autoSpaceDN w:val="0"/>
        <w:adjustRightInd w:val="0"/>
        <w:spacing w:line="480" w:lineRule="auto"/>
        <w:rPr>
          <w:rFonts w:cs="Times-Roman"/>
          <w:szCs w:val="20"/>
        </w:rPr>
      </w:pPr>
      <w:r>
        <w:rPr>
          <w:rFonts w:cs="Times-Roman"/>
          <w:szCs w:val="20"/>
        </w:rPr>
        <w:tab/>
        <w:t>While it is certainly desirable that children share with their parents their online activities, which could include accounts</w:t>
      </w:r>
      <w:r w:rsidR="00EF6F9F">
        <w:rPr>
          <w:rFonts w:cs="Times-Roman"/>
          <w:szCs w:val="20"/>
        </w:rPr>
        <w:t xml:space="preserve"> of </w:t>
      </w:r>
      <w:r>
        <w:rPr>
          <w:rFonts w:cs="Times-Roman"/>
          <w:szCs w:val="20"/>
        </w:rPr>
        <w:t>inappropriate content exposure or advertising, such disclosure may be based on a child’s willingness to share or the trusting nature of the parent</w:t>
      </w:r>
      <w:r w:rsidR="00CD6641">
        <w:rPr>
          <w:rFonts w:cs="Times-Roman"/>
          <w:szCs w:val="20"/>
        </w:rPr>
        <w:t>-child relationship (Juvonen &amp;</w:t>
      </w:r>
      <w:r>
        <w:rPr>
          <w:rFonts w:cs="Times-Roman"/>
          <w:szCs w:val="20"/>
        </w:rPr>
        <w:t xml:space="preserve"> Gross</w:t>
      </w:r>
      <w:r w:rsidR="00CD6641">
        <w:rPr>
          <w:rFonts w:cs="Times-Roman"/>
          <w:szCs w:val="20"/>
        </w:rPr>
        <w:t>,</w:t>
      </w:r>
      <w:r>
        <w:rPr>
          <w:rFonts w:cs="Times-Roman"/>
          <w:szCs w:val="20"/>
        </w:rPr>
        <w:t xml:space="preserve"> 2008). Therefore, mediation strategies based on active co-viewing and parental participation in children’s Internet activities may be more accurate and informative when compared to child disclosure of on</w:t>
      </w:r>
      <w:r w:rsidR="00CD6641">
        <w:rPr>
          <w:rFonts w:cs="Times-Roman"/>
          <w:szCs w:val="20"/>
        </w:rPr>
        <w:t>line activities (Livingstone &amp;</w:t>
      </w:r>
      <w:r>
        <w:rPr>
          <w:rFonts w:cs="Times-Roman"/>
          <w:szCs w:val="20"/>
        </w:rPr>
        <w:t xml:space="preserve"> Bober</w:t>
      </w:r>
      <w:r w:rsidR="00CD6641">
        <w:rPr>
          <w:rFonts w:cs="Times-Roman"/>
          <w:szCs w:val="20"/>
        </w:rPr>
        <w:t>, 2006; Livingstone &amp;</w:t>
      </w:r>
      <w:r>
        <w:rPr>
          <w:rFonts w:cs="Times-Roman"/>
          <w:szCs w:val="20"/>
        </w:rPr>
        <w:t xml:space="preserve"> Helpser</w:t>
      </w:r>
      <w:r w:rsidR="00CD6641">
        <w:rPr>
          <w:rFonts w:cs="Times-Roman"/>
          <w:szCs w:val="20"/>
        </w:rPr>
        <w:t>,</w:t>
      </w:r>
      <w:r>
        <w:rPr>
          <w:rFonts w:cs="Times-Roman"/>
          <w:szCs w:val="20"/>
        </w:rPr>
        <w:t xml:space="preserve"> 2008). </w:t>
      </w:r>
    </w:p>
    <w:p w:rsidR="00A3548E" w:rsidRDefault="00A3548E" w:rsidP="00A3548E">
      <w:pPr>
        <w:widowControl w:val="0"/>
        <w:autoSpaceDE w:val="0"/>
        <w:autoSpaceDN w:val="0"/>
        <w:adjustRightInd w:val="0"/>
        <w:spacing w:line="480" w:lineRule="auto"/>
        <w:rPr>
          <w:rFonts w:cs="Times-Roman"/>
          <w:szCs w:val="20"/>
        </w:rPr>
      </w:pPr>
      <w:r>
        <w:rPr>
          <w:rFonts w:cs="Times-Roman"/>
          <w:szCs w:val="20"/>
        </w:rPr>
        <w:tab/>
        <w:t>It is feasible that some parents are more involved and concerned with their children’s online activities. Research demonstrates that some parents may execute more online mediation strategies for younger rather than</w:t>
      </w:r>
      <w:r w:rsidR="00CD6641">
        <w:rPr>
          <w:rFonts w:cs="Times-Roman"/>
          <w:szCs w:val="20"/>
        </w:rPr>
        <w:t xml:space="preserve"> older children (Livingstone &amp;</w:t>
      </w:r>
      <w:r>
        <w:rPr>
          <w:rFonts w:cs="Times-Roman"/>
          <w:szCs w:val="20"/>
        </w:rPr>
        <w:t xml:space="preserve"> Helsper 2008). Given that active co-viewing and online mediation expose parents to various online contexts, which may include certain forms of child directed advertising, those who are more active mediators of their children’s activities may more aptly recognize and understand children’s advergames as a form of advertising. Therefore, it is possible that parents who are more involved with and have more mediation strategies regarding their children’s Internet use may have more knowledge of advergames’ prevalence and commercial nature. In order to explore this possible relationship the following research question is put forth.</w:t>
      </w:r>
    </w:p>
    <w:p w:rsidR="00CD6641" w:rsidRPr="00964962" w:rsidRDefault="00A3548E" w:rsidP="00964962">
      <w:pPr>
        <w:widowControl w:val="0"/>
        <w:autoSpaceDE w:val="0"/>
        <w:autoSpaceDN w:val="0"/>
        <w:adjustRightInd w:val="0"/>
        <w:rPr>
          <w:i/>
        </w:rPr>
      </w:pPr>
      <w:r>
        <w:rPr>
          <w:rFonts w:cs="Times-Roman"/>
          <w:i/>
          <w:szCs w:val="20"/>
        </w:rPr>
        <w:tab/>
      </w:r>
      <w:r w:rsidRPr="00705C0F">
        <w:rPr>
          <w:rFonts w:cs="Times-Roman"/>
          <w:b/>
          <w:i/>
          <w:szCs w:val="20"/>
        </w:rPr>
        <w:t>RQ</w:t>
      </w:r>
      <w:r>
        <w:rPr>
          <w:rFonts w:cs="Times-Roman"/>
          <w:b/>
          <w:i/>
          <w:szCs w:val="20"/>
        </w:rPr>
        <w:t>2</w:t>
      </w:r>
      <w:r w:rsidRPr="00705C0F">
        <w:rPr>
          <w:rFonts w:cs="Times-Roman"/>
          <w:i/>
          <w:szCs w:val="20"/>
        </w:rPr>
        <w:t xml:space="preserve">: Do parents’ mediation of children’s Internet use influence their level of persuasion </w:t>
      </w:r>
      <w:r>
        <w:rPr>
          <w:rFonts w:cs="Times-Roman"/>
          <w:i/>
          <w:szCs w:val="20"/>
        </w:rPr>
        <w:tab/>
      </w:r>
      <w:r w:rsidR="003B366D">
        <w:rPr>
          <w:rFonts w:cs="Times-Roman"/>
          <w:i/>
          <w:szCs w:val="20"/>
        </w:rPr>
        <w:t>knowledge and</w:t>
      </w:r>
      <w:r w:rsidRPr="00705C0F">
        <w:rPr>
          <w:rFonts w:cs="Times-Roman"/>
          <w:i/>
          <w:szCs w:val="20"/>
        </w:rPr>
        <w:t xml:space="preserve"> </w:t>
      </w:r>
      <w:r w:rsidRPr="00705C0F">
        <w:rPr>
          <w:i/>
        </w:rPr>
        <w:t>attitude</w:t>
      </w:r>
      <w:r w:rsidR="00964962">
        <w:rPr>
          <w:i/>
        </w:rPr>
        <w:t>s toward children’s advergames?</w:t>
      </w:r>
    </w:p>
    <w:p w:rsidR="001803DF" w:rsidRDefault="0025490E" w:rsidP="006200DB">
      <w:pPr>
        <w:widowControl w:val="0"/>
        <w:autoSpaceDE w:val="0"/>
        <w:autoSpaceDN w:val="0"/>
        <w:adjustRightInd w:val="0"/>
        <w:jc w:val="center"/>
        <w:rPr>
          <w:b/>
        </w:rPr>
      </w:pPr>
      <w:r w:rsidRPr="001803DF">
        <w:rPr>
          <w:b/>
        </w:rPr>
        <w:t>CHAPTER III</w:t>
      </w:r>
    </w:p>
    <w:p w:rsidR="00541C49" w:rsidRPr="001803DF" w:rsidRDefault="0025490E" w:rsidP="006200DB">
      <w:pPr>
        <w:widowControl w:val="0"/>
        <w:autoSpaceDE w:val="0"/>
        <w:autoSpaceDN w:val="0"/>
        <w:adjustRightInd w:val="0"/>
        <w:jc w:val="center"/>
        <w:rPr>
          <w:i/>
        </w:rPr>
      </w:pPr>
      <w:r w:rsidRPr="001803DF">
        <w:rPr>
          <w:b/>
        </w:rPr>
        <w:t>METHOD</w:t>
      </w:r>
    </w:p>
    <w:p w:rsidR="00A3548E" w:rsidRDefault="00A3548E" w:rsidP="00A3548E">
      <w:pPr>
        <w:rPr>
          <w:b/>
        </w:rPr>
      </w:pPr>
    </w:p>
    <w:p w:rsidR="00A3548E" w:rsidRPr="004E4727" w:rsidRDefault="00A3548E" w:rsidP="00A3548E">
      <w:pPr>
        <w:spacing w:line="480" w:lineRule="auto"/>
        <w:rPr>
          <w:b/>
          <w:bCs/>
        </w:rPr>
      </w:pPr>
      <w:r w:rsidRPr="004E4727">
        <w:rPr>
          <w:b/>
          <w:bCs/>
        </w:rPr>
        <w:t>Design and Sample</w:t>
      </w:r>
    </w:p>
    <w:p w:rsidR="00EF6F9F" w:rsidRDefault="00A3548E" w:rsidP="006200DB">
      <w:pPr>
        <w:spacing w:line="480" w:lineRule="auto"/>
      </w:pPr>
      <w:r>
        <w:tab/>
      </w:r>
      <w:r w:rsidR="00EF6F9F">
        <w:t>A 3 (advertising disclosures: no disclosure vs. single modality vs. dual modality) X 2 (cognitive load</w:t>
      </w:r>
      <w:r w:rsidR="00EF6F9F" w:rsidRPr="004E4727">
        <w:t xml:space="preserve">: </w:t>
      </w:r>
      <w:r w:rsidR="00EF6F9F">
        <w:t>loaded vs. u</w:t>
      </w:r>
      <w:r w:rsidR="00EF6F9F" w:rsidRPr="004E4727">
        <w:t>nloaded) between subjects factorial</w:t>
      </w:r>
      <w:r w:rsidR="000503DA">
        <w:t xml:space="preserve"> design was </w:t>
      </w:r>
      <w:r w:rsidR="00EF6F9F">
        <w:t xml:space="preserve">employed to address the study’s hypotheses and research questions. </w:t>
      </w:r>
      <w:r w:rsidR="000503DA">
        <w:rPr>
          <w:bCs/>
          <w:szCs w:val="20"/>
        </w:rPr>
        <w:t>Two-hundred and seven</w:t>
      </w:r>
      <w:r w:rsidR="001803DF" w:rsidRPr="004E4727">
        <w:rPr>
          <w:bCs/>
          <w:szCs w:val="20"/>
        </w:rPr>
        <w:t xml:space="preserve"> </w:t>
      </w:r>
      <w:r w:rsidR="001803DF">
        <w:rPr>
          <w:bCs/>
          <w:szCs w:val="20"/>
        </w:rPr>
        <w:t xml:space="preserve">parents with children between the ages of 7 and 11 </w:t>
      </w:r>
      <w:r w:rsidR="000503DA">
        <w:rPr>
          <w:bCs/>
          <w:szCs w:val="20"/>
        </w:rPr>
        <w:t>were</w:t>
      </w:r>
      <w:r w:rsidR="00EF6F9F">
        <w:rPr>
          <w:bCs/>
          <w:szCs w:val="20"/>
        </w:rPr>
        <w:t xml:space="preserve"> recruited to</w:t>
      </w:r>
      <w:r w:rsidR="001803DF" w:rsidRPr="004E4727">
        <w:rPr>
          <w:bCs/>
          <w:szCs w:val="20"/>
        </w:rPr>
        <w:t xml:space="preserve"> participate in an online </w:t>
      </w:r>
      <w:r w:rsidR="001803DF">
        <w:rPr>
          <w:bCs/>
          <w:szCs w:val="20"/>
        </w:rPr>
        <w:t xml:space="preserve">experiment that </w:t>
      </w:r>
      <w:r w:rsidR="00EF6F9F">
        <w:rPr>
          <w:bCs/>
          <w:szCs w:val="20"/>
        </w:rPr>
        <w:t xml:space="preserve">implements this design. Parents of children in this age group </w:t>
      </w:r>
      <w:r w:rsidR="0088120C">
        <w:rPr>
          <w:bCs/>
          <w:szCs w:val="20"/>
        </w:rPr>
        <w:t xml:space="preserve">were selected because research indicates that children typically develop the ability to recognize and defend against advertising around the age of 8 (John, 1999). </w:t>
      </w:r>
    </w:p>
    <w:p w:rsidR="00082B83" w:rsidRDefault="006200DB" w:rsidP="006200DB">
      <w:pPr>
        <w:spacing w:line="480" w:lineRule="auto"/>
        <w:rPr>
          <w:b/>
        </w:rPr>
      </w:pPr>
      <w:r>
        <w:rPr>
          <w:b/>
        </w:rPr>
        <w:t>Recruitment</w:t>
      </w:r>
      <w:r w:rsidR="00F41BB9">
        <w:rPr>
          <w:b/>
        </w:rPr>
        <w:t xml:space="preserve"> and Data Collection</w:t>
      </w:r>
    </w:p>
    <w:p w:rsidR="00A3548E" w:rsidRPr="00082B83" w:rsidRDefault="00082B83" w:rsidP="006200DB">
      <w:pPr>
        <w:spacing w:line="480" w:lineRule="auto"/>
        <w:rPr>
          <w:i/>
        </w:rPr>
      </w:pPr>
      <w:r>
        <w:rPr>
          <w:i/>
        </w:rPr>
        <w:t>Recruitment</w:t>
      </w:r>
    </w:p>
    <w:p w:rsidR="00A3548E" w:rsidRPr="004E4727" w:rsidRDefault="006200DB" w:rsidP="00A3548E">
      <w:pPr>
        <w:pStyle w:val="NormalWeb"/>
        <w:spacing w:before="0" w:beforeAutospacing="0" w:after="0" w:afterAutospacing="0" w:line="480" w:lineRule="auto"/>
        <w:rPr>
          <w:bCs/>
          <w:szCs w:val="20"/>
        </w:rPr>
      </w:pPr>
      <w:r>
        <w:rPr>
          <w:bCs/>
          <w:szCs w:val="20"/>
        </w:rPr>
        <w:tab/>
        <w:t>The principal investigator</w:t>
      </w:r>
      <w:r w:rsidR="00A3548E" w:rsidRPr="004E4727">
        <w:rPr>
          <w:bCs/>
          <w:szCs w:val="20"/>
        </w:rPr>
        <w:t xml:space="preserve"> hire</w:t>
      </w:r>
      <w:r>
        <w:rPr>
          <w:bCs/>
          <w:szCs w:val="20"/>
        </w:rPr>
        <w:t>d</w:t>
      </w:r>
      <w:r w:rsidR="00A3548E" w:rsidRPr="004E4727">
        <w:rPr>
          <w:bCs/>
          <w:szCs w:val="20"/>
        </w:rPr>
        <w:t xml:space="preserve"> an external market research company (</w:t>
      </w:r>
      <w:r w:rsidR="00A3548E">
        <w:rPr>
          <w:bCs/>
          <w:szCs w:val="20"/>
        </w:rPr>
        <w:t>Research Now</w:t>
      </w:r>
      <w:r w:rsidR="00A3548E" w:rsidRPr="004E4727">
        <w:rPr>
          <w:bCs/>
          <w:szCs w:val="20"/>
        </w:rPr>
        <w:t>) to recruit qualifying participants and administer the online experime</w:t>
      </w:r>
      <w:r w:rsidR="00A3548E">
        <w:rPr>
          <w:bCs/>
          <w:szCs w:val="20"/>
        </w:rPr>
        <w:t>nt.</w:t>
      </w:r>
      <w:r>
        <w:rPr>
          <w:bCs/>
          <w:szCs w:val="20"/>
        </w:rPr>
        <w:t xml:space="preserve"> Parents that qualified</w:t>
      </w:r>
      <w:r w:rsidR="00A3548E" w:rsidRPr="004E4727">
        <w:rPr>
          <w:bCs/>
          <w:szCs w:val="20"/>
        </w:rPr>
        <w:t xml:space="preserve"> for participation </w:t>
      </w:r>
      <w:r>
        <w:rPr>
          <w:bCs/>
          <w:szCs w:val="20"/>
        </w:rPr>
        <w:t xml:space="preserve">had </w:t>
      </w:r>
      <w:r w:rsidR="00A3548E" w:rsidRPr="004E4727">
        <w:rPr>
          <w:bCs/>
          <w:szCs w:val="20"/>
        </w:rPr>
        <w:t>at least one child between the ages of 7 to 11 (or approximately 2</w:t>
      </w:r>
      <w:r w:rsidR="00A3548E" w:rsidRPr="004E4727">
        <w:rPr>
          <w:bCs/>
          <w:szCs w:val="20"/>
          <w:vertAlign w:val="superscript"/>
        </w:rPr>
        <w:t>nd</w:t>
      </w:r>
      <w:r w:rsidR="00A3548E" w:rsidRPr="004E4727">
        <w:rPr>
          <w:bCs/>
          <w:szCs w:val="20"/>
        </w:rPr>
        <w:t xml:space="preserve"> through 5</w:t>
      </w:r>
      <w:r w:rsidR="00A3548E" w:rsidRPr="004E4727">
        <w:rPr>
          <w:bCs/>
          <w:szCs w:val="20"/>
          <w:vertAlign w:val="superscript"/>
        </w:rPr>
        <w:t>th</w:t>
      </w:r>
      <w:r w:rsidR="00082B83">
        <w:rPr>
          <w:bCs/>
          <w:szCs w:val="20"/>
        </w:rPr>
        <w:t xml:space="preserve"> grade). Parents that had</w:t>
      </w:r>
      <w:r w:rsidR="00A3548E" w:rsidRPr="004E4727">
        <w:rPr>
          <w:bCs/>
          <w:szCs w:val="20"/>
        </w:rPr>
        <w:t xml:space="preserve"> no children fa</w:t>
      </w:r>
      <w:r w:rsidR="00082B83">
        <w:rPr>
          <w:bCs/>
          <w:szCs w:val="20"/>
        </w:rPr>
        <w:t>lling within this age range were</w:t>
      </w:r>
      <w:r w:rsidR="00A3548E" w:rsidRPr="004E4727">
        <w:rPr>
          <w:bCs/>
          <w:szCs w:val="20"/>
        </w:rPr>
        <w:t xml:space="preserve"> excluded from participation. </w:t>
      </w:r>
      <w:r w:rsidR="00E27CD5">
        <w:rPr>
          <w:bCs/>
          <w:szCs w:val="20"/>
        </w:rPr>
        <w:t>It is a possibility that multiple parents of the same child participated in this study.</w:t>
      </w:r>
      <w:r w:rsidR="000E27A2">
        <w:rPr>
          <w:bCs/>
          <w:szCs w:val="20"/>
        </w:rPr>
        <w:t xml:space="preserve"> Multiple responses for the same child </w:t>
      </w:r>
      <w:r w:rsidR="000503DA">
        <w:rPr>
          <w:bCs/>
          <w:szCs w:val="20"/>
        </w:rPr>
        <w:t>were not</w:t>
      </w:r>
      <w:r w:rsidR="000E27A2">
        <w:rPr>
          <w:bCs/>
          <w:szCs w:val="20"/>
        </w:rPr>
        <w:t xml:space="preserve"> criteria for exclusion.</w:t>
      </w:r>
      <w:r w:rsidR="00E27CD5">
        <w:rPr>
          <w:bCs/>
          <w:szCs w:val="20"/>
        </w:rPr>
        <w:t xml:space="preserve"> </w:t>
      </w:r>
      <w:r w:rsidR="00A3548E">
        <w:rPr>
          <w:bCs/>
          <w:szCs w:val="20"/>
        </w:rPr>
        <w:t>Research Now</w:t>
      </w:r>
      <w:r w:rsidR="00082B83">
        <w:rPr>
          <w:bCs/>
          <w:szCs w:val="20"/>
        </w:rPr>
        <w:t xml:space="preserve"> was</w:t>
      </w:r>
      <w:r w:rsidR="00A3548E" w:rsidRPr="004E4727">
        <w:rPr>
          <w:bCs/>
          <w:szCs w:val="20"/>
        </w:rPr>
        <w:t xml:space="preserve"> instructed by the PI to recruit a </w:t>
      </w:r>
      <w:r w:rsidR="00A3548E">
        <w:rPr>
          <w:bCs/>
          <w:szCs w:val="20"/>
        </w:rPr>
        <w:t>geographically diverse</w:t>
      </w:r>
      <w:r w:rsidR="00A3548E" w:rsidRPr="004E4727">
        <w:rPr>
          <w:bCs/>
          <w:szCs w:val="20"/>
        </w:rPr>
        <w:t xml:space="preserve"> sample with a</w:t>
      </w:r>
      <w:r w:rsidR="00A3548E">
        <w:rPr>
          <w:bCs/>
          <w:szCs w:val="20"/>
        </w:rPr>
        <w:t>n</w:t>
      </w:r>
      <w:r w:rsidR="00A3548E" w:rsidRPr="004E4727">
        <w:rPr>
          <w:bCs/>
          <w:szCs w:val="20"/>
        </w:rPr>
        <w:t xml:space="preserve"> even distribution of mothers and fathers. </w:t>
      </w:r>
      <w:r w:rsidR="000503DA">
        <w:rPr>
          <w:bCs/>
          <w:szCs w:val="20"/>
        </w:rPr>
        <w:t>Pretesting determined that participation in the study was approximately 11.5 minutes</w:t>
      </w:r>
      <w:r w:rsidR="00F702DB">
        <w:rPr>
          <w:bCs/>
          <w:szCs w:val="20"/>
        </w:rPr>
        <w:t>.</w:t>
      </w:r>
      <w:r w:rsidR="000503DA">
        <w:rPr>
          <w:bCs/>
          <w:szCs w:val="20"/>
        </w:rPr>
        <w:t xml:space="preserve"> </w:t>
      </w:r>
    </w:p>
    <w:p w:rsidR="002E1A43" w:rsidRDefault="00082B83" w:rsidP="00A3548E">
      <w:pPr>
        <w:pStyle w:val="NormalWeb"/>
        <w:spacing w:before="0" w:beforeAutospacing="0" w:after="0" w:afterAutospacing="0" w:line="480" w:lineRule="auto"/>
        <w:rPr>
          <w:bCs/>
          <w:szCs w:val="20"/>
        </w:rPr>
      </w:pPr>
      <w:r>
        <w:rPr>
          <w:bCs/>
          <w:szCs w:val="20"/>
        </w:rPr>
        <w:tab/>
        <w:t>Research Now recruited</w:t>
      </w:r>
      <w:r w:rsidR="00A3548E" w:rsidRPr="00114178">
        <w:rPr>
          <w:bCs/>
          <w:szCs w:val="20"/>
        </w:rPr>
        <w:t xml:space="preserve"> potential qualifying participants through already existing panel </w:t>
      </w:r>
      <w:r>
        <w:rPr>
          <w:bCs/>
          <w:szCs w:val="20"/>
        </w:rPr>
        <w:t>data. Existing panel members were</w:t>
      </w:r>
      <w:r w:rsidR="00A3548E" w:rsidRPr="00114178">
        <w:rPr>
          <w:bCs/>
          <w:szCs w:val="20"/>
        </w:rPr>
        <w:t xml:space="preserve"> paid to be on Rese</w:t>
      </w:r>
      <w:r>
        <w:rPr>
          <w:bCs/>
          <w:szCs w:val="20"/>
        </w:rPr>
        <w:t>arch Now’s panels and to do so they had</w:t>
      </w:r>
      <w:r w:rsidR="00A3548E" w:rsidRPr="00114178">
        <w:rPr>
          <w:bCs/>
          <w:szCs w:val="20"/>
        </w:rPr>
        <w:t xml:space="preserve"> previously opted-in</w:t>
      </w:r>
      <w:r w:rsidR="00A3548E">
        <w:rPr>
          <w:bCs/>
          <w:szCs w:val="20"/>
        </w:rPr>
        <w:t>.</w:t>
      </w:r>
      <w:r w:rsidR="00A3548E" w:rsidRPr="00114178">
        <w:rPr>
          <w:bCs/>
          <w:szCs w:val="20"/>
        </w:rPr>
        <w:t xml:space="preserve"> As part of Research Now’s h</w:t>
      </w:r>
      <w:r>
        <w:rPr>
          <w:bCs/>
          <w:szCs w:val="20"/>
        </w:rPr>
        <w:t>iring cost, parents that qualified</w:t>
      </w:r>
      <w:r w:rsidR="00A3548E" w:rsidRPr="00114178">
        <w:rPr>
          <w:bCs/>
          <w:szCs w:val="20"/>
        </w:rPr>
        <w:t xml:space="preserve"> for participation </w:t>
      </w:r>
      <w:r>
        <w:rPr>
          <w:bCs/>
          <w:szCs w:val="20"/>
        </w:rPr>
        <w:t xml:space="preserve">were </w:t>
      </w:r>
      <w:r w:rsidR="00A3548E" w:rsidRPr="00114178">
        <w:rPr>
          <w:bCs/>
          <w:szCs w:val="20"/>
        </w:rPr>
        <w:t>already offered an incentive for being</w:t>
      </w:r>
      <w:r>
        <w:rPr>
          <w:bCs/>
          <w:szCs w:val="20"/>
        </w:rPr>
        <w:t xml:space="preserve"> on existing panels. The PI did</w:t>
      </w:r>
      <w:r w:rsidR="00A3548E" w:rsidRPr="00114178">
        <w:rPr>
          <w:bCs/>
          <w:szCs w:val="20"/>
        </w:rPr>
        <w:t xml:space="preserve"> not directly </w:t>
      </w:r>
      <w:r>
        <w:rPr>
          <w:bCs/>
          <w:szCs w:val="20"/>
        </w:rPr>
        <w:t>provide incentives to</w:t>
      </w:r>
      <w:r w:rsidR="00A3548E" w:rsidRPr="00114178">
        <w:rPr>
          <w:bCs/>
          <w:szCs w:val="20"/>
        </w:rPr>
        <w:t xml:space="preserve"> partic</w:t>
      </w:r>
      <w:r>
        <w:rPr>
          <w:bCs/>
          <w:szCs w:val="20"/>
        </w:rPr>
        <w:t>ipants. Only Research Now offered</w:t>
      </w:r>
      <w:r w:rsidR="002E1A43">
        <w:rPr>
          <w:bCs/>
          <w:szCs w:val="20"/>
        </w:rPr>
        <w:t xml:space="preserve"> incentives for participation. Qualifying p</w:t>
      </w:r>
      <w:r w:rsidR="00A3548E" w:rsidRPr="00114178">
        <w:rPr>
          <w:bCs/>
          <w:szCs w:val="20"/>
        </w:rPr>
        <w:t>anelists receive</w:t>
      </w:r>
      <w:r>
        <w:rPr>
          <w:bCs/>
          <w:szCs w:val="20"/>
        </w:rPr>
        <w:t>d</w:t>
      </w:r>
      <w:r w:rsidR="00A3548E" w:rsidRPr="00114178">
        <w:rPr>
          <w:bCs/>
          <w:szCs w:val="20"/>
        </w:rPr>
        <w:t xml:space="preserve"> a cash reward</w:t>
      </w:r>
      <w:r w:rsidR="002E1A43">
        <w:rPr>
          <w:bCs/>
          <w:szCs w:val="20"/>
        </w:rPr>
        <w:t xml:space="preserve"> ($10)</w:t>
      </w:r>
      <w:r w:rsidR="00A3548E" w:rsidRPr="00114178">
        <w:rPr>
          <w:bCs/>
          <w:szCs w:val="20"/>
        </w:rPr>
        <w:t xml:space="preserve"> for participating</w:t>
      </w:r>
      <w:r w:rsidR="00E441B1">
        <w:rPr>
          <w:bCs/>
          <w:szCs w:val="20"/>
        </w:rPr>
        <w:t>.</w:t>
      </w:r>
      <w:r w:rsidR="00A3548E" w:rsidRPr="00114178">
        <w:rPr>
          <w:bCs/>
          <w:szCs w:val="20"/>
        </w:rPr>
        <w:t xml:space="preserve"> </w:t>
      </w:r>
    </w:p>
    <w:p w:rsidR="00A3548E" w:rsidRPr="00A3548E" w:rsidRDefault="00A3548E" w:rsidP="00A3548E">
      <w:pPr>
        <w:pStyle w:val="NormalWeb"/>
        <w:spacing w:before="0" w:beforeAutospacing="0" w:after="0" w:afterAutospacing="0" w:line="480" w:lineRule="auto"/>
        <w:rPr>
          <w:rStyle w:val="Strong"/>
        </w:rPr>
      </w:pPr>
      <w:r w:rsidRPr="00A3548E">
        <w:rPr>
          <w:rStyle w:val="Strong"/>
          <w:b w:val="0"/>
          <w:i/>
          <w:szCs w:val="20"/>
        </w:rPr>
        <w:t>Data Collection</w:t>
      </w:r>
      <w:r w:rsidRPr="00A3548E">
        <w:rPr>
          <w:rStyle w:val="Strong"/>
          <w:b w:val="0"/>
          <w:i/>
          <w:szCs w:val="20"/>
        </w:rPr>
        <w:tab/>
      </w:r>
    </w:p>
    <w:p w:rsidR="007D4E07" w:rsidRDefault="00A3548E" w:rsidP="00E441B1">
      <w:pPr>
        <w:pStyle w:val="NormalWeb"/>
        <w:spacing w:before="0" w:beforeAutospacing="0" w:after="0" w:afterAutospacing="0" w:line="480" w:lineRule="auto"/>
        <w:rPr>
          <w:rStyle w:val="Strong"/>
        </w:rPr>
      </w:pPr>
      <w:r w:rsidRPr="00A3548E">
        <w:rPr>
          <w:rStyle w:val="Strong"/>
          <w:b w:val="0"/>
          <w:szCs w:val="20"/>
        </w:rPr>
        <w:tab/>
        <w:t xml:space="preserve">Research Now’s existing panel members </w:t>
      </w:r>
      <w:r w:rsidR="00082B83">
        <w:rPr>
          <w:rStyle w:val="Strong"/>
          <w:b w:val="0"/>
          <w:szCs w:val="20"/>
        </w:rPr>
        <w:t>were</w:t>
      </w:r>
      <w:r w:rsidRPr="00A3548E">
        <w:rPr>
          <w:rStyle w:val="Strong"/>
          <w:b w:val="0"/>
          <w:szCs w:val="20"/>
        </w:rPr>
        <w:t xml:space="preserve"> sent an email invitation to take part in the </w:t>
      </w:r>
      <w:r w:rsidR="00082B83">
        <w:rPr>
          <w:rStyle w:val="Strong"/>
          <w:b w:val="0"/>
          <w:szCs w:val="20"/>
        </w:rPr>
        <w:t xml:space="preserve">study. The invitation </w:t>
      </w:r>
      <w:r w:rsidRPr="00A3548E">
        <w:rPr>
          <w:rStyle w:val="Strong"/>
          <w:b w:val="0"/>
          <w:szCs w:val="20"/>
        </w:rPr>
        <w:t>contain</w:t>
      </w:r>
      <w:r w:rsidR="00082B83">
        <w:rPr>
          <w:rStyle w:val="Strong"/>
          <w:b w:val="0"/>
          <w:szCs w:val="20"/>
        </w:rPr>
        <w:t>ed</w:t>
      </w:r>
      <w:r w:rsidRPr="00A3548E">
        <w:rPr>
          <w:rStyle w:val="Strong"/>
          <w:b w:val="0"/>
          <w:szCs w:val="20"/>
        </w:rPr>
        <w:t xml:space="preserve"> key information for panelists in order for them to best understand the commitment required of the</w:t>
      </w:r>
      <w:r w:rsidR="002E1A43">
        <w:rPr>
          <w:rStyle w:val="Strong"/>
          <w:b w:val="0"/>
          <w:szCs w:val="20"/>
        </w:rPr>
        <w:t>m</w:t>
      </w:r>
      <w:r w:rsidRPr="00A3548E">
        <w:rPr>
          <w:rStyle w:val="Strong"/>
          <w:b w:val="0"/>
          <w:szCs w:val="20"/>
        </w:rPr>
        <w:t>. The invitation contain</w:t>
      </w:r>
      <w:r w:rsidR="00082B83">
        <w:rPr>
          <w:rStyle w:val="Strong"/>
          <w:b w:val="0"/>
          <w:szCs w:val="20"/>
        </w:rPr>
        <w:t>ed</w:t>
      </w:r>
      <w:r w:rsidRPr="00A3548E">
        <w:rPr>
          <w:rStyle w:val="Strong"/>
          <w:b w:val="0"/>
          <w:szCs w:val="20"/>
        </w:rPr>
        <w:t xml:space="preserve"> a link to Research Now’s privacy policy, an opportunity to unsubscribe from the panel, and a link to a member of Research Now staff for any potential questions or concerns. Research Now’s sampli</w:t>
      </w:r>
      <w:r w:rsidR="00082B83">
        <w:rPr>
          <w:rStyle w:val="Strong"/>
          <w:b w:val="0"/>
          <w:szCs w:val="20"/>
        </w:rPr>
        <w:t>ng was</w:t>
      </w:r>
      <w:r w:rsidRPr="00A3548E">
        <w:rPr>
          <w:rStyle w:val="Strong"/>
          <w:b w:val="0"/>
          <w:szCs w:val="20"/>
        </w:rPr>
        <w:t xml:space="preserve"> carried out with highly encrypted </w:t>
      </w:r>
      <w:r w:rsidR="00082B83">
        <w:rPr>
          <w:rStyle w:val="Strong"/>
          <w:b w:val="0"/>
          <w:szCs w:val="20"/>
        </w:rPr>
        <w:t>links to database servers. It was</w:t>
      </w:r>
      <w:r w:rsidRPr="00A3548E">
        <w:rPr>
          <w:rStyle w:val="Strong"/>
          <w:b w:val="0"/>
          <w:szCs w:val="20"/>
        </w:rPr>
        <w:t xml:space="preserve"> done without the use of personal information, just demographic information specific </w:t>
      </w:r>
      <w:r w:rsidR="00082B83">
        <w:rPr>
          <w:rStyle w:val="Strong"/>
          <w:b w:val="0"/>
          <w:szCs w:val="20"/>
        </w:rPr>
        <w:t>to each study. Research Now</w:t>
      </w:r>
      <w:r w:rsidRPr="00A3548E">
        <w:rPr>
          <w:rStyle w:val="Strong"/>
          <w:b w:val="0"/>
          <w:szCs w:val="20"/>
        </w:rPr>
        <w:t xml:space="preserve"> locate</w:t>
      </w:r>
      <w:r w:rsidR="00082B83">
        <w:rPr>
          <w:rStyle w:val="Strong"/>
          <w:b w:val="0"/>
          <w:szCs w:val="20"/>
        </w:rPr>
        <w:t>d</w:t>
      </w:r>
      <w:r w:rsidRPr="00A3548E">
        <w:rPr>
          <w:rStyle w:val="Strong"/>
          <w:b w:val="0"/>
          <w:szCs w:val="20"/>
        </w:rPr>
        <w:t xml:space="preserve"> qualifying participants, administer</w:t>
      </w:r>
      <w:r w:rsidR="00082B83">
        <w:rPr>
          <w:rStyle w:val="Strong"/>
          <w:b w:val="0"/>
          <w:szCs w:val="20"/>
        </w:rPr>
        <w:t>ed</w:t>
      </w:r>
      <w:r w:rsidRPr="00A3548E">
        <w:rPr>
          <w:rStyle w:val="Strong"/>
          <w:b w:val="0"/>
          <w:szCs w:val="20"/>
        </w:rPr>
        <w:t xml:space="preserve"> the online experiment, administer</w:t>
      </w:r>
      <w:r w:rsidR="00082B83">
        <w:rPr>
          <w:rStyle w:val="Strong"/>
          <w:b w:val="0"/>
          <w:szCs w:val="20"/>
        </w:rPr>
        <w:t>ed</w:t>
      </w:r>
      <w:r w:rsidRPr="00A3548E">
        <w:rPr>
          <w:rStyle w:val="Strong"/>
          <w:b w:val="0"/>
          <w:szCs w:val="20"/>
        </w:rPr>
        <w:t xml:space="preserve"> the post-experimental questionnaire, and compile</w:t>
      </w:r>
      <w:r w:rsidR="00082B83">
        <w:rPr>
          <w:rStyle w:val="Strong"/>
          <w:b w:val="0"/>
          <w:szCs w:val="20"/>
        </w:rPr>
        <w:t>d</w:t>
      </w:r>
      <w:r w:rsidRPr="00A3548E">
        <w:rPr>
          <w:rStyle w:val="Strong"/>
          <w:b w:val="0"/>
          <w:szCs w:val="20"/>
        </w:rPr>
        <w:t xml:space="preserve"> the da</w:t>
      </w:r>
      <w:r w:rsidR="00082B83">
        <w:rPr>
          <w:rStyle w:val="Strong"/>
          <w:b w:val="0"/>
          <w:szCs w:val="20"/>
        </w:rPr>
        <w:t xml:space="preserve">ta. The final compiled data was </w:t>
      </w:r>
      <w:r w:rsidRPr="00A3548E">
        <w:rPr>
          <w:rStyle w:val="Strong"/>
          <w:b w:val="0"/>
          <w:szCs w:val="20"/>
        </w:rPr>
        <w:t xml:space="preserve">sent to the PI in the form of a </w:t>
      </w:r>
      <w:r w:rsidR="00F702DB">
        <w:rPr>
          <w:rStyle w:val="Strong"/>
          <w:b w:val="0"/>
          <w:szCs w:val="20"/>
        </w:rPr>
        <w:t xml:space="preserve">SPSS data file. The file </w:t>
      </w:r>
      <w:r w:rsidR="00082B83">
        <w:rPr>
          <w:rStyle w:val="Strong"/>
          <w:b w:val="0"/>
          <w:szCs w:val="20"/>
        </w:rPr>
        <w:t xml:space="preserve"> </w:t>
      </w:r>
      <w:r w:rsidR="00082B83">
        <w:t>had</w:t>
      </w:r>
      <w:r w:rsidRPr="0009769A">
        <w:t xml:space="preserve"> no personally identifying informatio</w:t>
      </w:r>
      <w:r w:rsidR="0009769A">
        <w:t>n</w:t>
      </w:r>
      <w:r w:rsidR="00082B83">
        <w:t xml:space="preserve"> and was</w:t>
      </w:r>
      <w:r w:rsidRPr="00A3548E">
        <w:rPr>
          <w:rStyle w:val="Strong"/>
          <w:b w:val="0"/>
          <w:szCs w:val="20"/>
        </w:rPr>
        <w:t xml:space="preserve"> anonymous because it </w:t>
      </w:r>
      <w:r w:rsidR="00082B83">
        <w:rPr>
          <w:rStyle w:val="Strong"/>
          <w:b w:val="0"/>
          <w:szCs w:val="20"/>
        </w:rPr>
        <w:t>was</w:t>
      </w:r>
      <w:r w:rsidRPr="00A3548E">
        <w:rPr>
          <w:rStyle w:val="Strong"/>
          <w:b w:val="0"/>
          <w:szCs w:val="20"/>
        </w:rPr>
        <w:t xml:space="preserve"> linked to the panel database with numeric IDs. Therefore, the identity of the end-user (panelist) </w:t>
      </w:r>
      <w:r w:rsidR="00082B83">
        <w:rPr>
          <w:rStyle w:val="Strong"/>
          <w:b w:val="0"/>
          <w:szCs w:val="20"/>
        </w:rPr>
        <w:t>was</w:t>
      </w:r>
      <w:r w:rsidRPr="00A3548E">
        <w:rPr>
          <w:rStyle w:val="Strong"/>
          <w:b w:val="0"/>
          <w:szCs w:val="20"/>
        </w:rPr>
        <w:t xml:space="preserve"> protected.     </w:t>
      </w:r>
    </w:p>
    <w:p w:rsidR="007D4E07" w:rsidRPr="007D4E07" w:rsidRDefault="007D4E07" w:rsidP="007D4E07">
      <w:pPr>
        <w:spacing w:line="480" w:lineRule="auto"/>
      </w:pPr>
      <w:r>
        <w:rPr>
          <w:b/>
        </w:rPr>
        <w:t>Procedure</w:t>
      </w:r>
    </w:p>
    <w:p w:rsidR="007D4E07" w:rsidRPr="00E014B7" w:rsidRDefault="007D4E07" w:rsidP="007D4E07">
      <w:pPr>
        <w:pStyle w:val="NormalWeb"/>
        <w:spacing w:before="0" w:beforeAutospacing="0" w:after="0" w:afterAutospacing="0" w:line="480" w:lineRule="auto"/>
        <w:rPr>
          <w:rStyle w:val="Strong"/>
          <w:rFonts w:eastAsiaTheme="minorHAnsi" w:cstheme="minorBidi"/>
        </w:rPr>
      </w:pPr>
      <w:r>
        <w:rPr>
          <w:rStyle w:val="Strong"/>
          <w:szCs w:val="20"/>
        </w:rPr>
        <w:tab/>
      </w:r>
      <w:r w:rsidRPr="00E014B7">
        <w:rPr>
          <w:rStyle w:val="Strong"/>
          <w:b w:val="0"/>
          <w:szCs w:val="20"/>
        </w:rPr>
        <w:t xml:space="preserve">Before beginning the online experiment, participants </w:t>
      </w:r>
      <w:r>
        <w:rPr>
          <w:rStyle w:val="Strong"/>
          <w:b w:val="0"/>
          <w:szCs w:val="20"/>
        </w:rPr>
        <w:t>were</w:t>
      </w:r>
      <w:r w:rsidRPr="00E014B7">
        <w:rPr>
          <w:rStyle w:val="Strong"/>
          <w:b w:val="0"/>
          <w:szCs w:val="20"/>
        </w:rPr>
        <w:t xml:space="preserve"> directed to an informed consent statement (see appendix A). </w:t>
      </w:r>
      <w:r w:rsidRPr="007D4E07">
        <w:rPr>
          <w:bCs/>
          <w:szCs w:val="20"/>
        </w:rPr>
        <w:t xml:space="preserve">The informed consent statement sheet </w:t>
      </w:r>
      <w:r w:rsidRPr="00E014B7">
        <w:rPr>
          <w:rStyle w:val="Strong"/>
          <w:b w:val="0"/>
          <w:szCs w:val="20"/>
        </w:rPr>
        <w:t>indicate</w:t>
      </w:r>
      <w:r>
        <w:rPr>
          <w:rStyle w:val="Strong"/>
          <w:b w:val="0"/>
          <w:szCs w:val="20"/>
        </w:rPr>
        <w:t>d to participants that they were</w:t>
      </w:r>
      <w:r w:rsidRPr="00E014B7">
        <w:rPr>
          <w:rStyle w:val="Strong"/>
          <w:b w:val="0"/>
          <w:szCs w:val="20"/>
        </w:rPr>
        <w:t xml:space="preserve"> about to take part in an online experiment, which seeks to understand parents’ attitudes toward children’s online games. </w:t>
      </w:r>
    </w:p>
    <w:p w:rsidR="007D4E07" w:rsidRDefault="007D4E07" w:rsidP="007D4E07">
      <w:pPr>
        <w:pStyle w:val="NormalWeb"/>
        <w:spacing w:before="0" w:beforeAutospacing="0" w:after="0" w:afterAutospacing="0" w:line="480" w:lineRule="auto"/>
        <w:rPr>
          <w:rStyle w:val="Strong"/>
        </w:rPr>
      </w:pPr>
      <w:r w:rsidRPr="00E014B7">
        <w:rPr>
          <w:rStyle w:val="Strong"/>
          <w:b w:val="0"/>
          <w:szCs w:val="20"/>
        </w:rPr>
        <w:tab/>
        <w:t>Participants that consent</w:t>
      </w:r>
      <w:r>
        <w:rPr>
          <w:rStyle w:val="Strong"/>
          <w:b w:val="0"/>
          <w:szCs w:val="20"/>
        </w:rPr>
        <w:t>ed</w:t>
      </w:r>
      <w:r w:rsidRPr="00E014B7">
        <w:rPr>
          <w:rStyle w:val="Strong"/>
          <w:b w:val="0"/>
          <w:szCs w:val="20"/>
        </w:rPr>
        <w:t xml:space="preserve"> to take part in the study, by selecting “yes” at the end of </w:t>
      </w:r>
      <w:r>
        <w:rPr>
          <w:rStyle w:val="Strong"/>
          <w:b w:val="0"/>
          <w:szCs w:val="20"/>
        </w:rPr>
        <w:t>the informed consent sheet, were then</w:t>
      </w:r>
      <w:r w:rsidRPr="00E014B7">
        <w:rPr>
          <w:rStyle w:val="Strong"/>
          <w:b w:val="0"/>
          <w:szCs w:val="20"/>
        </w:rPr>
        <w:t xml:space="preserve"> directed to a separate page containing study directions</w:t>
      </w:r>
      <w:r>
        <w:rPr>
          <w:rStyle w:val="Strong"/>
          <w:b w:val="0"/>
          <w:szCs w:val="20"/>
        </w:rPr>
        <w:t xml:space="preserve"> (see appendix B)</w:t>
      </w:r>
      <w:r w:rsidRPr="00E014B7">
        <w:rPr>
          <w:rStyle w:val="Strong"/>
          <w:b w:val="0"/>
          <w:szCs w:val="20"/>
        </w:rPr>
        <w:t xml:space="preserve"> </w:t>
      </w:r>
      <w:r w:rsidRPr="00E014B7">
        <w:rPr>
          <w:rStyle w:val="Strong"/>
          <w:b w:val="0"/>
          <w:iCs/>
          <w:szCs w:val="20"/>
        </w:rPr>
        <w:t xml:space="preserve">and a </w:t>
      </w:r>
      <w:r>
        <w:rPr>
          <w:rStyle w:val="Strong"/>
          <w:b w:val="0"/>
          <w:iCs/>
          <w:szCs w:val="20"/>
        </w:rPr>
        <w:t xml:space="preserve">randomized </w:t>
      </w:r>
      <w:r w:rsidR="002E1A43">
        <w:rPr>
          <w:rStyle w:val="Strong"/>
          <w:b w:val="0"/>
          <w:iCs/>
          <w:szCs w:val="20"/>
        </w:rPr>
        <w:t>URL reflecting one of the six experimental treatments.</w:t>
      </w:r>
      <w:r w:rsidRPr="00E014B7">
        <w:rPr>
          <w:rStyle w:val="Strong"/>
          <w:b w:val="0"/>
          <w:iCs/>
          <w:szCs w:val="20"/>
        </w:rPr>
        <w:t xml:space="preserve"> </w:t>
      </w:r>
      <w:r>
        <w:rPr>
          <w:rStyle w:val="Strong"/>
          <w:b w:val="0"/>
          <w:iCs/>
          <w:szCs w:val="20"/>
        </w:rPr>
        <w:t>After reading the directions</w:t>
      </w:r>
      <w:r w:rsidRPr="00E014B7">
        <w:rPr>
          <w:rStyle w:val="Strong"/>
          <w:b w:val="0"/>
          <w:iCs/>
          <w:szCs w:val="20"/>
        </w:rPr>
        <w:t xml:space="preserve"> particip</w:t>
      </w:r>
      <w:r>
        <w:rPr>
          <w:rStyle w:val="Strong"/>
          <w:b w:val="0"/>
          <w:iCs/>
          <w:szCs w:val="20"/>
        </w:rPr>
        <w:t xml:space="preserve">ants were </w:t>
      </w:r>
      <w:r w:rsidRPr="00E014B7">
        <w:rPr>
          <w:rStyle w:val="Strong"/>
          <w:b w:val="0"/>
          <w:iCs/>
          <w:szCs w:val="20"/>
        </w:rPr>
        <w:t>instructed to</w:t>
      </w:r>
      <w:r w:rsidR="002E1A43">
        <w:rPr>
          <w:rStyle w:val="Strong"/>
          <w:b w:val="0"/>
          <w:iCs/>
          <w:szCs w:val="20"/>
        </w:rPr>
        <w:t xml:space="preserve"> “click on the URL to continue”</w:t>
      </w:r>
      <w:r w:rsidRPr="00E014B7">
        <w:rPr>
          <w:rStyle w:val="Strong"/>
          <w:b w:val="0"/>
          <w:iCs/>
          <w:szCs w:val="20"/>
        </w:rPr>
        <w:t>. Research Now randomly assign</w:t>
      </w:r>
      <w:r>
        <w:rPr>
          <w:rStyle w:val="Strong"/>
          <w:b w:val="0"/>
          <w:iCs/>
          <w:szCs w:val="20"/>
        </w:rPr>
        <w:t>ed</w:t>
      </w:r>
      <w:r w:rsidRPr="00E014B7">
        <w:rPr>
          <w:rStyle w:val="Strong"/>
          <w:b w:val="0"/>
          <w:iCs/>
          <w:szCs w:val="20"/>
        </w:rPr>
        <w:t xml:space="preserve"> one of the six URLs to each participant to e</w:t>
      </w:r>
      <w:r>
        <w:rPr>
          <w:rStyle w:val="Strong"/>
          <w:b w:val="0"/>
          <w:iCs/>
          <w:szCs w:val="20"/>
        </w:rPr>
        <w:t>nsure that all participants had</w:t>
      </w:r>
      <w:r w:rsidRPr="00E014B7">
        <w:rPr>
          <w:rStyle w:val="Strong"/>
          <w:b w:val="0"/>
          <w:iCs/>
          <w:szCs w:val="20"/>
        </w:rPr>
        <w:t xml:space="preserve"> an equal chance of receiving each experimental treatment combination. The </w:t>
      </w:r>
      <w:r w:rsidRPr="00E014B7">
        <w:rPr>
          <w:rStyle w:val="Strong"/>
          <w:b w:val="0"/>
          <w:i/>
          <w:szCs w:val="20"/>
        </w:rPr>
        <w:t xml:space="preserve">no ad-disclosure/cognitively loaded </w:t>
      </w:r>
      <w:r w:rsidR="00740B6E">
        <w:rPr>
          <w:rStyle w:val="Strong"/>
          <w:b w:val="0"/>
          <w:szCs w:val="20"/>
        </w:rPr>
        <w:t>(figure 1</w:t>
      </w:r>
      <w:r w:rsidRPr="00E014B7">
        <w:rPr>
          <w:rStyle w:val="Strong"/>
          <w:b w:val="0"/>
          <w:szCs w:val="20"/>
        </w:rPr>
        <w:t>)</w:t>
      </w:r>
      <w:r w:rsidRPr="00E014B7">
        <w:rPr>
          <w:rStyle w:val="Strong"/>
          <w:b w:val="0"/>
          <w:i/>
          <w:szCs w:val="20"/>
        </w:rPr>
        <w:t xml:space="preserve">, single modality ad- disclosure/cognitively loaded </w:t>
      </w:r>
      <w:r w:rsidR="00740B6E">
        <w:rPr>
          <w:rStyle w:val="Strong"/>
          <w:b w:val="0"/>
          <w:szCs w:val="20"/>
        </w:rPr>
        <w:t>(figure 2</w:t>
      </w:r>
      <w:r w:rsidRPr="00E014B7">
        <w:rPr>
          <w:rStyle w:val="Strong"/>
          <w:b w:val="0"/>
          <w:szCs w:val="20"/>
        </w:rPr>
        <w:t>),</w:t>
      </w:r>
      <w:r w:rsidRPr="00E014B7">
        <w:rPr>
          <w:rStyle w:val="Strong"/>
          <w:b w:val="0"/>
          <w:i/>
          <w:szCs w:val="20"/>
        </w:rPr>
        <w:t xml:space="preserve"> </w:t>
      </w:r>
      <w:r w:rsidRPr="00E014B7">
        <w:rPr>
          <w:rStyle w:val="Strong"/>
          <w:b w:val="0"/>
          <w:szCs w:val="20"/>
        </w:rPr>
        <w:t xml:space="preserve">and </w:t>
      </w:r>
      <w:r w:rsidRPr="00E014B7">
        <w:rPr>
          <w:rStyle w:val="Strong"/>
          <w:b w:val="0"/>
          <w:i/>
          <w:szCs w:val="20"/>
        </w:rPr>
        <w:t>dual modality ad- disclosure/cognitively loaded</w:t>
      </w:r>
      <w:r w:rsidR="00740B6E">
        <w:rPr>
          <w:rStyle w:val="Strong"/>
          <w:b w:val="0"/>
          <w:szCs w:val="20"/>
        </w:rPr>
        <w:t xml:space="preserve"> (figure 3</w:t>
      </w:r>
      <w:r w:rsidRPr="00E014B7">
        <w:rPr>
          <w:rStyle w:val="Strong"/>
          <w:b w:val="0"/>
          <w:szCs w:val="20"/>
        </w:rPr>
        <w:t>) URLs (i.e., any of the three treatment combinations having a cognitiv</w:t>
      </w:r>
      <w:r>
        <w:rPr>
          <w:rStyle w:val="Strong"/>
          <w:b w:val="0"/>
          <w:szCs w:val="20"/>
        </w:rPr>
        <w:t>e load treatment) once clicked,</w:t>
      </w:r>
      <w:r w:rsidRPr="00E014B7">
        <w:rPr>
          <w:rStyle w:val="Strong"/>
          <w:b w:val="0"/>
          <w:iCs/>
          <w:szCs w:val="20"/>
        </w:rPr>
        <w:t xml:space="preserve"> first direct</w:t>
      </w:r>
      <w:r>
        <w:rPr>
          <w:rStyle w:val="Strong"/>
          <w:b w:val="0"/>
          <w:iCs/>
          <w:szCs w:val="20"/>
        </w:rPr>
        <w:t>ed</w:t>
      </w:r>
      <w:r w:rsidRPr="00E014B7">
        <w:rPr>
          <w:rStyle w:val="Strong"/>
          <w:b w:val="0"/>
          <w:iCs/>
          <w:szCs w:val="20"/>
        </w:rPr>
        <w:t xml:space="preserve"> participants to a blue screen whereby they </w:t>
      </w:r>
      <w:r>
        <w:rPr>
          <w:rStyle w:val="Strong"/>
          <w:b w:val="0"/>
          <w:iCs/>
          <w:szCs w:val="20"/>
        </w:rPr>
        <w:t>were</w:t>
      </w:r>
      <w:r w:rsidRPr="00E014B7">
        <w:rPr>
          <w:rStyle w:val="Strong"/>
          <w:b w:val="0"/>
          <w:iCs/>
          <w:szCs w:val="20"/>
        </w:rPr>
        <w:t xml:space="preserve"> given the memory </w:t>
      </w:r>
      <w:r>
        <w:rPr>
          <w:rStyle w:val="Strong"/>
          <w:b w:val="0"/>
          <w:iCs/>
          <w:szCs w:val="20"/>
        </w:rPr>
        <w:t xml:space="preserve">and recall </w:t>
      </w:r>
      <w:r w:rsidRPr="00E014B7">
        <w:rPr>
          <w:rStyle w:val="Strong"/>
          <w:b w:val="0"/>
          <w:iCs/>
          <w:szCs w:val="20"/>
        </w:rPr>
        <w:t xml:space="preserve">task (i.e. cognitive load treatment). Following the task, participants </w:t>
      </w:r>
      <w:r>
        <w:rPr>
          <w:rStyle w:val="Strong"/>
          <w:b w:val="0"/>
          <w:iCs/>
          <w:szCs w:val="20"/>
        </w:rPr>
        <w:t>were</w:t>
      </w:r>
      <w:r w:rsidRPr="00E014B7">
        <w:rPr>
          <w:rStyle w:val="Strong"/>
          <w:b w:val="0"/>
          <w:iCs/>
          <w:szCs w:val="20"/>
        </w:rPr>
        <w:t xml:space="preserve"> </w:t>
      </w:r>
      <w:r>
        <w:rPr>
          <w:rStyle w:val="Strong"/>
          <w:b w:val="0"/>
          <w:iCs/>
          <w:szCs w:val="20"/>
        </w:rPr>
        <w:t>routed directly</w:t>
      </w:r>
      <w:r w:rsidRPr="00E014B7">
        <w:rPr>
          <w:rStyle w:val="Strong"/>
          <w:b w:val="0"/>
          <w:iCs/>
          <w:szCs w:val="20"/>
        </w:rPr>
        <w:t xml:space="preserve"> to the</w:t>
      </w:r>
      <w:r w:rsidRPr="007D4E07">
        <w:t xml:space="preserve"> </w:t>
      </w:r>
      <w:r w:rsidRPr="00114178">
        <w:t>Pop-Tarts</w:t>
      </w:r>
      <w:r w:rsidRPr="00114178">
        <w:rPr>
          <w:rFonts w:cs="Times-Roman"/>
        </w:rPr>
        <w:sym w:font="Symbol" w:char="F0D2"/>
      </w:r>
      <w:r>
        <w:t xml:space="preserve"> Toasty Turvy advergame Web site</w:t>
      </w:r>
      <w:r>
        <w:rPr>
          <w:rStyle w:val="Strong"/>
          <w:b w:val="0"/>
          <w:iCs/>
          <w:szCs w:val="20"/>
        </w:rPr>
        <w:t>.</w:t>
      </w:r>
      <w:r w:rsidRPr="00E014B7">
        <w:rPr>
          <w:rStyle w:val="Strong"/>
          <w:b w:val="0"/>
          <w:iCs/>
          <w:szCs w:val="20"/>
        </w:rPr>
        <w:t xml:space="preserve"> </w:t>
      </w:r>
      <w:r>
        <w:rPr>
          <w:rStyle w:val="Strong"/>
          <w:b w:val="0"/>
          <w:iCs/>
          <w:szCs w:val="20"/>
        </w:rPr>
        <w:t xml:space="preserve">As per the study directions </w:t>
      </w:r>
      <w:r>
        <w:rPr>
          <w:rStyle w:val="Strong"/>
          <w:b w:val="0"/>
          <w:szCs w:val="20"/>
        </w:rPr>
        <w:t>(see appendix B), participants were instructed to r</w:t>
      </w:r>
      <w:r w:rsidRPr="00E014B7">
        <w:rPr>
          <w:rStyle w:val="Strong"/>
          <w:b w:val="0"/>
          <w:iCs/>
          <w:szCs w:val="20"/>
        </w:rPr>
        <w:t>ead the game</w:t>
      </w:r>
      <w:r>
        <w:rPr>
          <w:rStyle w:val="Strong"/>
          <w:b w:val="0"/>
          <w:iCs/>
          <w:szCs w:val="20"/>
        </w:rPr>
        <w:t xml:space="preserve">’s directions and then </w:t>
      </w:r>
      <w:r w:rsidRPr="00E014B7">
        <w:rPr>
          <w:rStyle w:val="Strong"/>
          <w:b w:val="0"/>
          <w:iCs/>
          <w:szCs w:val="20"/>
        </w:rPr>
        <w:t xml:space="preserve">play the game, </w:t>
      </w:r>
      <w:r>
        <w:rPr>
          <w:rStyle w:val="Strong"/>
          <w:b w:val="0"/>
          <w:iCs/>
          <w:szCs w:val="20"/>
        </w:rPr>
        <w:t xml:space="preserve">all </w:t>
      </w:r>
      <w:r w:rsidRPr="00E014B7">
        <w:rPr>
          <w:rStyle w:val="Strong"/>
          <w:b w:val="0"/>
          <w:iCs/>
          <w:szCs w:val="20"/>
        </w:rPr>
        <w:t xml:space="preserve">while simultaneously receiving their respective ad-disclosure treatment. </w:t>
      </w:r>
    </w:p>
    <w:p w:rsidR="007D4E07" w:rsidRPr="00E61861" w:rsidRDefault="007D4E07" w:rsidP="007D4E07">
      <w:pPr>
        <w:pStyle w:val="NormalWeb"/>
        <w:spacing w:before="0" w:beforeAutospacing="0" w:after="0" w:afterAutospacing="0" w:line="480" w:lineRule="auto"/>
        <w:rPr>
          <w:rStyle w:val="Strong"/>
        </w:rPr>
      </w:pPr>
      <w:r>
        <w:rPr>
          <w:rStyle w:val="Strong"/>
          <w:b w:val="0"/>
          <w:iCs/>
          <w:szCs w:val="20"/>
        </w:rPr>
        <w:tab/>
      </w:r>
      <w:r w:rsidRPr="00E014B7">
        <w:rPr>
          <w:rStyle w:val="Strong"/>
          <w:b w:val="0"/>
          <w:iCs/>
          <w:szCs w:val="20"/>
        </w:rPr>
        <w:t xml:space="preserve">In contrast, the </w:t>
      </w:r>
      <w:r w:rsidRPr="00E014B7">
        <w:rPr>
          <w:rStyle w:val="Strong"/>
          <w:b w:val="0"/>
          <w:i/>
          <w:szCs w:val="20"/>
        </w:rPr>
        <w:t>no ad-disclosure/cognitively unloaded</w:t>
      </w:r>
      <w:r w:rsidRPr="00E014B7">
        <w:rPr>
          <w:rStyle w:val="Strong"/>
          <w:b w:val="0"/>
          <w:szCs w:val="20"/>
        </w:rPr>
        <w:t xml:space="preserve"> (figure</w:t>
      </w:r>
      <w:r w:rsidR="00740B6E">
        <w:rPr>
          <w:rStyle w:val="Strong"/>
          <w:b w:val="0"/>
          <w:szCs w:val="20"/>
        </w:rPr>
        <w:t xml:space="preserve"> 4</w:t>
      </w:r>
      <w:r w:rsidRPr="00E014B7">
        <w:rPr>
          <w:rStyle w:val="Strong"/>
          <w:b w:val="0"/>
          <w:szCs w:val="20"/>
        </w:rPr>
        <w:t>)</w:t>
      </w:r>
      <w:r w:rsidRPr="00E014B7">
        <w:rPr>
          <w:rStyle w:val="Strong"/>
          <w:b w:val="0"/>
          <w:i/>
          <w:szCs w:val="20"/>
        </w:rPr>
        <w:t>, single modality ad- disclosure/cognitively unloaded</w:t>
      </w:r>
      <w:r w:rsidR="00740B6E">
        <w:rPr>
          <w:rStyle w:val="Strong"/>
          <w:b w:val="0"/>
          <w:szCs w:val="20"/>
        </w:rPr>
        <w:t xml:space="preserve"> (figure 5</w:t>
      </w:r>
      <w:r w:rsidRPr="00E014B7">
        <w:rPr>
          <w:rStyle w:val="Strong"/>
          <w:b w:val="0"/>
          <w:szCs w:val="20"/>
        </w:rPr>
        <w:t>)</w:t>
      </w:r>
      <w:r w:rsidRPr="00E014B7">
        <w:rPr>
          <w:rStyle w:val="Strong"/>
          <w:b w:val="0"/>
          <w:i/>
          <w:szCs w:val="20"/>
        </w:rPr>
        <w:t xml:space="preserve">, </w:t>
      </w:r>
      <w:r w:rsidRPr="00E014B7">
        <w:rPr>
          <w:rStyle w:val="Strong"/>
          <w:b w:val="0"/>
          <w:szCs w:val="20"/>
        </w:rPr>
        <w:t xml:space="preserve">and </w:t>
      </w:r>
      <w:r w:rsidRPr="00E014B7">
        <w:rPr>
          <w:rStyle w:val="Strong"/>
          <w:b w:val="0"/>
          <w:i/>
          <w:szCs w:val="20"/>
        </w:rPr>
        <w:t>dual modality ad- disclosure/cognitively unloaded</w:t>
      </w:r>
      <w:r w:rsidR="00740B6E">
        <w:rPr>
          <w:rStyle w:val="Strong"/>
          <w:b w:val="0"/>
          <w:szCs w:val="20"/>
        </w:rPr>
        <w:t xml:space="preserve"> (figure 6</w:t>
      </w:r>
      <w:r w:rsidRPr="00E014B7">
        <w:rPr>
          <w:rStyle w:val="Strong"/>
          <w:b w:val="0"/>
          <w:szCs w:val="20"/>
        </w:rPr>
        <w:t>) URLs</w:t>
      </w:r>
      <w:r w:rsidRPr="00E014B7">
        <w:rPr>
          <w:rStyle w:val="Strong"/>
          <w:b w:val="0"/>
          <w:iCs/>
          <w:szCs w:val="20"/>
        </w:rPr>
        <w:t xml:space="preserve"> (i.e. the other treat</w:t>
      </w:r>
      <w:r>
        <w:rPr>
          <w:rStyle w:val="Strong"/>
          <w:b w:val="0"/>
          <w:iCs/>
          <w:szCs w:val="20"/>
        </w:rPr>
        <w:t xml:space="preserve">ment combinations </w:t>
      </w:r>
      <w:r w:rsidR="00E61861">
        <w:rPr>
          <w:rStyle w:val="Strong"/>
          <w:b w:val="0"/>
          <w:iCs/>
          <w:szCs w:val="20"/>
        </w:rPr>
        <w:t>with no</w:t>
      </w:r>
      <w:r>
        <w:rPr>
          <w:rStyle w:val="Strong"/>
          <w:b w:val="0"/>
          <w:iCs/>
          <w:szCs w:val="20"/>
        </w:rPr>
        <w:t xml:space="preserve"> cognitive l</w:t>
      </w:r>
      <w:r w:rsidRPr="00E014B7">
        <w:rPr>
          <w:rStyle w:val="Strong"/>
          <w:b w:val="0"/>
          <w:iCs/>
          <w:szCs w:val="20"/>
        </w:rPr>
        <w:t>oad</w:t>
      </w:r>
      <w:r w:rsidR="00E61861">
        <w:rPr>
          <w:rStyle w:val="Strong"/>
          <w:b w:val="0"/>
          <w:iCs/>
          <w:szCs w:val="20"/>
        </w:rPr>
        <w:t xml:space="preserve"> treatment), directly routed </w:t>
      </w:r>
      <w:r w:rsidR="00E61861" w:rsidRPr="00E014B7">
        <w:rPr>
          <w:rStyle w:val="Strong"/>
          <w:b w:val="0"/>
          <w:iCs/>
          <w:szCs w:val="20"/>
        </w:rPr>
        <w:t>participants to the</w:t>
      </w:r>
      <w:r w:rsidR="00E61861" w:rsidRPr="007D4E07">
        <w:t xml:space="preserve"> </w:t>
      </w:r>
      <w:r w:rsidR="00E61861" w:rsidRPr="00114178">
        <w:t>Pop-Tarts</w:t>
      </w:r>
      <w:r w:rsidR="00E61861" w:rsidRPr="00114178">
        <w:rPr>
          <w:rFonts w:cs="Times-Roman"/>
        </w:rPr>
        <w:sym w:font="Symbol" w:char="F0D2"/>
      </w:r>
      <w:r w:rsidR="00E61861">
        <w:t xml:space="preserve"> Toasty Turvy advergame Web site</w:t>
      </w:r>
      <w:r w:rsidR="00E61861">
        <w:rPr>
          <w:rStyle w:val="Strong"/>
          <w:b w:val="0"/>
          <w:iCs/>
          <w:szCs w:val="20"/>
        </w:rPr>
        <w:t>.</w:t>
      </w:r>
      <w:r w:rsidR="00E61861" w:rsidRPr="00E014B7">
        <w:rPr>
          <w:rStyle w:val="Strong"/>
          <w:b w:val="0"/>
          <w:iCs/>
          <w:szCs w:val="20"/>
        </w:rPr>
        <w:t xml:space="preserve"> </w:t>
      </w:r>
      <w:r w:rsidR="00E61861">
        <w:rPr>
          <w:rStyle w:val="Strong"/>
          <w:b w:val="0"/>
          <w:iCs/>
          <w:szCs w:val="20"/>
        </w:rPr>
        <w:t xml:space="preserve">As per the study directions </w:t>
      </w:r>
      <w:r w:rsidR="00E61861">
        <w:rPr>
          <w:rStyle w:val="Strong"/>
          <w:b w:val="0"/>
          <w:szCs w:val="20"/>
        </w:rPr>
        <w:t>(see appendix B), participants were instructed to r</w:t>
      </w:r>
      <w:r w:rsidR="00E61861" w:rsidRPr="00E014B7">
        <w:rPr>
          <w:rStyle w:val="Strong"/>
          <w:b w:val="0"/>
          <w:iCs/>
          <w:szCs w:val="20"/>
        </w:rPr>
        <w:t>ead the game</w:t>
      </w:r>
      <w:r w:rsidR="00E61861">
        <w:rPr>
          <w:rStyle w:val="Strong"/>
          <w:b w:val="0"/>
          <w:iCs/>
          <w:szCs w:val="20"/>
        </w:rPr>
        <w:t xml:space="preserve">’s directions and then </w:t>
      </w:r>
      <w:r w:rsidR="00E61861" w:rsidRPr="00E014B7">
        <w:rPr>
          <w:rStyle w:val="Strong"/>
          <w:b w:val="0"/>
          <w:iCs/>
          <w:szCs w:val="20"/>
        </w:rPr>
        <w:t xml:space="preserve">play the game, </w:t>
      </w:r>
      <w:r w:rsidR="00E61861">
        <w:rPr>
          <w:rStyle w:val="Strong"/>
          <w:b w:val="0"/>
          <w:iCs/>
          <w:szCs w:val="20"/>
        </w:rPr>
        <w:t xml:space="preserve">all </w:t>
      </w:r>
      <w:r w:rsidR="00E61861" w:rsidRPr="00E014B7">
        <w:rPr>
          <w:rStyle w:val="Strong"/>
          <w:b w:val="0"/>
          <w:iCs/>
          <w:szCs w:val="20"/>
        </w:rPr>
        <w:t>while simultaneously receiving their respective ad-disclosure treatment</w:t>
      </w:r>
    </w:p>
    <w:p w:rsidR="00894702" w:rsidRPr="0088120C" w:rsidRDefault="00E61861" w:rsidP="0088120C">
      <w:pPr>
        <w:widowControl w:val="0"/>
        <w:autoSpaceDE w:val="0"/>
        <w:autoSpaceDN w:val="0"/>
        <w:adjustRightInd w:val="0"/>
        <w:spacing w:line="480" w:lineRule="auto"/>
        <w:rPr>
          <w:rFonts w:cs="Times-Roman"/>
          <w:szCs w:val="20"/>
        </w:rPr>
      </w:pPr>
      <w:r>
        <w:rPr>
          <w:rStyle w:val="Strong"/>
          <w:b w:val="0"/>
          <w:szCs w:val="20"/>
        </w:rPr>
        <w:tab/>
      </w:r>
      <w:r w:rsidR="00894702">
        <w:rPr>
          <w:rStyle w:val="Strong"/>
          <w:b w:val="0"/>
          <w:szCs w:val="20"/>
        </w:rPr>
        <w:t xml:space="preserve">To ensure participants’ attitudes and persuasion knowledge were not influenced by advergame exposure, </w:t>
      </w:r>
      <w:r>
        <w:rPr>
          <w:rStyle w:val="Strong"/>
          <w:b w:val="0"/>
          <w:szCs w:val="20"/>
        </w:rPr>
        <w:t>Re</w:t>
      </w:r>
      <w:r w:rsidR="00894702">
        <w:rPr>
          <w:rStyle w:val="Strong"/>
          <w:b w:val="0"/>
          <w:szCs w:val="20"/>
        </w:rPr>
        <w:t>search Now hosted each URL and</w:t>
      </w:r>
      <w:r>
        <w:rPr>
          <w:rStyle w:val="Strong"/>
          <w:b w:val="0"/>
          <w:szCs w:val="20"/>
        </w:rPr>
        <w:t xml:space="preserve"> controlled the </w:t>
      </w:r>
      <w:r w:rsidR="00894702">
        <w:rPr>
          <w:rStyle w:val="Strong"/>
          <w:b w:val="0"/>
          <w:szCs w:val="20"/>
        </w:rPr>
        <w:t>amount of</w:t>
      </w:r>
      <w:r>
        <w:rPr>
          <w:rStyle w:val="Strong"/>
          <w:b w:val="0"/>
          <w:szCs w:val="20"/>
        </w:rPr>
        <w:t xml:space="preserve"> time each participant had with the </w:t>
      </w:r>
      <w:r w:rsidRPr="00114178">
        <w:t>Pop-Tarts</w:t>
      </w:r>
      <w:r w:rsidRPr="00114178">
        <w:rPr>
          <w:rFonts w:cs="Times-Roman"/>
        </w:rPr>
        <w:sym w:font="Symbol" w:char="F0D2"/>
      </w:r>
      <w:r>
        <w:t xml:space="preserve"> Toasty Turvy advergame.</w:t>
      </w:r>
      <w:r w:rsidR="00894702">
        <w:rPr>
          <w:rStyle w:val="Strong"/>
          <w:b w:val="0"/>
          <w:szCs w:val="20"/>
        </w:rPr>
        <w:t xml:space="preserve"> To ensure </w:t>
      </w:r>
      <w:r>
        <w:rPr>
          <w:rStyle w:val="Strong"/>
          <w:b w:val="0"/>
          <w:szCs w:val="20"/>
        </w:rPr>
        <w:t xml:space="preserve">an equal amount of advergame exposure, </w:t>
      </w:r>
      <w:r w:rsidR="00894702">
        <w:rPr>
          <w:rStyle w:val="Strong"/>
          <w:b w:val="0"/>
          <w:szCs w:val="20"/>
        </w:rPr>
        <w:t xml:space="preserve">once </w:t>
      </w:r>
      <w:r>
        <w:rPr>
          <w:rStyle w:val="Strong"/>
          <w:b w:val="0"/>
          <w:szCs w:val="20"/>
        </w:rPr>
        <w:t>participant</w:t>
      </w:r>
      <w:r w:rsidR="00894702">
        <w:rPr>
          <w:rStyle w:val="Strong"/>
          <w:b w:val="0"/>
          <w:szCs w:val="20"/>
        </w:rPr>
        <w:t>s were</w:t>
      </w:r>
      <w:r>
        <w:rPr>
          <w:rStyle w:val="Strong"/>
          <w:b w:val="0"/>
          <w:szCs w:val="20"/>
        </w:rPr>
        <w:t xml:space="preserve"> routed to the </w:t>
      </w:r>
      <w:r w:rsidRPr="00114178">
        <w:t>Pop-Tarts</w:t>
      </w:r>
      <w:r w:rsidRPr="00114178">
        <w:rPr>
          <w:rFonts w:cs="Times-Roman"/>
        </w:rPr>
        <w:sym w:font="Symbol" w:char="F0D2"/>
      </w:r>
      <w:r>
        <w:t xml:space="preserve"> Toasty Turvy advergame</w:t>
      </w:r>
      <w:r w:rsidRPr="00E014B7">
        <w:rPr>
          <w:rStyle w:val="Strong"/>
          <w:b w:val="0"/>
          <w:szCs w:val="20"/>
        </w:rPr>
        <w:t xml:space="preserve"> </w:t>
      </w:r>
      <w:r>
        <w:rPr>
          <w:rStyle w:val="Strong"/>
          <w:b w:val="0"/>
          <w:szCs w:val="20"/>
        </w:rPr>
        <w:t>Web site,</w:t>
      </w:r>
      <w:r w:rsidR="007D4E07" w:rsidRPr="00E014B7">
        <w:rPr>
          <w:rStyle w:val="Strong"/>
          <w:b w:val="0"/>
          <w:szCs w:val="20"/>
        </w:rPr>
        <w:t xml:space="preserve"> </w:t>
      </w:r>
      <w:r>
        <w:rPr>
          <w:rStyle w:val="Strong"/>
          <w:b w:val="0"/>
          <w:szCs w:val="20"/>
        </w:rPr>
        <w:t>they had precisely</w:t>
      </w:r>
      <w:r w:rsidR="00894702">
        <w:rPr>
          <w:rStyle w:val="Strong"/>
          <w:b w:val="0"/>
          <w:szCs w:val="20"/>
        </w:rPr>
        <w:t xml:space="preserve"> three</w:t>
      </w:r>
      <w:r w:rsidR="007D4E07" w:rsidRPr="00E014B7">
        <w:rPr>
          <w:rStyle w:val="Strong"/>
          <w:b w:val="0"/>
          <w:szCs w:val="20"/>
        </w:rPr>
        <w:t xml:space="preserve"> minutes </w:t>
      </w:r>
      <w:r w:rsidR="00894702">
        <w:rPr>
          <w:rStyle w:val="Strong"/>
          <w:b w:val="0"/>
          <w:szCs w:val="20"/>
        </w:rPr>
        <w:t>to read the game directions and play the game. After the three minutes expired</w:t>
      </w:r>
      <w:r w:rsidR="007D4E07" w:rsidRPr="00E014B7">
        <w:rPr>
          <w:rStyle w:val="Strong"/>
          <w:b w:val="0"/>
          <w:szCs w:val="20"/>
        </w:rPr>
        <w:t xml:space="preserve">, participants </w:t>
      </w:r>
      <w:r w:rsidR="00894702">
        <w:rPr>
          <w:rStyle w:val="Strong"/>
          <w:b w:val="0"/>
          <w:szCs w:val="20"/>
        </w:rPr>
        <w:t>were routed</w:t>
      </w:r>
      <w:r w:rsidR="007D4E07" w:rsidRPr="00E014B7">
        <w:rPr>
          <w:rStyle w:val="Strong"/>
          <w:b w:val="0"/>
          <w:szCs w:val="20"/>
        </w:rPr>
        <w:t xml:space="preserve"> to a questionnaire page containing all dependent measures, induction checks, demographics, and covariates.</w:t>
      </w:r>
      <w:r w:rsidR="0088120C">
        <w:rPr>
          <w:rStyle w:val="Strong"/>
          <w:b w:val="0"/>
          <w:szCs w:val="20"/>
        </w:rPr>
        <w:t xml:space="preserve"> </w:t>
      </w:r>
      <w:r w:rsidR="0088120C" w:rsidRPr="0088120C">
        <w:rPr>
          <w:rFonts w:cs="Times-Roman"/>
          <w:szCs w:val="20"/>
        </w:rPr>
        <w:t xml:space="preserve">Parents were </w:t>
      </w:r>
      <w:r w:rsidR="0088120C">
        <w:rPr>
          <w:rFonts w:cs="Times-Roman"/>
          <w:szCs w:val="20"/>
        </w:rPr>
        <w:t>instructed</w:t>
      </w:r>
      <w:r w:rsidR="0088120C" w:rsidRPr="0088120C">
        <w:rPr>
          <w:rFonts w:cs="Times-Roman"/>
          <w:szCs w:val="20"/>
        </w:rPr>
        <w:t xml:space="preserve"> to complete the</w:t>
      </w:r>
      <w:r w:rsidR="0088120C">
        <w:rPr>
          <w:rFonts w:cs="Times-Roman"/>
          <w:szCs w:val="20"/>
        </w:rPr>
        <w:t xml:space="preserve"> questionnaire</w:t>
      </w:r>
      <w:r w:rsidR="0088120C" w:rsidRPr="0088120C">
        <w:rPr>
          <w:rFonts w:cs="Times-Roman"/>
          <w:szCs w:val="20"/>
        </w:rPr>
        <w:t xml:space="preserve"> with respect to their youngest child </w:t>
      </w:r>
      <w:r w:rsidR="0088120C">
        <w:rPr>
          <w:rFonts w:cs="Times-Roman"/>
          <w:szCs w:val="20"/>
        </w:rPr>
        <w:t>between the ages of 7 and 11</w:t>
      </w:r>
      <w:r w:rsidR="0088120C" w:rsidRPr="0088120C">
        <w:rPr>
          <w:rFonts w:cs="Times-Roman"/>
          <w:szCs w:val="20"/>
        </w:rPr>
        <w:t>. This procedure was used because</w:t>
      </w:r>
      <w:r w:rsidR="0088120C">
        <w:rPr>
          <w:rFonts w:cs="Times-Roman"/>
          <w:szCs w:val="20"/>
        </w:rPr>
        <w:t xml:space="preserve"> </w:t>
      </w:r>
      <w:r w:rsidR="0088120C" w:rsidRPr="0088120C">
        <w:rPr>
          <w:rFonts w:cs="Times-Roman"/>
          <w:szCs w:val="20"/>
        </w:rPr>
        <w:t>families may be composed of more than one child and, to avoid</w:t>
      </w:r>
      <w:r w:rsidR="0088120C">
        <w:rPr>
          <w:rFonts w:cs="Times-Roman"/>
          <w:szCs w:val="20"/>
        </w:rPr>
        <w:t xml:space="preserve"> </w:t>
      </w:r>
      <w:r w:rsidR="0088120C" w:rsidRPr="0088120C">
        <w:rPr>
          <w:rFonts w:cs="Times-Roman"/>
          <w:szCs w:val="20"/>
        </w:rPr>
        <w:t>multiple responses from parents of more than one child, we</w:t>
      </w:r>
      <w:r w:rsidR="0088120C">
        <w:rPr>
          <w:rFonts w:cs="Times-Roman"/>
          <w:szCs w:val="20"/>
        </w:rPr>
        <w:t xml:space="preserve"> </w:t>
      </w:r>
      <w:r w:rsidR="0088120C" w:rsidRPr="0088120C">
        <w:rPr>
          <w:rFonts w:cs="Times-Roman"/>
          <w:szCs w:val="20"/>
        </w:rPr>
        <w:t>asked that parents focus their answers only on their youngest</w:t>
      </w:r>
      <w:r w:rsidR="0088120C">
        <w:rPr>
          <w:rFonts w:cs="Times-Roman"/>
          <w:szCs w:val="20"/>
        </w:rPr>
        <w:t xml:space="preserve"> </w:t>
      </w:r>
      <w:r w:rsidR="0088120C" w:rsidRPr="0088120C">
        <w:rPr>
          <w:rFonts w:cs="Times-Roman"/>
          <w:szCs w:val="20"/>
        </w:rPr>
        <w:t>child ages 7 to 11 (see Carlson and Grossbart</w:t>
      </w:r>
      <w:r w:rsidR="0088120C">
        <w:rPr>
          <w:rFonts w:cs="Times-Roman"/>
          <w:szCs w:val="20"/>
        </w:rPr>
        <w:t>,</w:t>
      </w:r>
      <w:r w:rsidR="0088120C" w:rsidRPr="0088120C">
        <w:rPr>
          <w:rFonts w:cs="Times-Roman"/>
          <w:szCs w:val="20"/>
        </w:rPr>
        <w:t xml:space="preserve"> 1988</w:t>
      </w:r>
      <w:r w:rsidR="0088120C">
        <w:rPr>
          <w:rFonts w:cs="Times-Roman"/>
          <w:szCs w:val="20"/>
        </w:rPr>
        <w:t>; Evans et al., 2013</w:t>
      </w:r>
      <w:r w:rsidR="0088120C" w:rsidRPr="0088120C">
        <w:rPr>
          <w:rFonts w:cs="Times-Roman"/>
          <w:szCs w:val="20"/>
        </w:rPr>
        <w:t>).</w:t>
      </w:r>
    </w:p>
    <w:p w:rsidR="00894702" w:rsidRPr="00E441B1" w:rsidRDefault="00894702" w:rsidP="00894702">
      <w:pPr>
        <w:pStyle w:val="NormalWeb"/>
        <w:spacing w:before="0" w:beforeAutospacing="0" w:after="0" w:afterAutospacing="0" w:line="480" w:lineRule="auto"/>
        <w:rPr>
          <w:b/>
          <w:bCs/>
          <w:szCs w:val="20"/>
        </w:rPr>
      </w:pPr>
      <w:r>
        <w:rPr>
          <w:b/>
        </w:rPr>
        <w:t>Cognitive Load Pretests</w:t>
      </w:r>
    </w:p>
    <w:p w:rsidR="00B23027" w:rsidRDefault="00894702" w:rsidP="0012208F">
      <w:pPr>
        <w:spacing w:line="480" w:lineRule="auto"/>
      </w:pPr>
      <w:r>
        <w:tab/>
        <w:t>In order to demonstrate the suitability of a task that induces cognitive load among parents, cognitive load was pretested by creating three short online surveys (hosted on SurveyMonkey) that contained variations of a memory and recall task. Each version of the memory and recall task instructed participants to remember and recall one of three different num</w:t>
      </w:r>
      <w:r w:rsidR="00CD6641">
        <w:t>ber sequences (c.f. Campbell &amp;</w:t>
      </w:r>
      <w:r>
        <w:t xml:space="preserve"> Kirmani</w:t>
      </w:r>
      <w:r w:rsidR="00CD6641">
        <w:t>,</w:t>
      </w:r>
      <w:r>
        <w:t xml:space="preserve"> 2000; Yoon et al.</w:t>
      </w:r>
      <w:r w:rsidR="00CD6641">
        <w:t>,</w:t>
      </w:r>
      <w:r>
        <w:t xml:space="preserve"> 2011). These number sequences were 8 digits (00967852), 11 digits (00967852456), and 13 digits (0096785245610) in length. </w:t>
      </w:r>
      <w:r w:rsidR="00B23027">
        <w:t>A convenience sample of 54 college students aged 18 years and above was</w:t>
      </w:r>
      <w:r>
        <w:t xml:space="preserve"> assigned to one of the three surveys, which were identical except for the number sequence length.</w:t>
      </w:r>
      <w:r w:rsidR="000B6570">
        <w:t xml:space="preserve"> The three surveys were distributed via email attachments to the college student sample in introductory advertising and public relations classes at a large Southeastern University.</w:t>
      </w:r>
      <w:r>
        <w:t xml:space="preserve"> </w:t>
      </w:r>
      <w:r w:rsidR="000B6570">
        <w:t xml:space="preserve">A second convenience sample of non-college students aged 18 years and above was also assigned to one of the three surveys. The three surveys were distributed via an online list serve to the non-college student sample that were employed at or associated with a medium sized Southeastern primary and secondary school. </w:t>
      </w:r>
      <w:r>
        <w:t xml:space="preserve">The pretest procedure instructed each participant to remember the shown number sequence (either 8, 11, or 13 digits in length), they were instructed not to write the number sequence down, and they were informed that they would be asked to recall the number sequence at a later point in the survey. After participants were given the number sequence and directions they were directed to a page featuring an ambiguous stimulus </w:t>
      </w:r>
      <w:r w:rsidR="000B6570">
        <w:t xml:space="preserve">(a picture that looked like a rabbit or a squirrel) </w:t>
      </w:r>
      <w:r>
        <w:t xml:space="preserve">where they were instructed to “write down what they see”. After participants were presented with the ambiguous stimulus they were then directed to a page that asked if they wrote the number sequence down. Participants that answered yes to this question were excluded from the pretest. On the next page participants were instructed to write down the number sequence they were shown earlier. </w:t>
      </w:r>
    </w:p>
    <w:p w:rsidR="00B23027" w:rsidRDefault="00B23027" w:rsidP="00B23027">
      <w:pPr>
        <w:spacing w:line="480" w:lineRule="auto"/>
      </w:pPr>
      <w:r>
        <w:tab/>
      </w:r>
      <w:r w:rsidR="000B6570">
        <w:t>In total, the pretest consisted of two samples (college vs. non-college) and three conditions of cognitive load (8 vs. 11 vs. 13)</w:t>
      </w:r>
      <w:r>
        <w:t xml:space="preserve">. Pretest results for the 8-digit condition indicated that college students (n=17) correctly recalled on average 78.67% of the numbers in sequence and non-college students (n=20) correctly recalled on average 89.37% of the numbers in sequence (combined ave % = 84.46, n= 37). Pretest results for the 11-digit condition indicated that college students (n=17) recalled on average 66.84% of the numbers in sequence and non-college students (n=16) correctly recalled on average 89.76% of the numbers in sequence (combined ave % = 77.12, n= 33). Pretest results for the 13-digit condition indicated that college students (n=20) correctly recalled on average 67.31% of the numbers in sequence and non-college students (n=13) correctly recalled on average 84.84% of the numbers in sequence (combined ave % = 75.28, n= 33). Given the unusually high recall rate for non-college students and the similarity in recall percentage between the 11-digit and 13-digit conditions for college students, further pretesting on a different population was warranted. </w:t>
      </w:r>
    </w:p>
    <w:p w:rsidR="00B23027" w:rsidRDefault="00B23027" w:rsidP="00B23027">
      <w:pPr>
        <w:spacing w:line="480" w:lineRule="auto"/>
      </w:pPr>
      <w:r>
        <w:tab/>
        <w:t xml:space="preserve">  </w:t>
      </w:r>
      <w:r w:rsidR="00E46A1C">
        <w:t>Since the non-college sample most approximated the intended sample of parents with children ages 7-11</w:t>
      </w:r>
      <w:r>
        <w:t xml:space="preserve"> </w:t>
      </w:r>
      <w:r w:rsidR="00E46A1C">
        <w:t>a different non-student sample was sought</w:t>
      </w:r>
      <w:r w:rsidR="00021749">
        <w:t xml:space="preserve"> for a second round of pretesting</w:t>
      </w:r>
      <w:r w:rsidR="00E46A1C">
        <w:t xml:space="preserve">. </w:t>
      </w:r>
      <w:r>
        <w:t xml:space="preserve">Two more short surveys were created (hosted on SurveyMonkey) using the same procedure outlined in the first </w:t>
      </w:r>
      <w:r w:rsidR="00021749">
        <w:t>round of pretesting</w:t>
      </w:r>
      <w:r>
        <w:t xml:space="preserve">. As in the first </w:t>
      </w:r>
      <w:r w:rsidR="00021749">
        <w:t>round of pretesting</w:t>
      </w:r>
      <w:r>
        <w:t xml:space="preserve">, participants were asked to remember and recall one of two unique number sequences. These number sequences were either 11 digits (32512260728) or 13 digits (3251226072814) in length and were created using a random number generator. The two surveys </w:t>
      </w:r>
      <w:r w:rsidR="00E46A1C">
        <w:t xml:space="preserve">(either 11 digit or 13 digit conditions) were distributed on Facebook </w:t>
      </w:r>
      <w:r w:rsidR="00021749">
        <w:t xml:space="preserve">and </w:t>
      </w:r>
      <w:r w:rsidR="00E46A1C">
        <w:t>sent to 6</w:t>
      </w:r>
      <w:r>
        <w:t>0 Facebook contacts</w:t>
      </w:r>
      <w:r w:rsidR="00E46A1C">
        <w:t xml:space="preserve"> of the principle</w:t>
      </w:r>
      <w:r w:rsidR="00021749">
        <w:t xml:space="preserve"> investigator. All PI Facebook contacts were 18 years or older. Thirty of the 11-</w:t>
      </w:r>
      <w:r w:rsidR="00E46A1C">
        <w:t xml:space="preserve">digit </w:t>
      </w:r>
      <w:r w:rsidR="00021749">
        <w:t xml:space="preserve">condition and the 30 of the </w:t>
      </w:r>
      <w:r>
        <w:t>13-digit condition survey</w:t>
      </w:r>
      <w:r w:rsidR="00021749">
        <w:t>s</w:t>
      </w:r>
      <w:r>
        <w:t xml:space="preserve"> </w:t>
      </w:r>
      <w:r w:rsidR="00021749">
        <w:t>were sent to different contacts</w:t>
      </w:r>
      <w:r>
        <w:t xml:space="preserve"> thus assuring unique responses to both conditions. </w:t>
      </w:r>
      <w:r w:rsidR="00021749">
        <w:t xml:space="preserve">Both versions of the survey had a response rate of 50%. </w:t>
      </w:r>
      <w:r>
        <w:t xml:space="preserve">Participants in the 11-digit condition (n=15) correctly recalled on average 72.72% of the numbers in sequence. Participants in the 13-digit condition (n=15) correctly recalled on average 46.66% of the numbers in sequence.  </w:t>
      </w:r>
    </w:p>
    <w:p w:rsidR="00CD6641" w:rsidRPr="0012208F" w:rsidRDefault="00B23027" w:rsidP="00B23027">
      <w:pPr>
        <w:spacing w:line="480" w:lineRule="auto"/>
      </w:pPr>
      <w:r>
        <w:tab/>
        <w:t xml:space="preserve">Taken collectively, the results of the first </w:t>
      </w:r>
      <w:r w:rsidR="00021749">
        <w:t xml:space="preserve">round of pretesting </w:t>
      </w:r>
      <w:r>
        <w:t xml:space="preserve">indicate that the 8-digit number sequence is unsuitable for inducing cognitive load. As evidenced by the average percent of correctly recalled numbers in sequence (n=37, ave %= 84.46) among a combined </w:t>
      </w:r>
      <w:r w:rsidR="00021749">
        <w:t xml:space="preserve">college student and non-college student </w:t>
      </w:r>
      <w:r>
        <w:t xml:space="preserve">sample, it appears that an 8-digit number sequence is both easy to recall and does not require substantial cognitive effort. The </w:t>
      </w:r>
      <w:r w:rsidR="00021749">
        <w:t>second round of pretesting</w:t>
      </w:r>
      <w:r>
        <w:t xml:space="preserve"> for the 11-digit and 13-digit conditions suggest that a 13-digit number is more difficult to correctly recall than is an 11-digit number. Participants in the 13-digit condition correctly recalled on average only 46.66% of the numbers in sequence compared to 72.72% in the 11-digit condition. Furthermore, fewer participants in the 13-digit condition recalled 100% of the numbers in sequence than did those in the 11-digit condition. The pretest results indicate that adults expend more cognitive effort to remember and recall 13 digits than is the case with 11 digits. In light of the pretest results, when tasked with recalling a number sequence, it is reasonable to conclude that adults, and presumably parents, will experience more cognitive load when recalling a 13-digit number compared to an 11-digit or 8-digit number.</w:t>
      </w:r>
      <w:r w:rsidR="00021749">
        <w:t xml:space="preserve"> Thus, the recall of a randomly generated 13-digit number serves as the operationalization of cognitive loading for this study</w:t>
      </w:r>
    </w:p>
    <w:p w:rsidR="007D3008" w:rsidRDefault="007D3008" w:rsidP="007D3008">
      <w:pPr>
        <w:spacing w:line="480" w:lineRule="auto"/>
        <w:rPr>
          <w:b/>
          <w:bCs/>
        </w:rPr>
      </w:pPr>
      <w:r>
        <w:rPr>
          <w:b/>
        </w:rPr>
        <w:t>Advergame Stimuli</w:t>
      </w:r>
    </w:p>
    <w:p w:rsidR="007D3008" w:rsidRDefault="007D3008" w:rsidP="007D3008">
      <w:pPr>
        <w:spacing w:line="480" w:lineRule="auto"/>
      </w:pPr>
      <w:r>
        <w:tab/>
      </w:r>
      <w:r w:rsidRPr="00114178">
        <w:t>The advergam</w:t>
      </w:r>
      <w:r>
        <w:t>e for the proposed study was</w:t>
      </w:r>
      <w:r w:rsidRPr="00114178">
        <w:t xml:space="preserve"> appropriated from an existing child targeted gaming website, http://www.poptarts.com/games, which is owned and operated by Kellogg’s of Nort</w:t>
      </w:r>
      <w:r>
        <w:t>h America. The advergame was</w:t>
      </w:r>
      <w:r w:rsidRPr="00114178">
        <w:t xml:space="preserve"> Pop-Tarts</w:t>
      </w:r>
      <w:r w:rsidRPr="00114178">
        <w:rPr>
          <w:rFonts w:cs="Times-Roman"/>
        </w:rPr>
        <w:sym w:font="Symbol" w:char="F0D2"/>
      </w:r>
      <w:r w:rsidRPr="00114178">
        <w:t xml:space="preserve"> Toasty</w:t>
      </w:r>
      <w:r>
        <w:t>-Turvy, which currently has no ad-disclosures. There was</w:t>
      </w:r>
      <w:r w:rsidRPr="00114178">
        <w:t xml:space="preserve"> no manipulation or changes made to the Pop-Tarts</w:t>
      </w:r>
      <w:r w:rsidRPr="00114178">
        <w:rPr>
          <w:rFonts w:cs="Times-Roman"/>
        </w:rPr>
        <w:sym w:font="Symbol" w:char="F0D2"/>
      </w:r>
      <w:r w:rsidRPr="00114178">
        <w:rPr>
          <w:rFonts w:cs="Times-Roman"/>
        </w:rPr>
        <w:t xml:space="preserve"> advergame.</w:t>
      </w:r>
      <w:r w:rsidRPr="00114178">
        <w:t xml:space="preserve"> </w:t>
      </w:r>
      <w:r>
        <w:t>All stimuli manipulations were made within an overlaid HTML environment that surrounded the Pop-Tarts</w:t>
      </w:r>
      <w:r w:rsidRPr="00114178">
        <w:rPr>
          <w:rFonts w:cs="Times-Roman"/>
        </w:rPr>
        <w:sym w:font="Symbol" w:char="F0D2"/>
      </w:r>
      <w:r w:rsidRPr="00114178">
        <w:t xml:space="preserve"> Toasty-Turvy</w:t>
      </w:r>
      <w:r>
        <w:t xml:space="preserve"> advergame. </w:t>
      </w:r>
    </w:p>
    <w:p w:rsidR="007D3008" w:rsidRPr="00E441B1" w:rsidRDefault="007D3008" w:rsidP="007D3008">
      <w:pPr>
        <w:spacing w:line="480" w:lineRule="auto"/>
      </w:pPr>
      <w:r>
        <w:rPr>
          <w:b/>
        </w:rPr>
        <w:t>Experimental Treatments</w:t>
      </w:r>
    </w:p>
    <w:p w:rsidR="007D3008" w:rsidRPr="004E4727" w:rsidRDefault="007D3008" w:rsidP="007D3008">
      <w:pPr>
        <w:spacing w:line="480" w:lineRule="auto"/>
        <w:rPr>
          <w:i/>
          <w:iCs/>
        </w:rPr>
      </w:pPr>
      <w:r>
        <w:rPr>
          <w:i/>
          <w:iCs/>
        </w:rPr>
        <w:t>Advertising Disclosures</w:t>
      </w:r>
      <w:r w:rsidRPr="004E4727">
        <w:rPr>
          <w:i/>
          <w:iCs/>
        </w:rPr>
        <w:t xml:space="preserve">  </w:t>
      </w:r>
    </w:p>
    <w:p w:rsidR="007D3008" w:rsidRDefault="007D3008" w:rsidP="007D3008">
      <w:pPr>
        <w:spacing w:line="480" w:lineRule="auto"/>
      </w:pPr>
      <w:r>
        <w:tab/>
        <w:t>There were</w:t>
      </w:r>
      <w:r w:rsidRPr="00114178">
        <w:t xml:space="preserve"> three types of advertising disclosures surrounding the Pop-Tarts</w:t>
      </w:r>
      <w:r w:rsidRPr="00114178">
        <w:rPr>
          <w:rFonts w:cs="Times-Roman"/>
        </w:rPr>
        <w:sym w:font="Symbol" w:char="F0D2"/>
      </w:r>
      <w:r>
        <w:t xml:space="preserve"> Toasty Turvy advergame. The no ad-d</w:t>
      </w:r>
      <w:r w:rsidRPr="00114178">
        <w:t>isclosure condition (control) feature</w:t>
      </w:r>
      <w:r>
        <w:t>d</w:t>
      </w:r>
      <w:r w:rsidRPr="00114178">
        <w:t xml:space="preserve"> the game as it </w:t>
      </w:r>
      <w:r>
        <w:t>was on the W</w:t>
      </w:r>
      <w:r w:rsidRPr="00114178">
        <w:t>eb</w:t>
      </w:r>
      <w:r>
        <w:t xml:space="preserve"> </w:t>
      </w:r>
      <w:r w:rsidRPr="00114178">
        <w:t xml:space="preserve">site (i.e. no advertising </w:t>
      </w:r>
      <w:r>
        <w:t>disclosures</w:t>
      </w:r>
      <w:r w:rsidRPr="00114178">
        <w:t>).</w:t>
      </w:r>
      <w:r>
        <w:t xml:space="preserve"> The single modality (print only) ad-d</w:t>
      </w:r>
      <w:r w:rsidRPr="00114178">
        <w:t xml:space="preserve">isclosure </w:t>
      </w:r>
      <w:r>
        <w:t>treatment</w:t>
      </w:r>
      <w:r w:rsidRPr="00114178">
        <w:t xml:space="preserve"> </w:t>
      </w:r>
      <w:r>
        <w:t>featured</w:t>
      </w:r>
      <w:r w:rsidRPr="00114178">
        <w:t xml:space="preserve"> a text “crawl” in a HTML environment </w:t>
      </w:r>
      <w:r>
        <w:t>below the game-play screen, which</w:t>
      </w:r>
    </w:p>
    <w:p w:rsidR="007D3008" w:rsidRDefault="007D3008" w:rsidP="007D3008">
      <w:pPr>
        <w:spacing w:line="480" w:lineRule="auto"/>
        <w:rPr>
          <w:b/>
        </w:rPr>
      </w:pPr>
      <w:r>
        <w:t>stated,</w:t>
      </w:r>
      <w:r w:rsidRPr="00114178">
        <w:t xml:space="preserve"> “</w:t>
      </w:r>
      <w:r>
        <w:t>Hi kids! This game is an a</w:t>
      </w:r>
      <w:r w:rsidRPr="00114178">
        <w:t>dvertiseme</w:t>
      </w:r>
      <w:r>
        <w:t>nt” (c.f. WGAW, 2008). The disclosure statement was tested for age readability level, as per the CCS standards (c.f. FTC, 1970), using the Flesch-Kincaid Grade Level test in Microsoft Word. The disclosure statement returned a 4.3 Flesch-</w:t>
      </w:r>
    </w:p>
    <w:p w:rsidR="00757608" w:rsidRDefault="00757608" w:rsidP="00894702">
      <w:pPr>
        <w:rPr>
          <w:b/>
        </w:rPr>
      </w:pPr>
    </w:p>
    <w:p w:rsidR="00250894" w:rsidRDefault="00250894" w:rsidP="00894702">
      <w:pPr>
        <w:rPr>
          <w:b/>
        </w:rPr>
      </w:pPr>
    </w:p>
    <w:p w:rsidR="00894702" w:rsidRPr="007A7F76" w:rsidRDefault="00894702" w:rsidP="00894702">
      <w:pPr>
        <w:rPr>
          <w:b/>
        </w:rPr>
      </w:pPr>
      <w:r>
        <w:rPr>
          <w:b/>
        </w:rPr>
        <w:t xml:space="preserve">Figure </w:t>
      </w:r>
      <w:r w:rsidR="00344F6B">
        <w:rPr>
          <w:b/>
        </w:rPr>
        <w:t>#</w:t>
      </w:r>
      <w:r w:rsidR="00740B6E">
        <w:rPr>
          <w:b/>
        </w:rPr>
        <w:t>1</w:t>
      </w:r>
      <w:r w:rsidRPr="007A7F76">
        <w:rPr>
          <w:b/>
        </w:rPr>
        <w:t>: cognitively loaded/ no ad-disclosure condition</w:t>
      </w:r>
    </w:p>
    <w:p w:rsidR="00894702" w:rsidRDefault="00894702" w:rsidP="00894702">
      <w:pPr>
        <w:jc w:val="center"/>
      </w:pPr>
    </w:p>
    <w:p w:rsidR="00894702" w:rsidRDefault="00344F6B" w:rsidP="00894702">
      <w:r w:rsidRPr="00344F6B">
        <w:rPr>
          <w:noProof/>
        </w:rPr>
        <w:drawing>
          <wp:inline distT="0" distB="0" distL="0" distR="0">
            <wp:extent cx="5942965" cy="2565991"/>
            <wp:effectExtent l="2540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t="17100" b="13500"/>
                    <a:stretch>
                      <a:fillRect/>
                    </a:stretch>
                  </pic:blipFill>
                  <pic:spPr bwMode="auto">
                    <a:xfrm>
                      <a:off x="0" y="0"/>
                      <a:ext cx="5942965" cy="2565991"/>
                    </a:xfrm>
                    <a:prstGeom prst="rect">
                      <a:avLst/>
                    </a:prstGeom>
                    <a:noFill/>
                    <a:ln w="9525">
                      <a:noFill/>
                      <a:miter lim="800000"/>
                      <a:headEnd/>
                      <a:tailEnd/>
                    </a:ln>
                  </pic:spPr>
                </pic:pic>
              </a:graphicData>
            </a:graphic>
          </wp:inline>
        </w:drawing>
      </w:r>
    </w:p>
    <w:p w:rsidR="00894702" w:rsidRDefault="00923C9D" w:rsidP="00894702">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margin-left:201.25pt;margin-top:1.85pt;width:33.9pt;height:31.7pt;z-index:251652608;mso-wrap-edited:f;mso-position-horizontal:absolute;mso-position-vertical:absolute" wrapcoords="3840 -514 3360 8228 -2400 15942 8160 21600 12480 21600 23520 15942 17760 8228 17280 -514 3840 -514" fillcolor="black [3213]" strokecolor="black [3213]" strokeweight="1.5pt">
            <v:fill o:detectmouseclick="t"/>
            <v:shadow opacity="22938f" mv:blur="38100f" offset="0,2pt"/>
            <v:textbox inset=",7.2pt,,7.2pt"/>
            <w10:wrap type="tight"/>
          </v:shape>
        </w:pict>
      </w:r>
    </w:p>
    <w:p w:rsidR="00894702" w:rsidRDefault="00894702" w:rsidP="00894702"/>
    <w:p w:rsidR="00894702" w:rsidRDefault="00894702" w:rsidP="00894702"/>
    <w:p w:rsidR="00894702" w:rsidRDefault="00894702" w:rsidP="00894702"/>
    <w:p w:rsidR="00894702" w:rsidRDefault="00894702" w:rsidP="00344F6B">
      <w:pPr>
        <w:jc w:val="center"/>
      </w:pPr>
    </w:p>
    <w:p w:rsidR="00894702" w:rsidRDefault="00344F6B" w:rsidP="00894702">
      <w:r w:rsidRPr="00344F6B">
        <w:rPr>
          <w:noProof/>
        </w:rPr>
        <w:drawing>
          <wp:inline distT="0" distB="0" distL="0" distR="0">
            <wp:extent cx="5605420" cy="2628900"/>
            <wp:effectExtent l="25400" t="0" r="798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l="2250" t="16200" r="3375" b="12600"/>
                    <a:stretch>
                      <a:fillRect/>
                    </a:stretch>
                  </pic:blipFill>
                  <pic:spPr bwMode="auto">
                    <a:xfrm>
                      <a:off x="0" y="0"/>
                      <a:ext cx="5605420" cy="2628900"/>
                    </a:xfrm>
                    <a:prstGeom prst="rect">
                      <a:avLst/>
                    </a:prstGeom>
                    <a:noFill/>
                    <a:ln w="9525">
                      <a:noFill/>
                      <a:miter lim="800000"/>
                      <a:headEnd/>
                      <a:tailEnd/>
                    </a:ln>
                  </pic:spPr>
                </pic:pic>
              </a:graphicData>
            </a:graphic>
          </wp:inline>
        </w:drawing>
      </w:r>
    </w:p>
    <w:p w:rsidR="00894702" w:rsidRDefault="00894702" w:rsidP="00894702"/>
    <w:p w:rsidR="00250894" w:rsidRDefault="00250894" w:rsidP="00894702">
      <w:pPr>
        <w:rPr>
          <w:b/>
        </w:rPr>
      </w:pPr>
    </w:p>
    <w:p w:rsidR="00843EB2" w:rsidRDefault="00843EB2" w:rsidP="00894702">
      <w:pPr>
        <w:rPr>
          <w:b/>
        </w:rPr>
      </w:pPr>
    </w:p>
    <w:p w:rsidR="00843EB2" w:rsidRDefault="00843EB2" w:rsidP="00894702">
      <w:pPr>
        <w:rPr>
          <w:b/>
        </w:rPr>
      </w:pPr>
    </w:p>
    <w:p w:rsidR="00843EB2" w:rsidRDefault="00843EB2" w:rsidP="00894702">
      <w:pPr>
        <w:rPr>
          <w:b/>
        </w:rPr>
      </w:pPr>
    </w:p>
    <w:p w:rsidR="00843EB2" w:rsidRDefault="00843EB2" w:rsidP="00894702">
      <w:pPr>
        <w:rPr>
          <w:b/>
        </w:rPr>
      </w:pPr>
    </w:p>
    <w:p w:rsidR="00843EB2" w:rsidRDefault="00843EB2" w:rsidP="00894702">
      <w:pPr>
        <w:rPr>
          <w:b/>
        </w:rPr>
      </w:pPr>
    </w:p>
    <w:p w:rsidR="00843EB2" w:rsidRDefault="00843EB2" w:rsidP="00894702">
      <w:pPr>
        <w:rPr>
          <w:b/>
        </w:rPr>
      </w:pPr>
    </w:p>
    <w:p w:rsidR="00843EB2" w:rsidRDefault="00843EB2" w:rsidP="00894702">
      <w:pPr>
        <w:rPr>
          <w:b/>
        </w:rPr>
      </w:pPr>
    </w:p>
    <w:p w:rsidR="00843EB2" w:rsidRDefault="00843EB2" w:rsidP="00894702">
      <w:pPr>
        <w:rPr>
          <w:b/>
        </w:rPr>
      </w:pPr>
    </w:p>
    <w:p w:rsidR="00757608" w:rsidRDefault="00894702" w:rsidP="00894702">
      <w:pPr>
        <w:rPr>
          <w:b/>
        </w:rPr>
      </w:pPr>
      <w:r>
        <w:rPr>
          <w:b/>
        </w:rPr>
        <w:t xml:space="preserve">Figure </w:t>
      </w:r>
      <w:r w:rsidR="00344F6B">
        <w:rPr>
          <w:b/>
        </w:rPr>
        <w:t>#</w:t>
      </w:r>
      <w:r w:rsidR="00740B6E">
        <w:rPr>
          <w:b/>
        </w:rPr>
        <w:t>2</w:t>
      </w:r>
      <w:r w:rsidRPr="00A66D8A">
        <w:rPr>
          <w:b/>
        </w:rPr>
        <w:t>: cognitively loaded/ single modality ad-disclosure condition</w:t>
      </w:r>
    </w:p>
    <w:p w:rsidR="00894702" w:rsidRPr="00A66D8A" w:rsidRDefault="00894702" w:rsidP="00894702">
      <w:pPr>
        <w:rPr>
          <w:b/>
        </w:rPr>
      </w:pPr>
    </w:p>
    <w:p w:rsidR="00894702" w:rsidRDefault="00344F6B" w:rsidP="00894702">
      <w:r w:rsidRPr="00344F6B">
        <w:rPr>
          <w:noProof/>
        </w:rPr>
        <w:drawing>
          <wp:inline distT="0" distB="0" distL="0" distR="0">
            <wp:extent cx="5942965" cy="2565991"/>
            <wp:effectExtent l="25400" t="0" r="63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t="17100" b="13500"/>
                    <a:stretch>
                      <a:fillRect/>
                    </a:stretch>
                  </pic:blipFill>
                  <pic:spPr bwMode="auto">
                    <a:xfrm>
                      <a:off x="0" y="0"/>
                      <a:ext cx="5942965" cy="2565991"/>
                    </a:xfrm>
                    <a:prstGeom prst="rect">
                      <a:avLst/>
                    </a:prstGeom>
                    <a:noFill/>
                    <a:ln w="9525">
                      <a:noFill/>
                      <a:miter lim="800000"/>
                      <a:headEnd/>
                      <a:tailEnd/>
                    </a:ln>
                  </pic:spPr>
                </pic:pic>
              </a:graphicData>
            </a:graphic>
          </wp:inline>
        </w:drawing>
      </w:r>
    </w:p>
    <w:p w:rsidR="00894702" w:rsidRDefault="00923C9D" w:rsidP="00894702">
      <w:r>
        <w:rPr>
          <w:noProof/>
        </w:rPr>
        <w:pict>
          <v:shape id="_x0000_s1163" type="#_x0000_t67" style="position:absolute;margin-left:201.25pt;margin-top:1.55pt;width:33.9pt;height:31.7pt;z-index:251663872;mso-wrap-edited:f;mso-position-horizontal:absolute;mso-position-vertical:absolute" wrapcoords="3840 -514 3360 8228 -2400 15942 8160 21600 12480 21600 23520 15942 17760 8228 17280 -514 3840 -514" fillcolor="black [3213]" strokecolor="black [3213]" strokeweight="1.5pt">
            <v:fill o:detectmouseclick="t"/>
            <v:shadow opacity="22938f" mv:blur="38100f" offset="0,2pt"/>
            <v:textbox inset=",7.2pt,,7.2pt"/>
            <w10:wrap type="tight"/>
          </v:shape>
        </w:pict>
      </w:r>
    </w:p>
    <w:p w:rsidR="00894702" w:rsidRDefault="00894702" w:rsidP="00894702"/>
    <w:p w:rsidR="00894702" w:rsidRDefault="00894702" w:rsidP="00894702"/>
    <w:p w:rsidR="00894702" w:rsidRDefault="00894702" w:rsidP="00894702"/>
    <w:p w:rsidR="00894702" w:rsidRDefault="00923C9D" w:rsidP="00894702">
      <w:r>
        <w:rPr>
          <w:noProof/>
        </w:rPr>
        <w:pict>
          <v:oval id="_x0000_s1164" style="position:absolute;margin-left:3in;margin-top:173.55pt;width:2in;height:36pt;z-index:251664896;mso-wrap-edited:f" wrapcoords="7425 -450 5287 0 337 4500 112 6750 -450 10800 -562 15300 1125 20700 1800 22050 5512 24750 6412 24750 15412 24750 16200 24750 19912 21600 20700 20700 22387 15300 22387 11700 21937 8550 21375 6750 21262 4500 16200 0 14062 -450 7425 -450" filled="f" fillcolor="#3f80cd" strokecolor="red" strokeweight="1.5pt">
            <v:fill color2="#9bc1ff" o:detectmouseclick="t" focusposition="" focussize=",90" type="gradient">
              <o:fill v:ext="view" type="gradientUnscaled"/>
            </v:fill>
            <v:shadow on="t" opacity="22938f" mv:blur="38100f" offset="0,2pt"/>
            <v:textbox inset=",7.2pt,,7.2pt"/>
          </v:oval>
        </w:pict>
      </w:r>
      <w:r w:rsidR="000C75A0" w:rsidRPr="000C75A0">
        <w:rPr>
          <w:noProof/>
        </w:rPr>
        <w:drawing>
          <wp:inline distT="0" distB="0" distL="0" distR="0">
            <wp:extent cx="5605391" cy="2633133"/>
            <wp:effectExtent l="25400" t="0" r="8009"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2813" t="16200" r="2813" b="12600"/>
                    <a:stretch>
                      <a:fillRect/>
                    </a:stretch>
                  </pic:blipFill>
                  <pic:spPr bwMode="auto">
                    <a:xfrm>
                      <a:off x="0" y="0"/>
                      <a:ext cx="5605391" cy="2633133"/>
                    </a:xfrm>
                    <a:prstGeom prst="rect">
                      <a:avLst/>
                    </a:prstGeom>
                    <a:noFill/>
                    <a:ln w="9525">
                      <a:noFill/>
                      <a:miter lim="800000"/>
                      <a:headEnd/>
                      <a:tailEnd/>
                    </a:ln>
                  </pic:spPr>
                </pic:pic>
              </a:graphicData>
            </a:graphic>
          </wp:inline>
        </w:drawing>
      </w:r>
    </w:p>
    <w:p w:rsidR="00894702" w:rsidRDefault="00894702" w:rsidP="00894702"/>
    <w:p w:rsidR="00894702" w:rsidRDefault="00894702" w:rsidP="00894702"/>
    <w:p w:rsidR="00894702" w:rsidRDefault="00894702" w:rsidP="00894702"/>
    <w:p w:rsidR="00894702" w:rsidRDefault="00894702" w:rsidP="00894702"/>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7D3008" w:rsidRDefault="007D3008" w:rsidP="00894702">
      <w:pPr>
        <w:rPr>
          <w:b/>
        </w:rPr>
      </w:pPr>
    </w:p>
    <w:p w:rsidR="00250894" w:rsidRDefault="00250894" w:rsidP="00894702">
      <w:pPr>
        <w:rPr>
          <w:b/>
        </w:rPr>
      </w:pPr>
    </w:p>
    <w:p w:rsidR="00757608" w:rsidRDefault="00894702" w:rsidP="00894702">
      <w:pPr>
        <w:rPr>
          <w:b/>
        </w:rPr>
      </w:pPr>
      <w:r>
        <w:rPr>
          <w:b/>
        </w:rPr>
        <w:t xml:space="preserve">Figure </w:t>
      </w:r>
      <w:r w:rsidR="000C75A0">
        <w:rPr>
          <w:b/>
        </w:rPr>
        <w:t>#</w:t>
      </w:r>
      <w:r w:rsidR="00740B6E">
        <w:rPr>
          <w:b/>
        </w:rPr>
        <w:t>3</w:t>
      </w:r>
      <w:r w:rsidRPr="00A66D8A">
        <w:rPr>
          <w:b/>
        </w:rPr>
        <w:t>: cognitively loaded/ dual modality ad-disclosure condition</w:t>
      </w:r>
    </w:p>
    <w:p w:rsidR="00894702" w:rsidRPr="00A66D8A" w:rsidRDefault="00894702" w:rsidP="00894702">
      <w:pPr>
        <w:rPr>
          <w:b/>
        </w:rPr>
      </w:pPr>
    </w:p>
    <w:p w:rsidR="00894702" w:rsidRDefault="000C75A0" w:rsidP="00894702">
      <w:r w:rsidRPr="000C75A0">
        <w:rPr>
          <w:noProof/>
        </w:rPr>
        <w:drawing>
          <wp:inline distT="0" distB="0" distL="0" distR="0">
            <wp:extent cx="5942965" cy="2565991"/>
            <wp:effectExtent l="25400" t="0" r="63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t="17100" b="13500"/>
                    <a:stretch>
                      <a:fillRect/>
                    </a:stretch>
                  </pic:blipFill>
                  <pic:spPr bwMode="auto">
                    <a:xfrm>
                      <a:off x="0" y="0"/>
                      <a:ext cx="5942965" cy="2565991"/>
                    </a:xfrm>
                    <a:prstGeom prst="rect">
                      <a:avLst/>
                    </a:prstGeom>
                    <a:noFill/>
                    <a:ln w="9525">
                      <a:noFill/>
                      <a:miter lim="800000"/>
                      <a:headEnd/>
                      <a:tailEnd/>
                    </a:ln>
                  </pic:spPr>
                </pic:pic>
              </a:graphicData>
            </a:graphic>
          </wp:inline>
        </w:drawing>
      </w:r>
    </w:p>
    <w:p w:rsidR="00894702" w:rsidRDefault="00923C9D" w:rsidP="00894702">
      <w:r>
        <w:rPr>
          <w:noProof/>
        </w:rPr>
        <w:pict>
          <v:shape id="_x0000_s1165" type="#_x0000_t67" style="position:absolute;margin-left:191.1pt;margin-top:1.25pt;width:33.9pt;height:31.7pt;z-index:251665920;mso-wrap-edited:f;mso-position-horizontal:absolute;mso-position-vertical:absolute" wrapcoords="3840 -514 3360 8228 -2400 15942 8160 21600 12480 21600 23520 15942 17760 8228 17280 -514 3840 -514" fillcolor="black [3213]" strokecolor="black [3213]" strokeweight="1.5pt">
            <v:fill o:detectmouseclick="t"/>
            <v:shadow opacity="22938f" mv:blur="38100f" offset="0,2pt"/>
            <v:textbox inset=",7.2pt,,7.2pt"/>
            <w10:wrap type="tight"/>
          </v:shape>
        </w:pict>
      </w:r>
    </w:p>
    <w:p w:rsidR="00894702" w:rsidRDefault="00894702" w:rsidP="00894702"/>
    <w:p w:rsidR="00894702" w:rsidRDefault="00894702" w:rsidP="00894702"/>
    <w:p w:rsidR="00894702" w:rsidRDefault="00894702" w:rsidP="00894702"/>
    <w:p w:rsidR="00894702" w:rsidRDefault="00894702" w:rsidP="00894702"/>
    <w:p w:rsidR="00894702" w:rsidRDefault="00894702" w:rsidP="00894702"/>
    <w:p w:rsidR="00894702" w:rsidRDefault="00923C9D" w:rsidP="00894702">
      <w:r>
        <w:rPr>
          <w:noProof/>
        </w:rPr>
        <w:pict>
          <v:shapetype id="_x0000_t63" coordsize="21600,21600" o:spt="63" adj="1350,25920" path="wr0,,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168" type="#_x0000_t63" style="position:absolute;margin-left:90pt;margin-top:155.55pt;width:107.25pt;height:35.25pt;z-index:251667968;mso-wrap-edited:f;mso-position-horizontal:absolute;mso-position-vertical:absolute" wrapcoords="7401 -459 5135 0 151 5055 -453 9191 -755 14246 -755 15165 1208 21140 1812 21600 3776 28493 3927 29872 6041 29872 9667 28493 20089 22978 22808 15625 22808 11948 22506 9651 21902 6893 21751 4595 16313 0 14047 -459 7401 -459" adj="4612,26471" filled="f" fillcolor="#3f80cd" strokecolor="#f60" strokeweight="2pt">
            <v:fill color2="#9bc1ff" o:detectmouseclick="t" focusposition="" focussize=",90" type="gradient">
              <o:fill v:ext="view" type="gradientUnscaled"/>
            </v:fill>
            <v:shadow on="t" opacity="22938f" mv:blur="38100f" offset="0,2pt"/>
            <v:textbox inset=",7.2pt,,7.2pt">
              <w:txbxContent>
                <w:p w:rsidR="00964962" w:rsidRPr="000C75A0" w:rsidRDefault="00964962">
                  <w:pPr>
                    <w:rPr>
                      <w:b/>
                      <w:sz w:val="16"/>
                    </w:rPr>
                  </w:pPr>
                  <w:r w:rsidRPr="000C75A0">
                    <w:rPr>
                      <w:b/>
                      <w:sz w:val="16"/>
                    </w:rPr>
                    <w:t>Audio Disclosure</w:t>
                  </w:r>
                </w:p>
              </w:txbxContent>
            </v:textbox>
          </v:shape>
        </w:pict>
      </w:r>
      <w:r w:rsidR="000C75A0" w:rsidRPr="000C75A0">
        <w:rPr>
          <w:noProof/>
        </w:rPr>
        <w:drawing>
          <wp:inline distT="0" distB="0" distL="0" distR="0">
            <wp:extent cx="5943600" cy="2633709"/>
            <wp:effectExtent l="2540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t="16200" b="12600"/>
                    <a:stretch>
                      <a:fillRect/>
                    </a:stretch>
                  </pic:blipFill>
                  <pic:spPr bwMode="auto">
                    <a:xfrm>
                      <a:off x="0" y="0"/>
                      <a:ext cx="5943600" cy="2633709"/>
                    </a:xfrm>
                    <a:prstGeom prst="rect">
                      <a:avLst/>
                    </a:prstGeom>
                    <a:noFill/>
                    <a:ln w="9525">
                      <a:noFill/>
                      <a:miter lim="800000"/>
                      <a:headEnd/>
                      <a:tailEnd/>
                    </a:ln>
                  </pic:spPr>
                </pic:pic>
              </a:graphicData>
            </a:graphic>
          </wp:inline>
        </w:drawing>
      </w:r>
      <w:r>
        <w:rPr>
          <w:noProof/>
        </w:rPr>
        <w:pict>
          <v:oval id="_x0000_s1166" style="position:absolute;margin-left:36pt;margin-top:191.55pt;width:71.25pt;height:17.25pt;z-index:251666944;mso-wrap-edited:f;mso-position-horizontal:absolute;mso-position-horizontal-relative:text;mso-position-vertical:absolute;mso-position-vertical-relative:text" wrapcoords="5700 -900 2400 900 -1500 8100 -1500 18000 1800 27000 4500 27900 17400 27900 20400 27000 23700 18000 23700 9000 18600 0 15600 -900 5700 -900" filled="f" fillcolor="#3f80cd" strokecolor="#f60" strokeweight="1.5pt">
            <v:fill color2="#9bc1ff" o:detectmouseclick="t" focusposition="" focussize=",90" type="gradient">
              <o:fill v:ext="view" type="gradientUnscaled"/>
            </v:fill>
            <v:shadow on="t" opacity="22938f" mv:blur="38100f" offset="0,2pt"/>
            <v:textbox inset=",7.2pt,,7.2pt"/>
          </v:oval>
        </w:pict>
      </w:r>
      <w:r>
        <w:rPr>
          <w:noProof/>
        </w:rPr>
        <w:pict>
          <v:oval id="_x0000_s1043" style="position:absolute;margin-left:234pt;margin-top:173.55pt;width:180pt;height:28.8pt;z-index:251658752;mso-wrap-edited:f;mso-position-horizontal:absolute;mso-position-horizontal-relative:text;mso-position-vertical:absolute;mso-position-vertical-relative:text" filled="f" fillcolor="#3f80cd" strokecolor="red" strokeweight="3pt">
            <v:fill color2="#9bc1ff" o:detectmouseclick="t" focusposition="" focussize=",90" type="gradient">
              <o:fill v:ext="view" type="gradientUnscaled"/>
            </v:fill>
            <v:shadow on="t" opacity="22938f" mv:blur="38100f" offset="0,2pt"/>
            <v:textbox inset=",7.2pt,,7.2pt"/>
          </v:oval>
        </w:pict>
      </w:r>
    </w:p>
    <w:p w:rsidR="00894702" w:rsidRDefault="00894702" w:rsidP="00894702"/>
    <w:p w:rsidR="00894702" w:rsidRDefault="00894702" w:rsidP="00894702"/>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894702" w:rsidRPr="00A66D8A" w:rsidRDefault="00894702" w:rsidP="00894702">
      <w:pPr>
        <w:rPr>
          <w:b/>
        </w:rPr>
      </w:pPr>
      <w:r>
        <w:rPr>
          <w:b/>
        </w:rPr>
        <w:t xml:space="preserve">Figure </w:t>
      </w:r>
      <w:r w:rsidR="000C75A0">
        <w:rPr>
          <w:b/>
        </w:rPr>
        <w:t>#</w:t>
      </w:r>
      <w:r w:rsidR="00740B6E">
        <w:rPr>
          <w:b/>
        </w:rPr>
        <w:t>4</w:t>
      </w:r>
      <w:r w:rsidRPr="00A66D8A">
        <w:rPr>
          <w:b/>
        </w:rPr>
        <w:t>: cognitively unloaded/ no ad-disclosure condition</w:t>
      </w:r>
    </w:p>
    <w:p w:rsidR="00894702" w:rsidRDefault="00894702" w:rsidP="00894702"/>
    <w:p w:rsidR="00894702" w:rsidRDefault="000C75A0" w:rsidP="00894702">
      <w:r w:rsidRPr="000C75A0">
        <w:rPr>
          <w:noProof/>
        </w:rPr>
        <w:drawing>
          <wp:inline distT="0" distB="0" distL="0" distR="0">
            <wp:extent cx="5605420" cy="2628900"/>
            <wp:effectExtent l="25400" t="0" r="798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l="2250" t="16200" r="3375" b="12600"/>
                    <a:stretch>
                      <a:fillRect/>
                    </a:stretch>
                  </pic:blipFill>
                  <pic:spPr bwMode="auto">
                    <a:xfrm>
                      <a:off x="0" y="0"/>
                      <a:ext cx="5605420" cy="2628900"/>
                    </a:xfrm>
                    <a:prstGeom prst="rect">
                      <a:avLst/>
                    </a:prstGeom>
                    <a:noFill/>
                    <a:ln w="9525">
                      <a:noFill/>
                      <a:miter lim="800000"/>
                      <a:headEnd/>
                      <a:tailEnd/>
                    </a:ln>
                  </pic:spPr>
                </pic:pic>
              </a:graphicData>
            </a:graphic>
          </wp:inline>
        </w:drawing>
      </w:r>
    </w:p>
    <w:p w:rsidR="00894702" w:rsidRDefault="00894702" w:rsidP="00894702"/>
    <w:p w:rsidR="00894702" w:rsidRDefault="00894702" w:rsidP="00894702"/>
    <w:p w:rsidR="00894702" w:rsidRDefault="00894702" w:rsidP="00894702">
      <w:pPr>
        <w:rPr>
          <w:b/>
        </w:rPr>
      </w:pPr>
      <w:r>
        <w:rPr>
          <w:b/>
        </w:rPr>
        <w:t xml:space="preserve">Figure </w:t>
      </w:r>
      <w:r w:rsidR="000C75A0">
        <w:rPr>
          <w:b/>
        </w:rPr>
        <w:t>#</w:t>
      </w:r>
      <w:r w:rsidR="00740B6E">
        <w:rPr>
          <w:b/>
        </w:rPr>
        <w:t>5</w:t>
      </w:r>
      <w:r>
        <w:rPr>
          <w:b/>
        </w:rPr>
        <w:t>: cognitively unloaded/ single modality ad-disclosure condition</w:t>
      </w:r>
    </w:p>
    <w:p w:rsidR="00894702" w:rsidRDefault="00894702" w:rsidP="00894702">
      <w:pPr>
        <w:rPr>
          <w:b/>
        </w:rPr>
      </w:pPr>
    </w:p>
    <w:p w:rsidR="00894702" w:rsidRDefault="00923C9D" w:rsidP="00894702">
      <w:pPr>
        <w:rPr>
          <w:b/>
        </w:rPr>
      </w:pPr>
      <w:r>
        <w:rPr>
          <w:b/>
          <w:noProof/>
        </w:rPr>
        <w:pict>
          <v:oval id="_x0000_s1044" style="position:absolute;margin-left:3in;margin-top:170.25pt;width:162pt;height:36pt;z-index:251659776;mso-wrap-edited:f;mso-position-horizontal:absolute;mso-position-vertical:absolute" filled="f" fillcolor="#3f80cd" strokecolor="red" strokeweight="3pt">
            <v:fill color2="#9bc1ff" o:detectmouseclick="t" focusposition="" focussize=",90" type="gradient">
              <o:fill v:ext="view" type="gradientUnscaled"/>
            </v:fill>
            <v:shadow on="t" opacity="22938f" mv:blur="38100f" offset="0,2pt"/>
            <v:textbox inset=",7.2pt,,7.2pt"/>
          </v:oval>
        </w:pict>
      </w:r>
      <w:r w:rsidR="000C75A0" w:rsidRPr="000C75A0">
        <w:rPr>
          <w:b/>
          <w:noProof/>
        </w:rPr>
        <w:drawing>
          <wp:inline distT="0" distB="0" distL="0" distR="0">
            <wp:extent cx="5605391" cy="2633133"/>
            <wp:effectExtent l="25400" t="0" r="8009"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2813" t="16200" r="2813" b="12600"/>
                    <a:stretch>
                      <a:fillRect/>
                    </a:stretch>
                  </pic:blipFill>
                  <pic:spPr bwMode="auto">
                    <a:xfrm>
                      <a:off x="0" y="0"/>
                      <a:ext cx="5605391" cy="2633133"/>
                    </a:xfrm>
                    <a:prstGeom prst="rect">
                      <a:avLst/>
                    </a:prstGeom>
                    <a:noFill/>
                    <a:ln w="9525">
                      <a:noFill/>
                      <a:miter lim="800000"/>
                      <a:headEnd/>
                      <a:tailEnd/>
                    </a:ln>
                  </pic:spPr>
                </pic:pic>
              </a:graphicData>
            </a:graphic>
          </wp:inline>
        </w:drawing>
      </w:r>
    </w:p>
    <w:p w:rsidR="00894702" w:rsidRDefault="00894702" w:rsidP="00894702">
      <w:pPr>
        <w:rPr>
          <w:b/>
        </w:rPr>
      </w:pPr>
    </w:p>
    <w:p w:rsidR="00894702" w:rsidRDefault="00894702" w:rsidP="00894702">
      <w:pPr>
        <w:rPr>
          <w:b/>
        </w:rPr>
      </w:pPr>
    </w:p>
    <w:p w:rsidR="00894702" w:rsidRDefault="00894702"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0C75A0" w:rsidRDefault="000C75A0" w:rsidP="00894702">
      <w:pPr>
        <w:rPr>
          <w:b/>
        </w:rPr>
      </w:pPr>
    </w:p>
    <w:p w:rsidR="00894702" w:rsidRDefault="00894702" w:rsidP="00894702">
      <w:pPr>
        <w:rPr>
          <w:b/>
        </w:rPr>
      </w:pPr>
      <w:r>
        <w:rPr>
          <w:b/>
        </w:rPr>
        <w:t xml:space="preserve">Figure </w:t>
      </w:r>
      <w:r w:rsidR="000C75A0">
        <w:rPr>
          <w:b/>
        </w:rPr>
        <w:t>#</w:t>
      </w:r>
      <w:r w:rsidR="00740B6E">
        <w:rPr>
          <w:b/>
        </w:rPr>
        <w:t>6</w:t>
      </w:r>
      <w:r>
        <w:rPr>
          <w:b/>
        </w:rPr>
        <w:t>: cognitively unloaded/ dual modality ad-disclosure condition</w:t>
      </w:r>
    </w:p>
    <w:p w:rsidR="00894702" w:rsidRDefault="00894702" w:rsidP="00894702">
      <w:pPr>
        <w:rPr>
          <w:b/>
        </w:rPr>
      </w:pPr>
    </w:p>
    <w:p w:rsidR="00894702" w:rsidRPr="00A66D8A" w:rsidRDefault="00923C9D" w:rsidP="00894702">
      <w:pPr>
        <w:rPr>
          <w:b/>
        </w:rPr>
      </w:pPr>
      <w:r>
        <w:rPr>
          <w:b/>
          <w:noProof/>
        </w:rPr>
        <w:pict>
          <v:oval id="_x0000_s1174" style="position:absolute;margin-left:236.5pt;margin-top:171.2pt;width:178.25pt;height:36pt;z-index:251671040;mso-wrap-edited:f;mso-position-horizontal:absolute;mso-position-vertical:absolute" wrapcoords="7532 -900 5263 -450 363 4050 181 6300 -181 8100 -544 11700 -544 14850 726 20250 1270 21600 5536 25200 6443 25200 15247 25200 16154 25200 20420 21600 21055 20250 22326 14850 22326 11250 21872 8100 21327 6300 21146 4050 16245 -450 13976 -900 7532 -900" filled="f" fillcolor="#3f80cd" strokecolor="red" strokeweight="3pt">
            <v:fill color2="#9bc1ff" o:detectmouseclick="t" focusposition="" focussize=",90" type="gradient">
              <o:fill v:ext="view" type="gradientUnscaled"/>
            </v:fill>
            <v:shadow on="t" opacity="22938f" mv:blur="38100f" offset="0,2pt"/>
            <v:textbox inset=",7.2pt,,7.2pt"/>
          </v:oval>
        </w:pict>
      </w:r>
      <w:r>
        <w:rPr>
          <w:b/>
          <w:noProof/>
        </w:rPr>
        <w:pict>
          <v:shape id="_x0000_s1169" type="#_x0000_t63" style="position:absolute;margin-left:1in;margin-top:2in;width:107.25pt;height:35.25pt;z-index:251668992;mso-wrap-edited:f;mso-position-horizontal:absolute;mso-position-vertical:absolute" wrapcoords="7401 -459 5135 0 151 5055 -453 9191 -755 14246 -755 15165 1208 21140 1812 21600 3776 28493 3927 29872 6041 29872 9667 28493 20089 22978 22808 15625 22808 11948 22506 9651 21902 6893 21751 4595 16313 0 14047 -459 7401 -459" adj="4612,26471" filled="f" fillcolor="#3f80cd" strokecolor="#f60" strokeweight="2pt">
            <v:fill color2="#9bc1ff" o:detectmouseclick="t" focusposition="" focussize=",90" type="gradient">
              <o:fill v:ext="view" type="gradientUnscaled"/>
            </v:fill>
            <v:shadow on="t" opacity="22938f" mv:blur="38100f" offset="0,2pt"/>
            <v:textbox inset=",7.2pt,,7.2pt">
              <w:txbxContent>
                <w:p w:rsidR="00964962" w:rsidRPr="000C75A0" w:rsidRDefault="00964962" w:rsidP="000C75A0">
                  <w:pPr>
                    <w:rPr>
                      <w:b/>
                      <w:sz w:val="16"/>
                    </w:rPr>
                  </w:pPr>
                  <w:r w:rsidRPr="000C75A0">
                    <w:rPr>
                      <w:b/>
                      <w:sz w:val="16"/>
                    </w:rPr>
                    <w:t>Audio Disclosure</w:t>
                  </w:r>
                </w:p>
              </w:txbxContent>
            </v:textbox>
          </v:shape>
        </w:pict>
      </w:r>
      <w:r>
        <w:rPr>
          <w:b/>
          <w:noProof/>
        </w:rPr>
        <w:pict>
          <v:oval id="_x0000_s1170" style="position:absolute;margin-left:36pt;margin-top:189.95pt;width:71.25pt;height:17.25pt;z-index:251670016;mso-wrap-edited:f;mso-position-horizontal:absolute;mso-position-vertical:absolute" wrapcoords="5700 -900 2400 900 -1500 8100 -1500 18000 1800 27000 4500 27900 17400 27900 20400 27000 23700 18000 23700 9000 18600 0 15600 -900 5700 -900" filled="f" fillcolor="#3f80cd" strokecolor="#f60" strokeweight="1.5pt">
            <v:fill color2="#9bc1ff" o:detectmouseclick="t" focusposition="" focussize=",90" type="gradient">
              <o:fill v:ext="view" type="gradientUnscaled"/>
            </v:fill>
            <v:shadow on="t" opacity="22938f" mv:blur="38100f" offset="0,2pt"/>
            <v:textbox inset=",7.2pt,,7.2pt"/>
          </v:oval>
        </w:pict>
      </w:r>
      <w:r w:rsidR="000C75A0" w:rsidRPr="000C75A0">
        <w:rPr>
          <w:b/>
          <w:noProof/>
        </w:rPr>
        <w:drawing>
          <wp:inline distT="0" distB="0" distL="0" distR="0">
            <wp:extent cx="5943600" cy="2633709"/>
            <wp:effectExtent l="2540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t="16200" b="12600"/>
                    <a:stretch>
                      <a:fillRect/>
                    </a:stretch>
                  </pic:blipFill>
                  <pic:spPr bwMode="auto">
                    <a:xfrm>
                      <a:off x="0" y="0"/>
                      <a:ext cx="5943600" cy="2633709"/>
                    </a:xfrm>
                    <a:prstGeom prst="rect">
                      <a:avLst/>
                    </a:prstGeom>
                    <a:noFill/>
                    <a:ln w="9525">
                      <a:noFill/>
                      <a:miter lim="800000"/>
                      <a:headEnd/>
                      <a:tailEnd/>
                    </a:ln>
                  </pic:spPr>
                </pic:pic>
              </a:graphicData>
            </a:graphic>
          </wp:inline>
        </w:drawing>
      </w:r>
    </w:p>
    <w:p w:rsidR="00894702" w:rsidRDefault="00894702" w:rsidP="00894702">
      <w:pPr>
        <w:pStyle w:val="NormalWeb"/>
        <w:spacing w:before="0" w:beforeAutospacing="0" w:after="0" w:afterAutospacing="0" w:line="480" w:lineRule="auto"/>
      </w:pPr>
    </w:p>
    <w:p w:rsidR="00E441B1" w:rsidRPr="00E61861" w:rsidRDefault="007D4E07" w:rsidP="00E441B1">
      <w:pPr>
        <w:pStyle w:val="NormalWeb"/>
        <w:spacing w:before="0" w:beforeAutospacing="0" w:after="0" w:afterAutospacing="0" w:line="480" w:lineRule="auto"/>
        <w:rPr>
          <w:rStyle w:val="Strong"/>
        </w:rPr>
      </w:pPr>
      <w:r w:rsidRPr="00E014B7">
        <w:rPr>
          <w:rStyle w:val="Strong"/>
          <w:b w:val="0"/>
          <w:szCs w:val="20"/>
        </w:rPr>
        <w:tab/>
      </w:r>
    </w:p>
    <w:p w:rsidR="00CD6641" w:rsidRDefault="007D3008" w:rsidP="00E014B7">
      <w:pPr>
        <w:spacing w:line="480" w:lineRule="auto"/>
      </w:pPr>
      <w:r>
        <w:t>Kincaid Grade Level score, which indicated a suitable reading level for children between the ages of 7-11. The dual m</w:t>
      </w:r>
      <w:r w:rsidRPr="00114178">
        <w:t>odality</w:t>
      </w:r>
      <w:r>
        <w:t xml:space="preserve"> (print and audio) ad-d</w:t>
      </w:r>
      <w:r w:rsidRPr="00114178">
        <w:t xml:space="preserve">isclosure </w:t>
      </w:r>
      <w:r>
        <w:t xml:space="preserve">had </w:t>
      </w:r>
      <w:r w:rsidRPr="00114178">
        <w:t>an audio clip simul</w:t>
      </w:r>
      <w:r>
        <w:t xml:space="preserve">taneously </w:t>
      </w:r>
      <w:r w:rsidR="004D7039">
        <w:t>restating what appeared</w:t>
      </w:r>
      <w:r w:rsidR="004D7039" w:rsidRPr="00114178">
        <w:t xml:space="preserve"> in the text crawl</w:t>
      </w:r>
      <w:r w:rsidR="00BA03F5">
        <w:t xml:space="preserve">. Once the parent linked to the </w:t>
      </w:r>
      <w:r w:rsidR="00BA03F5" w:rsidRPr="00114178">
        <w:t>Pop-Tarts</w:t>
      </w:r>
      <w:r w:rsidR="00BA03F5" w:rsidRPr="00114178">
        <w:rPr>
          <w:rFonts w:cs="Times-Roman"/>
        </w:rPr>
        <w:sym w:font="Symbol" w:char="F0D2"/>
      </w:r>
      <w:r w:rsidR="00BA03F5">
        <w:t xml:space="preserve"> Toasty Turvy advergame Web site, t</w:t>
      </w:r>
      <w:r w:rsidR="004D7039">
        <w:t xml:space="preserve">he audio clip </w:t>
      </w:r>
      <w:r w:rsidR="00BA03F5">
        <w:t>began after four seconds and repeated e</w:t>
      </w:r>
      <w:r>
        <w:t>very 1</w:t>
      </w:r>
      <w:r w:rsidR="00BA03F5">
        <w:t xml:space="preserve">0 seconds until the participant </w:t>
      </w:r>
      <w:r>
        <w:t>was directed to the questionnaire</w:t>
      </w:r>
      <w:r w:rsidR="00BA03F5">
        <w:t xml:space="preserve">. </w:t>
      </w:r>
      <w:r w:rsidR="00CD6641">
        <w:t>This ensures that parents in the advertising dual-modality disclosure condition will have the opportunity t</w:t>
      </w:r>
      <w:r>
        <w:t>o hear the audio disclosure 18</w:t>
      </w:r>
      <w:r w:rsidR="00CD6641">
        <w:t xml:space="preserve"> times. </w:t>
      </w:r>
    </w:p>
    <w:p w:rsidR="00894702" w:rsidRDefault="00CD6641" w:rsidP="00E014B7">
      <w:pPr>
        <w:spacing w:line="480" w:lineRule="auto"/>
      </w:pPr>
      <w:r>
        <w:tab/>
      </w:r>
      <w:r w:rsidR="004D7039">
        <w:t>The disclosure</w:t>
      </w:r>
      <w:r w:rsidR="00BA03F5">
        <w:t>s were</w:t>
      </w:r>
      <w:r w:rsidR="00E014B7">
        <w:t xml:space="preserve"> created in the form of an ove</w:t>
      </w:r>
      <w:r w:rsidR="00BA03F5">
        <w:t>rlay, which was</w:t>
      </w:r>
      <w:r w:rsidR="00E014B7">
        <w:t xml:space="preserve"> </w:t>
      </w:r>
      <w:r w:rsidR="00E014B7" w:rsidRPr="00114178">
        <w:t>separate from the Pop-Tarts</w:t>
      </w:r>
      <w:r w:rsidR="00E014B7" w:rsidRPr="00114178">
        <w:rPr>
          <w:rFonts w:cs="Times-Roman"/>
        </w:rPr>
        <w:sym w:font="Symbol" w:char="F0D2"/>
      </w:r>
      <w:r w:rsidR="00E014B7" w:rsidRPr="00114178">
        <w:t xml:space="preserve"> advergame found on the w</w:t>
      </w:r>
      <w:r w:rsidR="00BA03F5">
        <w:t>ebsite. This HTML environment was</w:t>
      </w:r>
      <w:r w:rsidR="00E014B7" w:rsidRPr="00114178">
        <w:t xml:space="preserve"> created as separate from the Pop-Tarts</w:t>
      </w:r>
      <w:r w:rsidR="00E014B7" w:rsidRPr="00114178">
        <w:rPr>
          <w:rFonts w:cs="Times-Roman"/>
        </w:rPr>
        <w:sym w:font="Symbol" w:char="F0D2"/>
      </w:r>
      <w:r w:rsidR="00E014B7" w:rsidRPr="00114178">
        <w:t xml:space="preserve"> advergame to avoid any conflicting tradem</w:t>
      </w:r>
      <w:r w:rsidR="00E014B7">
        <w:t xml:space="preserve">ark or copyright statutes. </w:t>
      </w:r>
      <w:r w:rsidR="00BA03F5">
        <w:t xml:space="preserve">Prior to linking to the </w:t>
      </w:r>
      <w:r w:rsidR="00BA03F5" w:rsidRPr="00114178">
        <w:t>Pop-Tarts</w:t>
      </w:r>
      <w:r w:rsidR="00BA03F5" w:rsidRPr="00114178">
        <w:rPr>
          <w:rFonts w:cs="Times-Roman"/>
        </w:rPr>
        <w:sym w:font="Symbol" w:char="F0D2"/>
      </w:r>
      <w:r w:rsidR="00BA03F5">
        <w:t xml:space="preserve"> Toasty Turvy advergame Web site</w:t>
      </w:r>
      <w:r w:rsidR="00E014B7">
        <w:t xml:space="preserve"> </w:t>
      </w:r>
      <w:r w:rsidR="00BA03F5">
        <w:t xml:space="preserve">parents were </w:t>
      </w:r>
      <w:r w:rsidR="00E014B7">
        <w:t xml:space="preserve">instructed to keep their </w:t>
      </w:r>
      <w:r w:rsidR="00BA03F5">
        <w:t xml:space="preserve">computer </w:t>
      </w:r>
      <w:r w:rsidR="00E014B7">
        <w:t>volume o</w:t>
      </w:r>
      <w:r w:rsidR="00E014B7" w:rsidRPr="00114178">
        <w:t xml:space="preserve">n </w:t>
      </w:r>
      <w:r w:rsidR="00E014B7">
        <w:t xml:space="preserve">in </w:t>
      </w:r>
      <w:r w:rsidR="00E014B7" w:rsidRPr="00114178">
        <w:t>order to ensure the successful induction of this particul</w:t>
      </w:r>
      <w:r w:rsidR="00E014B7">
        <w:t xml:space="preserve">ar experimental treatment. </w:t>
      </w:r>
    </w:p>
    <w:p w:rsidR="00894702" w:rsidRDefault="00894702" w:rsidP="00894702">
      <w:pPr>
        <w:spacing w:line="480" w:lineRule="auto"/>
        <w:rPr>
          <w:i/>
        </w:rPr>
      </w:pPr>
      <w:r>
        <w:rPr>
          <w:i/>
        </w:rPr>
        <w:t>Advertising Disclosures Induction Check</w:t>
      </w:r>
    </w:p>
    <w:p w:rsidR="00B422AD" w:rsidRDefault="00894702" w:rsidP="00E014B7">
      <w:pPr>
        <w:spacing w:line="480" w:lineRule="auto"/>
      </w:pPr>
      <w:r>
        <w:tab/>
      </w:r>
      <w:r w:rsidRPr="005A037E">
        <w:t xml:space="preserve">Participants </w:t>
      </w:r>
      <w:r w:rsidR="00B422AD">
        <w:t>were</w:t>
      </w:r>
      <w:r w:rsidRPr="005A037E">
        <w:t xml:space="preserve"> asked the question, “</w:t>
      </w:r>
      <w:r w:rsidR="00B422AD" w:rsidRPr="00652C9E">
        <w:rPr>
          <w:color w:val="000000"/>
          <w:szCs w:val="20"/>
        </w:rPr>
        <w:t>Did the pop tarts game explicitly tell you that it was advertising</w:t>
      </w:r>
      <w:r w:rsidRPr="005A037E">
        <w:t xml:space="preserve">?” </w:t>
      </w:r>
      <w:r w:rsidR="00B422AD">
        <w:t xml:space="preserve">When participants answered yes, an open-ended question then asked, “How did it tell you?”. </w:t>
      </w:r>
    </w:p>
    <w:p w:rsidR="00E014B7" w:rsidRPr="004E4727" w:rsidRDefault="00E014B7" w:rsidP="00E014B7">
      <w:pPr>
        <w:spacing w:line="480" w:lineRule="auto"/>
        <w:rPr>
          <w:i/>
          <w:iCs/>
        </w:rPr>
      </w:pPr>
      <w:r>
        <w:rPr>
          <w:i/>
          <w:iCs/>
        </w:rPr>
        <w:t xml:space="preserve">Cognitive </w:t>
      </w:r>
      <w:r w:rsidR="00BA03F5">
        <w:rPr>
          <w:i/>
          <w:iCs/>
        </w:rPr>
        <w:t>Load</w:t>
      </w:r>
    </w:p>
    <w:p w:rsidR="005E68ED" w:rsidRDefault="00E014B7" w:rsidP="00514E6A">
      <w:pPr>
        <w:spacing w:line="480" w:lineRule="auto"/>
      </w:pPr>
      <w:r>
        <w:tab/>
        <w:t xml:space="preserve">Parents </w:t>
      </w:r>
      <w:r w:rsidR="00BA03F5">
        <w:t>who received the cognitive load treatment were</w:t>
      </w:r>
      <w:r w:rsidRPr="00DF27F3">
        <w:t xml:space="preserve"> assig</w:t>
      </w:r>
      <w:r w:rsidR="00BA03F5">
        <w:t xml:space="preserve">ned the task of remembering and later recalling a </w:t>
      </w:r>
      <w:r w:rsidR="00514E6A">
        <w:t xml:space="preserve">randomly generated </w:t>
      </w:r>
      <w:r w:rsidR="00BA03F5">
        <w:t>13-digit number</w:t>
      </w:r>
      <w:r w:rsidR="00514E6A">
        <w:t xml:space="preserve"> sequence (5746983219412)</w:t>
      </w:r>
      <w:r w:rsidR="00894702">
        <w:t>. This number</w:t>
      </w:r>
      <w:r w:rsidRPr="00DF27F3">
        <w:t xml:space="preserve"> appear</w:t>
      </w:r>
      <w:r w:rsidR="00894702">
        <w:t>ed</w:t>
      </w:r>
      <w:r w:rsidRPr="00DF27F3">
        <w:t xml:space="preserve"> on a </w:t>
      </w:r>
      <w:r w:rsidR="00894702">
        <w:t>blue screen for 60</w:t>
      </w:r>
      <w:r w:rsidRPr="00DF27F3">
        <w:t xml:space="preserve"> seconds after clic</w:t>
      </w:r>
      <w:r>
        <w:t>king on their randomly assigned</w:t>
      </w:r>
      <w:r w:rsidR="00514E6A">
        <w:t xml:space="preserve"> URL (c.f. </w:t>
      </w:r>
      <w:r w:rsidR="005E68ED">
        <w:t>Rienhard &amp; Sporer, 2008)</w:t>
      </w:r>
      <w:r w:rsidR="00514E6A">
        <w:t>. The cognitive load treatment</w:t>
      </w:r>
      <w:r w:rsidRPr="00DF27F3">
        <w:t xml:space="preserve"> </w:t>
      </w:r>
      <w:r w:rsidR="00514E6A" w:rsidRPr="00DF27F3">
        <w:t>occur</w:t>
      </w:r>
      <w:r w:rsidR="00514E6A">
        <w:t>red</w:t>
      </w:r>
      <w:r w:rsidRPr="00DF27F3">
        <w:t xml:space="preserve"> before participants</w:t>
      </w:r>
      <w:r w:rsidR="00514E6A">
        <w:t xml:space="preserve"> were routed to the </w:t>
      </w:r>
      <w:r w:rsidR="00514E6A" w:rsidRPr="00114178">
        <w:t>Pop-Tarts</w:t>
      </w:r>
      <w:r w:rsidR="00514E6A" w:rsidRPr="00114178">
        <w:rPr>
          <w:rFonts w:cs="Times-Roman"/>
        </w:rPr>
        <w:sym w:font="Symbol" w:char="F0D2"/>
      </w:r>
      <w:r w:rsidR="00514E6A">
        <w:t xml:space="preserve"> Toasty Turvy advergame Web site</w:t>
      </w:r>
      <w:r w:rsidRPr="00DF27F3">
        <w:t xml:space="preserve">. As indicated </w:t>
      </w:r>
      <w:r>
        <w:t>by the</w:t>
      </w:r>
      <w:r w:rsidRPr="00DF27F3">
        <w:t xml:space="preserve"> directions</w:t>
      </w:r>
      <w:r>
        <w:t xml:space="preserve"> on the blue screen</w:t>
      </w:r>
      <w:r w:rsidR="00CD6641">
        <w:t xml:space="preserve"> </w:t>
      </w:r>
      <w:r w:rsidRPr="00DF27F3">
        <w:t>parti</w:t>
      </w:r>
      <w:r w:rsidR="00514E6A">
        <w:t>cipants were told to remember the number sequence, they were instructed to not write the number sequence down</w:t>
      </w:r>
      <w:r>
        <w:t xml:space="preserve"> numbers</w:t>
      </w:r>
      <w:r w:rsidR="00CD6641">
        <w:t>,</w:t>
      </w:r>
      <w:r w:rsidR="00514E6A">
        <w:t xml:space="preserve"> and were informed that they would be asked to recall the number sequence after playing a game</w:t>
      </w:r>
      <w:r w:rsidRPr="00DF27F3">
        <w:t xml:space="preserve">. </w:t>
      </w:r>
    </w:p>
    <w:p w:rsidR="005E68ED" w:rsidRDefault="00541C49" w:rsidP="00514E6A">
      <w:pPr>
        <w:spacing w:line="480" w:lineRule="auto"/>
        <w:rPr>
          <w:b/>
        </w:rPr>
      </w:pPr>
      <w:r>
        <w:rPr>
          <w:b/>
        </w:rPr>
        <w:t>Measure</w:t>
      </w:r>
      <w:r w:rsidR="00514E6A">
        <w:rPr>
          <w:b/>
        </w:rPr>
        <w:t>s</w:t>
      </w:r>
    </w:p>
    <w:p w:rsidR="005E68ED" w:rsidRDefault="005E68ED" w:rsidP="00514E6A">
      <w:pPr>
        <w:spacing w:line="480" w:lineRule="auto"/>
        <w:rPr>
          <w:i/>
        </w:rPr>
      </w:pPr>
      <w:r>
        <w:rPr>
          <w:i/>
        </w:rPr>
        <w:t>Cognitive Load</w:t>
      </w:r>
    </w:p>
    <w:p w:rsidR="00A667B7" w:rsidRDefault="005E68ED" w:rsidP="00A667B7">
      <w:pPr>
        <w:widowControl w:val="0"/>
        <w:autoSpaceDE w:val="0"/>
        <w:autoSpaceDN w:val="0"/>
        <w:adjustRightInd w:val="0"/>
        <w:spacing w:line="480" w:lineRule="auto"/>
        <w:rPr>
          <w:rFonts w:cs="AdvPS6F00"/>
          <w:szCs w:val="20"/>
        </w:rPr>
      </w:pPr>
      <w:r>
        <w:rPr>
          <w:i/>
        </w:rPr>
        <w:tab/>
      </w:r>
      <w:r w:rsidRPr="005E68ED">
        <w:t xml:space="preserve">Based on </w:t>
      </w:r>
      <w:r w:rsidRPr="005E68ED">
        <w:rPr>
          <w:rFonts w:cs="Times-Roman"/>
          <w:szCs w:val="20"/>
        </w:rPr>
        <w:t>Paas and van Merriënboer’s (1993)</w:t>
      </w:r>
      <w:r>
        <w:rPr>
          <w:rFonts w:cs="Times-Roman"/>
          <w:szCs w:val="20"/>
        </w:rPr>
        <w:t xml:space="preserve"> computational measurement of mental efficiency, a</w:t>
      </w:r>
      <w:r w:rsidRPr="005E68ED">
        <w:rPr>
          <w:rFonts w:cs="Times-Roman"/>
          <w:szCs w:val="20"/>
        </w:rPr>
        <w:t xml:space="preserve"> </w:t>
      </w:r>
      <w:r w:rsidRPr="005E68ED">
        <w:t xml:space="preserve">multidimensional construct of cognitive load was created by combining measures of perceived </w:t>
      </w:r>
      <w:r>
        <w:t>mental effort and task recall performance. Perceived mental effort was measured by asking participants “</w:t>
      </w:r>
      <w:r w:rsidRPr="00652C9E">
        <w:rPr>
          <w:color w:val="000000"/>
        </w:rPr>
        <w:t>When you were playing, how hard were you concentrating on remembering the number sequence?</w:t>
      </w:r>
      <w:r>
        <w:rPr>
          <w:color w:val="000000"/>
        </w:rPr>
        <w:t>”, “</w:t>
      </w:r>
      <w:r w:rsidRPr="00652C9E">
        <w:rPr>
          <w:rFonts w:cs="AdvPS6F00"/>
          <w:szCs w:val="20"/>
        </w:rPr>
        <w:t>How difficult was it to remember the number sequence?</w:t>
      </w:r>
      <w:r>
        <w:rPr>
          <w:rFonts w:cs="AdvPS6F00"/>
          <w:szCs w:val="20"/>
        </w:rPr>
        <w:t xml:space="preserve">”, and “How difficult was it to recall the number sequence?”. These questions were measured on a seven-point likert rating scale ranging from not at all to very. </w:t>
      </w:r>
      <w:r w:rsidR="006E7730">
        <w:rPr>
          <w:rFonts w:cs="AdvPS6F00"/>
          <w:szCs w:val="20"/>
        </w:rPr>
        <w:t xml:space="preserve">Standard deviation transformations were performed for each of the three perceived mental effort measures. </w:t>
      </w:r>
      <w:r>
        <w:rPr>
          <w:rFonts w:cs="AdvPS6F00"/>
          <w:szCs w:val="20"/>
        </w:rPr>
        <w:t xml:space="preserve">Task recall performance was measured by asking the participant to recall the number sequence. A percentage correct was computed by dividing the number of digits correctly recalled in sequence by the total number of digits. </w:t>
      </w:r>
      <w:r>
        <w:rPr>
          <w:rFonts w:cs="AdvPS6F00"/>
          <w:szCs w:val="20"/>
        </w:rPr>
        <w:tab/>
      </w:r>
    </w:p>
    <w:p w:rsidR="00A667B7" w:rsidRDefault="00A667B7" w:rsidP="005E68ED">
      <w:pPr>
        <w:widowControl w:val="0"/>
        <w:autoSpaceDE w:val="0"/>
        <w:autoSpaceDN w:val="0"/>
        <w:adjustRightInd w:val="0"/>
        <w:spacing w:line="480" w:lineRule="auto"/>
        <w:rPr>
          <w:rFonts w:cs="AdvPS6F00"/>
          <w:szCs w:val="20"/>
        </w:rPr>
      </w:pPr>
      <w:r>
        <w:rPr>
          <w:rFonts w:cs="AdvPS6F00"/>
          <w:szCs w:val="20"/>
        </w:rPr>
        <w:tab/>
      </w:r>
      <w:r w:rsidR="005E68ED">
        <w:rPr>
          <w:rFonts w:cs="AdvPS6F00"/>
          <w:szCs w:val="20"/>
        </w:rPr>
        <w:t xml:space="preserve">According to </w:t>
      </w:r>
      <w:r w:rsidR="005E68ED" w:rsidRPr="005E68ED">
        <w:rPr>
          <w:rFonts w:cs="Times-Roman"/>
          <w:szCs w:val="20"/>
        </w:rPr>
        <w:t>Paas and van Merriënboer’s (1993)</w:t>
      </w:r>
      <w:r w:rsidR="005E68ED">
        <w:rPr>
          <w:rFonts w:cs="Times-Roman"/>
          <w:szCs w:val="20"/>
        </w:rPr>
        <w:t xml:space="preserve"> computational approach, scores for perceived metal effort and task recall </w:t>
      </w:r>
      <w:r w:rsidR="00A214DB">
        <w:rPr>
          <w:rFonts w:cs="Times-Roman"/>
          <w:szCs w:val="20"/>
        </w:rPr>
        <w:t>performance were</w:t>
      </w:r>
      <w:r w:rsidR="005E68ED">
        <w:rPr>
          <w:rFonts w:cs="Times-Roman"/>
          <w:szCs w:val="20"/>
        </w:rPr>
        <w:t xml:space="preserve"> standardized</w:t>
      </w:r>
      <w:r w:rsidR="00A41A49">
        <w:rPr>
          <w:rFonts w:cs="Times-Roman"/>
          <w:szCs w:val="20"/>
        </w:rPr>
        <w:t>.</w:t>
      </w:r>
      <w:r w:rsidR="00A214DB">
        <w:rPr>
          <w:rFonts w:cs="Times-Roman"/>
          <w:szCs w:val="20"/>
        </w:rPr>
        <w:t xml:space="preserve"> Z scores for each measure were produced </w:t>
      </w:r>
      <w:r w:rsidR="00740B6E">
        <w:rPr>
          <w:rFonts w:cs="Times-Roman"/>
          <w:szCs w:val="20"/>
        </w:rPr>
        <w:t>having potential range from -3 to +3</w:t>
      </w:r>
      <w:r w:rsidR="00A214DB">
        <w:rPr>
          <w:rFonts w:cs="Times-Roman"/>
          <w:szCs w:val="20"/>
        </w:rPr>
        <w:t xml:space="preserve">. Highlighted </w:t>
      </w:r>
      <w:r w:rsidR="007E3C1F">
        <w:rPr>
          <w:rFonts w:cs="Times-Roman"/>
          <w:szCs w:val="20"/>
        </w:rPr>
        <w:t>below</w:t>
      </w:r>
      <w:r w:rsidR="00740B6E">
        <w:rPr>
          <w:rFonts w:cs="Times-Roman"/>
          <w:szCs w:val="20"/>
        </w:rPr>
        <w:t xml:space="preserve"> in figure 7</w:t>
      </w:r>
      <w:r w:rsidR="00A214DB">
        <w:rPr>
          <w:rFonts w:cs="Times-Roman"/>
          <w:szCs w:val="20"/>
        </w:rPr>
        <w:t xml:space="preserve">, is </w:t>
      </w:r>
      <w:r w:rsidR="00A214DB" w:rsidRPr="005E68ED">
        <w:rPr>
          <w:rFonts w:cs="Times-Roman"/>
          <w:szCs w:val="20"/>
        </w:rPr>
        <w:t>Paas and van Merriënboer’s (1993)</w:t>
      </w:r>
      <w:r w:rsidR="00A214DB">
        <w:rPr>
          <w:rFonts w:cs="Times-Roman"/>
          <w:szCs w:val="20"/>
        </w:rPr>
        <w:t xml:space="preserve"> computational approach, where mental efficiency (E), is the sum of performance (P) minus mental effort (ME), divided by the square root of 2.</w:t>
      </w:r>
      <w:r w:rsidR="005E68ED">
        <w:rPr>
          <w:rFonts w:cs="AdvPS6F00"/>
          <w:szCs w:val="20"/>
        </w:rPr>
        <w:t xml:space="preserve"> </w:t>
      </w:r>
      <w:r w:rsidR="00740B6E">
        <w:rPr>
          <w:rFonts w:cs="AdvPS6F00"/>
          <w:szCs w:val="20"/>
        </w:rPr>
        <w:t xml:space="preserve">Figure 8 displays the computational inverse of mental efficiency, which is operationalized as cognitive load. </w:t>
      </w:r>
    </w:p>
    <w:p w:rsidR="007E3C1F" w:rsidRPr="006E7730" w:rsidRDefault="007E3C1F" w:rsidP="007E3C1F">
      <w:pPr>
        <w:widowControl w:val="0"/>
        <w:autoSpaceDE w:val="0"/>
        <w:autoSpaceDN w:val="0"/>
        <w:adjustRightInd w:val="0"/>
        <w:spacing w:line="480" w:lineRule="auto"/>
        <w:rPr>
          <w:rFonts w:cs="Times-Roman"/>
          <w:b/>
          <w:szCs w:val="20"/>
        </w:rPr>
      </w:pPr>
      <w:r w:rsidRPr="00A214DB">
        <w:rPr>
          <w:rFonts w:cs="AdvPS6F00"/>
          <w:b/>
          <w:szCs w:val="20"/>
        </w:rPr>
        <w:t xml:space="preserve">Figure </w:t>
      </w:r>
      <w:r w:rsidR="007D3008">
        <w:rPr>
          <w:rFonts w:cs="AdvPS6F00"/>
          <w:b/>
          <w:szCs w:val="20"/>
        </w:rPr>
        <w:t>#</w:t>
      </w:r>
      <w:r w:rsidR="00740B6E">
        <w:rPr>
          <w:rFonts w:cs="AdvPS6F00"/>
          <w:b/>
          <w:szCs w:val="20"/>
        </w:rPr>
        <w:t>7</w:t>
      </w:r>
      <w:r w:rsidRPr="00A214DB">
        <w:rPr>
          <w:rFonts w:cs="AdvPS6F00"/>
          <w:b/>
          <w:szCs w:val="20"/>
        </w:rPr>
        <w:t xml:space="preserve">: </w:t>
      </w:r>
      <w:r w:rsidRPr="00A214DB">
        <w:rPr>
          <w:rFonts w:cs="Times-Roman"/>
          <w:b/>
          <w:szCs w:val="20"/>
        </w:rPr>
        <w:t xml:space="preserve">Paas and van Merriënboer’s computational approach for mental efficiency </w:t>
      </w:r>
    </w:p>
    <w:p w:rsidR="00740B6E" w:rsidRDefault="007E3C1F" w:rsidP="007E3C1F">
      <w:pPr>
        <w:widowControl w:val="0"/>
        <w:autoSpaceDE w:val="0"/>
        <w:autoSpaceDN w:val="0"/>
        <w:adjustRightInd w:val="0"/>
        <w:spacing w:line="480" w:lineRule="auto"/>
        <w:rPr>
          <w:rFonts w:cs="AdvPS6F00"/>
          <w:szCs w:val="20"/>
        </w:rPr>
      </w:pPr>
      <w:r>
        <w:rPr>
          <w:rFonts w:cs="AdvPS6F00"/>
          <w:noProof/>
          <w:szCs w:val="20"/>
        </w:rPr>
        <w:drawing>
          <wp:inline distT="0" distB="0" distL="0" distR="0">
            <wp:extent cx="2717800" cy="1018850"/>
            <wp:effectExtent l="25400" t="0" r="0" b="0"/>
            <wp:docPr id="1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lum bright="-5000" contrast="40000"/>
                    </a:blip>
                    <a:srcRect l="25313" t="37800" r="50625" b="47700"/>
                    <a:stretch>
                      <a:fillRect/>
                    </a:stretch>
                  </pic:blipFill>
                  <pic:spPr bwMode="auto">
                    <a:xfrm>
                      <a:off x="0" y="0"/>
                      <a:ext cx="2750895" cy="1031257"/>
                    </a:xfrm>
                    <a:prstGeom prst="rect">
                      <a:avLst/>
                    </a:prstGeom>
                    <a:noFill/>
                    <a:ln w="9525">
                      <a:noFill/>
                      <a:miter lim="800000"/>
                      <a:headEnd/>
                      <a:tailEnd/>
                    </a:ln>
                  </pic:spPr>
                </pic:pic>
              </a:graphicData>
            </a:graphic>
          </wp:inline>
        </w:drawing>
      </w:r>
    </w:p>
    <w:p w:rsidR="00A41A49" w:rsidRDefault="00A41A49" w:rsidP="007E3C1F">
      <w:pPr>
        <w:widowControl w:val="0"/>
        <w:autoSpaceDE w:val="0"/>
        <w:autoSpaceDN w:val="0"/>
        <w:adjustRightInd w:val="0"/>
        <w:spacing w:line="480" w:lineRule="auto"/>
        <w:rPr>
          <w:rFonts w:cs="AdvPS6F00"/>
          <w:b/>
          <w:szCs w:val="20"/>
        </w:rPr>
      </w:pPr>
    </w:p>
    <w:p w:rsidR="00740B6E" w:rsidRDefault="00923C9D" w:rsidP="007E3C1F">
      <w:pPr>
        <w:widowControl w:val="0"/>
        <w:autoSpaceDE w:val="0"/>
        <w:autoSpaceDN w:val="0"/>
        <w:adjustRightInd w:val="0"/>
        <w:spacing w:line="480" w:lineRule="auto"/>
        <w:rPr>
          <w:rFonts w:cs="AdvPS6F00"/>
          <w:b/>
          <w:szCs w:val="20"/>
        </w:rPr>
      </w:pPr>
      <w:r>
        <w:rPr>
          <w:rFonts w:cs="AdvPS6F00"/>
          <w:b/>
          <w:noProof/>
          <w:szCs w:val="20"/>
        </w:rPr>
        <w:pict>
          <v:shapetype id="_x0000_t202" coordsize="21600,21600" o:spt="202" path="m0,0l0,21600,21600,21600,21600,0xe">
            <v:stroke joinstyle="miter"/>
            <v:path gradientshapeok="t" o:connecttype="rect"/>
          </v:shapetype>
          <v:shape id="_x0000_s1180" type="#_x0000_t202" style="position:absolute;margin-left:270pt;margin-top:26pt;width:1in;height:1in;z-index:251674112;mso-wrap-edited:f;mso-position-horizontal:absolute;mso-position-vertical:absolute" wrapcoords="0 0 21600 0 21600 21600 0 21600 0 0" filled="f" stroked="f">
            <v:fill o:detectmouseclick="t"/>
            <v:textbox inset=",7.2pt,,7.2pt">
              <w:txbxContent>
                <w:p w:rsidR="00964962" w:rsidRPr="006C6E84" w:rsidRDefault="00964962">
                  <w:pPr>
                    <w:rPr>
                      <w:sz w:val="44"/>
                    </w:rPr>
                  </w:pPr>
                  <w:r w:rsidRPr="006C6E84">
                    <w:rPr>
                      <w:sz w:val="44"/>
                    </w:rPr>
                    <w:t>* -1</w:t>
                  </w:r>
                </w:p>
              </w:txbxContent>
            </v:textbox>
            <w10:wrap type="tight"/>
          </v:shape>
        </w:pict>
      </w:r>
      <w:r>
        <w:rPr>
          <w:rFonts w:cs="AdvPS6F00"/>
          <w:b/>
          <w:noProof/>
          <w:szCs w:val="20"/>
        </w:rPr>
        <w:pict>
          <v:shapetype id="_x0000_t86" coordsize="21600,21600" o:spt="86" adj="1800" path="m0,0qx21600@0l21600@1qy0,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178" type="#_x0000_t86" style="position:absolute;margin-left:259.5pt;margin-top:26pt;width:6pt;height:1in;z-index:251672064;mso-wrap-edited:f;mso-position-horizontal:absolute;mso-position-vertical:absolute" wrapcoords="-5400 -450 -8100 1125 -5400 2250 5400 3150 5400 17550 -5400 21150 -8100 21825 -8100 23625 24300 23625 27000 23625 45900 21375 45900 1800 32400 225 16200 -450 -5400 -450" strokecolor="black [3213]" strokeweight="3.5pt">
            <v:fill o:detectmouseclick="t"/>
            <v:shadow on="t" opacity="22938f" mv:blur="38100f" offset="0,2pt"/>
            <v:textbox inset=",7.2pt,,7.2pt"/>
            <w10:wrap type="tight"/>
          </v:shape>
        </w:pict>
      </w:r>
      <w:r>
        <w:rPr>
          <w:rFonts w:cs="AdvPS6F00"/>
          <w:b/>
          <w:noProof/>
          <w:szCs w:val="20"/>
        </w:rPr>
        <w:pict>
          <v:shapetype id="_x0000_t85" coordsize="21600,21600" o:spt="85" adj="1800" path="m2160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179" type="#_x0000_t85" style="position:absolute;margin-left:22.2pt;margin-top:26pt;width:6pt;height:1in;z-index:251673088;mso-wrap-edited:f;mso-position-horizontal:absolute;mso-position-vertical:absolute" wrapcoords="5400 -450 -8100 900 -16200 2025 -16200 21375 0 23625 2700 23625 35100 23625 37800 22725 37800 21825 24300 17550 24300 3150 37800 1125 37800 0 27000 -450 5400 -450" strokecolor="black [3213]" strokeweight="3.5pt">
            <v:fill o:detectmouseclick="t"/>
            <v:shadow on="t" opacity="22938f" mv:blur="38100f" offset="0,2pt"/>
            <v:textbox inset=",7.2pt,,7.2pt"/>
            <w10:wrap type="tight"/>
          </v:shape>
        </w:pict>
      </w:r>
      <w:r w:rsidR="00740B6E">
        <w:rPr>
          <w:rFonts w:cs="AdvPS6F00"/>
          <w:b/>
          <w:szCs w:val="20"/>
        </w:rPr>
        <w:t>Figure #8: Computational approach for cognitive load</w:t>
      </w:r>
    </w:p>
    <w:p w:rsidR="00FC1196" w:rsidRPr="00740B6E" w:rsidRDefault="00740B6E" w:rsidP="007E3C1F">
      <w:pPr>
        <w:widowControl w:val="0"/>
        <w:autoSpaceDE w:val="0"/>
        <w:autoSpaceDN w:val="0"/>
        <w:adjustRightInd w:val="0"/>
        <w:spacing w:line="480" w:lineRule="auto"/>
        <w:rPr>
          <w:rFonts w:cs="AdvPS6F00"/>
          <w:b/>
          <w:szCs w:val="20"/>
        </w:rPr>
      </w:pPr>
      <w:r w:rsidRPr="00740B6E">
        <w:rPr>
          <w:rFonts w:cs="AdvPS6F00"/>
          <w:b/>
          <w:noProof/>
          <w:szCs w:val="20"/>
        </w:rPr>
        <w:drawing>
          <wp:inline distT="0" distB="0" distL="0" distR="0">
            <wp:extent cx="2717800" cy="1018850"/>
            <wp:effectExtent l="25400" t="0" r="0" b="0"/>
            <wp:docPr id="1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lum bright="-5000" contrast="40000"/>
                    </a:blip>
                    <a:srcRect l="25313" t="37800" r="50625" b="47700"/>
                    <a:stretch>
                      <a:fillRect/>
                    </a:stretch>
                  </pic:blipFill>
                  <pic:spPr bwMode="auto">
                    <a:xfrm>
                      <a:off x="0" y="0"/>
                      <a:ext cx="2717800" cy="1018850"/>
                    </a:xfrm>
                    <a:prstGeom prst="rect">
                      <a:avLst/>
                    </a:prstGeom>
                    <a:noFill/>
                    <a:ln w="9525">
                      <a:noFill/>
                      <a:miter lim="800000"/>
                      <a:headEnd/>
                      <a:tailEnd/>
                    </a:ln>
                  </pic:spPr>
                </pic:pic>
              </a:graphicData>
            </a:graphic>
          </wp:inline>
        </w:drawing>
      </w:r>
    </w:p>
    <w:p w:rsidR="00A41A49" w:rsidRDefault="00740B6E" w:rsidP="00A667B7">
      <w:pPr>
        <w:widowControl w:val="0"/>
        <w:autoSpaceDE w:val="0"/>
        <w:autoSpaceDN w:val="0"/>
        <w:adjustRightInd w:val="0"/>
        <w:spacing w:line="480" w:lineRule="auto"/>
        <w:rPr>
          <w:rFonts w:cs="AdvPS6F00"/>
          <w:szCs w:val="20"/>
        </w:rPr>
      </w:pPr>
      <w:r>
        <w:rPr>
          <w:rFonts w:cs="AdvPS6F00"/>
          <w:szCs w:val="20"/>
        </w:rPr>
        <w:tab/>
      </w:r>
    </w:p>
    <w:p w:rsidR="00A41A49" w:rsidRDefault="00A41A49" w:rsidP="00A667B7">
      <w:pPr>
        <w:widowControl w:val="0"/>
        <w:autoSpaceDE w:val="0"/>
        <w:autoSpaceDN w:val="0"/>
        <w:adjustRightInd w:val="0"/>
        <w:spacing w:line="480" w:lineRule="auto"/>
        <w:rPr>
          <w:rFonts w:cs="AdvPS6F00"/>
          <w:szCs w:val="20"/>
        </w:rPr>
      </w:pPr>
    </w:p>
    <w:p w:rsidR="00A41A49" w:rsidRPr="0094761B" w:rsidRDefault="00A41A49" w:rsidP="00A667B7">
      <w:pPr>
        <w:widowControl w:val="0"/>
        <w:autoSpaceDE w:val="0"/>
        <w:autoSpaceDN w:val="0"/>
        <w:adjustRightInd w:val="0"/>
        <w:spacing w:line="480" w:lineRule="auto"/>
        <w:rPr>
          <w:rFonts w:cs="AdvPS6F00"/>
          <w:szCs w:val="20"/>
        </w:rPr>
      </w:pPr>
      <w:r>
        <w:rPr>
          <w:rFonts w:cs="AdvPS6F00"/>
          <w:szCs w:val="20"/>
        </w:rPr>
        <w:tab/>
      </w:r>
      <w:r w:rsidR="00740B6E">
        <w:rPr>
          <w:rFonts w:cs="AdvPS6F00"/>
          <w:szCs w:val="20"/>
        </w:rPr>
        <w:t>If placed on</w:t>
      </w:r>
      <w:r w:rsidR="006C6E84">
        <w:rPr>
          <w:rFonts w:cs="AdvPS6F00"/>
          <w:szCs w:val="20"/>
        </w:rPr>
        <w:t xml:space="preserve"> a Cartesian axis (see Figure 9</w:t>
      </w:r>
      <w:r w:rsidR="00740B6E">
        <w:rPr>
          <w:rFonts w:cs="AdvPS6F00"/>
          <w:szCs w:val="20"/>
        </w:rPr>
        <w:t xml:space="preserve">) ME occupies the horizontal axis and P occupies the opposing vertical axis. When E = </w:t>
      </w:r>
      <w:r w:rsidR="006C6E84">
        <w:rPr>
          <w:rFonts w:cs="AdvPS6F00"/>
          <w:szCs w:val="20"/>
        </w:rPr>
        <w:t>0, P and ME are in balance. As CL</w:t>
      </w:r>
      <w:r w:rsidR="00740B6E" w:rsidRPr="00FC1196">
        <w:rPr>
          <w:rFonts w:cs="AdvPS6F00"/>
          <w:szCs w:val="20"/>
        </w:rPr>
        <w:t xml:space="preserve"> </w:t>
      </w:r>
      <w:r w:rsidR="006C6E84">
        <w:rPr>
          <w:rFonts w:cs="AdvPS6F00"/>
          <w:szCs w:val="20"/>
        </w:rPr>
        <w:t>approaches +3, efficiency is low and cognitive load is high</w:t>
      </w:r>
      <w:r w:rsidR="00740B6E">
        <w:rPr>
          <w:rFonts w:cs="AdvPS6F00"/>
          <w:szCs w:val="20"/>
        </w:rPr>
        <w:t xml:space="preserve">. </w:t>
      </w:r>
      <w:r w:rsidR="006C6E84">
        <w:rPr>
          <w:rFonts w:cs="AdvPS6F00"/>
          <w:szCs w:val="20"/>
        </w:rPr>
        <w:t>In other words, the task was</w:t>
      </w:r>
      <w:r w:rsidR="00740B6E">
        <w:rPr>
          <w:rFonts w:cs="AdvPS6F00"/>
          <w:szCs w:val="20"/>
        </w:rPr>
        <w:t xml:space="preserve"> difficult for the participant</w:t>
      </w:r>
      <w:r w:rsidR="006C6E84">
        <w:rPr>
          <w:rFonts w:cs="AdvPS6F00"/>
          <w:szCs w:val="20"/>
        </w:rPr>
        <w:t xml:space="preserve"> and required substantial cognitive effort. However, as CL approaches -3</w:t>
      </w:r>
      <w:r w:rsidR="00740B6E">
        <w:rPr>
          <w:rFonts w:cs="AdvPS6F00"/>
          <w:szCs w:val="20"/>
        </w:rPr>
        <w:t xml:space="preserve">, efficiency is </w:t>
      </w:r>
      <w:r w:rsidR="006C6E84">
        <w:rPr>
          <w:rFonts w:cs="AdvPS6F00"/>
          <w:szCs w:val="20"/>
        </w:rPr>
        <w:t>high and cognitive load is low</w:t>
      </w:r>
      <w:r w:rsidR="00740B6E">
        <w:rPr>
          <w:rFonts w:cs="AdvPS6F00"/>
          <w:szCs w:val="20"/>
        </w:rPr>
        <w:t xml:space="preserve">. In this case, the task </w:t>
      </w:r>
      <w:r w:rsidR="006C6E84">
        <w:rPr>
          <w:rFonts w:cs="AdvPS6F00"/>
          <w:szCs w:val="20"/>
        </w:rPr>
        <w:t>did not require</w:t>
      </w:r>
      <w:r w:rsidR="00740B6E">
        <w:rPr>
          <w:rFonts w:cs="AdvPS6F00"/>
          <w:szCs w:val="20"/>
        </w:rPr>
        <w:t xml:space="preserve"> significant cognitive resources. The computational approach for computing </w:t>
      </w:r>
      <w:r w:rsidR="006C6E84">
        <w:rPr>
          <w:rFonts w:cs="AdvPS6F00"/>
          <w:szCs w:val="20"/>
        </w:rPr>
        <w:t>CL</w:t>
      </w:r>
      <w:r w:rsidR="00740B6E">
        <w:rPr>
          <w:rFonts w:cs="AdvPS6F00"/>
          <w:szCs w:val="20"/>
        </w:rPr>
        <w:t xml:space="preserve"> resulted in a continuous measure, which represents the inverse of </w:t>
      </w:r>
      <w:r w:rsidR="006C6E84">
        <w:rPr>
          <w:rFonts w:cs="AdvPS6F00"/>
          <w:szCs w:val="20"/>
        </w:rPr>
        <w:t>E</w:t>
      </w:r>
      <w:r w:rsidR="00740B6E">
        <w:rPr>
          <w:rFonts w:cs="AdvPS6F00"/>
          <w:szCs w:val="20"/>
        </w:rPr>
        <w:t xml:space="preserve">.    </w:t>
      </w:r>
      <w:r w:rsidR="00A214DB">
        <w:rPr>
          <w:rFonts w:cs="AdvPS6F00"/>
          <w:szCs w:val="20"/>
        </w:rPr>
        <w:tab/>
      </w:r>
    </w:p>
    <w:p w:rsidR="00A667B7" w:rsidRDefault="00EB603E" w:rsidP="00A667B7">
      <w:pPr>
        <w:widowControl w:val="0"/>
        <w:autoSpaceDE w:val="0"/>
        <w:autoSpaceDN w:val="0"/>
        <w:adjustRightInd w:val="0"/>
        <w:spacing w:line="480" w:lineRule="auto"/>
        <w:rPr>
          <w:rFonts w:cs="Times-Roman"/>
          <w:b/>
          <w:szCs w:val="20"/>
        </w:rPr>
      </w:pPr>
      <w:r>
        <w:rPr>
          <w:b/>
        </w:rPr>
        <w:t xml:space="preserve">Figure </w:t>
      </w:r>
      <w:r w:rsidR="007D3008">
        <w:rPr>
          <w:b/>
        </w:rPr>
        <w:t>#</w:t>
      </w:r>
      <w:r w:rsidR="006C6E84">
        <w:rPr>
          <w:b/>
        </w:rPr>
        <w:t>9</w:t>
      </w:r>
      <w:r>
        <w:rPr>
          <w:b/>
        </w:rPr>
        <w:t xml:space="preserve">: </w:t>
      </w:r>
      <w:r w:rsidR="006E7730">
        <w:rPr>
          <w:b/>
        </w:rPr>
        <w:t xml:space="preserve">Cognitive Load: </w:t>
      </w:r>
      <w:r w:rsidR="00A667B7" w:rsidRPr="00A214DB">
        <w:rPr>
          <w:rFonts w:cs="Times-Roman"/>
          <w:b/>
          <w:szCs w:val="20"/>
        </w:rPr>
        <w:t xml:space="preserve">Paas and van Merriënboer’s </w:t>
      </w:r>
      <w:r w:rsidR="00A667B7">
        <w:rPr>
          <w:rFonts w:cs="Times-Roman"/>
          <w:b/>
          <w:szCs w:val="20"/>
        </w:rPr>
        <w:t>graphical representation of</w:t>
      </w:r>
      <w:r w:rsidR="00A667B7" w:rsidRPr="00A214DB">
        <w:rPr>
          <w:rFonts w:cs="Times-Roman"/>
          <w:b/>
          <w:szCs w:val="20"/>
        </w:rPr>
        <w:t xml:space="preserve"> </w:t>
      </w:r>
      <w:r w:rsidR="006E7730">
        <w:rPr>
          <w:rFonts w:cs="Times-Roman"/>
          <w:b/>
          <w:szCs w:val="20"/>
        </w:rPr>
        <w:t xml:space="preserve">(inverse) </w:t>
      </w:r>
      <w:r w:rsidR="00A667B7" w:rsidRPr="00A214DB">
        <w:rPr>
          <w:rFonts w:cs="Times-Roman"/>
          <w:b/>
          <w:szCs w:val="20"/>
        </w:rPr>
        <w:t>mental efficiency</w:t>
      </w:r>
    </w:p>
    <w:p w:rsidR="00FC1196" w:rsidRPr="00FC1196" w:rsidRDefault="006C6E84" w:rsidP="00FC1196">
      <w:pPr>
        <w:widowControl w:val="0"/>
        <w:autoSpaceDE w:val="0"/>
        <w:autoSpaceDN w:val="0"/>
        <w:adjustRightInd w:val="0"/>
        <w:spacing w:line="480" w:lineRule="auto"/>
        <w:rPr>
          <w:rFonts w:cs="Times-Roman"/>
          <w:b/>
          <w:szCs w:val="20"/>
        </w:rPr>
      </w:pPr>
      <w:r>
        <w:rPr>
          <w:rFonts w:cs="Times-Roman"/>
          <w:b/>
          <w:noProof/>
          <w:szCs w:val="20"/>
        </w:rPr>
        <w:drawing>
          <wp:inline distT="0" distB="0" distL="0" distR="0">
            <wp:extent cx="4775200" cy="3862094"/>
            <wp:effectExtent l="2540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l="25875" t="20700" r="27562" b="20700"/>
                    <a:stretch>
                      <a:fillRect/>
                    </a:stretch>
                  </pic:blipFill>
                  <pic:spPr bwMode="auto">
                    <a:xfrm>
                      <a:off x="0" y="0"/>
                      <a:ext cx="4778905" cy="3865090"/>
                    </a:xfrm>
                    <a:prstGeom prst="rect">
                      <a:avLst/>
                    </a:prstGeom>
                    <a:noFill/>
                    <a:ln w="9525">
                      <a:noFill/>
                      <a:miter lim="800000"/>
                      <a:headEnd/>
                      <a:tailEnd/>
                    </a:ln>
                  </pic:spPr>
                </pic:pic>
              </a:graphicData>
            </a:graphic>
          </wp:inline>
        </w:drawing>
      </w:r>
    </w:p>
    <w:p w:rsidR="00E014B7" w:rsidRPr="004E4727" w:rsidRDefault="00E014B7" w:rsidP="00E014B7">
      <w:pPr>
        <w:spacing w:line="480" w:lineRule="auto"/>
        <w:rPr>
          <w:b/>
          <w:bCs/>
        </w:rPr>
      </w:pPr>
      <w:r w:rsidRPr="004E4727">
        <w:rPr>
          <w:b/>
          <w:bCs/>
        </w:rPr>
        <w:t>Dependent Variables</w:t>
      </w:r>
    </w:p>
    <w:p w:rsidR="00E014B7" w:rsidRPr="004E4727" w:rsidRDefault="00E014B7" w:rsidP="00E014B7">
      <w:pPr>
        <w:spacing w:line="480" w:lineRule="auto"/>
        <w:rPr>
          <w:i/>
          <w:iCs/>
        </w:rPr>
      </w:pPr>
      <w:r w:rsidRPr="004E4727">
        <w:rPr>
          <w:i/>
          <w:iCs/>
        </w:rPr>
        <w:t>Persuasion Knowledge</w:t>
      </w:r>
    </w:p>
    <w:p w:rsidR="006E7730" w:rsidRDefault="00E014B7" w:rsidP="005E68ED">
      <w:pPr>
        <w:pStyle w:val="NormalWeb"/>
        <w:spacing w:before="0" w:beforeAutospacing="0" w:after="0" w:afterAutospacing="0" w:line="480" w:lineRule="auto"/>
        <w:rPr>
          <w:rFonts w:cs="Times-Roman"/>
          <w:szCs w:val="20"/>
        </w:rPr>
      </w:pPr>
      <w:r>
        <w:tab/>
      </w:r>
      <w:r w:rsidR="006E7730">
        <w:t>Twelve items were used to measure p</w:t>
      </w:r>
      <w:r w:rsidRPr="004E4727">
        <w:t>ersuasion knowledge</w:t>
      </w:r>
      <w:r w:rsidR="006E7730">
        <w:t>.</w:t>
      </w:r>
      <w:r w:rsidRPr="004E4727">
        <w:t xml:space="preserve"> </w:t>
      </w:r>
      <w:r w:rsidR="006E7730">
        <w:t>Six items were</w:t>
      </w:r>
      <w:r w:rsidR="00B80200">
        <w:t xml:space="preserve"> ada</w:t>
      </w:r>
      <w:r w:rsidR="006E7730">
        <w:t xml:space="preserve">pted from </w:t>
      </w:r>
      <w:r w:rsidR="007E3C1F">
        <w:t xml:space="preserve"> Rozendaal et al. </w:t>
      </w:r>
      <w:r w:rsidRPr="004E4727">
        <w:t>(2010) persuasion knowledge</w:t>
      </w:r>
      <w:r>
        <w:t xml:space="preserve"> scale</w:t>
      </w:r>
      <w:r w:rsidRPr="004E4727">
        <w:t xml:space="preserve">. </w:t>
      </w:r>
      <w:r>
        <w:t xml:space="preserve">Items include, </w:t>
      </w:r>
      <w:r w:rsidRPr="00627628">
        <w:t>“</w:t>
      </w:r>
      <w:r w:rsidR="00B80200">
        <w:t>This game is not meant to sell pop tarts</w:t>
      </w:r>
      <w:r w:rsidRPr="00627628">
        <w:t>”</w:t>
      </w:r>
      <w:r w:rsidR="00B80200">
        <w:t xml:space="preserve"> (reverse coded)</w:t>
      </w:r>
      <w:r w:rsidRPr="00627628">
        <w:t>, “</w:t>
      </w:r>
      <w:r w:rsidR="00B80200">
        <w:t>This game stimulates the sales of pop tarts</w:t>
      </w:r>
      <w:r w:rsidRPr="00627628">
        <w:t>”, “</w:t>
      </w:r>
      <w:r w:rsidR="00B80200">
        <w:t>This game does not influence opinions about pop tarts</w:t>
      </w:r>
      <w:r w:rsidRPr="00627628">
        <w:t>”</w:t>
      </w:r>
      <w:r w:rsidR="00B80200">
        <w:t xml:space="preserve"> (reverse coded)</w:t>
      </w:r>
      <w:r w:rsidRPr="00627628">
        <w:t>, “</w:t>
      </w:r>
      <w:r w:rsidR="00B80200">
        <w:t>This game makes people like pop tarts</w:t>
      </w:r>
      <w:r w:rsidRPr="00627628">
        <w:t>”, “</w:t>
      </w:r>
      <w:r w:rsidR="00B80200">
        <w:t>This game provides information about pop tarts</w:t>
      </w:r>
      <w:r w:rsidRPr="00627628">
        <w:t>” and, “</w:t>
      </w:r>
      <w:r w:rsidR="00B80200">
        <w:t>This game lets people know more about pop tarts</w:t>
      </w:r>
      <w:r w:rsidRPr="00627628">
        <w:t>”</w:t>
      </w:r>
      <w:r>
        <w:rPr>
          <w:i/>
        </w:rPr>
        <w:t>.</w:t>
      </w:r>
      <w:r w:rsidRPr="00310737">
        <w:rPr>
          <w:i/>
        </w:rPr>
        <w:t xml:space="preserve"> </w:t>
      </w:r>
      <w:r>
        <w:t>The first two items measure participants’ understanding of the selling intent. The third and fourth items measure participants’ understanding of persuasive intent. The fifth and sixth question are filler items and measure participants’ in</w:t>
      </w:r>
      <w:r w:rsidR="007E3C1F">
        <w:t>formational knowledge (Tutaj &amp;</w:t>
      </w:r>
      <w:r>
        <w:t xml:space="preserve"> van Reijmersdal</w:t>
      </w:r>
      <w:r w:rsidR="007E3C1F">
        <w:t>,</w:t>
      </w:r>
      <w:r>
        <w:t xml:space="preserve"> 2012).</w:t>
      </w:r>
      <w:r>
        <w:rPr>
          <w:i/>
        </w:rPr>
        <w:t xml:space="preserve"> </w:t>
      </w:r>
      <w:r w:rsidRPr="004E4727">
        <w:t>This scale has been used in past research, which has examined and compared children’s and adults’ television advertising competencies and recognition</w:t>
      </w:r>
      <w:r>
        <w:t xml:space="preserve"> (Rozendaal et al.</w:t>
      </w:r>
      <w:r w:rsidR="007E3C1F">
        <w:t>,</w:t>
      </w:r>
      <w:r>
        <w:t xml:space="preserve"> 2010) and has been used to examine the effects of advertising format on persuasion</w:t>
      </w:r>
      <w:r w:rsidR="007E3C1F">
        <w:t xml:space="preserve"> knowledge activation (Tutaj &amp;</w:t>
      </w:r>
      <w:r>
        <w:t xml:space="preserve"> van Reijmersdal</w:t>
      </w:r>
      <w:r w:rsidR="007E3C1F">
        <w:t>,</w:t>
      </w:r>
      <w:r>
        <w:t xml:space="preserve"> 2012)</w:t>
      </w:r>
      <w:r w:rsidRPr="004E4727">
        <w:t>.</w:t>
      </w:r>
      <w:r>
        <w:t xml:space="preserve"> The first four items, which respectively measure selling and persuasive intent, have demonstrated acceptable levels of internal consistency (</w:t>
      </w:r>
      <w:r>
        <w:sym w:font="Symbol" w:char="F061"/>
      </w:r>
      <w:r>
        <w:t xml:space="preserve"> = .84). </w:t>
      </w:r>
      <w:r w:rsidR="006E7730">
        <w:rPr>
          <w:rFonts w:cs="Times-Roman"/>
          <w:szCs w:val="20"/>
        </w:rPr>
        <w:t xml:space="preserve">Six additional distracter questions, which examined attitudes about the game’s entertainment and educational purposes, were used in the scale in order to prevent response bias (see appendix C). </w:t>
      </w:r>
      <w:r>
        <w:rPr>
          <w:rFonts w:cs="Times-Roman"/>
          <w:szCs w:val="20"/>
        </w:rPr>
        <w:t xml:space="preserve">All questions </w:t>
      </w:r>
      <w:r w:rsidR="006E7730">
        <w:rPr>
          <w:rFonts w:cs="Times-Roman"/>
          <w:szCs w:val="20"/>
        </w:rPr>
        <w:t>were randomized and were</w:t>
      </w:r>
      <w:r>
        <w:rPr>
          <w:rFonts w:cs="Times-Roman"/>
          <w:szCs w:val="20"/>
        </w:rPr>
        <w:t xml:space="preserve"> measured using a seven-point Likert scale from strongly agree to strongly disagree. </w:t>
      </w:r>
    </w:p>
    <w:p w:rsidR="006E7730" w:rsidRPr="00B726AB" w:rsidRDefault="00B726AB" w:rsidP="005E68ED">
      <w:pPr>
        <w:pStyle w:val="NormalWeb"/>
        <w:spacing w:before="0" w:beforeAutospacing="0" w:after="0" w:afterAutospacing="0" w:line="480" w:lineRule="auto"/>
        <w:rPr>
          <w:rFonts w:cs="Times-Roman"/>
          <w:i/>
          <w:szCs w:val="20"/>
        </w:rPr>
      </w:pPr>
      <w:r>
        <w:rPr>
          <w:rFonts w:cs="Times-Roman"/>
          <w:i/>
          <w:szCs w:val="20"/>
        </w:rPr>
        <w:t>Persuasion Knowledge: Assessment and Structure</w:t>
      </w:r>
    </w:p>
    <w:p w:rsidR="00294332" w:rsidRDefault="006E7730" w:rsidP="005E68ED">
      <w:pPr>
        <w:pStyle w:val="NormalWeb"/>
        <w:spacing w:before="0" w:beforeAutospacing="0" w:after="0" w:afterAutospacing="0" w:line="480" w:lineRule="auto"/>
        <w:rPr>
          <w:rFonts w:cs="Times-Roman"/>
          <w:color w:val="292526"/>
          <w:szCs w:val="16"/>
        </w:rPr>
      </w:pPr>
      <w:r>
        <w:rPr>
          <w:rFonts w:cs="Times-Roman"/>
          <w:szCs w:val="20"/>
        </w:rPr>
        <w:tab/>
      </w:r>
      <w:r w:rsidR="00B726AB">
        <w:rPr>
          <w:rFonts w:cs="Times-Roman"/>
          <w:color w:val="292526"/>
          <w:szCs w:val="16"/>
        </w:rPr>
        <w:t xml:space="preserve">In order to test the underlying structure of persuasion knowledge a principle components analysis was performed Following standard PCA procedures, components with Eigenvalues less than 1.0 were ignored and factor loadings of less than .40 were suppressed. The initial correlation matrix indicated no highly significant relationships (r </w:t>
      </w:r>
      <w:r w:rsidR="00B726AB">
        <w:rPr>
          <w:rFonts w:cs="Times-Roman"/>
          <w:color w:val="292526"/>
          <w:szCs w:val="16"/>
          <w:u w:val="single"/>
        </w:rPr>
        <w:t>&lt;</w:t>
      </w:r>
      <w:r w:rsidR="00B726AB">
        <w:rPr>
          <w:rFonts w:cs="Times-Roman"/>
          <w:color w:val="292526"/>
          <w:szCs w:val="16"/>
        </w:rPr>
        <w:t xml:space="preserve"> .85). Both the Kaiser-Meyer-Olkin test (.761) and the Bartlett’s Test of Sphericity (Chi</w:t>
      </w:r>
      <w:r w:rsidR="00B726AB">
        <w:rPr>
          <w:rFonts w:cs="Times-Roman"/>
          <w:color w:val="292526"/>
          <w:szCs w:val="16"/>
          <w:vertAlign w:val="superscript"/>
        </w:rPr>
        <w:t>2</w:t>
      </w:r>
      <w:r w:rsidR="00B726AB">
        <w:rPr>
          <w:rFonts w:cs="Times-Roman"/>
          <w:color w:val="292526"/>
          <w:szCs w:val="16"/>
        </w:rPr>
        <w:t xml:space="preserve"> = 1036.483, df =66, p &lt; .000) indicate an adequate sample for factor analysis. </w:t>
      </w:r>
      <w:r w:rsidR="00294332">
        <w:rPr>
          <w:rFonts w:cs="Times-Roman"/>
          <w:color w:val="292526"/>
          <w:szCs w:val="16"/>
        </w:rPr>
        <w:t xml:space="preserve">Communalities and their extraction were all greater than .50, which indicates the appropriateness of PCA for this sample. </w:t>
      </w:r>
    </w:p>
    <w:p w:rsidR="00E014B7" w:rsidRPr="00C51CDB" w:rsidRDefault="00294332" w:rsidP="005E68ED">
      <w:pPr>
        <w:pStyle w:val="NormalWeb"/>
        <w:spacing w:before="0" w:beforeAutospacing="0" w:after="0" w:afterAutospacing="0" w:line="480" w:lineRule="auto"/>
        <w:rPr>
          <w:rFonts w:cs="Times-Roman"/>
          <w:szCs w:val="20"/>
        </w:rPr>
      </w:pPr>
      <w:r>
        <w:rPr>
          <w:rFonts w:cs="Times-Roman"/>
          <w:color w:val="292526"/>
          <w:szCs w:val="16"/>
        </w:rPr>
        <w:tab/>
        <w:t xml:space="preserve">PCA with varimax rotation revealed three components explaining 74.80% of the total variance in persuasion knowledge measures. Component one, </w:t>
      </w:r>
      <w:r>
        <w:rPr>
          <w:rFonts w:cs="Times-Roman"/>
          <w:i/>
          <w:color w:val="292526"/>
          <w:szCs w:val="16"/>
        </w:rPr>
        <w:t>informational knowledge</w:t>
      </w:r>
      <w:r w:rsidR="00A44C80">
        <w:rPr>
          <w:rFonts w:cs="Times-Roman"/>
          <w:i/>
          <w:color w:val="292526"/>
          <w:szCs w:val="16"/>
        </w:rPr>
        <w:t xml:space="preserve"> </w:t>
      </w:r>
      <w:r w:rsidR="00A44C80">
        <w:rPr>
          <w:rFonts w:cs="Times-Roman"/>
          <w:color w:val="292526"/>
          <w:szCs w:val="16"/>
        </w:rPr>
        <w:t>(</w:t>
      </w:r>
      <w:r w:rsidR="00A44C80">
        <w:rPr>
          <w:rFonts w:cs="Times-Roman"/>
          <w:color w:val="292526"/>
          <w:szCs w:val="16"/>
        </w:rPr>
        <w:sym w:font="Symbol" w:char="F061"/>
      </w:r>
      <w:r w:rsidR="00AF5DAD">
        <w:rPr>
          <w:rFonts w:cs="Times-Roman"/>
          <w:color w:val="292526"/>
          <w:szCs w:val="16"/>
        </w:rPr>
        <w:t xml:space="preserve"> = .853;</w:t>
      </w:r>
      <w:r w:rsidR="00A44C80">
        <w:rPr>
          <w:rFonts w:cs="Times-Roman"/>
          <w:color w:val="292526"/>
          <w:szCs w:val="16"/>
        </w:rPr>
        <w:t xml:space="preserve"> M=</w:t>
      </w:r>
      <w:r w:rsidR="00E97131">
        <w:rPr>
          <w:rFonts w:cs="Times-Roman"/>
          <w:color w:val="292526"/>
          <w:szCs w:val="16"/>
        </w:rPr>
        <w:t>9.37; SD= 4.69</w:t>
      </w:r>
      <w:r w:rsidR="00A44C80">
        <w:rPr>
          <w:rFonts w:cs="Times-Roman"/>
          <w:color w:val="292526"/>
          <w:szCs w:val="16"/>
        </w:rPr>
        <w:t>)</w:t>
      </w:r>
      <w:r w:rsidR="00AF5DAD">
        <w:rPr>
          <w:rFonts w:cs="Times-Roman"/>
          <w:color w:val="292526"/>
          <w:szCs w:val="16"/>
        </w:rPr>
        <w:t>,</w:t>
      </w:r>
      <w:r>
        <w:rPr>
          <w:rFonts w:cs="Times-Roman"/>
          <w:i/>
          <w:color w:val="292526"/>
          <w:szCs w:val="16"/>
        </w:rPr>
        <w:t xml:space="preserve"> </w:t>
      </w:r>
      <w:r>
        <w:rPr>
          <w:rFonts w:cs="Times-Roman"/>
          <w:color w:val="292526"/>
          <w:szCs w:val="16"/>
        </w:rPr>
        <w:t xml:space="preserve">accounted for more than 39 % of the variance and had an Eigenvalue of 3.134. Three items loaded on the </w:t>
      </w:r>
      <w:r>
        <w:rPr>
          <w:rFonts w:cs="Times-Roman"/>
          <w:i/>
          <w:color w:val="292526"/>
          <w:szCs w:val="16"/>
        </w:rPr>
        <w:t xml:space="preserve">informational knowledge </w:t>
      </w:r>
      <w:r>
        <w:rPr>
          <w:rFonts w:cs="Times-Roman"/>
          <w:color w:val="292526"/>
          <w:szCs w:val="16"/>
        </w:rPr>
        <w:t xml:space="preserve">component with factor loadings ranging from </w:t>
      </w:r>
      <w:r w:rsidR="00A44C80">
        <w:rPr>
          <w:rFonts w:cs="Times-Roman"/>
          <w:color w:val="292526"/>
          <w:szCs w:val="16"/>
        </w:rPr>
        <w:t xml:space="preserve">.776 to .908 (see table 1). Component two, </w:t>
      </w:r>
      <w:r w:rsidR="00A44C80">
        <w:rPr>
          <w:rFonts w:cs="Times-Roman"/>
          <w:i/>
          <w:color w:val="292526"/>
          <w:szCs w:val="16"/>
        </w:rPr>
        <w:t>entertai</w:t>
      </w:r>
      <w:r w:rsidR="00AF5DAD">
        <w:rPr>
          <w:rFonts w:cs="Times-Roman"/>
          <w:i/>
          <w:color w:val="292526"/>
          <w:szCs w:val="16"/>
        </w:rPr>
        <w:t xml:space="preserve">nment and educational knowledge </w:t>
      </w:r>
      <w:r w:rsidR="00AF5DAD">
        <w:rPr>
          <w:rFonts w:cs="Times-Roman"/>
          <w:color w:val="292526"/>
          <w:szCs w:val="16"/>
        </w:rPr>
        <w:t>(</w:t>
      </w:r>
      <w:r w:rsidR="00AF5DAD">
        <w:rPr>
          <w:rFonts w:cs="Times-Roman"/>
          <w:color w:val="292526"/>
          <w:szCs w:val="16"/>
        </w:rPr>
        <w:sym w:font="Symbol" w:char="F061"/>
      </w:r>
      <w:r w:rsidR="00AF5DAD">
        <w:rPr>
          <w:rFonts w:cs="Times-Roman"/>
          <w:color w:val="292526"/>
          <w:szCs w:val="16"/>
        </w:rPr>
        <w:t xml:space="preserve"> = .788; M=14.63; SD= 3.60),</w:t>
      </w:r>
      <w:r w:rsidR="00A44C80">
        <w:rPr>
          <w:rFonts w:cs="Times-Roman"/>
          <w:i/>
          <w:color w:val="292526"/>
          <w:szCs w:val="16"/>
        </w:rPr>
        <w:t xml:space="preserve"> </w:t>
      </w:r>
      <w:r w:rsidR="00A44C80">
        <w:rPr>
          <w:rFonts w:cs="Times-Roman"/>
          <w:color w:val="292526"/>
          <w:szCs w:val="16"/>
        </w:rPr>
        <w:t xml:space="preserve">accounted for 22.79% of the variance and had an Eigenvalue of 1.823. Three items loaded on the </w:t>
      </w:r>
      <w:r w:rsidR="00A44C80">
        <w:rPr>
          <w:rFonts w:cs="Times-Roman"/>
          <w:i/>
          <w:color w:val="292526"/>
          <w:szCs w:val="16"/>
        </w:rPr>
        <w:t xml:space="preserve">entertainment and educational knowledge </w:t>
      </w:r>
      <w:r w:rsidR="00A44C80">
        <w:rPr>
          <w:rFonts w:cs="Times-Roman"/>
          <w:color w:val="292526"/>
          <w:szCs w:val="16"/>
        </w:rPr>
        <w:t xml:space="preserve">component with factor loadings ranging from .795 to .851(see table 1). Component three, </w:t>
      </w:r>
      <w:r w:rsidR="00A44C80">
        <w:rPr>
          <w:rFonts w:cs="Times-Roman"/>
          <w:i/>
          <w:color w:val="292526"/>
          <w:szCs w:val="16"/>
        </w:rPr>
        <w:t>selling and persuasion knowledge</w:t>
      </w:r>
      <w:r w:rsidR="00AF5DAD">
        <w:rPr>
          <w:rFonts w:cs="Times-Roman"/>
          <w:i/>
          <w:color w:val="292526"/>
          <w:szCs w:val="16"/>
        </w:rPr>
        <w:t xml:space="preserve"> </w:t>
      </w:r>
      <w:r w:rsidR="00AF5DAD">
        <w:rPr>
          <w:rFonts w:cs="Times-Roman"/>
          <w:color w:val="292526"/>
          <w:szCs w:val="16"/>
        </w:rPr>
        <w:t>(</w:t>
      </w:r>
      <w:r w:rsidR="00AF5DAD">
        <w:rPr>
          <w:rFonts w:cs="Times-Roman"/>
          <w:color w:val="292526"/>
          <w:szCs w:val="16"/>
        </w:rPr>
        <w:sym w:font="Symbol" w:char="F061"/>
      </w:r>
      <w:r w:rsidR="00E97131">
        <w:rPr>
          <w:rFonts w:cs="Times-Roman"/>
          <w:color w:val="292526"/>
          <w:szCs w:val="16"/>
        </w:rPr>
        <w:t xml:space="preserve"> = .586; M=8.69; SD= 3.22</w:t>
      </w:r>
      <w:r w:rsidR="00AF5DAD">
        <w:rPr>
          <w:rFonts w:cs="Times-Roman"/>
          <w:color w:val="292526"/>
          <w:szCs w:val="16"/>
        </w:rPr>
        <w:t>),</w:t>
      </w:r>
      <w:r w:rsidR="00AF5DAD">
        <w:rPr>
          <w:rFonts w:cs="Times-Roman"/>
          <w:i/>
          <w:color w:val="292526"/>
          <w:szCs w:val="16"/>
        </w:rPr>
        <w:t xml:space="preserve"> </w:t>
      </w:r>
      <w:r w:rsidR="00A44C80">
        <w:rPr>
          <w:rFonts w:cs="Times-Roman"/>
          <w:color w:val="292526"/>
          <w:szCs w:val="16"/>
        </w:rPr>
        <w:t xml:space="preserve">accounted for 12.73% of the variance and had an Eigenvalue of 1.026. Two items loaded on the </w:t>
      </w:r>
      <w:r w:rsidR="00A44C80">
        <w:rPr>
          <w:rFonts w:cs="Times-Roman"/>
          <w:i/>
          <w:color w:val="292526"/>
          <w:szCs w:val="16"/>
        </w:rPr>
        <w:t xml:space="preserve">selling and persuasion </w:t>
      </w:r>
      <w:r w:rsidR="00C51CDB">
        <w:rPr>
          <w:rFonts w:cs="Times-Roman"/>
          <w:i/>
          <w:color w:val="292526"/>
          <w:szCs w:val="16"/>
        </w:rPr>
        <w:t xml:space="preserve">knowledge </w:t>
      </w:r>
      <w:r w:rsidR="00C51CDB">
        <w:rPr>
          <w:rFonts w:cs="Times-Roman"/>
          <w:color w:val="292526"/>
          <w:szCs w:val="16"/>
        </w:rPr>
        <w:t xml:space="preserve">component with factor loadings of .815 and .847(see </w:t>
      </w:r>
      <w:r w:rsidR="00A44C80">
        <w:rPr>
          <w:rFonts w:cs="Times-Roman"/>
          <w:color w:val="292526"/>
          <w:szCs w:val="16"/>
        </w:rPr>
        <w:t xml:space="preserve">table 1).  </w:t>
      </w:r>
      <w:r w:rsidR="00B726AB">
        <w:rPr>
          <w:rFonts w:cs="Times-Roman"/>
          <w:szCs w:val="20"/>
        </w:rPr>
        <w:t xml:space="preserve"> </w:t>
      </w:r>
    </w:p>
    <w:p w:rsidR="00AF5DAD" w:rsidRDefault="00AF5DAD" w:rsidP="00E014B7">
      <w:pPr>
        <w:spacing w:line="480" w:lineRule="auto"/>
        <w:rPr>
          <w:rFonts w:cs="Times-Roman"/>
          <w:szCs w:val="20"/>
        </w:rPr>
      </w:pPr>
      <w:r>
        <w:rPr>
          <w:rFonts w:cs="Times-Roman"/>
          <w:i/>
          <w:szCs w:val="20"/>
        </w:rPr>
        <w:t>Additional Persuasion Knowledge Measures</w:t>
      </w:r>
      <w:r w:rsidR="00E014B7">
        <w:rPr>
          <w:rFonts w:cs="Times-Roman"/>
          <w:szCs w:val="20"/>
        </w:rPr>
        <w:tab/>
      </w:r>
    </w:p>
    <w:p w:rsidR="007E3C1F" w:rsidRPr="00FC1196" w:rsidRDefault="00AF5DAD" w:rsidP="00E014B7">
      <w:pPr>
        <w:spacing w:line="480" w:lineRule="auto"/>
        <w:rPr>
          <w:i/>
        </w:rPr>
      </w:pPr>
      <w:r>
        <w:tab/>
      </w:r>
      <w:r w:rsidR="00E014B7" w:rsidRPr="004E4727">
        <w:t xml:space="preserve">Additionally, an open-ended measure of persuasion knowledge, which </w:t>
      </w:r>
      <w:r w:rsidR="00786E57">
        <w:t>was</w:t>
      </w:r>
      <w:r w:rsidR="00E014B7" w:rsidRPr="004E4727">
        <w:t xml:space="preserve"> adapted from An and Stern (2011) and Mallinckrodt and Mizerski (2007) read as follows: “Why do you think someone would put a game like Pop-Tarts</w:t>
      </w:r>
      <w:r w:rsidR="00E014B7" w:rsidRPr="004E4727">
        <w:rPr>
          <w:rFonts w:cs="Times-Roman"/>
        </w:rPr>
        <w:sym w:font="Symbol" w:char="F0D2"/>
      </w:r>
      <w:r w:rsidR="00E014B7" w:rsidRPr="004E4727">
        <w:t xml:space="preserve"> Toasty-Turvy on the Internet?”</w:t>
      </w:r>
      <w:r w:rsidR="00E014B7">
        <w:t>.</w:t>
      </w:r>
      <w:r>
        <w:t xml:space="preserve"> A binary coding procedure was performed. Responses that indicated the advergame’s advertising, selling, marketing, promotional, or branding purposes were coded as “1”. Those who received a code value of  “1” recognize</w:t>
      </w:r>
      <w:r w:rsidR="000E3167">
        <w:t>d</w:t>
      </w:r>
      <w:r>
        <w:t xml:space="preserve"> the advergame as a form of advertising</w:t>
      </w:r>
      <w:r w:rsidR="000E3167">
        <w:t>.</w:t>
      </w:r>
      <w:r>
        <w:t xml:space="preserve"> All other responses were coded as “2” and </w:t>
      </w:r>
      <w:r w:rsidR="000E3167">
        <w:t>did not recognize the advergame as a form of advertising</w:t>
      </w:r>
      <w:r>
        <w:t xml:space="preserve">. </w:t>
      </w:r>
    </w:p>
    <w:p w:rsidR="00E014B7" w:rsidRPr="004E4727" w:rsidRDefault="00E014B7" w:rsidP="00E014B7">
      <w:pPr>
        <w:spacing w:line="480" w:lineRule="auto"/>
        <w:rPr>
          <w:i/>
          <w:iCs/>
        </w:rPr>
      </w:pPr>
      <w:r w:rsidRPr="004E4727">
        <w:rPr>
          <w:i/>
          <w:iCs/>
        </w:rPr>
        <w:t xml:space="preserve">Attitudes Toward Advergames </w:t>
      </w:r>
    </w:p>
    <w:p w:rsidR="001B18DD" w:rsidRDefault="00E014B7" w:rsidP="00786E57">
      <w:pPr>
        <w:spacing w:line="480" w:lineRule="auto"/>
      </w:pPr>
      <w:r>
        <w:tab/>
      </w:r>
      <w:r w:rsidR="00786E57">
        <w:t>Six items were</w:t>
      </w:r>
      <w:r w:rsidRPr="004E4727">
        <w:t xml:space="preserve"> </w:t>
      </w:r>
      <w:r>
        <w:t>adapted from Evans’ et al. (</w:t>
      </w:r>
      <w:r w:rsidR="007D3008">
        <w:t>2013</w:t>
      </w:r>
      <w:r w:rsidRPr="004E4727">
        <w:t>)</w:t>
      </w:r>
      <w:r>
        <w:t xml:space="preserve"> </w:t>
      </w:r>
      <w:r w:rsidRPr="004E4727">
        <w:t>research on parental attitudes toward childr</w:t>
      </w:r>
      <w:r w:rsidR="007E3C1F">
        <w:t>en’s advergames (c.f. Crosby &amp;</w:t>
      </w:r>
      <w:r w:rsidRPr="004E4727">
        <w:t xml:space="preserve"> Gross</w:t>
      </w:r>
      <w:r w:rsidR="007E3C1F">
        <w:t>bart, 1984; Wolin, Korgaonkar &amp;</w:t>
      </w:r>
      <w:r w:rsidRPr="004E4727">
        <w:t xml:space="preserve"> Lund</w:t>
      </w:r>
      <w:r w:rsidR="007E3C1F">
        <w:t>,</w:t>
      </w:r>
      <w:r w:rsidRPr="004E4727">
        <w:t xml:space="preserve"> 2002)</w:t>
      </w:r>
      <w:r>
        <w:t xml:space="preserve"> (S</w:t>
      </w:r>
      <w:r w:rsidRPr="00310737">
        <w:t>ee</w:t>
      </w:r>
      <w:r w:rsidR="00786E57">
        <w:t xml:space="preserve"> appendix C</w:t>
      </w:r>
      <w:r w:rsidRPr="00310737">
        <w:t>)</w:t>
      </w:r>
      <w:r w:rsidRPr="004E4727">
        <w:t>.</w:t>
      </w:r>
      <w:r>
        <w:t xml:space="preserve"> </w:t>
      </w:r>
      <w:r w:rsidR="00786E57">
        <w:t>These items</w:t>
      </w:r>
      <w:r>
        <w:t xml:space="preserve"> measure parents</w:t>
      </w:r>
      <w:r w:rsidR="007D3008">
        <w:t>’</w:t>
      </w:r>
      <w:r>
        <w:t xml:space="preserve"> attitudes toward children’s advergames and have strong internal consistency (</w:t>
      </w:r>
      <w:r>
        <w:sym w:font="Symbol" w:char="F061"/>
      </w:r>
      <w:r>
        <w:t xml:space="preserve"> = .86). </w:t>
      </w:r>
      <w:r w:rsidR="00786E57">
        <w:t>Several of these items were reverse coded to counter possible response bias.</w:t>
      </w:r>
      <w:r w:rsidR="00515CB9">
        <w:t xml:space="preserve"> </w:t>
      </w:r>
    </w:p>
    <w:p w:rsidR="00515CB9" w:rsidRPr="001B18DD" w:rsidRDefault="001B18DD" w:rsidP="00786E57">
      <w:pPr>
        <w:spacing w:line="480" w:lineRule="auto"/>
        <w:rPr>
          <w:i/>
          <w:iCs/>
        </w:rPr>
      </w:pPr>
      <w:r>
        <w:rPr>
          <w:i/>
          <w:iCs/>
        </w:rPr>
        <w:t xml:space="preserve">Attitudes Toward Advergames: </w:t>
      </w:r>
      <w:r>
        <w:rPr>
          <w:rFonts w:cs="Times-Roman"/>
          <w:i/>
          <w:szCs w:val="20"/>
        </w:rPr>
        <w:t>Assessment and Structure</w:t>
      </w:r>
    </w:p>
    <w:p w:rsidR="00E014B7" w:rsidRPr="00C51CDB" w:rsidRDefault="00515CB9" w:rsidP="00786E57">
      <w:pPr>
        <w:spacing w:line="480" w:lineRule="auto"/>
        <w:rPr>
          <w:rFonts w:cs="Times-Roman"/>
          <w:color w:val="292526"/>
          <w:szCs w:val="16"/>
        </w:rPr>
      </w:pPr>
      <w:r>
        <w:rPr>
          <w:rFonts w:cs="Times-Roman"/>
          <w:szCs w:val="20"/>
        </w:rPr>
        <w:tab/>
      </w:r>
      <w:r>
        <w:rPr>
          <w:rFonts w:cs="Times-Roman"/>
          <w:color w:val="292526"/>
          <w:szCs w:val="16"/>
        </w:rPr>
        <w:t xml:space="preserve">In order to test the underlying structure of </w:t>
      </w:r>
      <w:r w:rsidR="008E0355">
        <w:rPr>
          <w:rFonts w:cs="Times-Roman"/>
          <w:color w:val="292526"/>
          <w:szCs w:val="16"/>
        </w:rPr>
        <w:t>attitudes toward advergames</w:t>
      </w:r>
      <w:r>
        <w:rPr>
          <w:rFonts w:cs="Times-Roman"/>
          <w:color w:val="292526"/>
          <w:szCs w:val="16"/>
        </w:rPr>
        <w:t xml:space="preserve"> a principle components analysis was performed</w:t>
      </w:r>
      <w:r w:rsidR="00726D4C">
        <w:rPr>
          <w:rFonts w:cs="Times-Roman"/>
          <w:color w:val="292526"/>
          <w:szCs w:val="16"/>
        </w:rPr>
        <w:t>.</w:t>
      </w:r>
      <w:r>
        <w:rPr>
          <w:rFonts w:cs="Times-Roman"/>
          <w:color w:val="292526"/>
          <w:szCs w:val="16"/>
        </w:rPr>
        <w:t xml:space="preserve"> Following standard PCA procedures, components with Eigenvalues less than 1.0 were ignored and factor loadings of less than .40 were suppressed. The initial correlation matrix indicated no highly significant relationships (r </w:t>
      </w:r>
      <w:r>
        <w:rPr>
          <w:rFonts w:cs="Times-Roman"/>
          <w:color w:val="292526"/>
          <w:szCs w:val="16"/>
          <w:u w:val="single"/>
        </w:rPr>
        <w:t>&lt;</w:t>
      </w:r>
      <w:r>
        <w:rPr>
          <w:rFonts w:cs="Times-Roman"/>
          <w:color w:val="292526"/>
          <w:szCs w:val="16"/>
        </w:rPr>
        <w:t xml:space="preserve"> .85). Both the Kaiser-Meyer-Olkin test (.805) and the Bartlett’s Test of Sphericity (Chi</w:t>
      </w:r>
      <w:r>
        <w:rPr>
          <w:rFonts w:cs="Times-Roman"/>
          <w:color w:val="292526"/>
          <w:szCs w:val="16"/>
          <w:vertAlign w:val="superscript"/>
        </w:rPr>
        <w:t>2</w:t>
      </w:r>
      <w:r>
        <w:rPr>
          <w:rFonts w:cs="Times-Roman"/>
          <w:color w:val="292526"/>
          <w:szCs w:val="16"/>
        </w:rPr>
        <w:t xml:space="preserve"> = 482.438, df =15, p &lt; .000) indicate an adequate sample for factor analysis. PCA revealed one component, </w:t>
      </w:r>
      <w:r>
        <w:rPr>
          <w:rFonts w:cs="Times-Roman"/>
          <w:i/>
          <w:color w:val="292526"/>
          <w:szCs w:val="16"/>
        </w:rPr>
        <w:t xml:space="preserve">negative perceptions of advergames </w:t>
      </w:r>
      <w:r>
        <w:rPr>
          <w:rFonts w:cs="Times-Roman"/>
          <w:color w:val="292526"/>
          <w:szCs w:val="16"/>
        </w:rPr>
        <w:t>(</w:t>
      </w:r>
      <w:r>
        <w:sym w:font="Symbol" w:char="F061"/>
      </w:r>
      <w:r w:rsidR="00E97131">
        <w:t xml:space="preserve"> = .832’ M = 23.29; SD = 7.05</w:t>
      </w:r>
      <w:r>
        <w:t>)</w:t>
      </w:r>
      <w:r w:rsidR="00255BE5">
        <w:t>,</w:t>
      </w:r>
      <w:r>
        <w:rPr>
          <w:rFonts w:cs="Times-Roman"/>
          <w:color w:val="292526"/>
          <w:szCs w:val="16"/>
        </w:rPr>
        <w:t xml:space="preserve"> </w:t>
      </w:r>
      <w:r w:rsidR="00CB183D">
        <w:rPr>
          <w:rFonts w:cs="Times-Roman"/>
          <w:color w:val="292526"/>
          <w:szCs w:val="16"/>
        </w:rPr>
        <w:t>accounting for</w:t>
      </w:r>
      <w:r>
        <w:rPr>
          <w:rFonts w:cs="Times-Roman"/>
          <w:color w:val="292526"/>
          <w:szCs w:val="16"/>
        </w:rPr>
        <w:t xml:space="preserve"> 54.90% of variance in attitude measures</w:t>
      </w:r>
      <w:r w:rsidR="00CB183D">
        <w:rPr>
          <w:rFonts w:cs="Times-Roman"/>
          <w:color w:val="292526"/>
          <w:szCs w:val="16"/>
        </w:rPr>
        <w:t xml:space="preserve"> with an Eigenvalue of 3.29. All six items loaded on </w:t>
      </w:r>
      <w:r w:rsidR="00CB183D">
        <w:rPr>
          <w:rFonts w:cs="Times-Roman"/>
          <w:i/>
          <w:color w:val="292526"/>
          <w:szCs w:val="16"/>
        </w:rPr>
        <w:t xml:space="preserve">negative perceptions of advergames </w:t>
      </w:r>
      <w:r w:rsidR="00CB183D">
        <w:rPr>
          <w:rFonts w:cs="Times-Roman"/>
          <w:color w:val="292526"/>
          <w:szCs w:val="16"/>
        </w:rPr>
        <w:t>with factor loadings rangin</w:t>
      </w:r>
      <w:r w:rsidR="00C51CDB">
        <w:rPr>
          <w:rFonts w:cs="Times-Roman"/>
          <w:color w:val="292526"/>
          <w:szCs w:val="16"/>
        </w:rPr>
        <w:t>g from .542 to .862 (see table 1</w:t>
      </w:r>
      <w:r w:rsidR="00CB183D">
        <w:rPr>
          <w:rFonts w:cs="Times-Roman"/>
          <w:color w:val="292526"/>
          <w:szCs w:val="16"/>
        </w:rPr>
        <w:t xml:space="preserve">). </w:t>
      </w:r>
    </w:p>
    <w:p w:rsidR="00E014B7" w:rsidRDefault="00E014B7" w:rsidP="00E014B7">
      <w:pPr>
        <w:spacing w:line="480" w:lineRule="auto"/>
        <w:rPr>
          <w:rStyle w:val="Strong"/>
        </w:rPr>
      </w:pPr>
      <w:r>
        <w:rPr>
          <w:rStyle w:val="Strong"/>
          <w:szCs w:val="20"/>
        </w:rPr>
        <w:t>Covariates</w:t>
      </w:r>
    </w:p>
    <w:p w:rsidR="00E014B7" w:rsidRPr="00B564A2" w:rsidRDefault="00E014B7" w:rsidP="00E014B7">
      <w:pPr>
        <w:widowControl w:val="0"/>
        <w:autoSpaceDE w:val="0"/>
        <w:autoSpaceDN w:val="0"/>
        <w:adjustRightInd w:val="0"/>
        <w:spacing w:line="480" w:lineRule="auto"/>
        <w:rPr>
          <w:rFonts w:cs="AdvPS6F00"/>
          <w:i/>
          <w:szCs w:val="20"/>
        </w:rPr>
      </w:pPr>
      <w:r w:rsidRPr="00B564A2">
        <w:rPr>
          <w:rFonts w:cs="AdvPS6F00"/>
          <w:i/>
          <w:szCs w:val="20"/>
        </w:rPr>
        <w:t>Trait Differences in Persuasion Knowledge</w:t>
      </w:r>
      <w:r w:rsidRPr="00B564A2">
        <w:rPr>
          <w:rFonts w:cs="AdvPS6F00"/>
          <w:i/>
          <w:szCs w:val="20"/>
        </w:rPr>
        <w:tab/>
      </w:r>
    </w:p>
    <w:p w:rsidR="001B18DD" w:rsidRDefault="00E014B7" w:rsidP="00E014B7">
      <w:pPr>
        <w:widowControl w:val="0"/>
        <w:autoSpaceDE w:val="0"/>
        <w:autoSpaceDN w:val="0"/>
        <w:adjustRightInd w:val="0"/>
        <w:spacing w:line="480" w:lineRule="auto"/>
        <w:rPr>
          <w:rFonts w:cs="Helvetica"/>
          <w:szCs w:val="16"/>
        </w:rPr>
      </w:pPr>
      <w:r>
        <w:rPr>
          <w:rFonts w:cs="Times-Roman"/>
          <w:szCs w:val="20"/>
        </w:rPr>
        <w:tab/>
        <w:t>T</w:t>
      </w:r>
      <w:r w:rsidRPr="00B564A2">
        <w:rPr>
          <w:rFonts w:cs="Times-Roman"/>
          <w:szCs w:val="20"/>
        </w:rPr>
        <w:t>o control for</w:t>
      </w:r>
      <w:r>
        <w:rPr>
          <w:rFonts w:cs="Times-Roman"/>
          <w:szCs w:val="20"/>
        </w:rPr>
        <w:t xml:space="preserve"> individual</w:t>
      </w:r>
      <w:r w:rsidRPr="00B564A2">
        <w:rPr>
          <w:rFonts w:cs="Times-Roman"/>
          <w:szCs w:val="20"/>
        </w:rPr>
        <w:t xml:space="preserve"> trait differences</w:t>
      </w:r>
      <w:r>
        <w:rPr>
          <w:rFonts w:cs="Times-Roman"/>
          <w:szCs w:val="20"/>
        </w:rPr>
        <w:t xml:space="preserve"> in persuasion knowledge,</w:t>
      </w:r>
      <w:r w:rsidR="007E3C1F">
        <w:rPr>
          <w:rFonts w:cs="Times-Roman"/>
          <w:szCs w:val="20"/>
        </w:rPr>
        <w:t xml:space="preserve"> Bearden et al.</w:t>
      </w:r>
      <w:r w:rsidRPr="00B564A2">
        <w:rPr>
          <w:rFonts w:cs="Times-Roman"/>
          <w:szCs w:val="20"/>
        </w:rPr>
        <w:t xml:space="preserve"> (2001) six-item measure of persuasion knowledge </w:t>
      </w:r>
      <w:r w:rsidR="0095141A">
        <w:rPr>
          <w:rFonts w:cs="Times-Roman"/>
          <w:szCs w:val="20"/>
        </w:rPr>
        <w:t>was</w:t>
      </w:r>
      <w:r w:rsidRPr="00B564A2">
        <w:rPr>
          <w:rFonts w:cs="Times-Roman"/>
          <w:szCs w:val="20"/>
        </w:rPr>
        <w:t xml:space="preserve"> adopted.</w:t>
      </w:r>
      <w:r>
        <w:rPr>
          <w:rFonts w:cs="Times-Roman"/>
          <w:szCs w:val="20"/>
        </w:rPr>
        <w:t xml:space="preserve"> All questions </w:t>
      </w:r>
      <w:r w:rsidR="0095141A">
        <w:rPr>
          <w:rFonts w:cs="Times-Roman"/>
          <w:szCs w:val="20"/>
        </w:rPr>
        <w:t xml:space="preserve">have </w:t>
      </w:r>
      <w:r>
        <w:rPr>
          <w:rFonts w:cs="Times-Roman"/>
          <w:szCs w:val="20"/>
        </w:rPr>
        <w:t>maintain</w:t>
      </w:r>
      <w:r w:rsidR="0095141A">
        <w:rPr>
          <w:rFonts w:cs="Times-Roman"/>
          <w:szCs w:val="20"/>
        </w:rPr>
        <w:t>ed</w:t>
      </w:r>
      <w:r>
        <w:rPr>
          <w:rFonts w:cs="Times-Roman"/>
          <w:szCs w:val="20"/>
        </w:rPr>
        <w:t xml:space="preserve"> acceptable levels of internal consistency (</w:t>
      </w:r>
      <w:r>
        <w:rPr>
          <w:rFonts w:cs="Times-Roman"/>
          <w:szCs w:val="20"/>
        </w:rPr>
        <w:sym w:font="Symbol" w:char="F061"/>
      </w:r>
      <w:r>
        <w:rPr>
          <w:rFonts w:cs="Times-Roman"/>
          <w:szCs w:val="20"/>
        </w:rPr>
        <w:t xml:space="preserve"> = .83) </w:t>
      </w:r>
      <w:r w:rsidR="0095141A">
        <w:rPr>
          <w:rFonts w:cs="Times-Roman"/>
          <w:szCs w:val="20"/>
        </w:rPr>
        <w:t xml:space="preserve">in the past </w:t>
      </w:r>
      <w:r>
        <w:rPr>
          <w:rFonts w:cs="Times-Roman"/>
          <w:szCs w:val="20"/>
        </w:rPr>
        <w:t xml:space="preserve">and </w:t>
      </w:r>
      <w:r w:rsidR="0095141A">
        <w:rPr>
          <w:rFonts w:cs="Times-Roman"/>
          <w:szCs w:val="20"/>
        </w:rPr>
        <w:t>are</w:t>
      </w:r>
      <w:r>
        <w:rPr>
          <w:rFonts w:cs="Times-Roman"/>
          <w:szCs w:val="20"/>
        </w:rPr>
        <w:t xml:space="preserve"> measured using a seven-point Likert scale from strongly agree to strongly disagree.</w:t>
      </w:r>
      <w:r w:rsidRPr="00B564A2">
        <w:rPr>
          <w:rFonts w:cs="Times-Roman"/>
          <w:szCs w:val="20"/>
        </w:rPr>
        <w:t xml:space="preserve"> </w:t>
      </w:r>
      <w:r>
        <w:rPr>
          <w:rFonts w:cs="Times-Roman"/>
          <w:szCs w:val="20"/>
        </w:rPr>
        <w:t xml:space="preserve">Items include, </w:t>
      </w:r>
      <w:r w:rsidRPr="00627628">
        <w:rPr>
          <w:rFonts w:cs="Times-Roman"/>
          <w:szCs w:val="20"/>
        </w:rPr>
        <w:t>“</w:t>
      </w:r>
      <w:r w:rsidRPr="00627628">
        <w:rPr>
          <w:rFonts w:cs="Helvetica"/>
          <w:szCs w:val="16"/>
        </w:rPr>
        <w:t>I know when an offer is too good to be true”,</w:t>
      </w:r>
      <w:r w:rsidRPr="00627628">
        <w:rPr>
          <w:rFonts w:cs="Times-Roman"/>
          <w:szCs w:val="20"/>
        </w:rPr>
        <w:t xml:space="preserve"> “</w:t>
      </w:r>
      <w:r w:rsidRPr="00627628">
        <w:rPr>
          <w:rFonts w:cs="Helvetica"/>
          <w:szCs w:val="16"/>
        </w:rPr>
        <w:t>I can tell when an offer has strings attached”,</w:t>
      </w:r>
      <w:r w:rsidRPr="00627628">
        <w:rPr>
          <w:rFonts w:cs="Times-Roman"/>
          <w:szCs w:val="20"/>
        </w:rPr>
        <w:t xml:space="preserve"> “</w:t>
      </w:r>
      <w:r w:rsidRPr="00627628">
        <w:rPr>
          <w:rFonts w:cs="Helvetica"/>
          <w:szCs w:val="16"/>
        </w:rPr>
        <w:t>I have no trouble understanding the bargaining tactics used by salespersons”,</w:t>
      </w:r>
      <w:r w:rsidRPr="00627628">
        <w:rPr>
          <w:rFonts w:cs="Times-Roman"/>
          <w:szCs w:val="20"/>
        </w:rPr>
        <w:t xml:space="preserve"> “</w:t>
      </w:r>
      <w:r w:rsidRPr="00627628">
        <w:rPr>
          <w:rFonts w:cs="Helvetica"/>
          <w:szCs w:val="16"/>
        </w:rPr>
        <w:t>I know when a marketer is pressuring me to buy”,</w:t>
      </w:r>
      <w:r w:rsidRPr="00627628">
        <w:rPr>
          <w:rFonts w:cs="Times-Roman"/>
          <w:szCs w:val="20"/>
        </w:rPr>
        <w:t xml:space="preserve"> </w:t>
      </w:r>
      <w:r w:rsidRPr="00627628">
        <w:rPr>
          <w:rFonts w:cs="Helvetica"/>
          <w:szCs w:val="16"/>
        </w:rPr>
        <w:t>I can see through sales gimmicks used to get consumers to buy”, and</w:t>
      </w:r>
      <w:r w:rsidRPr="00627628">
        <w:rPr>
          <w:rFonts w:cs="Times-Roman"/>
          <w:szCs w:val="20"/>
        </w:rPr>
        <w:t xml:space="preserve"> “</w:t>
      </w:r>
      <w:r w:rsidRPr="00627628">
        <w:rPr>
          <w:rFonts w:cs="Helvetica"/>
          <w:szCs w:val="16"/>
        </w:rPr>
        <w:t>I can separate fact from fantasy in advertising”.</w:t>
      </w:r>
      <w:r w:rsidR="0095141A">
        <w:rPr>
          <w:rFonts w:cs="Helvetica"/>
          <w:szCs w:val="16"/>
        </w:rPr>
        <w:t xml:space="preserve"> Several of the items were reverse coded in order to reduce response bias (see appendix C).</w:t>
      </w:r>
    </w:p>
    <w:p w:rsidR="00843EB2" w:rsidRDefault="00843EB2" w:rsidP="00D22175">
      <w:pPr>
        <w:pStyle w:val="NormalWeb"/>
        <w:spacing w:before="0" w:beforeAutospacing="0" w:after="0" w:afterAutospacing="0" w:line="480" w:lineRule="auto"/>
        <w:rPr>
          <w:rFonts w:cs="Times-Roman"/>
          <w:b/>
          <w:szCs w:val="20"/>
        </w:rPr>
      </w:pPr>
    </w:p>
    <w:p w:rsidR="00843EB2" w:rsidRDefault="00843EB2" w:rsidP="00D22175">
      <w:pPr>
        <w:pStyle w:val="NormalWeb"/>
        <w:spacing w:before="0" w:beforeAutospacing="0" w:after="0" w:afterAutospacing="0" w:line="480" w:lineRule="auto"/>
        <w:rPr>
          <w:rFonts w:cs="Times-Roman"/>
          <w:b/>
          <w:szCs w:val="20"/>
        </w:rPr>
      </w:pPr>
    </w:p>
    <w:p w:rsidR="00D22175" w:rsidRPr="00C51CDB" w:rsidRDefault="00D22175" w:rsidP="00D22175">
      <w:pPr>
        <w:pStyle w:val="NormalWeb"/>
        <w:spacing w:before="0" w:beforeAutospacing="0" w:after="0" w:afterAutospacing="0" w:line="480" w:lineRule="auto"/>
        <w:rPr>
          <w:rFonts w:cs="Times-Roman"/>
          <w:b/>
          <w:szCs w:val="20"/>
        </w:rPr>
      </w:pPr>
      <w:r>
        <w:rPr>
          <w:rFonts w:cs="Times-Roman"/>
          <w:b/>
          <w:szCs w:val="20"/>
        </w:rPr>
        <w:t>Table #1: Dependent Variables and Covariate Component Factor Loadings</w:t>
      </w:r>
    </w:p>
    <w:tbl>
      <w:tblPr>
        <w:tblStyle w:val="TableGrid"/>
        <w:tblW w:w="9337" w:type="dxa"/>
        <w:jc w:val="center"/>
        <w:tblLook w:val="00BF"/>
      </w:tblPr>
      <w:tblGrid>
        <w:gridCol w:w="3415"/>
        <w:gridCol w:w="755"/>
        <w:gridCol w:w="755"/>
        <w:gridCol w:w="755"/>
        <w:gridCol w:w="1227"/>
        <w:gridCol w:w="755"/>
        <w:gridCol w:w="1039"/>
        <w:gridCol w:w="636"/>
      </w:tblGrid>
      <w:tr w:rsidR="00D22175">
        <w:trPr>
          <w:jc w:val="center"/>
        </w:trPr>
        <w:tc>
          <w:tcPr>
            <w:tcW w:w="3415" w:type="dxa"/>
            <w:vMerge w:val="restart"/>
            <w:vAlign w:val="center"/>
          </w:tcPr>
          <w:p w:rsidR="00D22175" w:rsidRDefault="00D22175" w:rsidP="00C51CDB">
            <w:pPr>
              <w:jc w:val="center"/>
            </w:pPr>
            <w:r>
              <w:t>Items</w:t>
            </w:r>
          </w:p>
        </w:tc>
        <w:tc>
          <w:tcPr>
            <w:tcW w:w="5286" w:type="dxa"/>
            <w:gridSpan w:val="6"/>
            <w:vAlign w:val="center"/>
          </w:tcPr>
          <w:p w:rsidR="00D22175" w:rsidRDefault="00D22175" w:rsidP="00C51CDB">
            <w:pPr>
              <w:spacing w:line="360" w:lineRule="auto"/>
              <w:jc w:val="center"/>
            </w:pPr>
            <w:r>
              <w:t>Components and Loadings</w:t>
            </w:r>
          </w:p>
        </w:tc>
        <w:tc>
          <w:tcPr>
            <w:tcW w:w="636" w:type="dxa"/>
            <w:vMerge w:val="restart"/>
            <w:vAlign w:val="center"/>
          </w:tcPr>
          <w:p w:rsidR="00D22175" w:rsidRPr="0004729A" w:rsidRDefault="00D22175" w:rsidP="00C51CDB">
            <w:pPr>
              <w:jc w:val="center"/>
              <w:rPr>
                <w:sz w:val="28"/>
              </w:rPr>
            </w:pPr>
            <w:r w:rsidRPr="0004729A">
              <w:rPr>
                <w:sz w:val="28"/>
              </w:rPr>
              <w:sym w:font="Symbol" w:char="F061"/>
            </w:r>
          </w:p>
        </w:tc>
      </w:tr>
      <w:tr w:rsidR="00D22175">
        <w:trPr>
          <w:jc w:val="center"/>
        </w:trPr>
        <w:tc>
          <w:tcPr>
            <w:tcW w:w="3415" w:type="dxa"/>
            <w:vMerge/>
          </w:tcPr>
          <w:p w:rsidR="00D22175" w:rsidRPr="0004729A" w:rsidRDefault="00D22175">
            <w:pPr>
              <w:rPr>
                <w:sz w:val="16"/>
              </w:rPr>
            </w:pPr>
          </w:p>
        </w:tc>
        <w:tc>
          <w:tcPr>
            <w:tcW w:w="755" w:type="dxa"/>
            <w:tcBorders>
              <w:bottom w:val="single" w:sz="4" w:space="0" w:color="000000" w:themeColor="text1"/>
            </w:tcBorders>
            <w:vAlign w:val="center"/>
          </w:tcPr>
          <w:p w:rsidR="00D22175" w:rsidRPr="00864077" w:rsidRDefault="00D22175" w:rsidP="00C51CDB">
            <w:pPr>
              <w:jc w:val="center"/>
              <w:rPr>
                <w:sz w:val="20"/>
              </w:rPr>
            </w:pPr>
            <w:r w:rsidRPr="00864077">
              <w:rPr>
                <w:sz w:val="20"/>
              </w:rPr>
              <w:t>Info. Know.</w:t>
            </w:r>
          </w:p>
        </w:tc>
        <w:tc>
          <w:tcPr>
            <w:tcW w:w="755" w:type="dxa"/>
            <w:tcBorders>
              <w:bottom w:val="single" w:sz="4" w:space="0" w:color="000000" w:themeColor="text1"/>
            </w:tcBorders>
            <w:vAlign w:val="center"/>
          </w:tcPr>
          <w:p w:rsidR="00D22175" w:rsidRPr="00864077" w:rsidRDefault="00D22175" w:rsidP="00C51CDB">
            <w:pPr>
              <w:jc w:val="center"/>
              <w:rPr>
                <w:sz w:val="20"/>
              </w:rPr>
            </w:pPr>
            <w:r w:rsidRPr="00864077">
              <w:rPr>
                <w:sz w:val="20"/>
              </w:rPr>
              <w:t>Ent. Know.</w:t>
            </w:r>
          </w:p>
        </w:tc>
        <w:tc>
          <w:tcPr>
            <w:tcW w:w="755" w:type="dxa"/>
            <w:tcBorders>
              <w:bottom w:val="single" w:sz="4" w:space="0" w:color="000000" w:themeColor="text1"/>
            </w:tcBorders>
            <w:vAlign w:val="center"/>
          </w:tcPr>
          <w:p w:rsidR="00D22175" w:rsidRPr="00864077" w:rsidRDefault="00D22175" w:rsidP="00C51CDB">
            <w:pPr>
              <w:jc w:val="center"/>
              <w:rPr>
                <w:sz w:val="20"/>
              </w:rPr>
            </w:pPr>
            <w:r w:rsidRPr="00864077">
              <w:rPr>
                <w:sz w:val="20"/>
              </w:rPr>
              <w:t>Sell. and Per. Know.</w:t>
            </w:r>
          </w:p>
        </w:tc>
        <w:tc>
          <w:tcPr>
            <w:tcW w:w="1227" w:type="dxa"/>
            <w:tcBorders>
              <w:bottom w:val="single" w:sz="4" w:space="0" w:color="000000" w:themeColor="text1"/>
            </w:tcBorders>
            <w:vAlign w:val="center"/>
          </w:tcPr>
          <w:p w:rsidR="00D22175" w:rsidRPr="00864077" w:rsidRDefault="00D22175" w:rsidP="00C51CDB">
            <w:pPr>
              <w:jc w:val="center"/>
              <w:rPr>
                <w:sz w:val="20"/>
              </w:rPr>
            </w:pPr>
            <w:r w:rsidRPr="00864077">
              <w:rPr>
                <w:sz w:val="20"/>
              </w:rPr>
              <w:t>Neg. Perceptions of Advergames</w:t>
            </w:r>
          </w:p>
        </w:tc>
        <w:tc>
          <w:tcPr>
            <w:tcW w:w="755" w:type="dxa"/>
            <w:tcBorders>
              <w:bottom w:val="single" w:sz="4" w:space="0" w:color="000000" w:themeColor="text1"/>
            </w:tcBorders>
            <w:vAlign w:val="center"/>
          </w:tcPr>
          <w:p w:rsidR="00D22175" w:rsidRPr="00864077" w:rsidRDefault="00D22175" w:rsidP="00C51CDB">
            <w:pPr>
              <w:jc w:val="center"/>
              <w:rPr>
                <w:sz w:val="20"/>
              </w:rPr>
            </w:pPr>
            <w:r w:rsidRPr="00864077">
              <w:rPr>
                <w:sz w:val="20"/>
              </w:rPr>
              <w:t>Ind. Per. Know.</w:t>
            </w:r>
          </w:p>
        </w:tc>
        <w:tc>
          <w:tcPr>
            <w:tcW w:w="1039" w:type="dxa"/>
            <w:tcBorders>
              <w:bottom w:val="single" w:sz="4" w:space="0" w:color="000000" w:themeColor="text1"/>
            </w:tcBorders>
            <w:vAlign w:val="center"/>
          </w:tcPr>
          <w:p w:rsidR="00D22175" w:rsidRPr="00864077" w:rsidRDefault="00D22175" w:rsidP="00C51CDB">
            <w:pPr>
              <w:jc w:val="center"/>
              <w:rPr>
                <w:sz w:val="20"/>
              </w:rPr>
            </w:pPr>
            <w:r w:rsidRPr="00864077">
              <w:rPr>
                <w:sz w:val="20"/>
              </w:rPr>
              <w:t>Parents’ Mediation of Int.</w:t>
            </w:r>
          </w:p>
        </w:tc>
        <w:tc>
          <w:tcPr>
            <w:tcW w:w="636" w:type="dxa"/>
            <w:vMerge/>
          </w:tcPr>
          <w:p w:rsidR="00D22175" w:rsidRPr="0004729A" w:rsidRDefault="00D22175">
            <w:pPr>
              <w:rPr>
                <w:sz w:val="16"/>
              </w:rPr>
            </w:pPr>
          </w:p>
        </w:tc>
      </w:tr>
      <w:tr w:rsidR="00D22175">
        <w:trPr>
          <w:jc w:val="center"/>
        </w:trPr>
        <w:tc>
          <w:tcPr>
            <w:tcW w:w="3415" w:type="dxa"/>
          </w:tcPr>
          <w:p w:rsidR="00D22175" w:rsidRPr="00864077" w:rsidRDefault="00D22175">
            <w:pPr>
              <w:rPr>
                <w:sz w:val="20"/>
              </w:rPr>
            </w:pPr>
            <w:r w:rsidRPr="00864077">
              <w:rPr>
                <w:sz w:val="20"/>
              </w:rPr>
              <w:t>This game provides information about pop tarts</w:t>
            </w:r>
          </w:p>
        </w:tc>
        <w:tc>
          <w:tcPr>
            <w:tcW w:w="755" w:type="dxa"/>
            <w:tcBorders>
              <w:bottom w:val="nil"/>
            </w:tcBorders>
            <w:vAlign w:val="center"/>
          </w:tcPr>
          <w:p w:rsidR="00D22175" w:rsidRDefault="00D22175" w:rsidP="00C51CDB">
            <w:pPr>
              <w:jc w:val="center"/>
            </w:pPr>
            <w:r>
              <w:t>.898</w:t>
            </w:r>
          </w:p>
        </w:tc>
        <w:tc>
          <w:tcPr>
            <w:tcW w:w="755" w:type="dxa"/>
            <w:vMerge w:val="restart"/>
            <w:vAlign w:val="center"/>
          </w:tcPr>
          <w:p w:rsidR="00D22175" w:rsidRDefault="00D22175" w:rsidP="00C51CDB">
            <w:pPr>
              <w:jc w:val="center"/>
            </w:pPr>
          </w:p>
        </w:tc>
        <w:tc>
          <w:tcPr>
            <w:tcW w:w="755" w:type="dxa"/>
            <w:vMerge w:val="restart"/>
            <w:vAlign w:val="center"/>
          </w:tcPr>
          <w:p w:rsidR="00D22175" w:rsidRDefault="00D22175" w:rsidP="00C51CDB">
            <w:pPr>
              <w:jc w:val="center"/>
            </w:pPr>
          </w:p>
        </w:tc>
        <w:tc>
          <w:tcPr>
            <w:tcW w:w="1227" w:type="dxa"/>
            <w:vMerge w:val="restart"/>
            <w:vAlign w:val="center"/>
          </w:tcPr>
          <w:p w:rsidR="00D22175" w:rsidRDefault="00D22175" w:rsidP="00C51CDB">
            <w:pPr>
              <w:jc w:val="center"/>
            </w:pPr>
          </w:p>
        </w:tc>
        <w:tc>
          <w:tcPr>
            <w:tcW w:w="755" w:type="dxa"/>
            <w:vMerge w:val="restart"/>
            <w:vAlign w:val="center"/>
          </w:tcPr>
          <w:p w:rsidR="00D22175" w:rsidRDefault="00D22175" w:rsidP="00C51CDB">
            <w:pPr>
              <w:jc w:val="center"/>
            </w:pPr>
          </w:p>
        </w:tc>
        <w:tc>
          <w:tcPr>
            <w:tcW w:w="1039" w:type="dxa"/>
            <w:vMerge w:val="restart"/>
            <w:vAlign w:val="center"/>
          </w:tcPr>
          <w:p w:rsidR="00D22175" w:rsidRDefault="00D22175" w:rsidP="00C51CDB">
            <w:pPr>
              <w:jc w:val="center"/>
            </w:pPr>
          </w:p>
        </w:tc>
        <w:tc>
          <w:tcPr>
            <w:tcW w:w="636" w:type="dxa"/>
            <w:vMerge w:val="restart"/>
            <w:vAlign w:val="center"/>
          </w:tcPr>
          <w:p w:rsidR="00D22175" w:rsidRDefault="00D22175" w:rsidP="00C51CDB">
            <w:pPr>
              <w:jc w:val="center"/>
            </w:pPr>
            <w:r>
              <w:t>.853</w:t>
            </w:r>
          </w:p>
        </w:tc>
      </w:tr>
      <w:tr w:rsidR="00D22175">
        <w:trPr>
          <w:jc w:val="center"/>
        </w:trPr>
        <w:tc>
          <w:tcPr>
            <w:tcW w:w="3415" w:type="dxa"/>
          </w:tcPr>
          <w:p w:rsidR="00D22175" w:rsidRPr="00864077" w:rsidRDefault="00D22175">
            <w:pPr>
              <w:rPr>
                <w:sz w:val="20"/>
              </w:rPr>
            </w:pPr>
            <w:r w:rsidRPr="00864077">
              <w:rPr>
                <w:sz w:val="20"/>
              </w:rPr>
              <w:t>This game makes people like pop tarts</w:t>
            </w:r>
          </w:p>
        </w:tc>
        <w:tc>
          <w:tcPr>
            <w:tcW w:w="755" w:type="dxa"/>
            <w:tcBorders>
              <w:top w:val="nil"/>
              <w:bottom w:val="nil"/>
            </w:tcBorders>
            <w:vAlign w:val="center"/>
          </w:tcPr>
          <w:p w:rsidR="00D22175" w:rsidRDefault="00D22175" w:rsidP="00C51CDB">
            <w:pPr>
              <w:jc w:val="center"/>
            </w:pPr>
            <w:r>
              <w:t>.776</w:t>
            </w: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1227"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1039" w:type="dxa"/>
            <w:vMerge/>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This game lets people know more about pop tarts</w:t>
            </w:r>
          </w:p>
        </w:tc>
        <w:tc>
          <w:tcPr>
            <w:tcW w:w="755" w:type="dxa"/>
            <w:tcBorders>
              <w:top w:val="nil"/>
              <w:bottom w:val="single" w:sz="4" w:space="0" w:color="000000" w:themeColor="text1"/>
            </w:tcBorders>
            <w:vAlign w:val="center"/>
          </w:tcPr>
          <w:p w:rsidR="00D22175" w:rsidRDefault="00D22175" w:rsidP="00C51CDB">
            <w:pPr>
              <w:jc w:val="center"/>
            </w:pPr>
            <w:r>
              <w:t>.908</w:t>
            </w:r>
          </w:p>
        </w:tc>
        <w:tc>
          <w:tcPr>
            <w:tcW w:w="755" w:type="dxa"/>
            <w:vMerge/>
            <w:tcBorders>
              <w:bottom w:val="single" w:sz="4" w:space="0" w:color="000000" w:themeColor="text1"/>
            </w:tcBorders>
            <w:vAlign w:val="center"/>
          </w:tcPr>
          <w:p w:rsidR="00D22175" w:rsidRDefault="00D22175" w:rsidP="00C51CDB">
            <w:pPr>
              <w:jc w:val="center"/>
            </w:pPr>
          </w:p>
        </w:tc>
        <w:tc>
          <w:tcPr>
            <w:tcW w:w="755" w:type="dxa"/>
            <w:vMerge/>
            <w:tcBorders>
              <w:bottom w:val="single" w:sz="4" w:space="0" w:color="000000" w:themeColor="text1"/>
            </w:tcBorders>
            <w:vAlign w:val="center"/>
          </w:tcPr>
          <w:p w:rsidR="00D22175" w:rsidRDefault="00D22175" w:rsidP="00C51CDB">
            <w:pPr>
              <w:jc w:val="center"/>
            </w:pPr>
          </w:p>
        </w:tc>
        <w:tc>
          <w:tcPr>
            <w:tcW w:w="1227" w:type="dxa"/>
            <w:vMerge/>
            <w:tcBorders>
              <w:bottom w:val="single" w:sz="4" w:space="0" w:color="000000" w:themeColor="text1"/>
            </w:tcBorders>
            <w:vAlign w:val="center"/>
          </w:tcPr>
          <w:p w:rsidR="00D22175" w:rsidRDefault="00D22175" w:rsidP="00C51CDB">
            <w:pPr>
              <w:jc w:val="center"/>
            </w:pPr>
          </w:p>
        </w:tc>
        <w:tc>
          <w:tcPr>
            <w:tcW w:w="755" w:type="dxa"/>
            <w:vMerge/>
            <w:tcBorders>
              <w:bottom w:val="single" w:sz="4" w:space="0" w:color="000000" w:themeColor="text1"/>
            </w:tcBorders>
            <w:vAlign w:val="center"/>
          </w:tcPr>
          <w:p w:rsidR="00D22175" w:rsidRDefault="00D22175" w:rsidP="00C51CDB">
            <w:pPr>
              <w:jc w:val="center"/>
            </w:pPr>
          </w:p>
        </w:tc>
        <w:tc>
          <w:tcPr>
            <w:tcW w:w="1039" w:type="dxa"/>
            <w:vMerge/>
            <w:tcBorders>
              <w:bottom w:val="single" w:sz="4" w:space="0" w:color="000000" w:themeColor="text1"/>
            </w:tcBorders>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This game is a good way to pass the time</w:t>
            </w:r>
          </w:p>
        </w:tc>
        <w:tc>
          <w:tcPr>
            <w:tcW w:w="755" w:type="dxa"/>
            <w:vMerge w:val="restart"/>
            <w:tcBorders>
              <w:top w:val="single" w:sz="4" w:space="0" w:color="000000" w:themeColor="text1"/>
            </w:tcBorders>
            <w:vAlign w:val="center"/>
          </w:tcPr>
          <w:p w:rsidR="00D22175" w:rsidRDefault="00D22175" w:rsidP="00C51CDB">
            <w:pPr>
              <w:jc w:val="center"/>
            </w:pPr>
          </w:p>
        </w:tc>
        <w:tc>
          <w:tcPr>
            <w:tcW w:w="755" w:type="dxa"/>
            <w:tcBorders>
              <w:top w:val="single" w:sz="4" w:space="0" w:color="000000" w:themeColor="text1"/>
              <w:bottom w:val="nil"/>
            </w:tcBorders>
            <w:vAlign w:val="center"/>
          </w:tcPr>
          <w:p w:rsidR="00D22175" w:rsidRDefault="00D22175" w:rsidP="00C51CDB">
            <w:pPr>
              <w:jc w:val="center"/>
            </w:pPr>
            <w:r>
              <w:t>.795</w:t>
            </w:r>
          </w:p>
        </w:tc>
        <w:tc>
          <w:tcPr>
            <w:tcW w:w="755" w:type="dxa"/>
            <w:vMerge w:val="restart"/>
            <w:tcBorders>
              <w:top w:val="single" w:sz="4" w:space="0" w:color="000000" w:themeColor="text1"/>
            </w:tcBorders>
            <w:vAlign w:val="center"/>
          </w:tcPr>
          <w:p w:rsidR="00D22175" w:rsidRDefault="00D22175" w:rsidP="00C51CDB">
            <w:pPr>
              <w:jc w:val="center"/>
            </w:pPr>
          </w:p>
        </w:tc>
        <w:tc>
          <w:tcPr>
            <w:tcW w:w="1227" w:type="dxa"/>
            <w:vMerge w:val="restart"/>
            <w:tcBorders>
              <w:top w:val="single" w:sz="4" w:space="0" w:color="000000" w:themeColor="text1"/>
            </w:tcBorders>
            <w:vAlign w:val="center"/>
          </w:tcPr>
          <w:p w:rsidR="00D22175" w:rsidRDefault="00D22175" w:rsidP="00C51CDB">
            <w:pPr>
              <w:jc w:val="center"/>
            </w:pPr>
          </w:p>
        </w:tc>
        <w:tc>
          <w:tcPr>
            <w:tcW w:w="755" w:type="dxa"/>
            <w:vMerge w:val="restart"/>
            <w:tcBorders>
              <w:top w:val="single" w:sz="4" w:space="0" w:color="000000" w:themeColor="text1"/>
            </w:tcBorders>
            <w:vAlign w:val="center"/>
          </w:tcPr>
          <w:p w:rsidR="00D22175" w:rsidRDefault="00D22175" w:rsidP="00C51CDB">
            <w:pPr>
              <w:jc w:val="center"/>
            </w:pPr>
          </w:p>
        </w:tc>
        <w:tc>
          <w:tcPr>
            <w:tcW w:w="1039" w:type="dxa"/>
            <w:vMerge w:val="restart"/>
            <w:tcBorders>
              <w:top w:val="single" w:sz="4" w:space="0" w:color="000000" w:themeColor="text1"/>
            </w:tcBorders>
            <w:vAlign w:val="center"/>
          </w:tcPr>
          <w:p w:rsidR="00D22175" w:rsidRDefault="00D22175" w:rsidP="00C51CDB">
            <w:pPr>
              <w:jc w:val="center"/>
            </w:pPr>
          </w:p>
        </w:tc>
        <w:tc>
          <w:tcPr>
            <w:tcW w:w="636" w:type="dxa"/>
            <w:vMerge w:val="restart"/>
            <w:vAlign w:val="center"/>
          </w:tcPr>
          <w:p w:rsidR="00D22175" w:rsidRDefault="00D22175" w:rsidP="00C51CDB">
            <w:pPr>
              <w:jc w:val="center"/>
            </w:pPr>
            <w:r>
              <w:t>.788</w:t>
            </w:r>
          </w:p>
        </w:tc>
      </w:tr>
      <w:tr w:rsidR="00D22175">
        <w:trPr>
          <w:jc w:val="center"/>
        </w:trPr>
        <w:tc>
          <w:tcPr>
            <w:tcW w:w="3415" w:type="dxa"/>
          </w:tcPr>
          <w:p w:rsidR="00D22175" w:rsidRPr="00864077" w:rsidRDefault="00D22175">
            <w:pPr>
              <w:rPr>
                <w:sz w:val="20"/>
              </w:rPr>
            </w:pPr>
            <w:r w:rsidRPr="00864077">
              <w:rPr>
                <w:sz w:val="20"/>
              </w:rPr>
              <w:t>This game provides entertainment</w:t>
            </w:r>
          </w:p>
        </w:tc>
        <w:tc>
          <w:tcPr>
            <w:tcW w:w="755" w:type="dxa"/>
            <w:vMerge/>
            <w:vAlign w:val="center"/>
          </w:tcPr>
          <w:p w:rsidR="00D22175" w:rsidRDefault="00D22175" w:rsidP="00C51CDB">
            <w:pPr>
              <w:jc w:val="center"/>
            </w:pPr>
          </w:p>
        </w:tc>
        <w:tc>
          <w:tcPr>
            <w:tcW w:w="755" w:type="dxa"/>
            <w:tcBorders>
              <w:top w:val="nil"/>
              <w:bottom w:val="nil"/>
            </w:tcBorders>
            <w:vAlign w:val="center"/>
          </w:tcPr>
          <w:p w:rsidR="00D22175" w:rsidRDefault="00D22175" w:rsidP="00C51CDB">
            <w:pPr>
              <w:jc w:val="center"/>
            </w:pPr>
            <w:r>
              <w:t>.851</w:t>
            </w:r>
          </w:p>
        </w:tc>
        <w:tc>
          <w:tcPr>
            <w:tcW w:w="755" w:type="dxa"/>
            <w:vMerge/>
            <w:vAlign w:val="center"/>
          </w:tcPr>
          <w:p w:rsidR="00D22175" w:rsidRDefault="00D22175" w:rsidP="00C51CDB">
            <w:pPr>
              <w:jc w:val="center"/>
            </w:pPr>
          </w:p>
        </w:tc>
        <w:tc>
          <w:tcPr>
            <w:tcW w:w="1227"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1039" w:type="dxa"/>
            <w:vMerge/>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This game helps develop cognitive skills</w:t>
            </w:r>
          </w:p>
        </w:tc>
        <w:tc>
          <w:tcPr>
            <w:tcW w:w="755" w:type="dxa"/>
            <w:vMerge/>
            <w:tcBorders>
              <w:bottom w:val="single" w:sz="4" w:space="0" w:color="000000" w:themeColor="text1"/>
            </w:tcBorders>
            <w:vAlign w:val="center"/>
          </w:tcPr>
          <w:p w:rsidR="00D22175" w:rsidRDefault="00D22175" w:rsidP="00C51CDB">
            <w:pPr>
              <w:jc w:val="center"/>
            </w:pPr>
          </w:p>
        </w:tc>
        <w:tc>
          <w:tcPr>
            <w:tcW w:w="755" w:type="dxa"/>
            <w:tcBorders>
              <w:top w:val="nil"/>
              <w:bottom w:val="single" w:sz="4" w:space="0" w:color="000000" w:themeColor="text1"/>
            </w:tcBorders>
            <w:vAlign w:val="center"/>
          </w:tcPr>
          <w:p w:rsidR="00D22175" w:rsidRDefault="00D22175" w:rsidP="00C51CDB">
            <w:pPr>
              <w:jc w:val="center"/>
            </w:pPr>
            <w:r>
              <w:t>.809</w:t>
            </w:r>
          </w:p>
        </w:tc>
        <w:tc>
          <w:tcPr>
            <w:tcW w:w="755" w:type="dxa"/>
            <w:vMerge/>
            <w:tcBorders>
              <w:bottom w:val="single" w:sz="4" w:space="0" w:color="000000" w:themeColor="text1"/>
            </w:tcBorders>
            <w:vAlign w:val="center"/>
          </w:tcPr>
          <w:p w:rsidR="00D22175" w:rsidRDefault="00D22175" w:rsidP="00C51CDB">
            <w:pPr>
              <w:jc w:val="center"/>
            </w:pPr>
          </w:p>
        </w:tc>
        <w:tc>
          <w:tcPr>
            <w:tcW w:w="1227" w:type="dxa"/>
            <w:vMerge/>
            <w:tcBorders>
              <w:bottom w:val="single" w:sz="4" w:space="0" w:color="000000" w:themeColor="text1"/>
            </w:tcBorders>
            <w:vAlign w:val="center"/>
          </w:tcPr>
          <w:p w:rsidR="00D22175" w:rsidRDefault="00D22175" w:rsidP="00C51CDB">
            <w:pPr>
              <w:jc w:val="center"/>
            </w:pPr>
          </w:p>
        </w:tc>
        <w:tc>
          <w:tcPr>
            <w:tcW w:w="755" w:type="dxa"/>
            <w:vMerge/>
            <w:tcBorders>
              <w:bottom w:val="single" w:sz="4" w:space="0" w:color="000000" w:themeColor="text1"/>
            </w:tcBorders>
            <w:vAlign w:val="center"/>
          </w:tcPr>
          <w:p w:rsidR="00D22175" w:rsidRDefault="00D22175" w:rsidP="00C51CDB">
            <w:pPr>
              <w:jc w:val="center"/>
            </w:pPr>
          </w:p>
        </w:tc>
        <w:tc>
          <w:tcPr>
            <w:tcW w:w="1039" w:type="dxa"/>
            <w:vMerge/>
            <w:tcBorders>
              <w:bottom w:val="single" w:sz="4" w:space="0" w:color="000000" w:themeColor="text1"/>
            </w:tcBorders>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This game is not meant to sell pop tarts</w:t>
            </w:r>
          </w:p>
        </w:tc>
        <w:tc>
          <w:tcPr>
            <w:tcW w:w="755" w:type="dxa"/>
            <w:vMerge w:val="restart"/>
            <w:tcBorders>
              <w:top w:val="single" w:sz="4" w:space="0" w:color="000000" w:themeColor="text1"/>
            </w:tcBorders>
            <w:vAlign w:val="center"/>
          </w:tcPr>
          <w:p w:rsidR="00D22175" w:rsidRDefault="00D22175" w:rsidP="00C51CDB">
            <w:pPr>
              <w:jc w:val="center"/>
            </w:pPr>
          </w:p>
        </w:tc>
        <w:tc>
          <w:tcPr>
            <w:tcW w:w="755" w:type="dxa"/>
            <w:vMerge w:val="restart"/>
            <w:tcBorders>
              <w:top w:val="single" w:sz="4" w:space="0" w:color="000000" w:themeColor="text1"/>
            </w:tcBorders>
            <w:vAlign w:val="center"/>
          </w:tcPr>
          <w:p w:rsidR="00D22175" w:rsidRDefault="00D22175" w:rsidP="00C51CDB">
            <w:pPr>
              <w:jc w:val="center"/>
            </w:pPr>
          </w:p>
        </w:tc>
        <w:tc>
          <w:tcPr>
            <w:tcW w:w="755" w:type="dxa"/>
            <w:tcBorders>
              <w:top w:val="single" w:sz="4" w:space="0" w:color="000000" w:themeColor="text1"/>
              <w:bottom w:val="nil"/>
            </w:tcBorders>
            <w:vAlign w:val="center"/>
          </w:tcPr>
          <w:p w:rsidR="00D22175" w:rsidRDefault="00D22175" w:rsidP="00C51CDB">
            <w:pPr>
              <w:jc w:val="center"/>
            </w:pPr>
            <w:r>
              <w:t>.815</w:t>
            </w:r>
          </w:p>
        </w:tc>
        <w:tc>
          <w:tcPr>
            <w:tcW w:w="1227" w:type="dxa"/>
            <w:vMerge w:val="restart"/>
            <w:tcBorders>
              <w:top w:val="single" w:sz="4" w:space="0" w:color="000000" w:themeColor="text1"/>
            </w:tcBorders>
            <w:vAlign w:val="center"/>
          </w:tcPr>
          <w:p w:rsidR="00D22175" w:rsidRDefault="00D22175" w:rsidP="00C51CDB">
            <w:pPr>
              <w:jc w:val="center"/>
            </w:pPr>
          </w:p>
        </w:tc>
        <w:tc>
          <w:tcPr>
            <w:tcW w:w="755" w:type="dxa"/>
            <w:vMerge w:val="restart"/>
            <w:tcBorders>
              <w:top w:val="single" w:sz="4" w:space="0" w:color="000000" w:themeColor="text1"/>
            </w:tcBorders>
            <w:vAlign w:val="center"/>
          </w:tcPr>
          <w:p w:rsidR="00D22175" w:rsidRDefault="00D22175" w:rsidP="00C51CDB">
            <w:pPr>
              <w:jc w:val="center"/>
            </w:pPr>
          </w:p>
        </w:tc>
        <w:tc>
          <w:tcPr>
            <w:tcW w:w="1039" w:type="dxa"/>
            <w:vMerge w:val="restart"/>
            <w:tcBorders>
              <w:top w:val="single" w:sz="4" w:space="0" w:color="000000" w:themeColor="text1"/>
            </w:tcBorders>
            <w:vAlign w:val="center"/>
          </w:tcPr>
          <w:p w:rsidR="00D22175" w:rsidRDefault="00D22175" w:rsidP="00C51CDB">
            <w:pPr>
              <w:jc w:val="center"/>
            </w:pPr>
          </w:p>
        </w:tc>
        <w:tc>
          <w:tcPr>
            <w:tcW w:w="636" w:type="dxa"/>
            <w:vMerge w:val="restart"/>
            <w:vAlign w:val="center"/>
          </w:tcPr>
          <w:p w:rsidR="00D22175" w:rsidRDefault="00D22175" w:rsidP="00C51CDB">
            <w:pPr>
              <w:jc w:val="center"/>
            </w:pPr>
            <w:r>
              <w:t>.586</w:t>
            </w:r>
          </w:p>
        </w:tc>
      </w:tr>
      <w:tr w:rsidR="00D22175">
        <w:trPr>
          <w:jc w:val="center"/>
        </w:trPr>
        <w:tc>
          <w:tcPr>
            <w:tcW w:w="3415" w:type="dxa"/>
          </w:tcPr>
          <w:p w:rsidR="00D22175" w:rsidRPr="00864077" w:rsidRDefault="00D22175">
            <w:pPr>
              <w:rPr>
                <w:sz w:val="20"/>
              </w:rPr>
            </w:pPr>
            <w:r w:rsidRPr="00864077">
              <w:rPr>
                <w:sz w:val="20"/>
              </w:rPr>
              <w:t>This game does not influence my opinions about pop tarts</w:t>
            </w:r>
          </w:p>
        </w:tc>
        <w:tc>
          <w:tcPr>
            <w:tcW w:w="755" w:type="dxa"/>
            <w:vMerge/>
            <w:tcBorders>
              <w:bottom w:val="single" w:sz="4" w:space="0" w:color="000000" w:themeColor="text1"/>
            </w:tcBorders>
            <w:vAlign w:val="center"/>
          </w:tcPr>
          <w:p w:rsidR="00D22175" w:rsidRDefault="00D22175" w:rsidP="00C51CDB">
            <w:pPr>
              <w:jc w:val="center"/>
            </w:pPr>
          </w:p>
        </w:tc>
        <w:tc>
          <w:tcPr>
            <w:tcW w:w="755" w:type="dxa"/>
            <w:vMerge/>
            <w:tcBorders>
              <w:bottom w:val="single" w:sz="4" w:space="0" w:color="000000" w:themeColor="text1"/>
            </w:tcBorders>
            <w:vAlign w:val="center"/>
          </w:tcPr>
          <w:p w:rsidR="00D22175" w:rsidRDefault="00D22175" w:rsidP="00C51CDB">
            <w:pPr>
              <w:jc w:val="center"/>
            </w:pPr>
          </w:p>
        </w:tc>
        <w:tc>
          <w:tcPr>
            <w:tcW w:w="755" w:type="dxa"/>
            <w:tcBorders>
              <w:top w:val="nil"/>
              <w:bottom w:val="single" w:sz="4" w:space="0" w:color="000000" w:themeColor="text1"/>
            </w:tcBorders>
            <w:vAlign w:val="center"/>
          </w:tcPr>
          <w:p w:rsidR="00D22175" w:rsidRDefault="00D22175" w:rsidP="00C51CDB">
            <w:pPr>
              <w:jc w:val="center"/>
            </w:pPr>
            <w:r>
              <w:t>.847</w:t>
            </w:r>
          </w:p>
        </w:tc>
        <w:tc>
          <w:tcPr>
            <w:tcW w:w="1227" w:type="dxa"/>
            <w:vMerge/>
            <w:tcBorders>
              <w:bottom w:val="single" w:sz="4" w:space="0" w:color="000000" w:themeColor="text1"/>
            </w:tcBorders>
            <w:vAlign w:val="center"/>
          </w:tcPr>
          <w:p w:rsidR="00D22175" w:rsidRDefault="00D22175" w:rsidP="00C51CDB">
            <w:pPr>
              <w:jc w:val="center"/>
            </w:pPr>
          </w:p>
        </w:tc>
        <w:tc>
          <w:tcPr>
            <w:tcW w:w="755" w:type="dxa"/>
            <w:vMerge/>
            <w:tcBorders>
              <w:bottom w:val="single" w:sz="4" w:space="0" w:color="000000" w:themeColor="text1"/>
            </w:tcBorders>
            <w:vAlign w:val="center"/>
          </w:tcPr>
          <w:p w:rsidR="00D22175" w:rsidRDefault="00D22175" w:rsidP="00C51CDB">
            <w:pPr>
              <w:jc w:val="center"/>
            </w:pPr>
          </w:p>
        </w:tc>
        <w:tc>
          <w:tcPr>
            <w:tcW w:w="1039" w:type="dxa"/>
            <w:vMerge/>
            <w:tcBorders>
              <w:bottom w:val="single" w:sz="4" w:space="0" w:color="000000" w:themeColor="text1"/>
            </w:tcBorders>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Games like this make children want things they don't really need</w:t>
            </w:r>
          </w:p>
        </w:tc>
        <w:tc>
          <w:tcPr>
            <w:tcW w:w="755" w:type="dxa"/>
            <w:vMerge w:val="restart"/>
            <w:tcBorders>
              <w:top w:val="single" w:sz="4" w:space="0" w:color="000000" w:themeColor="text1"/>
            </w:tcBorders>
            <w:vAlign w:val="center"/>
          </w:tcPr>
          <w:p w:rsidR="00D22175" w:rsidRDefault="00D22175" w:rsidP="00C51CDB">
            <w:pPr>
              <w:jc w:val="center"/>
            </w:pPr>
          </w:p>
        </w:tc>
        <w:tc>
          <w:tcPr>
            <w:tcW w:w="755" w:type="dxa"/>
            <w:vMerge w:val="restart"/>
            <w:tcBorders>
              <w:top w:val="single" w:sz="4" w:space="0" w:color="000000" w:themeColor="text1"/>
            </w:tcBorders>
            <w:vAlign w:val="center"/>
          </w:tcPr>
          <w:p w:rsidR="00D22175" w:rsidRDefault="00D22175" w:rsidP="00C51CDB">
            <w:pPr>
              <w:jc w:val="center"/>
            </w:pPr>
          </w:p>
        </w:tc>
        <w:tc>
          <w:tcPr>
            <w:tcW w:w="755" w:type="dxa"/>
            <w:vMerge w:val="restart"/>
            <w:tcBorders>
              <w:top w:val="single" w:sz="4" w:space="0" w:color="000000" w:themeColor="text1"/>
            </w:tcBorders>
            <w:vAlign w:val="center"/>
          </w:tcPr>
          <w:p w:rsidR="00D22175" w:rsidRDefault="00D22175" w:rsidP="00C51CDB">
            <w:pPr>
              <w:jc w:val="center"/>
            </w:pPr>
          </w:p>
        </w:tc>
        <w:tc>
          <w:tcPr>
            <w:tcW w:w="1227" w:type="dxa"/>
            <w:tcBorders>
              <w:top w:val="single" w:sz="4" w:space="0" w:color="000000" w:themeColor="text1"/>
              <w:bottom w:val="nil"/>
            </w:tcBorders>
            <w:vAlign w:val="center"/>
          </w:tcPr>
          <w:p w:rsidR="00D22175" w:rsidRDefault="00D22175" w:rsidP="00C51CDB">
            <w:pPr>
              <w:jc w:val="center"/>
            </w:pPr>
            <w:r>
              <w:t>.731</w:t>
            </w:r>
          </w:p>
        </w:tc>
        <w:tc>
          <w:tcPr>
            <w:tcW w:w="755" w:type="dxa"/>
            <w:vMerge w:val="restart"/>
            <w:tcBorders>
              <w:top w:val="single" w:sz="4" w:space="0" w:color="000000" w:themeColor="text1"/>
            </w:tcBorders>
            <w:vAlign w:val="center"/>
          </w:tcPr>
          <w:p w:rsidR="00D22175" w:rsidRDefault="00D22175" w:rsidP="00C51CDB">
            <w:pPr>
              <w:jc w:val="center"/>
            </w:pPr>
          </w:p>
        </w:tc>
        <w:tc>
          <w:tcPr>
            <w:tcW w:w="1039" w:type="dxa"/>
            <w:vMerge w:val="restart"/>
            <w:tcBorders>
              <w:top w:val="single" w:sz="4" w:space="0" w:color="000000" w:themeColor="text1"/>
            </w:tcBorders>
            <w:vAlign w:val="center"/>
          </w:tcPr>
          <w:p w:rsidR="00D22175" w:rsidRDefault="00D22175" w:rsidP="00C51CDB">
            <w:pPr>
              <w:jc w:val="center"/>
            </w:pPr>
          </w:p>
        </w:tc>
        <w:tc>
          <w:tcPr>
            <w:tcW w:w="636" w:type="dxa"/>
            <w:vMerge w:val="restart"/>
            <w:vAlign w:val="center"/>
          </w:tcPr>
          <w:p w:rsidR="00D22175" w:rsidRDefault="00D22175" w:rsidP="00C51CDB">
            <w:pPr>
              <w:jc w:val="center"/>
            </w:pPr>
            <w:r>
              <w:t>.832</w:t>
            </w:r>
          </w:p>
        </w:tc>
      </w:tr>
      <w:tr w:rsidR="00D22175">
        <w:trPr>
          <w:jc w:val="center"/>
        </w:trPr>
        <w:tc>
          <w:tcPr>
            <w:tcW w:w="3415" w:type="dxa"/>
          </w:tcPr>
          <w:p w:rsidR="00D22175" w:rsidRPr="00864077" w:rsidRDefault="00D22175">
            <w:pPr>
              <w:rPr>
                <w:sz w:val="20"/>
              </w:rPr>
            </w:pPr>
            <w:r w:rsidRPr="00864077">
              <w:rPr>
                <w:sz w:val="20"/>
              </w:rPr>
              <w:t>Games like this lead children to make unreasonable purchase demands on their parents</w:t>
            </w: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1227" w:type="dxa"/>
            <w:tcBorders>
              <w:top w:val="nil"/>
              <w:bottom w:val="nil"/>
            </w:tcBorders>
            <w:vAlign w:val="center"/>
          </w:tcPr>
          <w:p w:rsidR="00D22175" w:rsidRDefault="00D22175" w:rsidP="00C51CDB">
            <w:pPr>
              <w:jc w:val="center"/>
            </w:pPr>
            <w:r>
              <w:t>.862</w:t>
            </w:r>
          </w:p>
        </w:tc>
        <w:tc>
          <w:tcPr>
            <w:tcW w:w="755" w:type="dxa"/>
            <w:vMerge/>
            <w:vAlign w:val="center"/>
          </w:tcPr>
          <w:p w:rsidR="00D22175" w:rsidRDefault="00D22175" w:rsidP="00C51CDB">
            <w:pPr>
              <w:jc w:val="center"/>
            </w:pPr>
          </w:p>
        </w:tc>
        <w:tc>
          <w:tcPr>
            <w:tcW w:w="1039" w:type="dxa"/>
            <w:vMerge/>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Games like this directed at children lead to family conflict</w:t>
            </w: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1227" w:type="dxa"/>
            <w:tcBorders>
              <w:top w:val="nil"/>
              <w:bottom w:val="nil"/>
            </w:tcBorders>
            <w:vAlign w:val="center"/>
          </w:tcPr>
          <w:p w:rsidR="00D22175" w:rsidRDefault="00D22175" w:rsidP="00C51CDB">
            <w:pPr>
              <w:jc w:val="center"/>
            </w:pPr>
            <w:r>
              <w:t>.676</w:t>
            </w:r>
          </w:p>
        </w:tc>
        <w:tc>
          <w:tcPr>
            <w:tcW w:w="755" w:type="dxa"/>
            <w:vMerge/>
            <w:vAlign w:val="center"/>
          </w:tcPr>
          <w:p w:rsidR="00D22175" w:rsidRDefault="00D22175" w:rsidP="00C51CDB">
            <w:pPr>
              <w:jc w:val="center"/>
            </w:pPr>
          </w:p>
        </w:tc>
        <w:tc>
          <w:tcPr>
            <w:tcW w:w="1039" w:type="dxa"/>
            <w:vMerge/>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Games like this don't take advantage of children</w:t>
            </w: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1227" w:type="dxa"/>
            <w:tcBorders>
              <w:top w:val="nil"/>
              <w:bottom w:val="nil"/>
            </w:tcBorders>
            <w:vAlign w:val="center"/>
          </w:tcPr>
          <w:p w:rsidR="00D22175" w:rsidRDefault="00D22175" w:rsidP="00C51CDB">
            <w:pPr>
              <w:jc w:val="center"/>
            </w:pPr>
            <w:r>
              <w:t>.751</w:t>
            </w:r>
          </w:p>
        </w:tc>
        <w:tc>
          <w:tcPr>
            <w:tcW w:w="755" w:type="dxa"/>
            <w:vMerge/>
            <w:vAlign w:val="center"/>
          </w:tcPr>
          <w:p w:rsidR="00D22175" w:rsidRDefault="00D22175" w:rsidP="00C51CDB">
            <w:pPr>
              <w:jc w:val="center"/>
            </w:pPr>
          </w:p>
        </w:tc>
        <w:tc>
          <w:tcPr>
            <w:tcW w:w="1039" w:type="dxa"/>
            <w:vMerge/>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There aren't enough games like this directed at children</w:t>
            </w: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755" w:type="dxa"/>
            <w:vMerge/>
            <w:vAlign w:val="center"/>
          </w:tcPr>
          <w:p w:rsidR="00D22175" w:rsidRDefault="00D22175" w:rsidP="00C51CDB">
            <w:pPr>
              <w:jc w:val="center"/>
            </w:pPr>
          </w:p>
        </w:tc>
        <w:tc>
          <w:tcPr>
            <w:tcW w:w="1227" w:type="dxa"/>
            <w:tcBorders>
              <w:top w:val="nil"/>
              <w:bottom w:val="nil"/>
            </w:tcBorders>
            <w:vAlign w:val="center"/>
          </w:tcPr>
          <w:p w:rsidR="00D22175" w:rsidRDefault="00D22175" w:rsidP="00C51CDB">
            <w:pPr>
              <w:jc w:val="center"/>
            </w:pPr>
            <w:r>
              <w:t>.542</w:t>
            </w:r>
          </w:p>
        </w:tc>
        <w:tc>
          <w:tcPr>
            <w:tcW w:w="755" w:type="dxa"/>
            <w:vMerge/>
            <w:vAlign w:val="center"/>
          </w:tcPr>
          <w:p w:rsidR="00D22175" w:rsidRDefault="00D22175" w:rsidP="00C51CDB">
            <w:pPr>
              <w:jc w:val="center"/>
            </w:pPr>
          </w:p>
        </w:tc>
        <w:tc>
          <w:tcPr>
            <w:tcW w:w="1039" w:type="dxa"/>
            <w:vMerge/>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Games like this use tricks and gimmicks to get children to buy their products</w:t>
            </w:r>
          </w:p>
        </w:tc>
        <w:tc>
          <w:tcPr>
            <w:tcW w:w="755" w:type="dxa"/>
            <w:vMerge/>
            <w:tcBorders>
              <w:bottom w:val="single" w:sz="4" w:space="0" w:color="000000" w:themeColor="text1"/>
            </w:tcBorders>
            <w:vAlign w:val="center"/>
          </w:tcPr>
          <w:p w:rsidR="00D22175" w:rsidRDefault="00D22175" w:rsidP="00C51CDB">
            <w:pPr>
              <w:jc w:val="center"/>
            </w:pPr>
          </w:p>
        </w:tc>
        <w:tc>
          <w:tcPr>
            <w:tcW w:w="755" w:type="dxa"/>
            <w:vMerge/>
            <w:tcBorders>
              <w:bottom w:val="single" w:sz="4" w:space="0" w:color="000000" w:themeColor="text1"/>
            </w:tcBorders>
            <w:vAlign w:val="center"/>
          </w:tcPr>
          <w:p w:rsidR="00D22175" w:rsidRDefault="00D22175" w:rsidP="00C51CDB">
            <w:pPr>
              <w:jc w:val="center"/>
            </w:pPr>
          </w:p>
        </w:tc>
        <w:tc>
          <w:tcPr>
            <w:tcW w:w="755" w:type="dxa"/>
            <w:vMerge/>
            <w:tcBorders>
              <w:bottom w:val="single" w:sz="4" w:space="0" w:color="000000" w:themeColor="text1"/>
            </w:tcBorders>
            <w:vAlign w:val="center"/>
          </w:tcPr>
          <w:p w:rsidR="00D22175" w:rsidRDefault="00D22175" w:rsidP="00C51CDB">
            <w:pPr>
              <w:jc w:val="center"/>
            </w:pPr>
          </w:p>
        </w:tc>
        <w:tc>
          <w:tcPr>
            <w:tcW w:w="1227" w:type="dxa"/>
            <w:tcBorders>
              <w:top w:val="nil"/>
              <w:bottom w:val="single" w:sz="4" w:space="0" w:color="000000" w:themeColor="text1"/>
            </w:tcBorders>
            <w:vAlign w:val="center"/>
          </w:tcPr>
          <w:p w:rsidR="00D22175" w:rsidRDefault="00D22175" w:rsidP="00C51CDB">
            <w:pPr>
              <w:jc w:val="center"/>
            </w:pPr>
            <w:r>
              <w:t>.838</w:t>
            </w:r>
          </w:p>
        </w:tc>
        <w:tc>
          <w:tcPr>
            <w:tcW w:w="755" w:type="dxa"/>
            <w:vMerge/>
            <w:tcBorders>
              <w:bottom w:val="single" w:sz="4" w:space="0" w:color="000000" w:themeColor="text1"/>
            </w:tcBorders>
            <w:vAlign w:val="center"/>
          </w:tcPr>
          <w:p w:rsidR="00D22175" w:rsidRDefault="00D22175" w:rsidP="00C51CDB">
            <w:pPr>
              <w:jc w:val="center"/>
            </w:pPr>
          </w:p>
        </w:tc>
        <w:tc>
          <w:tcPr>
            <w:tcW w:w="1039" w:type="dxa"/>
            <w:vMerge/>
            <w:tcBorders>
              <w:bottom w:val="single" w:sz="4" w:space="0" w:color="000000" w:themeColor="text1"/>
            </w:tcBorders>
            <w:vAlign w:val="center"/>
          </w:tcPr>
          <w:p w:rsidR="00D22175" w:rsidRDefault="00D22175" w:rsidP="00C51CDB">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I have trouble telling when an offer is too good to be true</w:t>
            </w:r>
          </w:p>
        </w:tc>
        <w:tc>
          <w:tcPr>
            <w:tcW w:w="755" w:type="dxa"/>
            <w:vMerge w:val="restart"/>
            <w:tcBorders>
              <w:top w:val="single" w:sz="4" w:space="0" w:color="000000" w:themeColor="text1"/>
            </w:tcBorders>
            <w:vAlign w:val="center"/>
          </w:tcPr>
          <w:p w:rsidR="00D22175" w:rsidRDefault="00D22175" w:rsidP="00E41199">
            <w:pPr>
              <w:jc w:val="center"/>
            </w:pPr>
          </w:p>
        </w:tc>
        <w:tc>
          <w:tcPr>
            <w:tcW w:w="755" w:type="dxa"/>
            <w:vMerge w:val="restart"/>
            <w:tcBorders>
              <w:top w:val="single" w:sz="4" w:space="0" w:color="000000" w:themeColor="text1"/>
            </w:tcBorders>
            <w:vAlign w:val="center"/>
          </w:tcPr>
          <w:p w:rsidR="00D22175" w:rsidRDefault="00D22175" w:rsidP="00E41199">
            <w:pPr>
              <w:jc w:val="center"/>
            </w:pPr>
          </w:p>
        </w:tc>
        <w:tc>
          <w:tcPr>
            <w:tcW w:w="755" w:type="dxa"/>
            <w:vMerge w:val="restart"/>
            <w:tcBorders>
              <w:top w:val="single" w:sz="4" w:space="0" w:color="000000" w:themeColor="text1"/>
            </w:tcBorders>
            <w:vAlign w:val="center"/>
          </w:tcPr>
          <w:p w:rsidR="00D22175" w:rsidRDefault="00D22175" w:rsidP="00E41199">
            <w:pPr>
              <w:jc w:val="center"/>
            </w:pPr>
          </w:p>
        </w:tc>
        <w:tc>
          <w:tcPr>
            <w:tcW w:w="1227" w:type="dxa"/>
            <w:vMerge w:val="restart"/>
            <w:tcBorders>
              <w:top w:val="single" w:sz="4" w:space="0" w:color="000000" w:themeColor="text1"/>
            </w:tcBorders>
            <w:vAlign w:val="center"/>
          </w:tcPr>
          <w:p w:rsidR="00D22175" w:rsidRDefault="00D22175" w:rsidP="00E41199">
            <w:pPr>
              <w:jc w:val="center"/>
            </w:pPr>
          </w:p>
        </w:tc>
        <w:tc>
          <w:tcPr>
            <w:tcW w:w="755" w:type="dxa"/>
            <w:tcBorders>
              <w:top w:val="single" w:sz="4" w:space="0" w:color="000000" w:themeColor="text1"/>
              <w:bottom w:val="nil"/>
            </w:tcBorders>
            <w:vAlign w:val="center"/>
          </w:tcPr>
          <w:p w:rsidR="00D22175" w:rsidRDefault="00D22175" w:rsidP="00E41199">
            <w:pPr>
              <w:jc w:val="center"/>
            </w:pPr>
            <w:r>
              <w:t>.770</w:t>
            </w:r>
          </w:p>
        </w:tc>
        <w:tc>
          <w:tcPr>
            <w:tcW w:w="1039" w:type="dxa"/>
            <w:vMerge w:val="restart"/>
            <w:tcBorders>
              <w:top w:val="single" w:sz="4" w:space="0" w:color="000000" w:themeColor="text1"/>
            </w:tcBorders>
            <w:vAlign w:val="center"/>
          </w:tcPr>
          <w:p w:rsidR="00D22175" w:rsidRDefault="00D22175" w:rsidP="00E41199">
            <w:pPr>
              <w:jc w:val="center"/>
            </w:pPr>
          </w:p>
        </w:tc>
        <w:tc>
          <w:tcPr>
            <w:tcW w:w="636" w:type="dxa"/>
            <w:vMerge w:val="restart"/>
            <w:vAlign w:val="center"/>
          </w:tcPr>
          <w:p w:rsidR="00D22175" w:rsidRDefault="00D22175" w:rsidP="00E41199">
            <w:pPr>
              <w:jc w:val="center"/>
            </w:pPr>
            <w:r>
              <w:t>.809</w:t>
            </w:r>
          </w:p>
        </w:tc>
      </w:tr>
      <w:tr w:rsidR="00D22175">
        <w:trPr>
          <w:jc w:val="center"/>
        </w:trPr>
        <w:tc>
          <w:tcPr>
            <w:tcW w:w="3415" w:type="dxa"/>
          </w:tcPr>
          <w:p w:rsidR="00D22175" w:rsidRPr="00864077" w:rsidRDefault="00D22175">
            <w:pPr>
              <w:rPr>
                <w:sz w:val="20"/>
              </w:rPr>
            </w:pPr>
            <w:r w:rsidRPr="00864077">
              <w:rPr>
                <w:sz w:val="20"/>
              </w:rPr>
              <w:t>I have trouble understanding the bargaining tactics used by salespeople</w:t>
            </w: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227" w:type="dxa"/>
            <w:vMerge/>
            <w:vAlign w:val="center"/>
          </w:tcPr>
          <w:p w:rsidR="00D22175" w:rsidRDefault="00D22175" w:rsidP="00E41199">
            <w:pPr>
              <w:jc w:val="center"/>
            </w:pPr>
          </w:p>
        </w:tc>
        <w:tc>
          <w:tcPr>
            <w:tcW w:w="755" w:type="dxa"/>
            <w:tcBorders>
              <w:top w:val="nil"/>
              <w:bottom w:val="nil"/>
            </w:tcBorders>
            <w:vAlign w:val="center"/>
          </w:tcPr>
          <w:p w:rsidR="00D22175" w:rsidRDefault="00D22175" w:rsidP="00E41199">
            <w:pPr>
              <w:jc w:val="center"/>
            </w:pPr>
            <w:r>
              <w:t>.794</w:t>
            </w:r>
          </w:p>
        </w:tc>
        <w:tc>
          <w:tcPr>
            <w:tcW w:w="1039" w:type="dxa"/>
            <w:vMerge/>
            <w:vAlign w:val="center"/>
          </w:tcPr>
          <w:p w:rsidR="00D22175" w:rsidRDefault="00D22175" w:rsidP="00E41199">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I have trouble seeing through the sales gimiicks used to get me to buy</w:t>
            </w: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227" w:type="dxa"/>
            <w:vMerge/>
            <w:vAlign w:val="center"/>
          </w:tcPr>
          <w:p w:rsidR="00D22175" w:rsidRDefault="00D22175" w:rsidP="00E41199">
            <w:pPr>
              <w:jc w:val="center"/>
            </w:pPr>
          </w:p>
        </w:tc>
        <w:tc>
          <w:tcPr>
            <w:tcW w:w="755" w:type="dxa"/>
            <w:tcBorders>
              <w:top w:val="nil"/>
              <w:bottom w:val="nil"/>
            </w:tcBorders>
            <w:vAlign w:val="center"/>
          </w:tcPr>
          <w:p w:rsidR="00D22175" w:rsidRDefault="00D22175" w:rsidP="00E41199">
            <w:pPr>
              <w:jc w:val="center"/>
            </w:pPr>
            <w:r>
              <w:t>.811</w:t>
            </w:r>
          </w:p>
        </w:tc>
        <w:tc>
          <w:tcPr>
            <w:tcW w:w="1039" w:type="dxa"/>
            <w:vMerge/>
            <w:vAlign w:val="center"/>
          </w:tcPr>
          <w:p w:rsidR="00D22175" w:rsidRDefault="00D22175" w:rsidP="00E41199">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I have trouble separating fact from fantasy in advertising</w:t>
            </w:r>
          </w:p>
        </w:tc>
        <w:tc>
          <w:tcPr>
            <w:tcW w:w="755" w:type="dxa"/>
            <w:vMerge/>
            <w:tcBorders>
              <w:bottom w:val="single" w:sz="4" w:space="0" w:color="000000" w:themeColor="text1"/>
            </w:tcBorders>
            <w:vAlign w:val="center"/>
          </w:tcPr>
          <w:p w:rsidR="00D22175" w:rsidRDefault="00D22175" w:rsidP="00E41199">
            <w:pPr>
              <w:jc w:val="center"/>
            </w:pPr>
          </w:p>
        </w:tc>
        <w:tc>
          <w:tcPr>
            <w:tcW w:w="755" w:type="dxa"/>
            <w:vMerge/>
            <w:tcBorders>
              <w:bottom w:val="single" w:sz="4" w:space="0" w:color="000000" w:themeColor="text1"/>
            </w:tcBorders>
            <w:vAlign w:val="center"/>
          </w:tcPr>
          <w:p w:rsidR="00D22175" w:rsidRDefault="00D22175" w:rsidP="00E41199">
            <w:pPr>
              <w:jc w:val="center"/>
            </w:pPr>
          </w:p>
        </w:tc>
        <w:tc>
          <w:tcPr>
            <w:tcW w:w="755" w:type="dxa"/>
            <w:vMerge/>
            <w:tcBorders>
              <w:bottom w:val="single" w:sz="4" w:space="0" w:color="000000" w:themeColor="text1"/>
            </w:tcBorders>
            <w:vAlign w:val="center"/>
          </w:tcPr>
          <w:p w:rsidR="00D22175" w:rsidRDefault="00D22175" w:rsidP="00E41199">
            <w:pPr>
              <w:jc w:val="center"/>
            </w:pPr>
          </w:p>
        </w:tc>
        <w:tc>
          <w:tcPr>
            <w:tcW w:w="1227" w:type="dxa"/>
            <w:vMerge/>
            <w:tcBorders>
              <w:bottom w:val="single" w:sz="4" w:space="0" w:color="000000" w:themeColor="text1"/>
            </w:tcBorders>
            <w:vAlign w:val="center"/>
          </w:tcPr>
          <w:p w:rsidR="00D22175" w:rsidRDefault="00D22175" w:rsidP="00E41199">
            <w:pPr>
              <w:jc w:val="center"/>
            </w:pPr>
          </w:p>
        </w:tc>
        <w:tc>
          <w:tcPr>
            <w:tcW w:w="755" w:type="dxa"/>
            <w:tcBorders>
              <w:top w:val="nil"/>
              <w:bottom w:val="single" w:sz="4" w:space="0" w:color="000000" w:themeColor="text1"/>
            </w:tcBorders>
            <w:vAlign w:val="center"/>
          </w:tcPr>
          <w:p w:rsidR="00D22175" w:rsidRDefault="00D22175" w:rsidP="00E41199">
            <w:pPr>
              <w:jc w:val="center"/>
            </w:pPr>
            <w:r>
              <w:t>.866</w:t>
            </w:r>
          </w:p>
        </w:tc>
        <w:tc>
          <w:tcPr>
            <w:tcW w:w="1039" w:type="dxa"/>
            <w:vMerge/>
            <w:tcBorders>
              <w:bottom w:val="single" w:sz="4" w:space="0" w:color="000000" w:themeColor="text1"/>
            </w:tcBorders>
            <w:vAlign w:val="center"/>
          </w:tcPr>
          <w:p w:rsidR="00D22175" w:rsidRDefault="00D22175" w:rsidP="00E41199">
            <w:pPr>
              <w:jc w:val="center"/>
            </w:pP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I have strict rules about the time my child spends online</w:t>
            </w:r>
          </w:p>
        </w:tc>
        <w:tc>
          <w:tcPr>
            <w:tcW w:w="755" w:type="dxa"/>
            <w:vMerge w:val="restart"/>
            <w:tcBorders>
              <w:top w:val="single" w:sz="4" w:space="0" w:color="000000" w:themeColor="text1"/>
            </w:tcBorders>
            <w:vAlign w:val="center"/>
          </w:tcPr>
          <w:p w:rsidR="00D22175" w:rsidRDefault="00D22175" w:rsidP="00E41199">
            <w:pPr>
              <w:jc w:val="center"/>
            </w:pPr>
          </w:p>
        </w:tc>
        <w:tc>
          <w:tcPr>
            <w:tcW w:w="755" w:type="dxa"/>
            <w:vMerge w:val="restart"/>
            <w:tcBorders>
              <w:top w:val="single" w:sz="4" w:space="0" w:color="000000" w:themeColor="text1"/>
            </w:tcBorders>
            <w:vAlign w:val="center"/>
          </w:tcPr>
          <w:p w:rsidR="00D22175" w:rsidRDefault="00D22175" w:rsidP="00E41199">
            <w:pPr>
              <w:jc w:val="center"/>
            </w:pPr>
          </w:p>
        </w:tc>
        <w:tc>
          <w:tcPr>
            <w:tcW w:w="755" w:type="dxa"/>
            <w:vMerge w:val="restart"/>
            <w:tcBorders>
              <w:top w:val="single" w:sz="4" w:space="0" w:color="000000" w:themeColor="text1"/>
            </w:tcBorders>
            <w:vAlign w:val="center"/>
          </w:tcPr>
          <w:p w:rsidR="00D22175" w:rsidRDefault="00D22175" w:rsidP="00E41199">
            <w:pPr>
              <w:jc w:val="center"/>
            </w:pPr>
          </w:p>
        </w:tc>
        <w:tc>
          <w:tcPr>
            <w:tcW w:w="1227" w:type="dxa"/>
            <w:vMerge w:val="restart"/>
            <w:tcBorders>
              <w:top w:val="single" w:sz="4" w:space="0" w:color="000000" w:themeColor="text1"/>
            </w:tcBorders>
            <w:vAlign w:val="center"/>
          </w:tcPr>
          <w:p w:rsidR="00D22175" w:rsidRDefault="00D22175" w:rsidP="00E41199">
            <w:pPr>
              <w:jc w:val="center"/>
            </w:pPr>
          </w:p>
        </w:tc>
        <w:tc>
          <w:tcPr>
            <w:tcW w:w="755" w:type="dxa"/>
            <w:vMerge w:val="restart"/>
            <w:tcBorders>
              <w:top w:val="single" w:sz="4" w:space="0" w:color="000000" w:themeColor="text1"/>
            </w:tcBorders>
            <w:vAlign w:val="center"/>
          </w:tcPr>
          <w:p w:rsidR="00D22175" w:rsidRDefault="00D22175" w:rsidP="00E41199">
            <w:pPr>
              <w:jc w:val="center"/>
            </w:pPr>
          </w:p>
        </w:tc>
        <w:tc>
          <w:tcPr>
            <w:tcW w:w="1039" w:type="dxa"/>
            <w:tcBorders>
              <w:top w:val="single" w:sz="4" w:space="0" w:color="000000" w:themeColor="text1"/>
              <w:bottom w:val="nil"/>
            </w:tcBorders>
            <w:vAlign w:val="center"/>
          </w:tcPr>
          <w:p w:rsidR="00D22175" w:rsidRDefault="00D22175" w:rsidP="00E41199">
            <w:pPr>
              <w:jc w:val="center"/>
            </w:pPr>
            <w:r>
              <w:t>.699</w:t>
            </w:r>
          </w:p>
        </w:tc>
        <w:tc>
          <w:tcPr>
            <w:tcW w:w="636" w:type="dxa"/>
            <w:vMerge w:val="restart"/>
            <w:vAlign w:val="center"/>
          </w:tcPr>
          <w:p w:rsidR="00D22175" w:rsidRDefault="00D22175" w:rsidP="00E41199">
            <w:pPr>
              <w:jc w:val="center"/>
            </w:pPr>
            <w:r>
              <w:t>.875</w:t>
            </w:r>
          </w:p>
        </w:tc>
      </w:tr>
      <w:tr w:rsidR="00D22175">
        <w:trPr>
          <w:jc w:val="center"/>
        </w:trPr>
        <w:tc>
          <w:tcPr>
            <w:tcW w:w="3415" w:type="dxa"/>
          </w:tcPr>
          <w:p w:rsidR="00D22175" w:rsidRPr="00864077" w:rsidRDefault="00D22175">
            <w:pPr>
              <w:rPr>
                <w:sz w:val="20"/>
              </w:rPr>
            </w:pPr>
            <w:r w:rsidRPr="00864077">
              <w:rPr>
                <w:sz w:val="20"/>
              </w:rPr>
              <w:t>I stay nearby when my child is online</w:t>
            </w: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227"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039" w:type="dxa"/>
            <w:tcBorders>
              <w:top w:val="nil"/>
              <w:bottom w:val="nil"/>
            </w:tcBorders>
            <w:vAlign w:val="center"/>
          </w:tcPr>
          <w:p w:rsidR="00D22175" w:rsidRDefault="00D22175" w:rsidP="00E41199">
            <w:pPr>
              <w:jc w:val="center"/>
            </w:pPr>
            <w:r>
              <w:t>.838</w:t>
            </w: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I watch the screen when my child is online</w:t>
            </w: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227"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039" w:type="dxa"/>
            <w:tcBorders>
              <w:top w:val="nil"/>
              <w:bottom w:val="nil"/>
            </w:tcBorders>
            <w:vAlign w:val="center"/>
          </w:tcPr>
          <w:p w:rsidR="00D22175" w:rsidRDefault="00D22175" w:rsidP="00E41199">
            <w:pPr>
              <w:jc w:val="center"/>
            </w:pPr>
            <w:r>
              <w:t>.852</w:t>
            </w: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I help my child when they use the internet</w:t>
            </w: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227"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039" w:type="dxa"/>
            <w:tcBorders>
              <w:top w:val="nil"/>
              <w:bottom w:val="nil"/>
            </w:tcBorders>
            <w:vAlign w:val="center"/>
          </w:tcPr>
          <w:p w:rsidR="00D22175" w:rsidRDefault="00D22175" w:rsidP="00E41199">
            <w:pPr>
              <w:jc w:val="center"/>
            </w:pPr>
            <w:r>
              <w:t>.775</w:t>
            </w:r>
          </w:p>
        </w:tc>
        <w:tc>
          <w:tcPr>
            <w:tcW w:w="636" w:type="dxa"/>
            <w:vMerge/>
          </w:tcPr>
          <w:p w:rsidR="00D22175" w:rsidRDefault="00D22175"/>
        </w:tc>
      </w:tr>
      <w:tr w:rsidR="00D22175">
        <w:trPr>
          <w:jc w:val="center"/>
        </w:trPr>
        <w:tc>
          <w:tcPr>
            <w:tcW w:w="3415" w:type="dxa"/>
          </w:tcPr>
          <w:p w:rsidR="00D22175" w:rsidRPr="00864077" w:rsidRDefault="00D22175">
            <w:pPr>
              <w:rPr>
                <w:sz w:val="20"/>
              </w:rPr>
            </w:pPr>
            <w:r w:rsidRPr="00864077">
              <w:rPr>
                <w:sz w:val="20"/>
              </w:rPr>
              <w:t>I talk to my child about Internet use</w:t>
            </w: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227" w:type="dxa"/>
            <w:vMerge/>
            <w:vAlign w:val="center"/>
          </w:tcPr>
          <w:p w:rsidR="00D22175" w:rsidRDefault="00D22175" w:rsidP="00E41199">
            <w:pPr>
              <w:jc w:val="center"/>
            </w:pPr>
          </w:p>
        </w:tc>
        <w:tc>
          <w:tcPr>
            <w:tcW w:w="755" w:type="dxa"/>
            <w:vMerge/>
            <w:vAlign w:val="center"/>
          </w:tcPr>
          <w:p w:rsidR="00D22175" w:rsidRDefault="00D22175" w:rsidP="00E41199">
            <w:pPr>
              <w:jc w:val="center"/>
            </w:pPr>
          </w:p>
        </w:tc>
        <w:tc>
          <w:tcPr>
            <w:tcW w:w="1039" w:type="dxa"/>
            <w:tcBorders>
              <w:top w:val="nil"/>
              <w:bottom w:val="nil"/>
            </w:tcBorders>
            <w:vAlign w:val="center"/>
          </w:tcPr>
          <w:p w:rsidR="00D22175" w:rsidRDefault="00D22175" w:rsidP="00E41199">
            <w:pPr>
              <w:jc w:val="center"/>
            </w:pPr>
            <w:r>
              <w:t>.699</w:t>
            </w:r>
          </w:p>
        </w:tc>
        <w:tc>
          <w:tcPr>
            <w:tcW w:w="636" w:type="dxa"/>
            <w:vMerge/>
          </w:tcPr>
          <w:p w:rsidR="00D22175" w:rsidRDefault="00D22175"/>
        </w:tc>
      </w:tr>
      <w:tr w:rsidR="00D22175">
        <w:trPr>
          <w:jc w:val="center"/>
        </w:trPr>
        <w:tc>
          <w:tcPr>
            <w:tcW w:w="3415" w:type="dxa"/>
            <w:tcBorders>
              <w:bottom w:val="nil"/>
            </w:tcBorders>
          </w:tcPr>
          <w:p w:rsidR="00D22175" w:rsidRPr="00864077" w:rsidRDefault="00D22175">
            <w:pPr>
              <w:rPr>
                <w:sz w:val="20"/>
              </w:rPr>
            </w:pPr>
            <w:r w:rsidRPr="00864077">
              <w:rPr>
                <w:sz w:val="20"/>
              </w:rPr>
              <w:t>I sit with my child when they are online</w:t>
            </w:r>
          </w:p>
        </w:tc>
        <w:tc>
          <w:tcPr>
            <w:tcW w:w="755" w:type="dxa"/>
            <w:vMerge/>
            <w:tcBorders>
              <w:bottom w:val="nil"/>
            </w:tcBorders>
            <w:vAlign w:val="center"/>
          </w:tcPr>
          <w:p w:rsidR="00D22175" w:rsidRDefault="00D22175" w:rsidP="00E41199">
            <w:pPr>
              <w:jc w:val="center"/>
            </w:pPr>
          </w:p>
        </w:tc>
        <w:tc>
          <w:tcPr>
            <w:tcW w:w="755" w:type="dxa"/>
            <w:vMerge/>
            <w:tcBorders>
              <w:bottom w:val="nil"/>
            </w:tcBorders>
            <w:vAlign w:val="center"/>
          </w:tcPr>
          <w:p w:rsidR="00D22175" w:rsidRDefault="00D22175" w:rsidP="00E41199">
            <w:pPr>
              <w:jc w:val="center"/>
            </w:pPr>
          </w:p>
        </w:tc>
        <w:tc>
          <w:tcPr>
            <w:tcW w:w="755" w:type="dxa"/>
            <w:vMerge/>
            <w:tcBorders>
              <w:bottom w:val="nil"/>
            </w:tcBorders>
            <w:vAlign w:val="center"/>
          </w:tcPr>
          <w:p w:rsidR="00D22175" w:rsidRDefault="00D22175" w:rsidP="00E41199">
            <w:pPr>
              <w:jc w:val="center"/>
            </w:pPr>
          </w:p>
        </w:tc>
        <w:tc>
          <w:tcPr>
            <w:tcW w:w="1227" w:type="dxa"/>
            <w:vMerge/>
            <w:tcBorders>
              <w:bottom w:val="nil"/>
            </w:tcBorders>
            <w:vAlign w:val="center"/>
          </w:tcPr>
          <w:p w:rsidR="00D22175" w:rsidRDefault="00D22175" w:rsidP="00E41199">
            <w:pPr>
              <w:jc w:val="center"/>
            </w:pPr>
          </w:p>
        </w:tc>
        <w:tc>
          <w:tcPr>
            <w:tcW w:w="755" w:type="dxa"/>
            <w:vMerge/>
            <w:tcBorders>
              <w:bottom w:val="nil"/>
            </w:tcBorders>
            <w:vAlign w:val="center"/>
          </w:tcPr>
          <w:p w:rsidR="00D22175" w:rsidRDefault="00D22175" w:rsidP="00E41199">
            <w:pPr>
              <w:jc w:val="center"/>
            </w:pPr>
          </w:p>
        </w:tc>
        <w:tc>
          <w:tcPr>
            <w:tcW w:w="1039" w:type="dxa"/>
            <w:tcBorders>
              <w:top w:val="nil"/>
              <w:bottom w:val="nil"/>
            </w:tcBorders>
            <w:vAlign w:val="center"/>
          </w:tcPr>
          <w:p w:rsidR="00D22175" w:rsidRDefault="00D22175" w:rsidP="00E41199">
            <w:pPr>
              <w:jc w:val="center"/>
            </w:pPr>
            <w:r>
              <w:t>.850</w:t>
            </w:r>
          </w:p>
        </w:tc>
        <w:tc>
          <w:tcPr>
            <w:tcW w:w="636" w:type="dxa"/>
            <w:vMerge/>
            <w:tcBorders>
              <w:bottom w:val="nil"/>
            </w:tcBorders>
          </w:tcPr>
          <w:p w:rsidR="00D22175" w:rsidRDefault="00D22175"/>
        </w:tc>
      </w:tr>
    </w:tbl>
    <w:p w:rsidR="00843EB2" w:rsidRDefault="00843EB2" w:rsidP="00843EB2">
      <w:pPr>
        <w:widowControl w:val="0"/>
        <w:autoSpaceDE w:val="0"/>
        <w:autoSpaceDN w:val="0"/>
        <w:adjustRightInd w:val="0"/>
        <w:spacing w:line="480" w:lineRule="auto"/>
        <w:rPr>
          <w:rFonts w:cs="AdvPS6F00"/>
          <w:i/>
          <w:szCs w:val="20"/>
        </w:rPr>
      </w:pPr>
    </w:p>
    <w:p w:rsidR="00843EB2" w:rsidRDefault="00843EB2" w:rsidP="00843EB2">
      <w:pPr>
        <w:widowControl w:val="0"/>
        <w:autoSpaceDE w:val="0"/>
        <w:autoSpaceDN w:val="0"/>
        <w:adjustRightInd w:val="0"/>
        <w:spacing w:line="480" w:lineRule="auto"/>
        <w:rPr>
          <w:rFonts w:cs="Helvetica"/>
          <w:szCs w:val="16"/>
        </w:rPr>
      </w:pPr>
      <w:r w:rsidRPr="00B564A2">
        <w:rPr>
          <w:rFonts w:cs="AdvPS6F00"/>
          <w:i/>
          <w:szCs w:val="20"/>
        </w:rPr>
        <w:t>Trait Differences in Persuasion Knowledge</w:t>
      </w:r>
      <w:r>
        <w:rPr>
          <w:rFonts w:cs="AdvPS6F00"/>
          <w:i/>
          <w:szCs w:val="20"/>
        </w:rPr>
        <w:t>: Assessment and Stucture</w:t>
      </w:r>
    </w:p>
    <w:p w:rsidR="00843EB2" w:rsidRDefault="00843EB2" w:rsidP="00843EB2">
      <w:pPr>
        <w:pStyle w:val="NormalWeb"/>
        <w:spacing w:before="0" w:beforeAutospacing="0" w:after="0" w:afterAutospacing="0" w:line="480" w:lineRule="auto"/>
        <w:rPr>
          <w:rFonts w:cs="Times-Roman"/>
          <w:color w:val="292526"/>
          <w:szCs w:val="16"/>
        </w:rPr>
      </w:pPr>
      <w:r>
        <w:rPr>
          <w:rFonts w:cs="Times-Roman"/>
          <w:szCs w:val="20"/>
        </w:rPr>
        <w:tab/>
      </w:r>
      <w:r>
        <w:rPr>
          <w:rFonts w:cs="Times-Roman"/>
          <w:color w:val="292526"/>
          <w:szCs w:val="16"/>
        </w:rPr>
        <w:t xml:space="preserve">In order to test the underlying structure of trait differences in persuasion knowledge a principle components analysis was performed. Following standard PCA procedures, components </w:t>
      </w:r>
    </w:p>
    <w:p w:rsidR="00255BE5" w:rsidRDefault="00255BE5" w:rsidP="00255BE5">
      <w:pPr>
        <w:pStyle w:val="NormalWeb"/>
        <w:spacing w:before="0" w:beforeAutospacing="0" w:after="0" w:afterAutospacing="0" w:line="480" w:lineRule="auto"/>
        <w:rPr>
          <w:rFonts w:cs="Times-Roman"/>
          <w:color w:val="292526"/>
          <w:szCs w:val="16"/>
        </w:rPr>
      </w:pPr>
      <w:r>
        <w:rPr>
          <w:rFonts w:cs="Times-Roman"/>
          <w:color w:val="292526"/>
          <w:szCs w:val="16"/>
        </w:rPr>
        <w:t xml:space="preserve">with Eigenvalues less than 1.0 were ignored and factor loadings of less than .40 were suppressed. The initial correlation matrix indicated no highly significant relationships (r </w:t>
      </w:r>
      <w:r>
        <w:rPr>
          <w:rFonts w:cs="Times-Roman"/>
          <w:color w:val="292526"/>
          <w:szCs w:val="16"/>
          <w:u w:val="single"/>
        </w:rPr>
        <w:t>&lt;</w:t>
      </w:r>
      <w:r>
        <w:rPr>
          <w:rFonts w:cs="Times-Roman"/>
          <w:color w:val="292526"/>
          <w:szCs w:val="16"/>
        </w:rPr>
        <w:t xml:space="preserve"> .85). Both the Kaiser-Meyer-Olkin test (.773) and the Bartlett’s Test of Sphericity (Chi</w:t>
      </w:r>
      <w:r>
        <w:rPr>
          <w:rFonts w:cs="Times-Roman"/>
          <w:color w:val="292526"/>
          <w:szCs w:val="16"/>
          <w:vertAlign w:val="superscript"/>
        </w:rPr>
        <w:t>2</w:t>
      </w:r>
      <w:r>
        <w:rPr>
          <w:rFonts w:cs="Times-Roman"/>
          <w:color w:val="292526"/>
          <w:szCs w:val="16"/>
        </w:rPr>
        <w:t xml:space="preserve"> = 388.971, df =15, p &lt; .000) indicate an adequate sample for factor analysis. Communalities and their extraction were all greater than .50, which indicates the appropriateness of PCA for this sample. </w:t>
      </w:r>
    </w:p>
    <w:p w:rsidR="00E014B7" w:rsidRPr="00726D4C" w:rsidRDefault="00255BE5" w:rsidP="00726D4C">
      <w:pPr>
        <w:spacing w:line="480" w:lineRule="auto"/>
        <w:rPr>
          <w:rFonts w:cs="Times-Roman"/>
          <w:color w:val="292526"/>
          <w:szCs w:val="16"/>
        </w:rPr>
      </w:pPr>
      <w:r>
        <w:rPr>
          <w:rFonts w:cs="Times-Roman"/>
          <w:color w:val="292526"/>
          <w:szCs w:val="16"/>
        </w:rPr>
        <w:tab/>
        <w:t xml:space="preserve">PCA revealed one component, </w:t>
      </w:r>
      <w:r>
        <w:rPr>
          <w:rFonts w:cs="Times-Roman"/>
          <w:i/>
          <w:color w:val="292526"/>
          <w:szCs w:val="16"/>
        </w:rPr>
        <w:t xml:space="preserve">individual trait persuasion knowledge </w:t>
      </w:r>
      <w:r>
        <w:rPr>
          <w:rFonts w:cs="Times-Roman"/>
          <w:color w:val="292526"/>
          <w:szCs w:val="16"/>
        </w:rPr>
        <w:t>(</w:t>
      </w:r>
      <w:r>
        <w:sym w:font="Symbol" w:char="F061"/>
      </w:r>
      <w:r>
        <w:t xml:space="preserve"> = .809’ M = 9.72; SD = 4.27),</w:t>
      </w:r>
      <w:r>
        <w:rPr>
          <w:rFonts w:cs="Times-Roman"/>
          <w:color w:val="292526"/>
          <w:szCs w:val="16"/>
        </w:rPr>
        <w:t xml:space="preserve"> accounting for 65.82% of variance with an Eigenvalue of 2.63. </w:t>
      </w:r>
      <w:r w:rsidR="00726D4C">
        <w:rPr>
          <w:rFonts w:cs="Times-Roman"/>
          <w:color w:val="292526"/>
          <w:szCs w:val="16"/>
        </w:rPr>
        <w:t>Four items loaded</w:t>
      </w:r>
      <w:r>
        <w:rPr>
          <w:rFonts w:cs="Times-Roman"/>
          <w:color w:val="292526"/>
          <w:szCs w:val="16"/>
        </w:rPr>
        <w:t xml:space="preserve"> on </w:t>
      </w:r>
      <w:r w:rsidR="00726D4C">
        <w:rPr>
          <w:rFonts w:cs="Times-Roman"/>
          <w:i/>
          <w:color w:val="292526"/>
          <w:szCs w:val="16"/>
        </w:rPr>
        <w:t xml:space="preserve">individual trait persuasion knowledge </w:t>
      </w:r>
      <w:r>
        <w:rPr>
          <w:rFonts w:cs="Times-Roman"/>
          <w:color w:val="292526"/>
          <w:szCs w:val="16"/>
        </w:rPr>
        <w:t>with f</w:t>
      </w:r>
      <w:r w:rsidR="00726D4C">
        <w:rPr>
          <w:rFonts w:cs="Times-Roman"/>
          <w:color w:val="292526"/>
          <w:szCs w:val="16"/>
        </w:rPr>
        <w:t>actor loadings ranging from .770 to .866</w:t>
      </w:r>
      <w:r w:rsidR="00C51CDB">
        <w:rPr>
          <w:rFonts w:cs="Times-Roman"/>
          <w:color w:val="292526"/>
          <w:szCs w:val="16"/>
        </w:rPr>
        <w:t xml:space="preserve"> (see table 1</w:t>
      </w:r>
      <w:r>
        <w:rPr>
          <w:rFonts w:cs="Times-Roman"/>
          <w:color w:val="292526"/>
          <w:szCs w:val="16"/>
        </w:rPr>
        <w:t xml:space="preserve">). </w:t>
      </w:r>
      <w:r>
        <w:rPr>
          <w:rFonts w:cs="Helvetica"/>
          <w:szCs w:val="16"/>
        </w:rPr>
        <w:tab/>
      </w:r>
    </w:p>
    <w:p w:rsidR="00E014B7" w:rsidRDefault="00E014B7" w:rsidP="00E014B7">
      <w:pPr>
        <w:widowControl w:val="0"/>
        <w:autoSpaceDE w:val="0"/>
        <w:autoSpaceDN w:val="0"/>
        <w:adjustRightInd w:val="0"/>
        <w:spacing w:line="480" w:lineRule="auto"/>
        <w:rPr>
          <w:rFonts w:cs="Times-Roman"/>
          <w:i/>
          <w:szCs w:val="20"/>
        </w:rPr>
      </w:pPr>
      <w:r>
        <w:rPr>
          <w:rFonts w:cs="Times-Roman"/>
          <w:i/>
          <w:szCs w:val="20"/>
        </w:rPr>
        <w:t>Parental Mediation of Children’s Internet Use</w:t>
      </w:r>
    </w:p>
    <w:p w:rsidR="001B18DD" w:rsidRDefault="00E014B7" w:rsidP="00250894">
      <w:pPr>
        <w:widowControl w:val="0"/>
        <w:autoSpaceDE w:val="0"/>
        <w:autoSpaceDN w:val="0"/>
        <w:adjustRightInd w:val="0"/>
        <w:spacing w:line="480" w:lineRule="auto"/>
        <w:rPr>
          <w:rFonts w:cs="Times-Roman"/>
          <w:szCs w:val="20"/>
        </w:rPr>
      </w:pPr>
      <w:r>
        <w:rPr>
          <w:rFonts w:cs="Times-Roman"/>
          <w:szCs w:val="20"/>
        </w:rPr>
        <w:tab/>
        <w:t xml:space="preserve">Several questions that measure parents’ mediation strategies of their children’s Internet use </w:t>
      </w:r>
      <w:r w:rsidR="0095141A">
        <w:rPr>
          <w:rFonts w:cs="Times-Roman"/>
          <w:szCs w:val="20"/>
        </w:rPr>
        <w:t>were</w:t>
      </w:r>
      <w:r>
        <w:rPr>
          <w:rFonts w:cs="Times-Roman"/>
          <w:szCs w:val="20"/>
        </w:rPr>
        <w:t xml:space="preserve"> adopted from Livingstone and Helsper (2008). All questions </w:t>
      </w:r>
      <w:r w:rsidR="0095141A">
        <w:rPr>
          <w:rFonts w:cs="Times-Roman"/>
          <w:szCs w:val="20"/>
        </w:rPr>
        <w:t xml:space="preserve">have </w:t>
      </w:r>
      <w:r>
        <w:rPr>
          <w:rFonts w:cs="Times-Roman"/>
          <w:szCs w:val="20"/>
        </w:rPr>
        <w:t>maintain</w:t>
      </w:r>
      <w:r w:rsidR="0095141A">
        <w:rPr>
          <w:rFonts w:cs="Times-Roman"/>
          <w:szCs w:val="20"/>
        </w:rPr>
        <w:t>ed</w:t>
      </w:r>
      <w:r>
        <w:rPr>
          <w:rFonts w:cs="Times-Roman"/>
          <w:szCs w:val="20"/>
        </w:rPr>
        <w:t xml:space="preserve"> strong internal consistency (</w:t>
      </w:r>
      <w:r>
        <w:rPr>
          <w:rFonts w:cs="Times-Roman"/>
          <w:szCs w:val="20"/>
        </w:rPr>
        <w:sym w:font="Symbol" w:char="F061"/>
      </w:r>
      <w:r>
        <w:rPr>
          <w:rFonts w:cs="Times-Roman"/>
          <w:szCs w:val="20"/>
        </w:rPr>
        <w:t xml:space="preserve"> = .87) </w:t>
      </w:r>
      <w:r w:rsidR="0095141A">
        <w:rPr>
          <w:rFonts w:cs="Times-Roman"/>
          <w:szCs w:val="20"/>
        </w:rPr>
        <w:t>in past research are</w:t>
      </w:r>
      <w:r>
        <w:rPr>
          <w:rFonts w:cs="Times-Roman"/>
          <w:szCs w:val="20"/>
        </w:rPr>
        <w:t xml:space="preserve"> measured using a seven-point Likert scale from strongly agree to strongly disagree. Questions include, </w:t>
      </w:r>
      <w:r w:rsidRPr="00627628">
        <w:rPr>
          <w:rFonts w:cs="Times-Roman"/>
          <w:szCs w:val="20"/>
        </w:rPr>
        <w:t>“I have strict rules about the time my child spends online”, “I stay nearby when my child is online”, “I watch the screen when my child is online”, “I help my child when they use the Internet”,” I talk to my child about Internet use”, “I sit with my child when they are online”, “</w:t>
      </w:r>
      <w:r>
        <w:rPr>
          <w:rFonts w:cs="Times-Roman"/>
          <w:szCs w:val="20"/>
        </w:rPr>
        <w:t>My child is</w:t>
      </w:r>
      <w:r w:rsidRPr="00627628">
        <w:rPr>
          <w:rFonts w:cs="Times-Roman"/>
          <w:szCs w:val="20"/>
        </w:rPr>
        <w:t xml:space="preserve"> allowed to give out personal information”, “My child is not allowed to buy anything online”, and “My child is allowed to fill out online forms/quizzes”.</w:t>
      </w:r>
    </w:p>
    <w:p w:rsidR="00843EB2" w:rsidRDefault="00843EB2" w:rsidP="00250894">
      <w:pPr>
        <w:widowControl w:val="0"/>
        <w:autoSpaceDE w:val="0"/>
        <w:autoSpaceDN w:val="0"/>
        <w:adjustRightInd w:val="0"/>
        <w:spacing w:line="480" w:lineRule="auto"/>
        <w:rPr>
          <w:rFonts w:cs="Times-Roman"/>
          <w:i/>
          <w:szCs w:val="20"/>
        </w:rPr>
      </w:pPr>
    </w:p>
    <w:p w:rsidR="00A41A49" w:rsidRPr="001B18DD" w:rsidRDefault="001B18DD" w:rsidP="00250894">
      <w:pPr>
        <w:widowControl w:val="0"/>
        <w:autoSpaceDE w:val="0"/>
        <w:autoSpaceDN w:val="0"/>
        <w:adjustRightInd w:val="0"/>
        <w:spacing w:line="480" w:lineRule="auto"/>
        <w:rPr>
          <w:rFonts w:cs="Times-Roman"/>
          <w:i/>
          <w:szCs w:val="20"/>
        </w:rPr>
      </w:pPr>
      <w:r>
        <w:rPr>
          <w:rFonts w:cs="Times-Roman"/>
          <w:i/>
          <w:szCs w:val="20"/>
        </w:rPr>
        <w:t>Parental Mediation of Children’s Internet Use: Assessment and Structure</w:t>
      </w:r>
    </w:p>
    <w:p w:rsidR="008E0355" w:rsidRDefault="00A41A49" w:rsidP="001B18DD">
      <w:pPr>
        <w:widowControl w:val="0"/>
        <w:autoSpaceDE w:val="0"/>
        <w:autoSpaceDN w:val="0"/>
        <w:adjustRightInd w:val="0"/>
        <w:spacing w:line="480" w:lineRule="auto"/>
        <w:rPr>
          <w:rFonts w:cs="Times-Roman"/>
          <w:color w:val="292526"/>
          <w:szCs w:val="16"/>
        </w:rPr>
      </w:pPr>
      <w:r>
        <w:rPr>
          <w:rFonts w:cs="Times-Roman"/>
          <w:szCs w:val="20"/>
        </w:rPr>
        <w:tab/>
      </w:r>
      <w:r>
        <w:rPr>
          <w:rFonts w:cs="Times-Roman"/>
          <w:color w:val="292526"/>
          <w:szCs w:val="16"/>
        </w:rPr>
        <w:t xml:space="preserve">In order to test the underlying structure of parents’ mediation of Internet use a principle components analysis was performed. Following standard PCA procedures, components with Eigenvalues less than 1.0 were ignored and factor loadings of less than .40 were suppressed. The initial correlation matrix indicated no highly significant relationships (r </w:t>
      </w:r>
      <w:r>
        <w:rPr>
          <w:rFonts w:cs="Times-Roman"/>
          <w:color w:val="292526"/>
          <w:szCs w:val="16"/>
          <w:u w:val="single"/>
        </w:rPr>
        <w:t>&lt;</w:t>
      </w:r>
      <w:r>
        <w:rPr>
          <w:rFonts w:cs="Times-Roman"/>
          <w:color w:val="292526"/>
          <w:szCs w:val="16"/>
        </w:rPr>
        <w:t xml:space="preserve"> .85). Both the Kaiser-Meyer-Olkin test (.862)</w:t>
      </w:r>
      <w:r w:rsidR="001B18DD">
        <w:rPr>
          <w:rFonts w:cs="Times-Roman"/>
          <w:color w:val="292526"/>
          <w:szCs w:val="16"/>
        </w:rPr>
        <w:t xml:space="preserve"> </w:t>
      </w:r>
      <w:r w:rsidR="00726D4C">
        <w:rPr>
          <w:rFonts w:cs="Times-Roman"/>
          <w:color w:val="292526"/>
          <w:szCs w:val="16"/>
        </w:rPr>
        <w:t>and the Bartlett’s Test of Sphericity (Chi</w:t>
      </w:r>
      <w:r w:rsidR="00726D4C">
        <w:rPr>
          <w:rFonts w:cs="Times-Roman"/>
          <w:color w:val="292526"/>
          <w:szCs w:val="16"/>
          <w:vertAlign w:val="superscript"/>
        </w:rPr>
        <w:t>2</w:t>
      </w:r>
      <w:r w:rsidR="00726D4C">
        <w:rPr>
          <w:rFonts w:cs="Times-Roman"/>
          <w:color w:val="292526"/>
          <w:szCs w:val="16"/>
        </w:rPr>
        <w:t xml:space="preserve"> = 591.000, df =15, p &lt; .000) indicate an adequate sample for factor analysis. </w:t>
      </w:r>
    </w:p>
    <w:p w:rsidR="008E0355" w:rsidRDefault="008E0355" w:rsidP="008E0355">
      <w:pPr>
        <w:spacing w:line="480" w:lineRule="auto"/>
        <w:rPr>
          <w:rFonts w:cs="Times-Roman"/>
          <w:color w:val="292526"/>
          <w:szCs w:val="16"/>
        </w:rPr>
      </w:pPr>
      <w:r>
        <w:rPr>
          <w:rFonts w:cs="Times-Roman"/>
          <w:color w:val="292526"/>
          <w:szCs w:val="16"/>
        </w:rPr>
        <w:tab/>
        <w:t xml:space="preserve">PCA revealed one component, </w:t>
      </w:r>
      <w:r>
        <w:rPr>
          <w:rFonts w:cs="Times-Roman"/>
          <w:i/>
          <w:color w:val="292526"/>
          <w:szCs w:val="16"/>
        </w:rPr>
        <w:t xml:space="preserve">parental mediation of Internet use </w:t>
      </w:r>
      <w:r>
        <w:rPr>
          <w:rFonts w:cs="Times-Roman"/>
          <w:color w:val="292526"/>
          <w:szCs w:val="16"/>
        </w:rPr>
        <w:t>(</w:t>
      </w:r>
      <w:r>
        <w:sym w:font="Symbol" w:char="F061"/>
      </w:r>
      <w:r w:rsidR="00E97131">
        <w:t xml:space="preserve"> = .875’ M = 29.77; SD = 6.92</w:t>
      </w:r>
      <w:r>
        <w:t>),</w:t>
      </w:r>
      <w:r>
        <w:rPr>
          <w:rFonts w:cs="Times-Roman"/>
          <w:color w:val="292526"/>
          <w:szCs w:val="16"/>
        </w:rPr>
        <w:t xml:space="preserve"> accounting for 62.10% of variance with an Eigenvalue of 3.73. Six items loaded on </w:t>
      </w:r>
      <w:r>
        <w:rPr>
          <w:rFonts w:cs="Times-Roman"/>
          <w:i/>
          <w:color w:val="292526"/>
          <w:szCs w:val="16"/>
        </w:rPr>
        <w:t xml:space="preserve">parental mediation of Internet use </w:t>
      </w:r>
      <w:r>
        <w:rPr>
          <w:rFonts w:cs="Times-Roman"/>
          <w:color w:val="292526"/>
          <w:szCs w:val="16"/>
        </w:rPr>
        <w:t>with factor loadings rangin</w:t>
      </w:r>
      <w:r w:rsidR="00C51CDB">
        <w:rPr>
          <w:rFonts w:cs="Times-Roman"/>
          <w:color w:val="292526"/>
          <w:szCs w:val="16"/>
        </w:rPr>
        <w:t>g from .699 to .852 (see table 1</w:t>
      </w:r>
      <w:r>
        <w:rPr>
          <w:rFonts w:cs="Times-Roman"/>
          <w:color w:val="292526"/>
          <w:szCs w:val="16"/>
        </w:rPr>
        <w:t xml:space="preserve">). </w:t>
      </w:r>
    </w:p>
    <w:p w:rsidR="00726D4C" w:rsidRDefault="00726D4C" w:rsidP="00726D4C">
      <w:pPr>
        <w:pStyle w:val="NormalWeb"/>
        <w:spacing w:before="0" w:beforeAutospacing="0" w:after="0" w:afterAutospacing="0" w:line="480" w:lineRule="auto"/>
        <w:rPr>
          <w:rFonts w:cs="Times-Roman"/>
          <w:color w:val="292526"/>
          <w:szCs w:val="16"/>
        </w:rPr>
      </w:pPr>
    </w:p>
    <w:p w:rsidR="00E014B7" w:rsidRPr="00627628" w:rsidRDefault="00E014B7" w:rsidP="00E014B7">
      <w:pPr>
        <w:widowControl w:val="0"/>
        <w:autoSpaceDE w:val="0"/>
        <w:autoSpaceDN w:val="0"/>
        <w:adjustRightInd w:val="0"/>
        <w:spacing w:line="480" w:lineRule="auto"/>
        <w:rPr>
          <w:rFonts w:cs="Times-Roman"/>
          <w:szCs w:val="20"/>
        </w:rPr>
      </w:pPr>
    </w:p>
    <w:p w:rsidR="00541C49" w:rsidRPr="00E014B7" w:rsidRDefault="00541C49" w:rsidP="00E014B7">
      <w:pPr>
        <w:rPr>
          <w:b/>
        </w:rPr>
      </w:pPr>
    </w:p>
    <w:p w:rsidR="00AB5097" w:rsidRPr="00541C49" w:rsidRDefault="00AB5097" w:rsidP="00541C49">
      <w:pPr>
        <w:rPr>
          <w:b/>
        </w:rPr>
      </w:pPr>
    </w:p>
    <w:p w:rsidR="00AB5097" w:rsidRPr="00AB5097" w:rsidRDefault="00AB5097" w:rsidP="00AB5097">
      <w:pPr>
        <w:rPr>
          <w:b/>
        </w:rPr>
      </w:pPr>
    </w:p>
    <w:p w:rsidR="002C0A70" w:rsidRPr="00AB5097" w:rsidRDefault="002C0A70" w:rsidP="00AB5097">
      <w:pPr>
        <w:rPr>
          <w:b/>
        </w:rPr>
      </w:pPr>
    </w:p>
    <w:p w:rsidR="0016491A" w:rsidRDefault="009D525D" w:rsidP="002C0A70">
      <w:pPr>
        <w:rPr>
          <w:b/>
        </w:rPr>
      </w:pPr>
      <w:r w:rsidRPr="002C0A70">
        <w:rPr>
          <w:b/>
        </w:rPr>
        <w:tab/>
      </w: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6491A" w:rsidRDefault="0016491A" w:rsidP="002C0A70">
      <w:pPr>
        <w:rPr>
          <w:b/>
        </w:rPr>
      </w:pPr>
    </w:p>
    <w:p w:rsidR="00180DFB" w:rsidRDefault="00180DFB" w:rsidP="0009786C">
      <w:pPr>
        <w:widowControl w:val="0"/>
        <w:autoSpaceDE w:val="0"/>
        <w:autoSpaceDN w:val="0"/>
        <w:adjustRightInd w:val="0"/>
        <w:jc w:val="center"/>
        <w:rPr>
          <w:b/>
          <w:bCs/>
        </w:rPr>
      </w:pPr>
    </w:p>
    <w:p w:rsidR="00180DFB" w:rsidRDefault="00180DFB" w:rsidP="0009786C">
      <w:pPr>
        <w:widowControl w:val="0"/>
        <w:autoSpaceDE w:val="0"/>
        <w:autoSpaceDN w:val="0"/>
        <w:adjustRightInd w:val="0"/>
        <w:jc w:val="center"/>
        <w:rPr>
          <w:b/>
          <w:bCs/>
        </w:rPr>
      </w:pPr>
    </w:p>
    <w:p w:rsidR="0009786C" w:rsidRDefault="0009786C" w:rsidP="0009786C">
      <w:pPr>
        <w:widowControl w:val="0"/>
        <w:autoSpaceDE w:val="0"/>
        <w:autoSpaceDN w:val="0"/>
        <w:adjustRightInd w:val="0"/>
        <w:jc w:val="center"/>
        <w:rPr>
          <w:b/>
          <w:bCs/>
        </w:rPr>
      </w:pPr>
      <w:r>
        <w:rPr>
          <w:b/>
          <w:bCs/>
        </w:rPr>
        <w:t>CHAPTER IV</w:t>
      </w:r>
    </w:p>
    <w:p w:rsidR="0009786C" w:rsidRDefault="0009786C" w:rsidP="0009786C">
      <w:pPr>
        <w:widowControl w:val="0"/>
        <w:autoSpaceDE w:val="0"/>
        <w:autoSpaceDN w:val="0"/>
        <w:adjustRightInd w:val="0"/>
        <w:jc w:val="center"/>
        <w:rPr>
          <w:b/>
          <w:bCs/>
        </w:rPr>
      </w:pPr>
      <w:r>
        <w:rPr>
          <w:b/>
          <w:bCs/>
        </w:rPr>
        <w:t>RESULTS</w:t>
      </w:r>
    </w:p>
    <w:p w:rsidR="0009786C" w:rsidRDefault="0009786C" w:rsidP="0009786C">
      <w:pPr>
        <w:widowControl w:val="0"/>
        <w:autoSpaceDE w:val="0"/>
        <w:autoSpaceDN w:val="0"/>
        <w:adjustRightInd w:val="0"/>
        <w:jc w:val="center"/>
        <w:rPr>
          <w:b/>
          <w:bCs/>
        </w:rPr>
      </w:pPr>
    </w:p>
    <w:p w:rsidR="00E41199" w:rsidRDefault="009D5743" w:rsidP="0009786C">
      <w:pPr>
        <w:widowControl w:val="0"/>
        <w:autoSpaceDE w:val="0"/>
        <w:autoSpaceDN w:val="0"/>
        <w:adjustRightInd w:val="0"/>
        <w:rPr>
          <w:b/>
          <w:bCs/>
        </w:rPr>
      </w:pPr>
      <w:r>
        <w:rPr>
          <w:b/>
          <w:bCs/>
        </w:rPr>
        <w:t>Advertising Disclosure H</w:t>
      </w:r>
      <w:r w:rsidR="00E41199">
        <w:rPr>
          <w:b/>
          <w:bCs/>
        </w:rPr>
        <w:t>ypotheses Tests</w:t>
      </w:r>
    </w:p>
    <w:p w:rsidR="00E41199" w:rsidRDefault="00E41199" w:rsidP="00E41199">
      <w:pPr>
        <w:widowControl w:val="0"/>
        <w:autoSpaceDE w:val="0"/>
        <w:autoSpaceDN w:val="0"/>
        <w:adjustRightInd w:val="0"/>
        <w:rPr>
          <w:bCs/>
        </w:rPr>
      </w:pPr>
    </w:p>
    <w:p w:rsidR="00D66E92" w:rsidRDefault="00E41199" w:rsidP="00E41199">
      <w:pPr>
        <w:widowControl w:val="0"/>
        <w:autoSpaceDE w:val="0"/>
        <w:autoSpaceDN w:val="0"/>
        <w:adjustRightInd w:val="0"/>
        <w:spacing w:line="480" w:lineRule="auto"/>
        <w:rPr>
          <w:bCs/>
        </w:rPr>
      </w:pPr>
      <w:r>
        <w:rPr>
          <w:bCs/>
        </w:rPr>
        <w:tab/>
      </w:r>
      <w:r w:rsidR="00D30C83">
        <w:rPr>
          <w:bCs/>
        </w:rPr>
        <w:t>Hypothesis 1 predicted that parents who were exposed to the dual modality advertising disclosure condition would report more persuasion knowledge than parents exposed to the single modality</w:t>
      </w:r>
      <w:r w:rsidR="00553AED">
        <w:rPr>
          <w:bCs/>
        </w:rPr>
        <w:t xml:space="preserve"> advertising</w:t>
      </w:r>
      <w:r w:rsidR="00D30C83">
        <w:rPr>
          <w:bCs/>
        </w:rPr>
        <w:t xml:space="preserve"> disclosure co</w:t>
      </w:r>
      <w:r w:rsidR="00F702DB">
        <w:rPr>
          <w:bCs/>
        </w:rPr>
        <w:t>ndition. A one-way ANOVA for</w:t>
      </w:r>
      <w:r w:rsidR="00D30C83">
        <w:rPr>
          <w:bCs/>
        </w:rPr>
        <w:t xml:space="preserve"> </w:t>
      </w:r>
      <w:r w:rsidR="00D30C83" w:rsidRPr="007A2BC3">
        <w:rPr>
          <w:bCs/>
        </w:rPr>
        <w:t>selling and persuasion knowledge</w:t>
      </w:r>
      <w:r w:rsidR="00D30C83">
        <w:rPr>
          <w:bCs/>
          <w:i/>
        </w:rPr>
        <w:t xml:space="preserve"> </w:t>
      </w:r>
      <w:r w:rsidR="00D30C83">
        <w:rPr>
          <w:bCs/>
        </w:rPr>
        <w:t xml:space="preserve">revealed no </w:t>
      </w:r>
      <w:r w:rsidR="00801292">
        <w:rPr>
          <w:bCs/>
        </w:rPr>
        <w:t xml:space="preserve">statistically </w:t>
      </w:r>
      <w:r w:rsidR="00D30C83">
        <w:rPr>
          <w:bCs/>
        </w:rPr>
        <w:t xml:space="preserve">significant differences across the three advertising disclosure modality conditions </w:t>
      </w:r>
      <w:r w:rsidR="00D30C83">
        <w:rPr>
          <w:bCs/>
          <w:i/>
        </w:rPr>
        <w:t>F</w:t>
      </w:r>
      <w:r w:rsidR="00D30C83">
        <w:rPr>
          <w:bCs/>
        </w:rPr>
        <w:t xml:space="preserve"> (2, 199) = 2.204, </w:t>
      </w:r>
      <w:r w:rsidR="00CF0171">
        <w:rPr>
          <w:bCs/>
          <w:i/>
        </w:rPr>
        <w:t xml:space="preserve">p = </w:t>
      </w:r>
      <w:r w:rsidR="00801292">
        <w:rPr>
          <w:bCs/>
        </w:rPr>
        <w:t>.113</w:t>
      </w:r>
      <w:r w:rsidR="00D66E92">
        <w:rPr>
          <w:bCs/>
        </w:rPr>
        <w:t xml:space="preserve"> (see Figure 10)</w:t>
      </w:r>
      <w:r w:rsidR="00801292">
        <w:rPr>
          <w:bCs/>
        </w:rPr>
        <w:t xml:space="preserve">. </w:t>
      </w:r>
    </w:p>
    <w:p w:rsidR="00D66E92" w:rsidRPr="00D66E92" w:rsidRDefault="00D66E92" w:rsidP="00E41199">
      <w:pPr>
        <w:widowControl w:val="0"/>
        <w:autoSpaceDE w:val="0"/>
        <w:autoSpaceDN w:val="0"/>
        <w:adjustRightInd w:val="0"/>
        <w:spacing w:line="480" w:lineRule="auto"/>
        <w:rPr>
          <w:b/>
          <w:bCs/>
        </w:rPr>
      </w:pPr>
      <w:r>
        <w:rPr>
          <w:b/>
          <w:bCs/>
        </w:rPr>
        <w:t>Figure #10:</w:t>
      </w:r>
      <w:r w:rsidR="001B18DD">
        <w:rPr>
          <w:b/>
          <w:bCs/>
        </w:rPr>
        <w:t xml:space="preserve"> One-Way ANOVA for Advertising Modality Disclosures</w:t>
      </w:r>
    </w:p>
    <w:p w:rsidR="00D66E92" w:rsidRDefault="00D66E92" w:rsidP="00E41199">
      <w:pPr>
        <w:widowControl w:val="0"/>
        <w:autoSpaceDE w:val="0"/>
        <w:autoSpaceDN w:val="0"/>
        <w:adjustRightInd w:val="0"/>
        <w:spacing w:line="480" w:lineRule="auto"/>
        <w:rPr>
          <w:bCs/>
        </w:rPr>
      </w:pPr>
      <w:r>
        <w:rPr>
          <w:bCs/>
          <w:noProof/>
        </w:rPr>
        <w:drawing>
          <wp:inline distT="0" distB="0" distL="0" distR="0">
            <wp:extent cx="4351737" cy="3483864"/>
            <wp:effectExtent l="2540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srcRect/>
                    <a:stretch>
                      <a:fillRect/>
                    </a:stretch>
                  </pic:blipFill>
                  <pic:spPr bwMode="auto">
                    <a:xfrm>
                      <a:off x="0" y="0"/>
                      <a:ext cx="4351737" cy="3483864"/>
                    </a:xfrm>
                    <a:prstGeom prst="rect">
                      <a:avLst/>
                    </a:prstGeom>
                    <a:noFill/>
                    <a:ln w="9525">
                      <a:noFill/>
                      <a:miter lim="800000"/>
                      <a:headEnd/>
                      <a:tailEnd/>
                    </a:ln>
                  </pic:spPr>
                </pic:pic>
              </a:graphicData>
            </a:graphic>
          </wp:inline>
        </w:drawing>
      </w:r>
      <w:r>
        <w:rPr>
          <w:bCs/>
        </w:rPr>
        <w:tab/>
      </w:r>
    </w:p>
    <w:p w:rsidR="00180DFB" w:rsidRDefault="00D66E92" w:rsidP="00E41199">
      <w:pPr>
        <w:widowControl w:val="0"/>
        <w:autoSpaceDE w:val="0"/>
        <w:autoSpaceDN w:val="0"/>
        <w:adjustRightInd w:val="0"/>
        <w:spacing w:line="480" w:lineRule="auto"/>
      </w:pPr>
      <w:r>
        <w:rPr>
          <w:bCs/>
        </w:rPr>
        <w:tab/>
      </w:r>
      <w:r w:rsidR="00801292">
        <w:rPr>
          <w:bCs/>
        </w:rPr>
        <w:t>Additional analyses were carried out for the CL treatment subgroup. A median split was performed on the CL treatment subgroup resulting in a high CL group and low CL group. A</w:t>
      </w:r>
      <w:r w:rsidR="00CF0171">
        <w:rPr>
          <w:bCs/>
        </w:rPr>
        <w:t xml:space="preserve"> </w:t>
      </w:r>
      <w:r w:rsidR="00801292">
        <w:rPr>
          <w:bCs/>
        </w:rPr>
        <w:t xml:space="preserve">3 x 2 </w:t>
      </w:r>
      <w:r w:rsidR="00CF0171">
        <w:rPr>
          <w:bCs/>
        </w:rPr>
        <w:t xml:space="preserve">ANOVA </w:t>
      </w:r>
      <w:r w:rsidR="00801292">
        <w:rPr>
          <w:bCs/>
        </w:rPr>
        <w:t xml:space="preserve">was used to examine parents’ </w:t>
      </w:r>
      <w:r w:rsidR="00801292" w:rsidRPr="007A2BC3">
        <w:rPr>
          <w:bCs/>
        </w:rPr>
        <w:t>selling and persuasion knowledge</w:t>
      </w:r>
      <w:r w:rsidR="00801292">
        <w:rPr>
          <w:bCs/>
        </w:rPr>
        <w:t xml:space="preserve"> by advertising disclosure modality (</w:t>
      </w:r>
      <w:r w:rsidR="007A2BC3">
        <w:rPr>
          <w:bCs/>
        </w:rPr>
        <w:t>none</w:t>
      </w:r>
      <w:r w:rsidR="0030793E">
        <w:rPr>
          <w:bCs/>
        </w:rPr>
        <w:t>/single/dual) and CL median split</w:t>
      </w:r>
      <w:r w:rsidR="00801292">
        <w:rPr>
          <w:bCs/>
        </w:rPr>
        <w:t xml:space="preserve"> (high/low)</w:t>
      </w:r>
      <w:r>
        <w:rPr>
          <w:bCs/>
        </w:rPr>
        <w:t>.</w:t>
      </w:r>
      <w:r w:rsidR="001934A8">
        <w:rPr>
          <w:bCs/>
        </w:rPr>
        <w:t xml:space="preserve"> </w:t>
      </w:r>
      <w:r w:rsidR="00801292">
        <w:rPr>
          <w:bCs/>
        </w:rPr>
        <w:t>There was a marginally significant main effect for advertising disclosure modality (</w:t>
      </w:r>
      <w:r w:rsidR="00801292">
        <w:rPr>
          <w:bCs/>
          <w:i/>
        </w:rPr>
        <w:t xml:space="preserve">F </w:t>
      </w:r>
      <w:r w:rsidR="00801292">
        <w:rPr>
          <w:bCs/>
        </w:rPr>
        <w:t xml:space="preserve">(2, 94) = 2.367, </w:t>
      </w:r>
      <w:r w:rsidR="00801292">
        <w:rPr>
          <w:bCs/>
          <w:i/>
        </w:rPr>
        <w:t xml:space="preserve">p = </w:t>
      </w:r>
      <w:r w:rsidR="00801292">
        <w:rPr>
          <w:bCs/>
        </w:rPr>
        <w:t>.099)</w:t>
      </w:r>
      <w:r w:rsidR="007A2BC3">
        <w:rPr>
          <w:bCs/>
        </w:rPr>
        <w:t xml:space="preserve">. In partial support of hypothesis 1, LSD post hoc comparisons indicate that parents </w:t>
      </w:r>
      <w:r w:rsidR="00553AED">
        <w:rPr>
          <w:bCs/>
        </w:rPr>
        <w:t>exposed to th</w:t>
      </w:r>
      <w:r w:rsidR="007A2BC3">
        <w:rPr>
          <w:bCs/>
        </w:rPr>
        <w:t xml:space="preserve">e dual modality </w:t>
      </w:r>
      <w:r w:rsidR="00553AED">
        <w:rPr>
          <w:bCs/>
        </w:rPr>
        <w:t>advertising disclosure</w:t>
      </w:r>
      <w:r w:rsidR="007A2BC3">
        <w:rPr>
          <w:bCs/>
        </w:rPr>
        <w:t xml:space="preserve"> (</w:t>
      </w:r>
      <w:r w:rsidR="007A2BC3">
        <w:rPr>
          <w:bCs/>
          <w:i/>
        </w:rPr>
        <w:t xml:space="preserve">M = </w:t>
      </w:r>
      <w:r w:rsidR="00217EE8">
        <w:rPr>
          <w:bCs/>
        </w:rPr>
        <w:t>9.07</w:t>
      </w:r>
      <w:r w:rsidR="007A2BC3">
        <w:rPr>
          <w:bCs/>
        </w:rPr>
        <w:t xml:space="preserve">, </w:t>
      </w:r>
      <w:r w:rsidR="007A2BC3">
        <w:t>95% CI [8.00, 10.13]) have more selling and pers</w:t>
      </w:r>
      <w:r w:rsidR="00553AED">
        <w:t>uasion knowledge than parents exposed to</w:t>
      </w:r>
      <w:r w:rsidR="007A2BC3">
        <w:t xml:space="preserve"> no </w:t>
      </w:r>
      <w:r w:rsidR="00553AED">
        <w:t xml:space="preserve">advertising </w:t>
      </w:r>
      <w:r w:rsidR="007A2BC3">
        <w:t>disclosu</w:t>
      </w:r>
      <w:r w:rsidR="00217EE8">
        <w:t xml:space="preserve">re </w:t>
      </w:r>
      <w:r w:rsidR="00217EE8">
        <w:rPr>
          <w:bCs/>
        </w:rPr>
        <w:t>(</w:t>
      </w:r>
      <w:r w:rsidR="00217EE8">
        <w:rPr>
          <w:bCs/>
          <w:i/>
        </w:rPr>
        <w:t xml:space="preserve">M = </w:t>
      </w:r>
      <w:r w:rsidR="00217EE8">
        <w:rPr>
          <w:bCs/>
        </w:rPr>
        <w:t xml:space="preserve">7.51, </w:t>
      </w:r>
      <w:r w:rsidR="00217EE8">
        <w:t xml:space="preserve">95% CI [6.45, 8.57]), </w:t>
      </w:r>
      <w:r w:rsidR="00217EE8">
        <w:rPr>
          <w:i/>
        </w:rPr>
        <w:t xml:space="preserve">p = </w:t>
      </w:r>
      <w:r w:rsidR="00217EE8">
        <w:t xml:space="preserve">.039.  </w:t>
      </w:r>
    </w:p>
    <w:p w:rsidR="00D66E92" w:rsidRDefault="00180DFB" w:rsidP="00180DFB">
      <w:pPr>
        <w:widowControl w:val="0"/>
        <w:autoSpaceDE w:val="0"/>
        <w:autoSpaceDN w:val="0"/>
        <w:adjustRightInd w:val="0"/>
        <w:spacing w:line="480" w:lineRule="auto"/>
      </w:pPr>
      <w:r>
        <w:tab/>
        <w:t xml:space="preserve">Hypothesis 2 predicted </w:t>
      </w:r>
      <w:r>
        <w:rPr>
          <w:bCs/>
        </w:rPr>
        <w:t>that parents who were exposed to the single modality advertising disclosure condition would report more persuasion knowledge than parents exposed to the no advertising disclosure</w:t>
      </w:r>
      <w:r w:rsidR="00F702DB">
        <w:rPr>
          <w:bCs/>
        </w:rPr>
        <w:t xml:space="preserve"> condition. A one-way ANOVA for</w:t>
      </w:r>
      <w:r>
        <w:rPr>
          <w:bCs/>
        </w:rPr>
        <w:t xml:space="preserve"> </w:t>
      </w:r>
      <w:r w:rsidRPr="007A2BC3">
        <w:rPr>
          <w:bCs/>
        </w:rPr>
        <w:t>selling and persuasion knowledge</w:t>
      </w:r>
      <w:r>
        <w:rPr>
          <w:bCs/>
          <w:i/>
        </w:rPr>
        <w:t xml:space="preserve"> </w:t>
      </w:r>
      <w:r>
        <w:rPr>
          <w:bCs/>
        </w:rPr>
        <w:t xml:space="preserve">revealed no statistically significant differences across the three advertising disclosure modality conditions </w:t>
      </w:r>
      <w:r>
        <w:rPr>
          <w:bCs/>
          <w:i/>
        </w:rPr>
        <w:t>F</w:t>
      </w:r>
      <w:r>
        <w:rPr>
          <w:bCs/>
        </w:rPr>
        <w:t xml:space="preserve"> (2, 199) = 2.204, </w:t>
      </w:r>
      <w:r>
        <w:rPr>
          <w:bCs/>
          <w:i/>
        </w:rPr>
        <w:t xml:space="preserve">p = </w:t>
      </w:r>
      <w:r>
        <w:rPr>
          <w:bCs/>
        </w:rPr>
        <w:t>.113. LSD post hoc comparisons indicate that parents exposed to the single modality advertising disclosure (</w:t>
      </w:r>
      <w:r>
        <w:rPr>
          <w:bCs/>
          <w:i/>
        </w:rPr>
        <w:t>M</w:t>
      </w:r>
      <w:r>
        <w:rPr>
          <w:bCs/>
        </w:rPr>
        <w:t xml:space="preserve"> = 9.22,</w:t>
      </w:r>
      <w:r>
        <w:t xml:space="preserve"> 95% CI [8.43, 9.99]) have more selling and persuasion knowledge than parents exposed to no advertising disclosure (</w:t>
      </w:r>
      <w:r>
        <w:rPr>
          <w:i/>
        </w:rPr>
        <w:t>M</w:t>
      </w:r>
      <w:r>
        <w:t xml:space="preserve"> = 8.07, 95% CI [7.31, 8.84]), </w:t>
      </w:r>
      <w:r>
        <w:rPr>
          <w:i/>
        </w:rPr>
        <w:t xml:space="preserve">p </w:t>
      </w:r>
      <w:r>
        <w:t xml:space="preserve">= .041. An additional </w:t>
      </w:r>
      <w:r>
        <w:rPr>
          <w:bCs/>
        </w:rPr>
        <w:t>2 x 2 ANOVA was used to</w:t>
      </w:r>
      <w:r w:rsidR="00F702DB">
        <w:rPr>
          <w:bCs/>
        </w:rPr>
        <w:t xml:space="preserve"> examine parents’ </w:t>
      </w:r>
      <w:r w:rsidR="00F702DB" w:rsidRPr="007A2BC3">
        <w:rPr>
          <w:bCs/>
        </w:rPr>
        <w:t xml:space="preserve">selling and </w:t>
      </w:r>
    </w:p>
    <w:p w:rsidR="00E525F6" w:rsidRPr="00180DFB" w:rsidRDefault="00F702DB" w:rsidP="00E41199">
      <w:pPr>
        <w:widowControl w:val="0"/>
        <w:autoSpaceDE w:val="0"/>
        <w:autoSpaceDN w:val="0"/>
        <w:adjustRightInd w:val="0"/>
        <w:spacing w:line="480" w:lineRule="auto"/>
        <w:rPr>
          <w:bCs/>
        </w:rPr>
      </w:pPr>
      <w:r w:rsidRPr="007A2BC3">
        <w:rPr>
          <w:bCs/>
        </w:rPr>
        <w:t xml:space="preserve">persuasion </w:t>
      </w:r>
      <w:r w:rsidR="009A7D84" w:rsidRPr="007A2BC3">
        <w:rPr>
          <w:bCs/>
        </w:rPr>
        <w:t>knowledge</w:t>
      </w:r>
      <w:r w:rsidR="009A7D84">
        <w:rPr>
          <w:bCs/>
        </w:rPr>
        <w:t xml:space="preserve"> by advertising disclosure modality (none/single) and CL treatment (yes/no)</w:t>
      </w:r>
      <w:r w:rsidR="00D66E92">
        <w:rPr>
          <w:bCs/>
        </w:rPr>
        <w:t xml:space="preserve"> (see Figure 11)</w:t>
      </w:r>
      <w:r w:rsidR="009A7D84">
        <w:rPr>
          <w:bCs/>
        </w:rPr>
        <w:t>. There was a significant main effect</w:t>
      </w:r>
      <w:r w:rsidR="009A7D84">
        <w:t xml:space="preserve"> for advertising disclosure modality </w:t>
      </w:r>
      <w:r w:rsidR="00E525F6">
        <w:t>(</w:t>
      </w:r>
      <w:r w:rsidR="00E525F6">
        <w:rPr>
          <w:i/>
        </w:rPr>
        <w:t>F</w:t>
      </w:r>
      <w:r w:rsidR="00E525F6">
        <w:t xml:space="preserve"> (1, 129) = 4.05,</w:t>
      </w:r>
      <w:r w:rsidR="00E525F6">
        <w:rPr>
          <w:i/>
        </w:rPr>
        <w:t xml:space="preserve"> p </w:t>
      </w:r>
      <w:r w:rsidR="00E525F6">
        <w:t>= .046). Parents exposed to a single modality advertising disclosure had a higher mean (</w:t>
      </w:r>
      <w:r w:rsidR="00E525F6">
        <w:rPr>
          <w:i/>
        </w:rPr>
        <w:t xml:space="preserve">M = </w:t>
      </w:r>
      <w:r w:rsidR="00E525F6">
        <w:t>8.11) than did parents exposed to no advertising disclosure (</w:t>
      </w:r>
      <w:r w:rsidR="00E525F6">
        <w:rPr>
          <w:i/>
        </w:rPr>
        <w:t>M</w:t>
      </w:r>
      <w:r w:rsidR="00E525F6">
        <w:t xml:space="preserve"> = 9.19). </w:t>
      </w:r>
      <w:r w:rsidR="00553AED">
        <w:t>Therefore, hypothesis 2 is supported.</w:t>
      </w:r>
      <w:r w:rsidR="00553AED">
        <w:tab/>
      </w:r>
    </w:p>
    <w:p w:rsidR="001C69E3" w:rsidRDefault="00E525F6" w:rsidP="00E41199">
      <w:pPr>
        <w:widowControl w:val="0"/>
        <w:autoSpaceDE w:val="0"/>
        <w:autoSpaceDN w:val="0"/>
        <w:adjustRightInd w:val="0"/>
        <w:spacing w:line="480" w:lineRule="auto"/>
        <w:rPr>
          <w:bCs/>
        </w:rPr>
      </w:pPr>
      <w:r>
        <w:tab/>
      </w:r>
      <w:r w:rsidR="00553AED">
        <w:t xml:space="preserve">Hypothesis 3 predicted that </w:t>
      </w:r>
      <w:r w:rsidR="00553AED">
        <w:rPr>
          <w:bCs/>
        </w:rPr>
        <w:t xml:space="preserve">parents who were exposed to the dual modality advertising disclosure condition would report more negative attitudes toward children’s’ advergames than parents exposed to the single modality advertising disclosure condition. </w:t>
      </w:r>
      <w:r w:rsidR="003A31D6">
        <w:rPr>
          <w:bCs/>
        </w:rPr>
        <w:t xml:space="preserve">Hypothesis 4 </w:t>
      </w:r>
      <w:r w:rsidR="003A31D6">
        <w:t xml:space="preserve">predicted that </w:t>
      </w:r>
      <w:r w:rsidR="003A31D6">
        <w:rPr>
          <w:bCs/>
        </w:rPr>
        <w:t>parents who were exposed to the single modality advertising disclosure condition would report more negative attitudes toward children’s’ advergames than parents exposed to the no advertis</w:t>
      </w:r>
      <w:r w:rsidR="005665F5">
        <w:rPr>
          <w:bCs/>
        </w:rPr>
        <w:t>ing disclosure condition. A one-</w:t>
      </w:r>
      <w:r w:rsidR="003A31D6">
        <w:rPr>
          <w:bCs/>
        </w:rPr>
        <w:t xml:space="preserve">way ANOVA for negative perceptions of advergames </w:t>
      </w:r>
    </w:p>
    <w:p w:rsidR="001C69E3" w:rsidRPr="001C69E3" w:rsidRDefault="001C69E3" w:rsidP="00E41199">
      <w:pPr>
        <w:widowControl w:val="0"/>
        <w:autoSpaceDE w:val="0"/>
        <w:autoSpaceDN w:val="0"/>
        <w:adjustRightInd w:val="0"/>
        <w:spacing w:line="480" w:lineRule="auto"/>
        <w:rPr>
          <w:b/>
          <w:bCs/>
        </w:rPr>
      </w:pPr>
      <w:r>
        <w:rPr>
          <w:b/>
          <w:bCs/>
        </w:rPr>
        <w:t>Figure #11:</w:t>
      </w:r>
      <w:r w:rsidR="001B18DD">
        <w:rPr>
          <w:b/>
          <w:bCs/>
        </w:rPr>
        <w:t xml:space="preserve"> </w:t>
      </w:r>
      <w:r w:rsidR="001B18DD" w:rsidRPr="0094761B">
        <w:rPr>
          <w:b/>
          <w:bCs/>
        </w:rPr>
        <w:t>2 x 2 ANOVA</w:t>
      </w:r>
      <w:r w:rsidR="0094761B" w:rsidRPr="0094761B">
        <w:rPr>
          <w:b/>
          <w:bCs/>
        </w:rPr>
        <w:t xml:space="preserve"> for advertising disclosure modality and CL treatment (yes/no)</w:t>
      </w:r>
    </w:p>
    <w:p w:rsidR="001C69E3" w:rsidRDefault="001C69E3" w:rsidP="00E41199">
      <w:pPr>
        <w:widowControl w:val="0"/>
        <w:autoSpaceDE w:val="0"/>
        <w:autoSpaceDN w:val="0"/>
        <w:adjustRightInd w:val="0"/>
        <w:spacing w:line="480" w:lineRule="auto"/>
        <w:rPr>
          <w:bCs/>
        </w:rPr>
      </w:pPr>
      <w:r w:rsidRPr="001C69E3">
        <w:rPr>
          <w:bCs/>
        </w:rPr>
        <w:drawing>
          <wp:inline distT="0" distB="0" distL="0" distR="0">
            <wp:extent cx="4351737" cy="3483864"/>
            <wp:effectExtent l="25400" t="0" r="0" b="0"/>
            <wp:docPr id="1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a:stretch>
                      <a:fillRect/>
                    </a:stretch>
                  </pic:blipFill>
                  <pic:spPr bwMode="auto">
                    <a:xfrm>
                      <a:off x="0" y="0"/>
                      <a:ext cx="4351737" cy="3483864"/>
                    </a:xfrm>
                    <a:prstGeom prst="rect">
                      <a:avLst/>
                    </a:prstGeom>
                    <a:noFill/>
                    <a:ln w="9525">
                      <a:noFill/>
                      <a:miter lim="800000"/>
                      <a:headEnd/>
                      <a:tailEnd/>
                    </a:ln>
                  </pic:spPr>
                </pic:pic>
              </a:graphicData>
            </a:graphic>
          </wp:inline>
        </w:drawing>
      </w:r>
      <w:r w:rsidRPr="001C69E3">
        <w:rPr>
          <w:bCs/>
        </w:rPr>
        <w:t xml:space="preserve"> </w:t>
      </w:r>
    </w:p>
    <w:p w:rsidR="009D5743" w:rsidRPr="00091E87" w:rsidRDefault="003A31D6" w:rsidP="00E41199">
      <w:pPr>
        <w:widowControl w:val="0"/>
        <w:autoSpaceDE w:val="0"/>
        <w:autoSpaceDN w:val="0"/>
        <w:adjustRightInd w:val="0"/>
        <w:spacing w:line="480" w:lineRule="auto"/>
      </w:pPr>
      <w:r>
        <w:rPr>
          <w:bCs/>
        </w:rPr>
        <w:t xml:space="preserve">indicate no statistically significant differences across advertising disclosure conditions </w:t>
      </w:r>
      <w:r>
        <w:rPr>
          <w:bCs/>
          <w:i/>
        </w:rPr>
        <w:t xml:space="preserve">F </w:t>
      </w:r>
      <w:r>
        <w:rPr>
          <w:bCs/>
        </w:rPr>
        <w:t xml:space="preserve">(2, 199) = .462, </w:t>
      </w:r>
      <w:r>
        <w:rPr>
          <w:bCs/>
          <w:i/>
        </w:rPr>
        <w:t xml:space="preserve">p </w:t>
      </w:r>
      <w:r>
        <w:rPr>
          <w:bCs/>
        </w:rPr>
        <w:t xml:space="preserve">&gt; .05. </w:t>
      </w:r>
      <w:r w:rsidR="00D65143">
        <w:rPr>
          <w:bCs/>
        </w:rPr>
        <w:t xml:space="preserve">A 3 x 2 ANOVA was used to examine </w:t>
      </w:r>
      <w:r w:rsidR="00091E87">
        <w:rPr>
          <w:bCs/>
        </w:rPr>
        <w:t>parents’ negative perceptions of advergames by advertising disclosure modality (none/single/dual) and CL median split (high/low). There was no significant main effect for advertising disclosure modality (</w:t>
      </w:r>
      <w:r w:rsidR="00091E87">
        <w:rPr>
          <w:bCs/>
          <w:i/>
        </w:rPr>
        <w:t xml:space="preserve">F </w:t>
      </w:r>
      <w:r w:rsidR="00091E87">
        <w:rPr>
          <w:bCs/>
        </w:rPr>
        <w:t xml:space="preserve">(2, 94) = 1.84, </w:t>
      </w:r>
      <w:r w:rsidR="00091E87">
        <w:rPr>
          <w:bCs/>
          <w:i/>
        </w:rPr>
        <w:t xml:space="preserve">p = </w:t>
      </w:r>
      <w:r w:rsidR="00091E87">
        <w:rPr>
          <w:bCs/>
        </w:rPr>
        <w:t>.165). However, LSD post hoc comparisons indicate that parents exposed to the dual modality advertising disclosure (</w:t>
      </w:r>
      <w:r w:rsidR="00091E87">
        <w:rPr>
          <w:bCs/>
          <w:i/>
        </w:rPr>
        <w:t xml:space="preserve">M = </w:t>
      </w:r>
      <w:r w:rsidR="00091E87">
        <w:rPr>
          <w:bCs/>
        </w:rPr>
        <w:t xml:space="preserve">21.62, </w:t>
      </w:r>
      <w:r w:rsidR="00091E87">
        <w:t xml:space="preserve">95% CI [19.35, 23.89]) have </w:t>
      </w:r>
      <w:r w:rsidR="001934A8">
        <w:t xml:space="preserve">more </w:t>
      </w:r>
      <w:r w:rsidR="005665F5">
        <w:t>positive</w:t>
      </w:r>
      <w:r w:rsidR="00091E87">
        <w:t xml:space="preserve"> perceptions of advergames than parents exposed to no advertising disclosure </w:t>
      </w:r>
      <w:r w:rsidR="00091E87">
        <w:rPr>
          <w:bCs/>
        </w:rPr>
        <w:t>(</w:t>
      </w:r>
      <w:r w:rsidR="00091E87">
        <w:rPr>
          <w:bCs/>
          <w:i/>
        </w:rPr>
        <w:t xml:space="preserve">M = </w:t>
      </w:r>
      <w:r w:rsidR="00091E87">
        <w:rPr>
          <w:bCs/>
        </w:rPr>
        <w:t xml:space="preserve">24.72, </w:t>
      </w:r>
      <w:r w:rsidR="00091E87">
        <w:t xml:space="preserve">95% CI [22.45, 26.99]), </w:t>
      </w:r>
      <w:r w:rsidR="00091E87">
        <w:rPr>
          <w:i/>
        </w:rPr>
        <w:t xml:space="preserve">p = </w:t>
      </w:r>
      <w:r w:rsidR="00091E87">
        <w:t xml:space="preserve">.041. Therefore, </w:t>
      </w:r>
      <w:r w:rsidR="00091E87">
        <w:rPr>
          <w:bCs/>
        </w:rPr>
        <w:t>h</w:t>
      </w:r>
      <w:r>
        <w:rPr>
          <w:bCs/>
        </w:rPr>
        <w:t xml:space="preserve">ypotheses 3 and 4 are not supported. </w:t>
      </w:r>
    </w:p>
    <w:p w:rsidR="003A31D6" w:rsidRPr="009D5743" w:rsidRDefault="009D5743" w:rsidP="00E41199">
      <w:pPr>
        <w:widowControl w:val="0"/>
        <w:autoSpaceDE w:val="0"/>
        <w:autoSpaceDN w:val="0"/>
        <w:adjustRightInd w:val="0"/>
        <w:spacing w:line="480" w:lineRule="auto"/>
        <w:rPr>
          <w:b/>
          <w:bCs/>
        </w:rPr>
      </w:pPr>
      <w:r>
        <w:rPr>
          <w:b/>
          <w:bCs/>
        </w:rPr>
        <w:t>Cognitive Load Hypotheses Tests</w:t>
      </w:r>
    </w:p>
    <w:p w:rsidR="00E525F6" w:rsidRDefault="003A31D6" w:rsidP="001B52F5">
      <w:pPr>
        <w:widowControl w:val="0"/>
        <w:autoSpaceDE w:val="0"/>
        <w:autoSpaceDN w:val="0"/>
        <w:adjustRightInd w:val="0"/>
        <w:spacing w:line="480" w:lineRule="auto"/>
        <w:rPr>
          <w:iCs/>
        </w:rPr>
      </w:pPr>
      <w:r w:rsidRPr="003A31D6">
        <w:rPr>
          <w:bCs/>
        </w:rPr>
        <w:tab/>
        <w:t xml:space="preserve">Hypothesis 5 predicted that </w:t>
      </w:r>
      <w:r>
        <w:rPr>
          <w:iCs/>
        </w:rPr>
        <w:t>i</w:t>
      </w:r>
      <w:r w:rsidRPr="003A31D6">
        <w:rPr>
          <w:iCs/>
        </w:rPr>
        <w:t xml:space="preserve">ncreases in parents’ cognitive loading </w:t>
      </w:r>
      <w:r>
        <w:rPr>
          <w:iCs/>
        </w:rPr>
        <w:t>would</w:t>
      </w:r>
      <w:r w:rsidRPr="003A31D6">
        <w:rPr>
          <w:iCs/>
        </w:rPr>
        <w:t xml:space="preserve"> be nega</w:t>
      </w:r>
      <w:r>
        <w:rPr>
          <w:iCs/>
        </w:rPr>
        <w:t xml:space="preserve">tively associated with reports </w:t>
      </w:r>
      <w:r w:rsidRPr="003A31D6">
        <w:rPr>
          <w:iCs/>
        </w:rPr>
        <w:t>of parents’ persuasion knowledge.</w:t>
      </w:r>
      <w:r w:rsidR="00060600">
        <w:rPr>
          <w:iCs/>
        </w:rPr>
        <w:t xml:space="preserve"> </w:t>
      </w:r>
      <w:r w:rsidR="00B52B2B">
        <w:rPr>
          <w:iCs/>
        </w:rPr>
        <w:t xml:space="preserve">A bivariate correlation </w:t>
      </w:r>
      <w:r w:rsidR="003023A1">
        <w:rPr>
          <w:iCs/>
        </w:rPr>
        <w:t>indicates</w:t>
      </w:r>
      <w:r w:rsidR="00B52B2B">
        <w:rPr>
          <w:iCs/>
        </w:rPr>
        <w:t xml:space="preserve"> no statistically significant relationship between CL and selling and persuasion knowledge (</w:t>
      </w:r>
      <w:r w:rsidR="00B52B2B">
        <w:t>r =</w:t>
      </w:r>
      <w:r w:rsidR="003023A1">
        <w:t xml:space="preserve"> -</w:t>
      </w:r>
      <w:r w:rsidR="00B52B2B">
        <w:t>.068, n =105, p =</w:t>
      </w:r>
      <w:r w:rsidR="003023A1">
        <w:t xml:space="preserve"> </w:t>
      </w:r>
      <w:r w:rsidR="00B52B2B">
        <w:t>.490)</w:t>
      </w:r>
      <w:r w:rsidR="00B52B2B">
        <w:rPr>
          <w:iCs/>
        </w:rPr>
        <w:t>. A</w:t>
      </w:r>
      <w:r w:rsidR="00204131">
        <w:rPr>
          <w:iCs/>
        </w:rPr>
        <w:t xml:space="preserve"> quartile split was carried out on the CL treatment subgroup</w:t>
      </w:r>
      <w:r w:rsidR="00B52B2B">
        <w:rPr>
          <w:iCs/>
        </w:rPr>
        <w:t xml:space="preserve"> in order to further test hypothesis 5.</w:t>
      </w:r>
      <w:r w:rsidR="00204131">
        <w:rPr>
          <w:iCs/>
        </w:rPr>
        <w:t xml:space="preserve"> A one-way ANOVA</w:t>
      </w:r>
      <w:r w:rsidR="00E525F6">
        <w:rPr>
          <w:iCs/>
        </w:rPr>
        <w:t xml:space="preserve"> </w:t>
      </w:r>
      <w:r w:rsidR="00204131">
        <w:rPr>
          <w:iCs/>
        </w:rPr>
        <w:t>for selling and persuasion knowledge indicate no statistically significant differences across the CL quartiles (</w:t>
      </w:r>
      <w:r w:rsidR="00204131">
        <w:rPr>
          <w:i/>
          <w:iCs/>
        </w:rPr>
        <w:t xml:space="preserve">F </w:t>
      </w:r>
      <w:r w:rsidR="00204131">
        <w:rPr>
          <w:iCs/>
        </w:rPr>
        <w:t xml:space="preserve">(2, 101) = 2.09, </w:t>
      </w:r>
      <w:r w:rsidR="00204131">
        <w:rPr>
          <w:i/>
          <w:iCs/>
        </w:rPr>
        <w:t xml:space="preserve">p = </w:t>
      </w:r>
      <w:r w:rsidR="00204131">
        <w:rPr>
          <w:iCs/>
        </w:rPr>
        <w:t xml:space="preserve">.105). </w:t>
      </w:r>
      <w:r w:rsidR="00A15000">
        <w:rPr>
          <w:iCs/>
        </w:rPr>
        <w:t xml:space="preserve">However, </w:t>
      </w:r>
      <w:r w:rsidR="00204131">
        <w:rPr>
          <w:iCs/>
        </w:rPr>
        <w:t>LSD post hoc comparisons in</w:t>
      </w:r>
      <w:r w:rsidR="005C099D">
        <w:rPr>
          <w:iCs/>
        </w:rPr>
        <w:t>dicate that parents in</w:t>
      </w:r>
      <w:r w:rsidR="00204131">
        <w:rPr>
          <w:iCs/>
        </w:rPr>
        <w:t xml:space="preserve"> quartile</w:t>
      </w:r>
      <w:r w:rsidR="005C099D">
        <w:rPr>
          <w:iCs/>
        </w:rPr>
        <w:t xml:space="preserve"> 2</w:t>
      </w:r>
      <w:r w:rsidR="00204131">
        <w:rPr>
          <w:iCs/>
        </w:rPr>
        <w:t xml:space="preserve"> (</w:t>
      </w:r>
      <w:r w:rsidR="00204131">
        <w:rPr>
          <w:i/>
          <w:iCs/>
        </w:rPr>
        <w:t>M</w:t>
      </w:r>
      <w:r w:rsidR="00204131">
        <w:rPr>
          <w:iCs/>
        </w:rPr>
        <w:t xml:space="preserve"> =</w:t>
      </w:r>
      <w:r w:rsidR="001C69E3">
        <w:rPr>
          <w:iCs/>
        </w:rPr>
        <w:t xml:space="preserve"> 7.46, 95% CI [6.19, 8.74]) reported</w:t>
      </w:r>
      <w:r w:rsidR="00204131">
        <w:rPr>
          <w:iCs/>
        </w:rPr>
        <w:t xml:space="preserve"> less selling and persuasion knowledge than parents in quartile</w:t>
      </w:r>
      <w:r w:rsidR="005C099D">
        <w:rPr>
          <w:iCs/>
        </w:rPr>
        <w:t xml:space="preserve"> 3</w:t>
      </w:r>
      <w:r w:rsidR="00204131">
        <w:rPr>
          <w:iCs/>
        </w:rPr>
        <w:t xml:space="preserve"> (</w:t>
      </w:r>
      <w:r w:rsidR="00204131">
        <w:rPr>
          <w:i/>
          <w:iCs/>
        </w:rPr>
        <w:t>M</w:t>
      </w:r>
      <w:r w:rsidR="0030793E">
        <w:rPr>
          <w:iCs/>
        </w:rPr>
        <w:t xml:space="preserve"> = 9.65, 95% CI [8.43, 10.88</w:t>
      </w:r>
      <w:r w:rsidR="00204131">
        <w:rPr>
          <w:iCs/>
        </w:rPr>
        <w:t>])</w:t>
      </w:r>
      <w:r w:rsidR="0030793E">
        <w:rPr>
          <w:iCs/>
        </w:rPr>
        <w:t xml:space="preserve">, </w:t>
      </w:r>
      <w:r w:rsidR="0030793E">
        <w:rPr>
          <w:i/>
          <w:iCs/>
        </w:rPr>
        <w:t>p</w:t>
      </w:r>
      <w:r w:rsidR="0030793E">
        <w:rPr>
          <w:iCs/>
        </w:rPr>
        <w:t xml:space="preserve"> = .016</w:t>
      </w:r>
      <w:r w:rsidR="00180DFB">
        <w:rPr>
          <w:iCs/>
        </w:rPr>
        <w:t xml:space="preserve"> (see Figure 12</w:t>
      </w:r>
      <w:r w:rsidR="00F92515">
        <w:rPr>
          <w:iCs/>
        </w:rPr>
        <w:t>)</w:t>
      </w:r>
      <w:r w:rsidR="0030793E">
        <w:rPr>
          <w:iCs/>
        </w:rPr>
        <w:t>.</w:t>
      </w:r>
      <w:r w:rsidR="00E525F6">
        <w:rPr>
          <w:iCs/>
        </w:rPr>
        <w:t xml:space="preserve"> </w:t>
      </w:r>
      <w:r w:rsidR="005C099D">
        <w:rPr>
          <w:iCs/>
        </w:rPr>
        <w:t>These findings support hypothesis 5.</w:t>
      </w:r>
      <w:r w:rsidR="0030793E">
        <w:rPr>
          <w:iCs/>
        </w:rPr>
        <w:t xml:space="preserve"> </w:t>
      </w:r>
    </w:p>
    <w:p w:rsidR="00E525F6" w:rsidRPr="00F92515" w:rsidRDefault="00180DFB" w:rsidP="001B52F5">
      <w:pPr>
        <w:widowControl w:val="0"/>
        <w:autoSpaceDE w:val="0"/>
        <w:autoSpaceDN w:val="0"/>
        <w:adjustRightInd w:val="0"/>
        <w:spacing w:line="480" w:lineRule="auto"/>
        <w:rPr>
          <w:b/>
          <w:bCs/>
        </w:rPr>
      </w:pPr>
      <w:r>
        <w:rPr>
          <w:b/>
          <w:bCs/>
        </w:rPr>
        <w:t>Figure # 12</w:t>
      </w:r>
      <w:r w:rsidR="00F92515">
        <w:rPr>
          <w:b/>
          <w:bCs/>
        </w:rPr>
        <w:t>:</w:t>
      </w:r>
      <w:r w:rsidR="0094761B">
        <w:rPr>
          <w:b/>
          <w:bCs/>
        </w:rPr>
        <w:t xml:space="preserve"> One-Way ANOVA for CL quartiles</w:t>
      </w:r>
    </w:p>
    <w:p w:rsidR="007F4FEA" w:rsidRDefault="007F4FEA" w:rsidP="007F4FEA">
      <w:pPr>
        <w:widowControl w:val="0"/>
        <w:autoSpaceDE w:val="0"/>
        <w:autoSpaceDN w:val="0"/>
        <w:adjustRightInd w:val="0"/>
        <w:spacing w:line="480" w:lineRule="auto"/>
        <w:rPr>
          <w:iCs/>
        </w:rPr>
      </w:pPr>
      <w:r>
        <w:rPr>
          <w:bCs/>
          <w:noProof/>
        </w:rPr>
        <w:pict>
          <v:shape id="_x0000_s1191" type="#_x0000_t202" style="position:absolute;margin-left:275.95pt;margin-top:22.8pt;width:1in;height:36pt;z-index:251677184;mso-wrap-edited:f;mso-position-horizontal:absolute;mso-position-vertical:absolute" wrapcoords="0 0 21600 0 21600 21600 0 21600 0 0" filled="f" stroked="f">
            <v:fill o:detectmouseclick="t"/>
            <v:textbox inset=",7.2pt,,7.2pt">
              <w:txbxContent>
                <w:p w:rsidR="00964962" w:rsidRPr="007F4FEA" w:rsidRDefault="00964962">
                  <w:pPr>
                    <w:rPr>
                      <w:sz w:val="20"/>
                    </w:rPr>
                  </w:pPr>
                  <w:r w:rsidRPr="007F4FEA">
                    <w:rPr>
                      <w:sz w:val="20"/>
                    </w:rPr>
                    <w:t>Predicted</w:t>
                  </w:r>
                </w:p>
              </w:txbxContent>
            </v:textbox>
          </v:shape>
        </w:pict>
      </w:r>
      <w:r>
        <w:rPr>
          <w:bCs/>
          <w:noProof/>
        </w:rPr>
        <w:pict>
          <v:line id="_x0000_s1186" style="position:absolute;flip:y;z-index:251675136;mso-wrap-edited:f;mso-position-horizontal:absolute;mso-position-vertical:absolute" from="90pt,40.8pt" to="4in,220.8pt" coordsize="21600,21600" strokecolor="black [3213]" strokeweight="1.25pt">
            <v:fill o:detectmouseclick="t"/>
            <v:stroke dashstyle="1 1"/>
            <v:shadow on="t" opacity="22938f" mv:blur="38100f" offset="0,2pt"/>
            <v:textbox inset=",7.2pt,,7.2pt"/>
          </v:line>
        </w:pict>
      </w:r>
      <w:r w:rsidR="005C099D" w:rsidRPr="005C099D">
        <w:t xml:space="preserve"> </w:t>
      </w:r>
      <w:r w:rsidR="005C099D">
        <w:rPr>
          <w:iCs/>
          <w:noProof/>
        </w:rPr>
        <w:drawing>
          <wp:inline distT="0" distB="0" distL="0" distR="0">
            <wp:extent cx="4351737" cy="3483864"/>
            <wp:effectExtent l="2540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srcRect/>
                    <a:stretch>
                      <a:fillRect/>
                    </a:stretch>
                  </pic:blipFill>
                  <pic:spPr bwMode="auto">
                    <a:xfrm>
                      <a:off x="0" y="0"/>
                      <a:ext cx="4351737" cy="3483864"/>
                    </a:xfrm>
                    <a:prstGeom prst="rect">
                      <a:avLst/>
                    </a:prstGeom>
                    <a:noFill/>
                    <a:ln w="9525">
                      <a:noFill/>
                      <a:miter lim="800000"/>
                      <a:headEnd/>
                      <a:tailEnd/>
                    </a:ln>
                  </pic:spPr>
                </pic:pic>
              </a:graphicData>
            </a:graphic>
          </wp:inline>
        </w:drawing>
      </w:r>
      <w:r w:rsidRPr="007F4FEA">
        <w:rPr>
          <w:iCs/>
        </w:rPr>
        <w:t xml:space="preserve"> </w:t>
      </w:r>
    </w:p>
    <w:p w:rsidR="007F4FEA" w:rsidRPr="00F92515" w:rsidRDefault="007F4FEA" w:rsidP="007F4FEA">
      <w:pPr>
        <w:widowControl w:val="0"/>
        <w:autoSpaceDE w:val="0"/>
        <w:autoSpaceDN w:val="0"/>
        <w:adjustRightInd w:val="0"/>
        <w:spacing w:line="480" w:lineRule="auto"/>
        <w:rPr>
          <w:bCs/>
        </w:rPr>
      </w:pPr>
      <w:r>
        <w:rPr>
          <w:iCs/>
        </w:rPr>
        <w:tab/>
        <w:t xml:space="preserve">Additional tests of hypothesis 5 used two 2 x 2 ANOVAs. The first </w:t>
      </w:r>
      <w:r>
        <w:rPr>
          <w:bCs/>
        </w:rPr>
        <w:t xml:space="preserve">was used to examine parents’ </w:t>
      </w:r>
      <w:r w:rsidRPr="007A2BC3">
        <w:rPr>
          <w:bCs/>
        </w:rPr>
        <w:t>selling and persuasion knowledge</w:t>
      </w:r>
      <w:r>
        <w:rPr>
          <w:bCs/>
        </w:rPr>
        <w:t xml:space="preserve"> by advertising disclosure modality (none/single) and CL median</w:t>
      </w:r>
      <w:r w:rsidR="00180DFB">
        <w:rPr>
          <w:bCs/>
        </w:rPr>
        <w:t xml:space="preserve"> split (high/low) (see Figure 13</w:t>
      </w:r>
      <w:r>
        <w:rPr>
          <w:bCs/>
        </w:rPr>
        <w:t>). There was a significant main effect for CL median split (</w:t>
      </w:r>
      <w:r>
        <w:rPr>
          <w:bCs/>
          <w:i/>
        </w:rPr>
        <w:t xml:space="preserve">F </w:t>
      </w:r>
      <w:r>
        <w:rPr>
          <w:bCs/>
        </w:rPr>
        <w:t xml:space="preserve">(1, 60) = 7.67, </w:t>
      </w:r>
      <w:r>
        <w:rPr>
          <w:bCs/>
          <w:i/>
        </w:rPr>
        <w:t xml:space="preserve">p = </w:t>
      </w:r>
      <w:r>
        <w:rPr>
          <w:bCs/>
        </w:rPr>
        <w:t>.007). Parents in the high CL median split group had a lower mean (</w:t>
      </w:r>
      <w:r>
        <w:rPr>
          <w:bCs/>
          <w:i/>
        </w:rPr>
        <w:t xml:space="preserve">M </w:t>
      </w:r>
      <w:r>
        <w:rPr>
          <w:bCs/>
        </w:rPr>
        <w:t>= 7.13, SD = 2.88) than did parents in the low CL median split group (</w:t>
      </w:r>
      <w:r>
        <w:rPr>
          <w:bCs/>
          <w:i/>
        </w:rPr>
        <w:t>M</w:t>
      </w:r>
      <w:r>
        <w:rPr>
          <w:bCs/>
        </w:rPr>
        <w:t xml:space="preserve"> = 9.06, SD = 2.83).</w:t>
      </w:r>
    </w:p>
    <w:p w:rsidR="00F861E5" w:rsidRDefault="00F861E5" w:rsidP="001B52F5">
      <w:pPr>
        <w:widowControl w:val="0"/>
        <w:autoSpaceDE w:val="0"/>
        <w:autoSpaceDN w:val="0"/>
        <w:adjustRightInd w:val="0"/>
        <w:spacing w:line="480" w:lineRule="auto"/>
        <w:rPr>
          <w:b/>
          <w:bCs/>
        </w:rPr>
      </w:pPr>
    </w:p>
    <w:p w:rsidR="00E525F6" w:rsidRPr="00F92515" w:rsidRDefault="00180DFB" w:rsidP="001B52F5">
      <w:pPr>
        <w:widowControl w:val="0"/>
        <w:autoSpaceDE w:val="0"/>
        <w:autoSpaceDN w:val="0"/>
        <w:adjustRightInd w:val="0"/>
        <w:spacing w:line="480" w:lineRule="auto"/>
        <w:rPr>
          <w:b/>
          <w:bCs/>
        </w:rPr>
      </w:pPr>
      <w:r>
        <w:rPr>
          <w:b/>
          <w:bCs/>
        </w:rPr>
        <w:t>Figure #13</w:t>
      </w:r>
      <w:r w:rsidR="00F92515" w:rsidRPr="0094761B">
        <w:rPr>
          <w:b/>
          <w:bCs/>
        </w:rPr>
        <w:t xml:space="preserve">: </w:t>
      </w:r>
      <w:r w:rsidR="0094761B" w:rsidRPr="0094761B">
        <w:rPr>
          <w:b/>
          <w:iCs/>
        </w:rPr>
        <w:t xml:space="preserve">2 x 2 ANOVA for </w:t>
      </w:r>
      <w:r w:rsidR="0094761B" w:rsidRPr="0094761B">
        <w:rPr>
          <w:b/>
          <w:bCs/>
        </w:rPr>
        <w:t>advertising disclosure modality and CL median split</w:t>
      </w:r>
    </w:p>
    <w:p w:rsidR="00F92515" w:rsidRDefault="00F92515" w:rsidP="001B52F5">
      <w:pPr>
        <w:widowControl w:val="0"/>
        <w:autoSpaceDE w:val="0"/>
        <w:autoSpaceDN w:val="0"/>
        <w:adjustRightInd w:val="0"/>
        <w:spacing w:line="480" w:lineRule="auto"/>
        <w:rPr>
          <w:bCs/>
        </w:rPr>
      </w:pPr>
      <w:r>
        <w:rPr>
          <w:bCs/>
          <w:noProof/>
        </w:rPr>
        <w:drawing>
          <wp:inline distT="0" distB="0" distL="0" distR="0">
            <wp:extent cx="4582793" cy="3666744"/>
            <wp:effectExtent l="2540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srcRect/>
                    <a:stretch>
                      <a:fillRect/>
                    </a:stretch>
                  </pic:blipFill>
                  <pic:spPr bwMode="auto">
                    <a:xfrm>
                      <a:off x="0" y="0"/>
                      <a:ext cx="4582793" cy="3666744"/>
                    </a:xfrm>
                    <a:prstGeom prst="rect">
                      <a:avLst/>
                    </a:prstGeom>
                    <a:noFill/>
                    <a:ln w="9525">
                      <a:noFill/>
                      <a:miter lim="800000"/>
                      <a:headEnd/>
                      <a:tailEnd/>
                    </a:ln>
                  </pic:spPr>
                </pic:pic>
              </a:graphicData>
            </a:graphic>
          </wp:inline>
        </w:drawing>
      </w:r>
    </w:p>
    <w:p w:rsidR="00F92515" w:rsidRPr="0094761B" w:rsidRDefault="00180DFB" w:rsidP="001B52F5">
      <w:pPr>
        <w:widowControl w:val="0"/>
        <w:autoSpaceDE w:val="0"/>
        <w:autoSpaceDN w:val="0"/>
        <w:adjustRightInd w:val="0"/>
        <w:spacing w:line="480" w:lineRule="auto"/>
        <w:rPr>
          <w:b/>
          <w:bCs/>
        </w:rPr>
      </w:pPr>
      <w:r w:rsidRPr="0094761B">
        <w:rPr>
          <w:b/>
          <w:bCs/>
        </w:rPr>
        <w:t>Figure #14</w:t>
      </w:r>
      <w:r w:rsidR="00F92515" w:rsidRPr="0094761B">
        <w:rPr>
          <w:b/>
          <w:bCs/>
        </w:rPr>
        <w:t>:</w:t>
      </w:r>
      <w:r w:rsidR="0094761B" w:rsidRPr="0094761B">
        <w:rPr>
          <w:b/>
          <w:bCs/>
        </w:rPr>
        <w:t xml:space="preserve"> 2 x 2 ANOVA for ad disclosure modality and CL (top 50%/no CL treatment)</w:t>
      </w:r>
    </w:p>
    <w:p w:rsidR="001B52F5" w:rsidRDefault="00F92515" w:rsidP="001B52F5">
      <w:pPr>
        <w:widowControl w:val="0"/>
        <w:autoSpaceDE w:val="0"/>
        <w:autoSpaceDN w:val="0"/>
        <w:adjustRightInd w:val="0"/>
        <w:spacing w:line="480" w:lineRule="auto"/>
        <w:rPr>
          <w:bCs/>
        </w:rPr>
      </w:pPr>
      <w:r>
        <w:rPr>
          <w:bCs/>
          <w:noProof/>
        </w:rPr>
        <w:drawing>
          <wp:inline distT="0" distB="0" distL="0" distR="0">
            <wp:extent cx="4581144" cy="3671017"/>
            <wp:effectExtent l="2540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srcRect/>
                    <a:stretch>
                      <a:fillRect/>
                    </a:stretch>
                  </pic:blipFill>
                  <pic:spPr bwMode="auto">
                    <a:xfrm>
                      <a:off x="0" y="0"/>
                      <a:ext cx="4581144" cy="3671017"/>
                    </a:xfrm>
                    <a:prstGeom prst="rect">
                      <a:avLst/>
                    </a:prstGeom>
                    <a:noFill/>
                    <a:ln w="9525">
                      <a:noFill/>
                      <a:miter lim="800000"/>
                      <a:headEnd/>
                      <a:tailEnd/>
                    </a:ln>
                  </pic:spPr>
                </pic:pic>
              </a:graphicData>
            </a:graphic>
          </wp:inline>
        </w:drawing>
      </w:r>
    </w:p>
    <w:p w:rsidR="007F4FEA" w:rsidRDefault="001B52F5" w:rsidP="007F4FEA">
      <w:pPr>
        <w:widowControl w:val="0"/>
        <w:autoSpaceDE w:val="0"/>
        <w:autoSpaceDN w:val="0"/>
        <w:adjustRightInd w:val="0"/>
        <w:spacing w:line="480" w:lineRule="auto"/>
        <w:rPr>
          <w:bCs/>
        </w:rPr>
      </w:pPr>
      <w:r>
        <w:rPr>
          <w:bCs/>
        </w:rPr>
        <w:tab/>
      </w:r>
      <w:r w:rsidR="007F4FEA">
        <w:rPr>
          <w:bCs/>
        </w:rPr>
        <w:t xml:space="preserve">The second 2 x 2 ANOVA was used to examine parents’ </w:t>
      </w:r>
      <w:r w:rsidR="007F4FEA" w:rsidRPr="007A2BC3">
        <w:rPr>
          <w:bCs/>
        </w:rPr>
        <w:t>selling and persuasion knowledge</w:t>
      </w:r>
      <w:r w:rsidR="007F4FEA">
        <w:rPr>
          <w:bCs/>
        </w:rPr>
        <w:t xml:space="preserve"> by advertising disclosure mod</w:t>
      </w:r>
      <w:r w:rsidR="001934A8">
        <w:rPr>
          <w:bCs/>
        </w:rPr>
        <w:t>ality (none/single) and CL (top 50%</w:t>
      </w:r>
      <w:r w:rsidR="00180DFB">
        <w:rPr>
          <w:bCs/>
        </w:rPr>
        <w:t>/no CL treatment) (see Figure 14</w:t>
      </w:r>
      <w:r w:rsidR="007F4FEA">
        <w:rPr>
          <w:bCs/>
        </w:rPr>
        <w:t>). There was a significant main effect for CL (</w:t>
      </w:r>
      <w:r w:rsidR="007F4FEA">
        <w:rPr>
          <w:bCs/>
          <w:i/>
        </w:rPr>
        <w:t xml:space="preserve">F </w:t>
      </w:r>
      <w:r w:rsidR="007F4FEA">
        <w:rPr>
          <w:bCs/>
        </w:rPr>
        <w:t xml:space="preserve">(1, 93) = 8.25, </w:t>
      </w:r>
      <w:r w:rsidR="007F4FEA">
        <w:rPr>
          <w:bCs/>
          <w:i/>
        </w:rPr>
        <w:t xml:space="preserve">p = </w:t>
      </w:r>
      <w:r w:rsidR="007F4FEA">
        <w:rPr>
          <w:bCs/>
        </w:rPr>
        <w:t>.005). Parents who experienced high cognitive load</w:t>
      </w:r>
      <w:r w:rsidR="001934A8">
        <w:rPr>
          <w:bCs/>
        </w:rPr>
        <w:t xml:space="preserve"> (</w:t>
      </w:r>
      <w:r w:rsidR="005C099D">
        <w:rPr>
          <w:bCs/>
        </w:rPr>
        <w:t xml:space="preserve">i.e. those in the </w:t>
      </w:r>
      <w:r w:rsidR="001934A8">
        <w:rPr>
          <w:bCs/>
        </w:rPr>
        <w:t>top 50%)</w:t>
      </w:r>
      <w:r w:rsidR="007F4FEA">
        <w:rPr>
          <w:bCs/>
        </w:rPr>
        <w:t xml:space="preserve"> had a lower mean (</w:t>
      </w:r>
      <w:r w:rsidR="007F4FEA">
        <w:rPr>
          <w:bCs/>
          <w:i/>
        </w:rPr>
        <w:t xml:space="preserve">M </w:t>
      </w:r>
      <w:r w:rsidR="007F4FEA">
        <w:rPr>
          <w:bCs/>
        </w:rPr>
        <w:t>= 7.13, SD = 2.88) than did parents who were not assigned to the CL treatment (</w:t>
      </w:r>
      <w:r w:rsidR="007F4FEA">
        <w:rPr>
          <w:bCs/>
          <w:i/>
        </w:rPr>
        <w:t xml:space="preserve">M </w:t>
      </w:r>
      <w:r w:rsidR="007F4FEA">
        <w:rPr>
          <w:bCs/>
        </w:rPr>
        <w:t>= 9.14, SD = 3.28). Th</w:t>
      </w:r>
      <w:r w:rsidR="005C099D">
        <w:rPr>
          <w:bCs/>
        </w:rPr>
        <w:t xml:space="preserve">ese </w:t>
      </w:r>
      <w:r w:rsidR="007F4FEA">
        <w:rPr>
          <w:bCs/>
        </w:rPr>
        <w:t xml:space="preserve">findings support hypothesis 5. </w:t>
      </w:r>
    </w:p>
    <w:p w:rsidR="007F4FEA" w:rsidRDefault="007F4FEA" w:rsidP="001B52F5">
      <w:pPr>
        <w:widowControl w:val="0"/>
        <w:autoSpaceDE w:val="0"/>
        <w:autoSpaceDN w:val="0"/>
        <w:adjustRightInd w:val="0"/>
        <w:spacing w:line="480" w:lineRule="auto"/>
        <w:rPr>
          <w:iCs/>
        </w:rPr>
      </w:pPr>
      <w:r>
        <w:rPr>
          <w:bCs/>
        </w:rPr>
        <w:tab/>
      </w:r>
      <w:r w:rsidR="001B52F5">
        <w:rPr>
          <w:bCs/>
        </w:rPr>
        <w:t xml:space="preserve">Hypothesis 6 predicted that </w:t>
      </w:r>
      <w:r w:rsidR="001B52F5" w:rsidRPr="003A31D6">
        <w:rPr>
          <w:bCs/>
        </w:rPr>
        <w:t xml:space="preserve">that </w:t>
      </w:r>
      <w:r w:rsidR="001B52F5">
        <w:rPr>
          <w:iCs/>
        </w:rPr>
        <w:t>i</w:t>
      </w:r>
      <w:r w:rsidR="001B52F5" w:rsidRPr="003A31D6">
        <w:rPr>
          <w:iCs/>
        </w:rPr>
        <w:t xml:space="preserve">ncreases in parents’ cognitive loading </w:t>
      </w:r>
      <w:r w:rsidR="001B52F5">
        <w:rPr>
          <w:iCs/>
        </w:rPr>
        <w:t>would</w:t>
      </w:r>
      <w:r w:rsidR="001B52F5" w:rsidRPr="003A31D6">
        <w:rPr>
          <w:iCs/>
        </w:rPr>
        <w:t xml:space="preserve"> be </w:t>
      </w:r>
      <w:r w:rsidR="001B52F5">
        <w:rPr>
          <w:iCs/>
        </w:rPr>
        <w:t xml:space="preserve">positively associated with parents’ attitudes toward children’s advergames. </w:t>
      </w:r>
      <w:r w:rsidR="003023A1">
        <w:rPr>
          <w:iCs/>
        </w:rPr>
        <w:t>A bivariate correlation indicates no statistically significant relationship between CL and negative perceptions of advergames (</w:t>
      </w:r>
      <w:r w:rsidR="00DA2CEB">
        <w:t>r = -.028, n =105, p = .775). A o</w:t>
      </w:r>
      <w:r w:rsidR="002E5D32">
        <w:t>ne-</w:t>
      </w:r>
      <w:r w:rsidR="003023A1">
        <w:t>way ANOVA for negative perceptions of advergames indicate no statistically significant differences across CL quartiles (</w:t>
      </w:r>
      <w:r w:rsidR="003023A1">
        <w:rPr>
          <w:i/>
        </w:rPr>
        <w:t>F</w:t>
      </w:r>
      <w:r w:rsidR="003023A1">
        <w:t xml:space="preserve"> (3, 101) = .099), </w:t>
      </w:r>
      <w:r w:rsidR="003023A1">
        <w:rPr>
          <w:i/>
        </w:rPr>
        <w:t>p</w:t>
      </w:r>
      <w:r w:rsidR="003023A1">
        <w:t xml:space="preserve"> &gt; .05). </w:t>
      </w:r>
      <w:r w:rsidR="005C099D">
        <w:rPr>
          <w:iCs/>
        </w:rPr>
        <w:t>Hypothesis 6 is not supported.</w:t>
      </w:r>
    </w:p>
    <w:p w:rsidR="007A5AAB" w:rsidRDefault="007F4FEA" w:rsidP="001B52F5">
      <w:pPr>
        <w:widowControl w:val="0"/>
        <w:autoSpaceDE w:val="0"/>
        <w:autoSpaceDN w:val="0"/>
        <w:adjustRightInd w:val="0"/>
        <w:spacing w:line="480" w:lineRule="auto"/>
        <w:rPr>
          <w:b/>
          <w:iCs/>
        </w:rPr>
      </w:pPr>
      <w:r>
        <w:rPr>
          <w:b/>
          <w:iCs/>
        </w:rPr>
        <w:t>Interaction Hypotheses Tests</w:t>
      </w:r>
      <w:r w:rsidR="007A5AAB">
        <w:rPr>
          <w:b/>
          <w:iCs/>
        </w:rPr>
        <w:t>: H7-H11</w:t>
      </w:r>
    </w:p>
    <w:p w:rsidR="00A9297C" w:rsidRDefault="007A5AAB" w:rsidP="00A9297C">
      <w:pPr>
        <w:widowControl w:val="0"/>
        <w:autoSpaceDE w:val="0"/>
        <w:autoSpaceDN w:val="0"/>
        <w:adjustRightInd w:val="0"/>
        <w:spacing w:line="480" w:lineRule="auto"/>
        <w:rPr>
          <w:bCs/>
        </w:rPr>
      </w:pPr>
      <w:r>
        <w:rPr>
          <w:b/>
          <w:iCs/>
        </w:rPr>
        <w:tab/>
      </w:r>
      <w:r>
        <w:rPr>
          <w:iCs/>
        </w:rPr>
        <w:t xml:space="preserve">To test hypotheses 7 through 11, a 3 x 2 </w:t>
      </w:r>
      <w:r w:rsidR="009F3B9B">
        <w:rPr>
          <w:iCs/>
        </w:rPr>
        <w:t xml:space="preserve">ANOVA </w:t>
      </w:r>
      <w:r w:rsidR="009F3B9B">
        <w:rPr>
          <w:bCs/>
        </w:rPr>
        <w:t xml:space="preserve">was used to examine parents’ </w:t>
      </w:r>
      <w:r w:rsidR="009F3B9B" w:rsidRPr="007A2BC3">
        <w:rPr>
          <w:bCs/>
        </w:rPr>
        <w:t>selling and persuasion knowledge</w:t>
      </w:r>
      <w:r w:rsidR="009F3B9B">
        <w:rPr>
          <w:bCs/>
        </w:rPr>
        <w:t xml:space="preserve"> by advertising disclosure modality (none/single/dual) and CL treatment (yes/no)</w:t>
      </w:r>
      <w:r w:rsidR="00A9297C">
        <w:rPr>
          <w:bCs/>
        </w:rPr>
        <w:t>.</w:t>
      </w:r>
      <w:r w:rsidR="009F3B9B">
        <w:rPr>
          <w:bCs/>
        </w:rPr>
        <w:t xml:space="preserve"> </w:t>
      </w:r>
      <w:r w:rsidR="000567F0">
        <w:rPr>
          <w:bCs/>
        </w:rPr>
        <w:t xml:space="preserve">There was no significant interaction between advertising disclosure modality and </w:t>
      </w:r>
      <w:r w:rsidR="001934A8">
        <w:rPr>
          <w:bCs/>
        </w:rPr>
        <w:t>CL treatment</w:t>
      </w:r>
      <w:r w:rsidR="00F430FF">
        <w:rPr>
          <w:bCs/>
        </w:rPr>
        <w:t xml:space="preserve"> </w:t>
      </w:r>
      <w:r w:rsidR="009F3B9B">
        <w:rPr>
          <w:bCs/>
        </w:rPr>
        <w:t>(</w:t>
      </w:r>
      <w:r w:rsidR="009F3B9B">
        <w:rPr>
          <w:bCs/>
          <w:i/>
        </w:rPr>
        <w:t>F</w:t>
      </w:r>
      <w:r w:rsidR="009F3B9B">
        <w:rPr>
          <w:bCs/>
        </w:rPr>
        <w:t xml:space="preserve"> (2,</w:t>
      </w:r>
      <w:r w:rsidR="000567F0">
        <w:rPr>
          <w:bCs/>
        </w:rPr>
        <w:t xml:space="preserve"> </w:t>
      </w:r>
      <w:r w:rsidR="009F3B9B">
        <w:rPr>
          <w:bCs/>
        </w:rPr>
        <w:t xml:space="preserve">196) = 1.10, </w:t>
      </w:r>
      <w:r w:rsidR="009F3B9B">
        <w:rPr>
          <w:bCs/>
          <w:i/>
        </w:rPr>
        <w:t>p</w:t>
      </w:r>
      <w:r w:rsidR="009F3B9B">
        <w:rPr>
          <w:bCs/>
        </w:rPr>
        <w:t xml:space="preserve"> = .335). </w:t>
      </w:r>
      <w:r w:rsidR="000567F0">
        <w:rPr>
          <w:bCs/>
        </w:rPr>
        <w:t xml:space="preserve">An additional </w:t>
      </w:r>
      <w:r w:rsidR="000567F0">
        <w:rPr>
          <w:iCs/>
        </w:rPr>
        <w:t xml:space="preserve">3 x 2 ANOVA </w:t>
      </w:r>
      <w:r w:rsidR="000567F0">
        <w:rPr>
          <w:bCs/>
        </w:rPr>
        <w:t xml:space="preserve">was used to examine parents’ </w:t>
      </w:r>
      <w:r w:rsidR="000567F0" w:rsidRPr="007A2BC3">
        <w:rPr>
          <w:bCs/>
        </w:rPr>
        <w:t>selling and persuasion knowledge</w:t>
      </w:r>
      <w:r w:rsidR="000567F0">
        <w:rPr>
          <w:bCs/>
        </w:rPr>
        <w:t xml:space="preserve"> by advertising disclosure modality (none/single/dual) and </w:t>
      </w:r>
      <w:r w:rsidR="001934A8">
        <w:rPr>
          <w:bCs/>
        </w:rPr>
        <w:t xml:space="preserve">CL (top 50%/no CL treatment) </w:t>
      </w:r>
      <w:r w:rsidR="00180DFB">
        <w:rPr>
          <w:bCs/>
        </w:rPr>
        <w:t>(see Figure 15</w:t>
      </w:r>
      <w:r w:rsidR="000567F0">
        <w:rPr>
          <w:bCs/>
        </w:rPr>
        <w:t>). A marginally significant interaction was found</w:t>
      </w:r>
      <w:r w:rsidR="001934A8">
        <w:rPr>
          <w:bCs/>
        </w:rPr>
        <w:t xml:space="preserve"> between advertising disclosure modality and CL (top 50%/no CL treatment)</w:t>
      </w:r>
      <w:r w:rsidR="000567F0">
        <w:rPr>
          <w:bCs/>
        </w:rPr>
        <w:t xml:space="preserve"> (</w:t>
      </w:r>
      <w:r w:rsidR="000567F0">
        <w:rPr>
          <w:bCs/>
          <w:i/>
        </w:rPr>
        <w:t>F</w:t>
      </w:r>
      <w:r w:rsidR="000567F0">
        <w:rPr>
          <w:bCs/>
        </w:rPr>
        <w:t xml:space="preserve"> (2, 144) = 2.90, </w:t>
      </w:r>
      <w:r w:rsidR="000567F0">
        <w:rPr>
          <w:bCs/>
          <w:i/>
        </w:rPr>
        <w:t>p</w:t>
      </w:r>
      <w:r w:rsidR="000567F0">
        <w:rPr>
          <w:bCs/>
        </w:rPr>
        <w:t xml:space="preserve"> = .058).</w:t>
      </w:r>
      <w:r w:rsidR="001934A8">
        <w:rPr>
          <w:bCs/>
        </w:rPr>
        <w:t xml:space="preserve"> </w:t>
      </w:r>
      <w:r w:rsidR="00BA6178">
        <w:rPr>
          <w:bCs/>
        </w:rPr>
        <w:t>The main effect of CL (</w:t>
      </w:r>
      <w:r w:rsidR="00BA6178">
        <w:rPr>
          <w:bCs/>
          <w:i/>
        </w:rPr>
        <w:t>F</w:t>
      </w:r>
      <w:r w:rsidR="00BA6178">
        <w:rPr>
          <w:bCs/>
        </w:rPr>
        <w:t xml:space="preserve"> (1, 144) = 3.57, </w:t>
      </w:r>
      <w:r w:rsidR="00BA6178">
        <w:rPr>
          <w:bCs/>
          <w:i/>
        </w:rPr>
        <w:t>p</w:t>
      </w:r>
      <w:r w:rsidR="00BA6178">
        <w:rPr>
          <w:bCs/>
        </w:rPr>
        <w:t xml:space="preserve"> = .061) and advertising disclosure modality (</w:t>
      </w:r>
      <w:r w:rsidR="00BA6178">
        <w:rPr>
          <w:bCs/>
          <w:i/>
        </w:rPr>
        <w:t>F</w:t>
      </w:r>
      <w:r w:rsidR="00BA6178">
        <w:rPr>
          <w:bCs/>
        </w:rPr>
        <w:t xml:space="preserve"> (2, 144) = 2.64, </w:t>
      </w:r>
      <w:r w:rsidR="00BA6178">
        <w:rPr>
          <w:bCs/>
          <w:i/>
        </w:rPr>
        <w:t xml:space="preserve">p </w:t>
      </w:r>
      <w:r w:rsidR="00BA6178">
        <w:rPr>
          <w:bCs/>
        </w:rPr>
        <w:t>= .075) on selling and persuasion knowledge were marginally significant</w:t>
      </w:r>
      <w:r w:rsidR="006C5154">
        <w:rPr>
          <w:bCs/>
        </w:rPr>
        <w:t>.</w:t>
      </w:r>
      <w:r w:rsidR="001934A8">
        <w:rPr>
          <w:bCs/>
        </w:rPr>
        <w:t xml:space="preserve"> </w:t>
      </w:r>
      <w:r w:rsidR="0055157E">
        <w:rPr>
          <w:bCs/>
        </w:rPr>
        <w:t xml:space="preserve">Parents who did not receive the CL treatment reported </w:t>
      </w:r>
    </w:p>
    <w:p w:rsidR="00A9297C" w:rsidRPr="0094761B" w:rsidRDefault="00180DFB" w:rsidP="001B52F5">
      <w:pPr>
        <w:widowControl w:val="0"/>
        <w:autoSpaceDE w:val="0"/>
        <w:autoSpaceDN w:val="0"/>
        <w:adjustRightInd w:val="0"/>
        <w:spacing w:line="480" w:lineRule="auto"/>
        <w:rPr>
          <w:b/>
          <w:iCs/>
        </w:rPr>
      </w:pPr>
      <w:r w:rsidRPr="0094761B">
        <w:rPr>
          <w:b/>
          <w:bCs/>
        </w:rPr>
        <w:t>Figure #15</w:t>
      </w:r>
      <w:r w:rsidR="00A9297C" w:rsidRPr="0094761B">
        <w:rPr>
          <w:b/>
          <w:bCs/>
        </w:rPr>
        <w:t>:</w:t>
      </w:r>
      <w:r w:rsidR="0094761B" w:rsidRPr="0094761B">
        <w:rPr>
          <w:b/>
          <w:bCs/>
        </w:rPr>
        <w:t xml:space="preserve"> </w:t>
      </w:r>
      <w:r w:rsidR="0094761B" w:rsidRPr="0094761B">
        <w:rPr>
          <w:b/>
          <w:iCs/>
        </w:rPr>
        <w:t xml:space="preserve">3 x 2 ANOVA for ad disclosure modality and </w:t>
      </w:r>
      <w:r w:rsidR="0094761B" w:rsidRPr="0094761B">
        <w:rPr>
          <w:b/>
          <w:bCs/>
        </w:rPr>
        <w:t>CL (top 50%/no CL treatment)</w:t>
      </w:r>
    </w:p>
    <w:p w:rsidR="00A9297C" w:rsidRDefault="001934A8" w:rsidP="001B52F5">
      <w:pPr>
        <w:widowControl w:val="0"/>
        <w:autoSpaceDE w:val="0"/>
        <w:autoSpaceDN w:val="0"/>
        <w:adjustRightInd w:val="0"/>
        <w:spacing w:line="480" w:lineRule="auto"/>
        <w:rPr>
          <w:iCs/>
        </w:rPr>
      </w:pPr>
      <w:r>
        <w:rPr>
          <w:iCs/>
          <w:noProof/>
        </w:rPr>
        <w:drawing>
          <wp:inline distT="0" distB="0" distL="0" distR="0">
            <wp:extent cx="4351737" cy="3483864"/>
            <wp:effectExtent l="2540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srcRect/>
                    <a:stretch>
                      <a:fillRect/>
                    </a:stretch>
                  </pic:blipFill>
                  <pic:spPr bwMode="auto">
                    <a:xfrm>
                      <a:off x="0" y="0"/>
                      <a:ext cx="4351737" cy="3483864"/>
                    </a:xfrm>
                    <a:prstGeom prst="rect">
                      <a:avLst/>
                    </a:prstGeom>
                    <a:noFill/>
                    <a:ln w="9525">
                      <a:noFill/>
                      <a:miter lim="800000"/>
                      <a:headEnd/>
                      <a:tailEnd/>
                    </a:ln>
                  </pic:spPr>
                </pic:pic>
              </a:graphicData>
            </a:graphic>
          </wp:inline>
        </w:drawing>
      </w:r>
    </w:p>
    <w:p w:rsidR="00180DFB" w:rsidRDefault="00A9297C" w:rsidP="00A9297C">
      <w:pPr>
        <w:widowControl w:val="0"/>
        <w:autoSpaceDE w:val="0"/>
        <w:autoSpaceDN w:val="0"/>
        <w:adjustRightInd w:val="0"/>
        <w:spacing w:line="480" w:lineRule="auto"/>
        <w:rPr>
          <w:bCs/>
        </w:rPr>
      </w:pPr>
      <w:r>
        <w:rPr>
          <w:bCs/>
        </w:rPr>
        <w:t xml:space="preserve">more selling and persuasion knowledge in the no advertising disclosure condition and the single modality advertising disclosure condition compared to </w:t>
      </w:r>
      <w:r w:rsidR="005C099D">
        <w:rPr>
          <w:bCs/>
        </w:rPr>
        <w:t xml:space="preserve">high CL parents </w:t>
      </w:r>
      <w:r>
        <w:rPr>
          <w:bCs/>
        </w:rPr>
        <w:t>(i.e. those in the top 50%). Additionally, among parents who did not receive the CL treatment, those in the single modality advertising disclosure condition reported more selling and persuasion knowledge compared to those in the no advertising disclosure condition. While not significant at the .05 level, these findings partially support hypotheses 7, 9, and 10.</w:t>
      </w:r>
    </w:p>
    <w:p w:rsidR="000567F0" w:rsidRPr="004E3E59" w:rsidRDefault="00A9297C" w:rsidP="001B52F5">
      <w:pPr>
        <w:widowControl w:val="0"/>
        <w:autoSpaceDE w:val="0"/>
        <w:autoSpaceDN w:val="0"/>
        <w:adjustRightInd w:val="0"/>
        <w:spacing w:line="480" w:lineRule="auto"/>
        <w:rPr>
          <w:bCs/>
        </w:rPr>
      </w:pPr>
      <w:r>
        <w:rPr>
          <w:bCs/>
        </w:rPr>
        <w:tab/>
      </w:r>
      <w:r w:rsidR="00180DFB">
        <w:rPr>
          <w:bCs/>
        </w:rPr>
        <w:t xml:space="preserve">An additional 2 x 2 ANOVA </w:t>
      </w:r>
      <w:r w:rsidR="00420549">
        <w:rPr>
          <w:bCs/>
        </w:rPr>
        <w:t>revealed a marginally significant crossover interaction between advertising disclosure modality (single/dual) and CL (top 50%/no CL treatment) (</w:t>
      </w:r>
      <w:r w:rsidR="00420549">
        <w:rPr>
          <w:bCs/>
          <w:i/>
        </w:rPr>
        <w:t>F</w:t>
      </w:r>
      <w:r w:rsidR="00420549">
        <w:rPr>
          <w:bCs/>
        </w:rPr>
        <w:t xml:space="preserve"> (1, 98) = 3.90, </w:t>
      </w:r>
      <w:r w:rsidR="00420549">
        <w:rPr>
          <w:bCs/>
          <w:i/>
        </w:rPr>
        <w:t>p</w:t>
      </w:r>
      <w:r w:rsidR="00420549">
        <w:rPr>
          <w:bCs/>
        </w:rPr>
        <w:t xml:space="preserve"> = .051) </w:t>
      </w:r>
      <w:r w:rsidR="00180DFB">
        <w:rPr>
          <w:bCs/>
        </w:rPr>
        <w:t>(see Figure 16).</w:t>
      </w:r>
      <w:r>
        <w:rPr>
          <w:bCs/>
        </w:rPr>
        <w:t xml:space="preserve"> </w:t>
      </w:r>
      <w:r w:rsidR="005E392E">
        <w:rPr>
          <w:bCs/>
        </w:rPr>
        <w:t xml:space="preserve">Parents that did not receive the CL treatment reported less selling and persuasion knowledge when exposed to the dual modality advertising disclosure compared to the single modality advertising disclosure. Among parents that received the dual modality advertising disclosure treatment, those who experienced </w:t>
      </w:r>
      <w:r w:rsidR="005C099D">
        <w:rPr>
          <w:bCs/>
        </w:rPr>
        <w:t>high CL</w:t>
      </w:r>
      <w:r w:rsidR="005E392E">
        <w:rPr>
          <w:bCs/>
        </w:rPr>
        <w:t xml:space="preserve"> (i.e. those in the top 50%) reported more selling and persuasion knowledge compared to parents that did not receive the CL treatment. While the former pattern contradicts </w:t>
      </w:r>
      <w:r w:rsidR="004E3E59">
        <w:rPr>
          <w:bCs/>
        </w:rPr>
        <w:t xml:space="preserve">hypothesis 8, the latter pattern contradicts hypothesis 11. Hypothesis 8 and 11 are not supported.  </w:t>
      </w:r>
      <w:r w:rsidR="005E392E">
        <w:rPr>
          <w:bCs/>
        </w:rPr>
        <w:t xml:space="preserve">  </w:t>
      </w:r>
    </w:p>
    <w:p w:rsidR="007A5AAB" w:rsidRPr="00D22175" w:rsidRDefault="004E3E59" w:rsidP="001B52F5">
      <w:pPr>
        <w:widowControl w:val="0"/>
        <w:autoSpaceDE w:val="0"/>
        <w:autoSpaceDN w:val="0"/>
        <w:adjustRightInd w:val="0"/>
        <w:spacing w:line="480" w:lineRule="auto"/>
        <w:rPr>
          <w:b/>
          <w:iCs/>
        </w:rPr>
      </w:pPr>
      <w:r w:rsidRPr="00D22175">
        <w:rPr>
          <w:b/>
          <w:iCs/>
        </w:rPr>
        <w:t xml:space="preserve">Figure #16: </w:t>
      </w:r>
      <w:r w:rsidR="00D22175" w:rsidRPr="00D22175">
        <w:rPr>
          <w:b/>
          <w:bCs/>
        </w:rPr>
        <w:t>2 x 2 ANOVA for disclosure modality and CL (top 50%/no CL treatment)</w:t>
      </w:r>
    </w:p>
    <w:p w:rsidR="005C099D" w:rsidRDefault="007A5AAB" w:rsidP="001B52F5">
      <w:pPr>
        <w:widowControl w:val="0"/>
        <w:autoSpaceDE w:val="0"/>
        <w:autoSpaceDN w:val="0"/>
        <w:adjustRightInd w:val="0"/>
        <w:spacing w:line="480" w:lineRule="auto"/>
        <w:rPr>
          <w:b/>
          <w:iCs/>
        </w:rPr>
      </w:pPr>
      <w:r>
        <w:rPr>
          <w:b/>
          <w:iCs/>
        </w:rPr>
        <w:tab/>
      </w:r>
      <w:r w:rsidR="00420549">
        <w:rPr>
          <w:b/>
          <w:iCs/>
          <w:noProof/>
        </w:rPr>
        <w:drawing>
          <wp:inline distT="0" distB="0" distL="0" distR="0">
            <wp:extent cx="4351570" cy="3483864"/>
            <wp:effectExtent l="2540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srcRect/>
                    <a:stretch>
                      <a:fillRect/>
                    </a:stretch>
                  </pic:blipFill>
                  <pic:spPr bwMode="auto">
                    <a:xfrm>
                      <a:off x="0" y="0"/>
                      <a:ext cx="4351570" cy="3483864"/>
                    </a:xfrm>
                    <a:prstGeom prst="rect">
                      <a:avLst/>
                    </a:prstGeom>
                    <a:noFill/>
                    <a:ln w="9525">
                      <a:noFill/>
                      <a:miter lim="800000"/>
                      <a:headEnd/>
                      <a:tailEnd/>
                    </a:ln>
                  </pic:spPr>
                </pic:pic>
              </a:graphicData>
            </a:graphic>
          </wp:inline>
        </w:drawing>
      </w:r>
    </w:p>
    <w:p w:rsidR="005C099D" w:rsidRDefault="005C099D" w:rsidP="001B52F5">
      <w:pPr>
        <w:widowControl w:val="0"/>
        <w:autoSpaceDE w:val="0"/>
        <w:autoSpaceDN w:val="0"/>
        <w:adjustRightInd w:val="0"/>
        <w:spacing w:line="480" w:lineRule="auto"/>
        <w:rPr>
          <w:b/>
          <w:iCs/>
        </w:rPr>
      </w:pPr>
      <w:r>
        <w:rPr>
          <w:b/>
          <w:iCs/>
        </w:rPr>
        <w:t>Research Questions 1 and 2</w:t>
      </w:r>
    </w:p>
    <w:p w:rsidR="00E27C36" w:rsidRDefault="005C099D" w:rsidP="001B52F5">
      <w:pPr>
        <w:widowControl w:val="0"/>
        <w:autoSpaceDE w:val="0"/>
        <w:autoSpaceDN w:val="0"/>
        <w:adjustRightInd w:val="0"/>
        <w:spacing w:line="480" w:lineRule="auto"/>
      </w:pPr>
      <w:r>
        <w:rPr>
          <w:b/>
          <w:iCs/>
        </w:rPr>
        <w:tab/>
      </w:r>
      <w:r w:rsidR="00C72094">
        <w:rPr>
          <w:iCs/>
        </w:rPr>
        <w:t xml:space="preserve">Research question 1 asked whether parents’ individual differences in trait persuasion knowledge influence their persuasion knowledge regarding children’s advergames as well as their attitudes toward them. The relationship among parents’ individual trait persuasion knowledge, their persuasion knowledge of children’s advergames, and their attitudes toward them was explored using correlation analyses. </w:t>
      </w:r>
      <w:r w:rsidR="00E27C36">
        <w:rPr>
          <w:iCs/>
        </w:rPr>
        <w:t>Results</w:t>
      </w:r>
      <w:r w:rsidR="00A057F3">
        <w:rPr>
          <w:iCs/>
        </w:rPr>
        <w:t xml:space="preserve"> indicate</w:t>
      </w:r>
      <w:r w:rsidR="00C72094">
        <w:rPr>
          <w:iCs/>
        </w:rPr>
        <w:t xml:space="preserve"> a significant yet negative relationship between </w:t>
      </w:r>
      <w:r w:rsidR="00A057F3">
        <w:rPr>
          <w:iCs/>
        </w:rPr>
        <w:t xml:space="preserve">parents’ </w:t>
      </w:r>
      <w:r w:rsidR="00C72094">
        <w:rPr>
          <w:iCs/>
        </w:rPr>
        <w:t xml:space="preserve">individual trait persuasion knowledge and </w:t>
      </w:r>
      <w:r w:rsidR="00A057F3">
        <w:rPr>
          <w:iCs/>
        </w:rPr>
        <w:t>their reported selling and persuasion knowledge (</w:t>
      </w:r>
      <w:r w:rsidR="00A057F3">
        <w:t>r = -.189, n =</w:t>
      </w:r>
      <w:r w:rsidR="0038045B">
        <w:t xml:space="preserve"> </w:t>
      </w:r>
      <w:r w:rsidR="00A057F3">
        <w:t xml:space="preserve">202, p = .007). </w:t>
      </w:r>
      <w:r w:rsidR="0038045B">
        <w:t xml:space="preserve">However, there was no significant relationship between parents’ individual trait persuasion knowledge and negative perceptions of advergames (r = -.031, n = 202, p = .664). </w:t>
      </w:r>
    </w:p>
    <w:p w:rsidR="0038045B" w:rsidRDefault="00E27C36" w:rsidP="001B52F5">
      <w:pPr>
        <w:widowControl w:val="0"/>
        <w:autoSpaceDE w:val="0"/>
        <w:autoSpaceDN w:val="0"/>
        <w:adjustRightInd w:val="0"/>
        <w:spacing w:line="480" w:lineRule="auto"/>
      </w:pPr>
      <w:r>
        <w:tab/>
      </w:r>
      <w:r>
        <w:rPr>
          <w:iCs/>
        </w:rPr>
        <w:t xml:space="preserve">Research question 2 asked whether parental mediation </w:t>
      </w:r>
      <w:r w:rsidR="001C69E3">
        <w:rPr>
          <w:iCs/>
        </w:rPr>
        <w:t>of Internet use influenced parents’</w:t>
      </w:r>
      <w:r>
        <w:rPr>
          <w:iCs/>
        </w:rPr>
        <w:t xml:space="preserve"> persuasion knowledge regarding children’s advergames as well as their attitudes toward them. The relationship among parental mediation of Internet use, their persuasion knowledge of children’s advergames, and their attitudes toward them was explored using correlation analyses. Results indicate a significant relationship between parental mediation of Internet use and their negative perceptions of advergames (</w:t>
      </w:r>
      <w:r>
        <w:t xml:space="preserve">r = .226, n = 202, p = .001). Results also indicate a significant relationship between </w:t>
      </w:r>
      <w:r>
        <w:rPr>
          <w:iCs/>
        </w:rPr>
        <w:t>parental mediation of Internet use and their reported selling and persuasion knowledge (</w:t>
      </w:r>
      <w:r>
        <w:t>r = .167, n = 202, p = .017).</w:t>
      </w:r>
    </w:p>
    <w:p w:rsidR="00C7665E" w:rsidRDefault="003925C0" w:rsidP="001B52F5">
      <w:pPr>
        <w:widowControl w:val="0"/>
        <w:autoSpaceDE w:val="0"/>
        <w:autoSpaceDN w:val="0"/>
        <w:adjustRightInd w:val="0"/>
        <w:spacing w:line="480" w:lineRule="auto"/>
      </w:pPr>
      <w:r>
        <w:tab/>
      </w:r>
      <w:r w:rsidR="000B7B3B">
        <w:t>In order to further investigate research questions 1 and 2, a series of h</w:t>
      </w:r>
      <w:r>
        <w:t xml:space="preserve">ierarchical </w:t>
      </w:r>
      <w:r w:rsidR="000B7B3B">
        <w:t xml:space="preserve">multiple </w:t>
      </w:r>
      <w:r w:rsidR="0038045B">
        <w:t xml:space="preserve">regression analyses </w:t>
      </w:r>
      <w:r>
        <w:t>were performed</w:t>
      </w:r>
      <w:r w:rsidR="000B7B3B">
        <w:t>.</w:t>
      </w:r>
      <w:r>
        <w:t xml:space="preserve"> </w:t>
      </w:r>
      <w:r w:rsidR="00252A5D">
        <w:t xml:space="preserve">Prior to assessing the predictive power of parents’ individual trait persuasion knowledge and parental mediation of Internet use, a set of covariates such as parents’ age, child’s age, child gender, parent gender, income, and education were entered as </w:t>
      </w:r>
      <w:r w:rsidR="00B91D8D">
        <w:t>step 1. In step</w:t>
      </w:r>
      <w:r w:rsidR="00252A5D">
        <w:t xml:space="preserve"> 2 parents’ individual trait persuasion knowledge</w:t>
      </w:r>
      <w:r w:rsidR="00B91D8D">
        <w:t xml:space="preserve"> was entered. In step</w:t>
      </w:r>
      <w:r w:rsidR="00252A5D">
        <w:t xml:space="preserve"> 3 parental mediat</w:t>
      </w:r>
      <w:r w:rsidR="00B91D8D">
        <w:t>ion of Internet use was entered.</w:t>
      </w:r>
      <w:r w:rsidR="00C7665E">
        <w:t xml:space="preserve"> </w:t>
      </w:r>
      <w:r w:rsidR="00C7665E" w:rsidRPr="00C7665E">
        <w:t>The results of the hierarchical regression predicting selling and persuasion knowledge from demographic covariates, parents’ individual trait persuasion knowledge, and parental mediation of Internet use are reported in Table 2. The results of step one indicated that the variance accounted for (</w:t>
      </w:r>
      <w:r w:rsidR="00C7665E" w:rsidRPr="00C7665E">
        <w:rPr>
          <w:i/>
        </w:rPr>
        <w:t>R</w:t>
      </w:r>
      <w:r w:rsidR="00C7665E" w:rsidRPr="00C7665E">
        <w:rPr>
          <w:vertAlign w:val="superscript"/>
        </w:rPr>
        <w:t>2</w:t>
      </w:r>
      <w:r w:rsidR="00C7665E" w:rsidRPr="00C7665E">
        <w:t xml:space="preserve">) with the first six predictors equaled .05 (adjusted </w:t>
      </w:r>
      <w:r w:rsidR="00C7665E" w:rsidRPr="00C7665E">
        <w:rPr>
          <w:i/>
        </w:rPr>
        <w:t>R</w:t>
      </w:r>
      <w:r w:rsidR="00C7665E" w:rsidRPr="00C7665E">
        <w:rPr>
          <w:vertAlign w:val="superscript"/>
        </w:rPr>
        <w:t xml:space="preserve">2 </w:t>
      </w:r>
      <w:r w:rsidR="001C69E3">
        <w:t xml:space="preserve">=.02), which was not </w:t>
      </w:r>
      <w:r w:rsidR="00C7665E" w:rsidRPr="00C7665E">
        <w:t>significantly different from zero (</w:t>
      </w:r>
      <w:r w:rsidR="00C7665E" w:rsidRPr="00C7665E">
        <w:rPr>
          <w:i/>
        </w:rPr>
        <w:t>F</w:t>
      </w:r>
      <w:r w:rsidR="00C7665E" w:rsidRPr="00C7665E">
        <w:t xml:space="preserve"> (6, 195) = 1.81, </w:t>
      </w:r>
      <w:r w:rsidR="00C7665E" w:rsidRPr="00C7665E">
        <w:rPr>
          <w:i/>
        </w:rPr>
        <w:t xml:space="preserve">p </w:t>
      </w:r>
      <w:r w:rsidR="001C69E3">
        <w:t>=</w:t>
      </w:r>
      <w:r w:rsidR="001C69E3">
        <w:t>.098). In step two</w:t>
      </w:r>
      <w:r w:rsidR="00C7665E" w:rsidRPr="00C7665E">
        <w:t>, parents’ individual trait persuasion knowledge scores were entered into the regression equation. The change in variance accounted for (</w:t>
      </w:r>
      <w:r w:rsidR="00C7665E">
        <w:t>∆</w:t>
      </w:r>
      <w:r w:rsidR="00C7665E" w:rsidRPr="00C7665E">
        <w:rPr>
          <w:i/>
        </w:rPr>
        <w:t>R</w:t>
      </w:r>
      <w:r w:rsidR="00C7665E" w:rsidRPr="00C7665E">
        <w:rPr>
          <w:vertAlign w:val="superscript"/>
        </w:rPr>
        <w:t>2</w:t>
      </w:r>
      <w:r w:rsidR="00C7665E" w:rsidRPr="00C7665E">
        <w:t xml:space="preserve">) was equal to .03, which was </w:t>
      </w:r>
      <w:r w:rsidR="00F861E5">
        <w:t xml:space="preserve">a </w:t>
      </w:r>
      <w:r w:rsidR="00C7665E" w:rsidRPr="00C7665E">
        <w:t>statistically significant increase in variance accounted for over the step one model (</w:t>
      </w:r>
      <w:r w:rsidR="00C7665E">
        <w:t>∆</w:t>
      </w:r>
      <w:r w:rsidR="00C7665E" w:rsidRPr="00C7665E">
        <w:rPr>
          <w:i/>
        </w:rPr>
        <w:t>F</w:t>
      </w:r>
      <w:r w:rsidR="00C7665E" w:rsidRPr="00C7665E">
        <w:t xml:space="preserve"> (1, 194) = 6.17, </w:t>
      </w:r>
      <w:r w:rsidR="004E5287">
        <w:rPr>
          <w:i/>
        </w:rPr>
        <w:t xml:space="preserve">p </w:t>
      </w:r>
      <w:r w:rsidR="00C7665E">
        <w:rPr>
          <w:rFonts w:hint="eastAsia"/>
        </w:rPr>
        <w:t>=</w:t>
      </w:r>
      <w:r w:rsidR="00C7665E" w:rsidRPr="00C7665E">
        <w:t></w:t>
      </w:r>
      <w:r w:rsidR="00C7665E" w:rsidRPr="00C7665E">
        <w:t></w:t>
      </w:r>
      <w:r w:rsidR="00C7665E" w:rsidRPr="00C7665E">
        <w:t></w:t>
      </w:r>
      <w:r w:rsidR="00C7665E" w:rsidRPr="00C7665E">
        <w:t></w:t>
      </w:r>
      <w:r w:rsidR="00C7665E">
        <w:rPr>
          <w:rFonts w:hint="eastAsia"/>
        </w:rPr>
        <w:t>4</w:t>
      </w:r>
      <w:r w:rsidR="00C7665E" w:rsidRPr="00C7665E">
        <w:t xml:space="preserve">).  In step three, </w:t>
      </w:r>
      <w:r w:rsidR="00C7665E">
        <w:t xml:space="preserve">parental mediation of Internet use </w:t>
      </w:r>
      <w:r w:rsidR="005358AB" w:rsidRPr="00C7665E">
        <w:t>was</w:t>
      </w:r>
      <w:r w:rsidR="00C7665E" w:rsidRPr="00C7665E">
        <w:t xml:space="preserve"> entered into the regression equation. The change in variance accounted for (</w:t>
      </w:r>
      <w:r w:rsidR="00C7665E">
        <w:t>∆</w:t>
      </w:r>
      <w:r w:rsidR="00C7665E" w:rsidRPr="00C7665E">
        <w:rPr>
          <w:i/>
        </w:rPr>
        <w:t>R</w:t>
      </w:r>
      <w:r w:rsidR="00C7665E" w:rsidRPr="00C7665E">
        <w:rPr>
          <w:vertAlign w:val="superscript"/>
        </w:rPr>
        <w:t>2</w:t>
      </w:r>
      <w:r w:rsidR="00C7665E" w:rsidRPr="00C7665E">
        <w:t xml:space="preserve">) </w:t>
      </w:r>
      <w:r w:rsidR="00C7665E">
        <w:t>was equal to .01</w:t>
      </w:r>
      <w:r w:rsidR="00C7665E" w:rsidRPr="00C7665E">
        <w:t xml:space="preserve">, which was </w:t>
      </w:r>
      <w:r w:rsidR="00C7665E">
        <w:t xml:space="preserve">not </w:t>
      </w:r>
      <w:r w:rsidR="00C7665E" w:rsidRPr="00C7665E">
        <w:t>a statistically significant increase in variance accounted above the variability contributed by the previous predictor variables entered in step two (</w:t>
      </w:r>
      <w:r w:rsidR="00C7665E">
        <w:t>∆</w:t>
      </w:r>
      <w:r w:rsidR="00C7665E" w:rsidRPr="00C7665E">
        <w:rPr>
          <w:i/>
        </w:rPr>
        <w:t>F</w:t>
      </w:r>
      <w:r w:rsidR="00C7665E" w:rsidRPr="00C7665E">
        <w:t xml:space="preserve"> (</w:t>
      </w:r>
      <w:r w:rsidR="00C7665E">
        <w:t>1, 193</w:t>
      </w:r>
      <w:r w:rsidR="00C7665E" w:rsidRPr="00C7665E">
        <w:t xml:space="preserve">) = </w:t>
      </w:r>
      <w:r w:rsidR="00C7665E">
        <w:t>2.99</w:t>
      </w:r>
      <w:r w:rsidR="00C7665E" w:rsidRPr="00C7665E">
        <w:t xml:space="preserve">, </w:t>
      </w:r>
      <w:r w:rsidR="004E5287">
        <w:rPr>
          <w:i/>
        </w:rPr>
        <w:t>p</w:t>
      </w:r>
      <w:r w:rsidR="00C7665E" w:rsidRPr="00C7665E">
        <w:t></w:t>
      </w:r>
      <w:r w:rsidR="00C7665E">
        <w:rPr>
          <w:rFonts w:hint="eastAsia"/>
        </w:rPr>
        <w:t>=</w:t>
      </w:r>
      <w:r w:rsidR="00C7665E" w:rsidRPr="00C7665E">
        <w:t></w:t>
      </w:r>
      <w:r w:rsidR="00C7665E" w:rsidRPr="00C7665E">
        <w:t></w:t>
      </w:r>
      <w:r w:rsidR="00C7665E" w:rsidRPr="00C7665E">
        <w:t></w:t>
      </w:r>
      <w:r w:rsidR="00C7665E">
        <w:t>86</w:t>
      </w:r>
      <w:r w:rsidR="00C7665E" w:rsidRPr="00C7665E">
        <w:t>).  </w:t>
      </w:r>
    </w:p>
    <w:p w:rsidR="004E5287" w:rsidRDefault="00C7665E" w:rsidP="001B52F5">
      <w:pPr>
        <w:widowControl w:val="0"/>
        <w:autoSpaceDE w:val="0"/>
        <w:autoSpaceDN w:val="0"/>
        <w:adjustRightInd w:val="0"/>
        <w:spacing w:line="480" w:lineRule="auto"/>
      </w:pPr>
      <w:r>
        <w:tab/>
      </w:r>
      <w:r w:rsidR="003925C0">
        <w:t>Overall, parents’ individual trait persuasion kno</w:t>
      </w:r>
      <w:r w:rsidR="005358AB">
        <w:t>wledge contributed significantly</w:t>
      </w:r>
      <w:r w:rsidR="003925C0">
        <w:t xml:space="preserve"> to the prediction of se</w:t>
      </w:r>
      <w:r>
        <w:t>lling and persuasion knowledge. Parental mediation of Internet use was not a significant predictor of selling and persuasion knowledge.</w:t>
      </w:r>
    </w:p>
    <w:p w:rsidR="00C7665E" w:rsidRDefault="00C7665E" w:rsidP="001B52F5">
      <w:pPr>
        <w:widowControl w:val="0"/>
        <w:autoSpaceDE w:val="0"/>
        <w:autoSpaceDN w:val="0"/>
        <w:adjustRightInd w:val="0"/>
        <w:spacing w:line="480" w:lineRule="auto"/>
      </w:pPr>
    </w:p>
    <w:p w:rsidR="002A29FC" w:rsidRPr="005358AB" w:rsidRDefault="00C7665E" w:rsidP="002A29FC">
      <w:pPr>
        <w:widowControl w:val="0"/>
        <w:autoSpaceDE w:val="0"/>
        <w:autoSpaceDN w:val="0"/>
        <w:adjustRightInd w:val="0"/>
        <w:rPr>
          <w:i/>
        </w:rPr>
      </w:pPr>
      <w:r>
        <w:t>Table 2:</w:t>
      </w:r>
      <w:r w:rsidR="005358AB">
        <w:t xml:space="preserve"> </w:t>
      </w:r>
      <w:r w:rsidR="005358AB">
        <w:rPr>
          <w:i/>
        </w:rPr>
        <w:t>Hierarchical Regression on Selling and Persuasion Knowledge</w:t>
      </w:r>
    </w:p>
    <w:p w:rsidR="002A29FC" w:rsidRDefault="002A29FC" w:rsidP="002A29FC">
      <w:pPr>
        <w:widowControl w:val="0"/>
        <w:autoSpaceDE w:val="0"/>
        <w:autoSpaceDN w:val="0"/>
        <w:adjustRightInd w:val="0"/>
      </w:pPr>
      <w:r>
        <w:t>______________________________________________________________________________</w:t>
      </w:r>
    </w:p>
    <w:p w:rsidR="002A29FC" w:rsidRDefault="00C7665E" w:rsidP="002A29FC">
      <w:pPr>
        <w:widowControl w:val="0"/>
        <w:pBdr>
          <w:bottom w:val="single" w:sz="12" w:space="1" w:color="auto"/>
        </w:pBdr>
        <w:autoSpaceDE w:val="0"/>
        <w:autoSpaceDN w:val="0"/>
        <w:adjustRightInd w:val="0"/>
        <w:rPr>
          <w:i/>
        </w:rPr>
      </w:pPr>
      <w:r>
        <w:t>Measures</w:t>
      </w:r>
      <w:r w:rsidR="002A29FC">
        <w:tab/>
      </w:r>
      <w:r w:rsidR="002A29FC">
        <w:tab/>
      </w:r>
      <w:r w:rsidR="002A29FC">
        <w:tab/>
      </w:r>
      <w:r w:rsidR="002A29FC">
        <w:tab/>
        <w:t>R</w:t>
      </w:r>
      <w:r w:rsidR="002A29FC">
        <w:tab/>
        <w:t>R</w:t>
      </w:r>
      <w:r w:rsidR="002A29FC">
        <w:rPr>
          <w:vertAlign w:val="superscript"/>
        </w:rPr>
        <w:t>2</w:t>
      </w:r>
      <w:r w:rsidR="002A29FC">
        <w:tab/>
        <w:t>∆</w:t>
      </w:r>
      <w:r w:rsidR="002A29FC" w:rsidRPr="00C7665E">
        <w:rPr>
          <w:i/>
        </w:rPr>
        <w:t>R</w:t>
      </w:r>
      <w:r w:rsidR="002A29FC" w:rsidRPr="00C7665E">
        <w:rPr>
          <w:vertAlign w:val="superscript"/>
        </w:rPr>
        <w:t>2</w:t>
      </w:r>
      <w:r w:rsidR="002A29FC">
        <w:rPr>
          <w:vertAlign w:val="superscript"/>
        </w:rPr>
        <w:tab/>
      </w:r>
      <w:r w:rsidR="002A29FC">
        <w:t>∆</w:t>
      </w:r>
      <w:r w:rsidR="002A29FC" w:rsidRPr="00C7665E">
        <w:rPr>
          <w:i/>
        </w:rPr>
        <w:t>F</w:t>
      </w:r>
      <w:r w:rsidR="002A29FC">
        <w:rPr>
          <w:i/>
        </w:rPr>
        <w:tab/>
        <w:t>df</w:t>
      </w:r>
      <w:r w:rsidR="002A29FC">
        <w:rPr>
          <w:i/>
        </w:rPr>
        <w:tab/>
      </w:r>
      <w:r w:rsidR="002A29FC">
        <w:rPr>
          <w:i/>
        </w:rPr>
        <w:tab/>
        <w:t>ß</w:t>
      </w:r>
    </w:p>
    <w:p w:rsidR="002A29FC" w:rsidRDefault="002A29FC" w:rsidP="002A29FC">
      <w:pPr>
        <w:widowControl w:val="0"/>
        <w:autoSpaceDE w:val="0"/>
        <w:autoSpaceDN w:val="0"/>
        <w:adjustRightInd w:val="0"/>
      </w:pPr>
      <w:r>
        <w:t>Step 1</w:t>
      </w:r>
    </w:p>
    <w:p w:rsidR="002A29FC" w:rsidRDefault="002A29FC" w:rsidP="002A29FC">
      <w:pPr>
        <w:widowControl w:val="0"/>
        <w:autoSpaceDE w:val="0"/>
        <w:autoSpaceDN w:val="0"/>
        <w:adjustRightInd w:val="0"/>
      </w:pPr>
      <w:r>
        <w:t>Demographic</w:t>
      </w:r>
      <w:r>
        <w:tab/>
      </w:r>
      <w:r>
        <w:tab/>
      </w:r>
      <w:r>
        <w:tab/>
      </w:r>
      <w:r>
        <w:tab/>
        <w:t>.23</w:t>
      </w:r>
      <w:r>
        <w:tab/>
        <w:t>.05</w:t>
      </w:r>
      <w:r>
        <w:tab/>
        <w:t>.05</w:t>
      </w:r>
      <w:r>
        <w:tab/>
        <w:t>1.81</w:t>
      </w:r>
      <w:r>
        <w:tab/>
        <w:t>6, 195</w:t>
      </w:r>
      <w:r>
        <w:tab/>
      </w:r>
      <w:r>
        <w:tab/>
      </w:r>
    </w:p>
    <w:p w:rsidR="002A29FC" w:rsidRDefault="002A29FC" w:rsidP="002A29FC">
      <w:pPr>
        <w:widowControl w:val="0"/>
        <w:autoSpaceDE w:val="0"/>
        <w:autoSpaceDN w:val="0"/>
        <w:adjustRightInd w:val="0"/>
      </w:pPr>
      <w:r>
        <w:t>Parent age</w:t>
      </w:r>
      <w:r>
        <w:tab/>
      </w:r>
      <w:r>
        <w:tab/>
      </w:r>
      <w:r>
        <w:tab/>
      </w:r>
      <w:r>
        <w:tab/>
      </w:r>
      <w:r>
        <w:tab/>
      </w:r>
      <w:r>
        <w:tab/>
      </w:r>
      <w:r>
        <w:tab/>
      </w:r>
      <w:r>
        <w:tab/>
      </w:r>
      <w:r>
        <w:tab/>
      </w:r>
      <w:r>
        <w:tab/>
        <w:t>-.119</w:t>
      </w:r>
    </w:p>
    <w:p w:rsidR="002A29FC" w:rsidRDefault="002A29FC" w:rsidP="002A29FC">
      <w:pPr>
        <w:widowControl w:val="0"/>
        <w:autoSpaceDE w:val="0"/>
        <w:autoSpaceDN w:val="0"/>
        <w:adjustRightInd w:val="0"/>
      </w:pPr>
      <w:r>
        <w:t>Child age</w:t>
      </w:r>
      <w:r>
        <w:tab/>
      </w:r>
      <w:r>
        <w:tab/>
      </w:r>
      <w:r>
        <w:tab/>
      </w:r>
      <w:r>
        <w:tab/>
      </w:r>
      <w:r>
        <w:tab/>
      </w:r>
      <w:r>
        <w:tab/>
      </w:r>
      <w:r>
        <w:tab/>
      </w:r>
      <w:r>
        <w:tab/>
      </w:r>
      <w:r>
        <w:tab/>
      </w:r>
      <w:r>
        <w:tab/>
        <w:t>-.150</w:t>
      </w:r>
    </w:p>
    <w:p w:rsidR="002A29FC" w:rsidRDefault="002A29FC" w:rsidP="002A29FC">
      <w:pPr>
        <w:widowControl w:val="0"/>
        <w:autoSpaceDE w:val="0"/>
        <w:autoSpaceDN w:val="0"/>
        <w:adjustRightInd w:val="0"/>
      </w:pPr>
      <w:r>
        <w:t>Parent gender</w:t>
      </w:r>
      <w:r>
        <w:tab/>
      </w:r>
      <w:r>
        <w:tab/>
      </w:r>
      <w:r>
        <w:tab/>
      </w:r>
      <w:r>
        <w:tab/>
      </w:r>
      <w:r>
        <w:tab/>
      </w:r>
      <w:r>
        <w:tab/>
      </w:r>
      <w:r>
        <w:tab/>
      </w:r>
      <w:r>
        <w:tab/>
      </w:r>
      <w:r>
        <w:tab/>
      </w:r>
      <w:r>
        <w:tab/>
        <w:t>-.024</w:t>
      </w:r>
    </w:p>
    <w:p w:rsidR="002A29FC" w:rsidRDefault="002A29FC" w:rsidP="002A29FC">
      <w:pPr>
        <w:widowControl w:val="0"/>
        <w:autoSpaceDE w:val="0"/>
        <w:autoSpaceDN w:val="0"/>
        <w:adjustRightInd w:val="0"/>
      </w:pPr>
      <w:r>
        <w:t>Child gender</w:t>
      </w:r>
      <w:r>
        <w:tab/>
      </w:r>
      <w:r>
        <w:tab/>
      </w:r>
      <w:r>
        <w:tab/>
      </w:r>
      <w:r>
        <w:tab/>
      </w:r>
      <w:r>
        <w:tab/>
      </w:r>
      <w:r>
        <w:tab/>
      </w:r>
      <w:r>
        <w:tab/>
      </w:r>
      <w:r>
        <w:tab/>
      </w:r>
      <w:r>
        <w:tab/>
      </w:r>
      <w:r>
        <w:tab/>
        <w:t>-.036</w:t>
      </w:r>
    </w:p>
    <w:p w:rsidR="002A29FC" w:rsidRDefault="002A29FC" w:rsidP="002A29FC">
      <w:pPr>
        <w:widowControl w:val="0"/>
        <w:autoSpaceDE w:val="0"/>
        <w:autoSpaceDN w:val="0"/>
        <w:adjustRightInd w:val="0"/>
      </w:pPr>
      <w:r>
        <w:t>Income</w:t>
      </w:r>
      <w:r>
        <w:tab/>
      </w:r>
      <w:r>
        <w:tab/>
      </w:r>
      <w:r>
        <w:tab/>
      </w:r>
      <w:r>
        <w:tab/>
      </w:r>
      <w:r>
        <w:tab/>
      </w:r>
      <w:r>
        <w:tab/>
      </w:r>
      <w:r>
        <w:tab/>
      </w:r>
      <w:r>
        <w:tab/>
      </w:r>
      <w:r>
        <w:tab/>
      </w:r>
      <w:r>
        <w:tab/>
      </w:r>
      <w:r>
        <w:tab/>
        <w:t>-.020</w:t>
      </w:r>
    </w:p>
    <w:p w:rsidR="002A29FC" w:rsidRDefault="002A29FC" w:rsidP="002A29FC">
      <w:pPr>
        <w:widowControl w:val="0"/>
        <w:pBdr>
          <w:bottom w:val="single" w:sz="12" w:space="1" w:color="auto"/>
        </w:pBdr>
        <w:autoSpaceDE w:val="0"/>
        <w:autoSpaceDN w:val="0"/>
        <w:adjustRightInd w:val="0"/>
      </w:pPr>
      <w:r>
        <w:t>Education</w:t>
      </w:r>
      <w:r>
        <w:tab/>
      </w:r>
      <w:r>
        <w:tab/>
      </w:r>
      <w:r>
        <w:tab/>
      </w:r>
      <w:r>
        <w:tab/>
      </w:r>
      <w:r>
        <w:tab/>
      </w:r>
      <w:r>
        <w:tab/>
      </w:r>
      <w:r>
        <w:tab/>
      </w:r>
      <w:r>
        <w:tab/>
      </w:r>
      <w:r>
        <w:tab/>
      </w:r>
      <w:r>
        <w:tab/>
        <w:t xml:space="preserve"> .004</w:t>
      </w:r>
    </w:p>
    <w:p w:rsidR="002A29FC" w:rsidRDefault="002A29FC" w:rsidP="002A29FC">
      <w:pPr>
        <w:widowControl w:val="0"/>
        <w:autoSpaceDE w:val="0"/>
        <w:autoSpaceDN w:val="0"/>
        <w:adjustRightInd w:val="0"/>
      </w:pPr>
      <w:r>
        <w:t>Step 2</w:t>
      </w:r>
    </w:p>
    <w:p w:rsidR="002A29FC" w:rsidRDefault="002A29FC" w:rsidP="002A29FC">
      <w:pPr>
        <w:widowControl w:val="0"/>
        <w:autoSpaceDE w:val="0"/>
        <w:autoSpaceDN w:val="0"/>
        <w:adjustRightInd w:val="0"/>
      </w:pPr>
      <w:r>
        <w:t>Individual Trait Persuasion</w:t>
      </w:r>
    </w:p>
    <w:p w:rsidR="005358AB" w:rsidRDefault="005358AB" w:rsidP="002A29FC">
      <w:pPr>
        <w:widowControl w:val="0"/>
        <w:pBdr>
          <w:bottom w:val="single" w:sz="12" w:space="1" w:color="auto"/>
        </w:pBdr>
        <w:autoSpaceDE w:val="0"/>
        <w:autoSpaceDN w:val="0"/>
        <w:adjustRightInd w:val="0"/>
      </w:pPr>
      <w:r>
        <w:t>Knowledge</w:t>
      </w:r>
      <w:r>
        <w:tab/>
      </w:r>
      <w:r>
        <w:tab/>
      </w:r>
      <w:r>
        <w:tab/>
      </w:r>
      <w:r>
        <w:tab/>
        <w:t>.29</w:t>
      </w:r>
      <w:r w:rsidR="002A29FC">
        <w:tab/>
      </w:r>
      <w:r>
        <w:t>.08</w:t>
      </w:r>
      <w:r>
        <w:tab/>
        <w:t>.03</w:t>
      </w:r>
      <w:r>
        <w:tab/>
        <w:t>6.17*</w:t>
      </w:r>
      <w:r>
        <w:tab/>
        <w:t>1, 194</w:t>
      </w:r>
      <w:r>
        <w:tab/>
      </w:r>
      <w:r>
        <w:tab/>
        <w:t>-.174*</w:t>
      </w:r>
    </w:p>
    <w:p w:rsidR="005358AB" w:rsidRDefault="005358AB" w:rsidP="002A29FC">
      <w:pPr>
        <w:widowControl w:val="0"/>
        <w:autoSpaceDE w:val="0"/>
        <w:autoSpaceDN w:val="0"/>
        <w:adjustRightInd w:val="0"/>
      </w:pPr>
      <w:r>
        <w:t>Step 3</w:t>
      </w:r>
    </w:p>
    <w:p w:rsidR="005358AB" w:rsidRDefault="005358AB" w:rsidP="002A29FC">
      <w:pPr>
        <w:widowControl w:val="0"/>
        <w:autoSpaceDE w:val="0"/>
        <w:autoSpaceDN w:val="0"/>
        <w:adjustRightInd w:val="0"/>
      </w:pPr>
      <w:r>
        <w:t xml:space="preserve">Parental Mediation of </w:t>
      </w:r>
    </w:p>
    <w:p w:rsidR="005358AB" w:rsidRDefault="00F66402" w:rsidP="002A29FC">
      <w:pPr>
        <w:widowControl w:val="0"/>
        <w:autoSpaceDE w:val="0"/>
        <w:autoSpaceDN w:val="0"/>
        <w:adjustRightInd w:val="0"/>
      </w:pPr>
      <w:r>
        <w:t>Internet Use</w:t>
      </w:r>
      <w:r>
        <w:tab/>
      </w:r>
      <w:r>
        <w:tab/>
      </w:r>
      <w:r>
        <w:tab/>
      </w:r>
      <w:r>
        <w:tab/>
        <w:t>.31</w:t>
      </w:r>
      <w:r w:rsidR="005358AB">
        <w:tab/>
        <w:t>.09</w:t>
      </w:r>
      <w:r w:rsidR="005358AB">
        <w:tab/>
        <w:t>.01</w:t>
      </w:r>
      <w:r w:rsidR="005358AB">
        <w:tab/>
        <w:t>2.98</w:t>
      </w:r>
      <w:r w:rsidR="005358AB">
        <w:tab/>
        <w:t>1, 193</w:t>
      </w:r>
      <w:r w:rsidR="005358AB">
        <w:tab/>
      </w:r>
      <w:r w:rsidR="005358AB">
        <w:tab/>
        <w:t xml:space="preserve"> .122</w:t>
      </w:r>
      <w:r w:rsidR="005358AB">
        <w:tab/>
      </w:r>
    </w:p>
    <w:p w:rsidR="005358AB" w:rsidRDefault="005358AB" w:rsidP="002A29FC">
      <w:pPr>
        <w:widowControl w:val="0"/>
        <w:pBdr>
          <w:top w:val="single" w:sz="12" w:space="1" w:color="auto"/>
          <w:bottom w:val="single" w:sz="12" w:space="1" w:color="auto"/>
        </w:pBdr>
        <w:autoSpaceDE w:val="0"/>
        <w:autoSpaceDN w:val="0"/>
        <w:adjustRightInd w:val="0"/>
      </w:pPr>
      <w:r>
        <w:t>Note: *</w:t>
      </w:r>
      <w:r>
        <w:rPr>
          <w:i/>
        </w:rPr>
        <w:t xml:space="preserve">p </w:t>
      </w:r>
      <w:r>
        <w:t>&lt; .05 (two-tailed). (N = 202)</w:t>
      </w:r>
    </w:p>
    <w:p w:rsidR="00252A5D" w:rsidRPr="005358AB" w:rsidRDefault="00252A5D" w:rsidP="002A29FC">
      <w:pPr>
        <w:widowControl w:val="0"/>
        <w:autoSpaceDE w:val="0"/>
        <w:autoSpaceDN w:val="0"/>
        <w:adjustRightInd w:val="0"/>
      </w:pPr>
    </w:p>
    <w:p w:rsidR="004E5287" w:rsidRDefault="00A057F3" w:rsidP="00E27C36">
      <w:pPr>
        <w:widowControl w:val="0"/>
        <w:autoSpaceDE w:val="0"/>
        <w:autoSpaceDN w:val="0"/>
        <w:adjustRightInd w:val="0"/>
        <w:spacing w:line="480" w:lineRule="auto"/>
      </w:pPr>
      <w:r>
        <w:tab/>
      </w:r>
    </w:p>
    <w:p w:rsidR="00E27C36" w:rsidRDefault="004E5287" w:rsidP="00E27C36">
      <w:pPr>
        <w:widowControl w:val="0"/>
        <w:autoSpaceDE w:val="0"/>
        <w:autoSpaceDN w:val="0"/>
        <w:adjustRightInd w:val="0"/>
        <w:spacing w:line="480" w:lineRule="auto"/>
      </w:pPr>
      <w:r>
        <w:tab/>
      </w:r>
      <w:r w:rsidR="00E27C36" w:rsidRPr="00C7665E">
        <w:t xml:space="preserve">The results of the hierarchical regression predicting </w:t>
      </w:r>
      <w:r w:rsidR="00E27C36">
        <w:t>negative perceptions of advergames</w:t>
      </w:r>
      <w:r w:rsidR="00E27C36" w:rsidRPr="00C7665E">
        <w:t xml:space="preserve"> from demographic covariates, parents’ individual trait persuasion knowledge, and parental mediation of Inte</w:t>
      </w:r>
      <w:r w:rsidR="00E27C36">
        <w:t>rnet use are reported in Table 3</w:t>
      </w:r>
      <w:r w:rsidR="00E27C36" w:rsidRPr="00C7665E">
        <w:t>. The results of step one indicated that the variance accounted for (</w:t>
      </w:r>
      <w:r w:rsidR="00E27C36" w:rsidRPr="00C7665E">
        <w:rPr>
          <w:i/>
        </w:rPr>
        <w:t>R</w:t>
      </w:r>
      <w:r w:rsidR="00E27C36" w:rsidRPr="00C7665E">
        <w:rPr>
          <w:vertAlign w:val="superscript"/>
        </w:rPr>
        <w:t>2</w:t>
      </w:r>
      <w:r w:rsidR="00E27C36" w:rsidRPr="00C7665E">
        <w:t xml:space="preserve">) with the </w:t>
      </w:r>
      <w:r>
        <w:t>first six predictors equaled .09</w:t>
      </w:r>
      <w:r w:rsidR="00E27C36" w:rsidRPr="00C7665E">
        <w:t xml:space="preserve"> (adjusted </w:t>
      </w:r>
      <w:r w:rsidR="00E27C36" w:rsidRPr="00C7665E">
        <w:rPr>
          <w:i/>
        </w:rPr>
        <w:t>R</w:t>
      </w:r>
      <w:r w:rsidR="00E27C36" w:rsidRPr="00C7665E">
        <w:rPr>
          <w:vertAlign w:val="superscript"/>
        </w:rPr>
        <w:t xml:space="preserve">2 </w:t>
      </w:r>
      <w:r>
        <w:t>=</w:t>
      </w:r>
      <w:r w:rsidR="001C69E3">
        <w:t xml:space="preserve"> </w:t>
      </w:r>
      <w:r>
        <w:t xml:space="preserve">.06), which was </w:t>
      </w:r>
      <w:r w:rsidR="00E27C36" w:rsidRPr="00C7665E">
        <w:t>significantly different from zero (</w:t>
      </w:r>
      <w:r w:rsidR="00E27C36" w:rsidRPr="00C7665E">
        <w:rPr>
          <w:i/>
        </w:rPr>
        <w:t>F</w:t>
      </w:r>
      <w:r>
        <w:t xml:space="preserve"> (6, 195) = 3.47</w:t>
      </w:r>
      <w:r w:rsidR="00E27C36" w:rsidRPr="00C7665E">
        <w:t xml:space="preserve">, </w:t>
      </w:r>
      <w:r w:rsidR="00E27C36" w:rsidRPr="00C7665E">
        <w:rPr>
          <w:i/>
        </w:rPr>
        <w:t xml:space="preserve">p </w:t>
      </w:r>
      <w:r w:rsidR="001C69E3">
        <w:t>=</w:t>
      </w:r>
      <w:r>
        <w:t>.003</w:t>
      </w:r>
      <w:r w:rsidR="00E27C36" w:rsidRPr="00C7665E">
        <w:t>). Next, parents’ individual trait persuasion knowledge scores were entered into the regression equation. The change in variance accounted for (</w:t>
      </w:r>
      <w:r w:rsidR="00E27C36">
        <w:t>∆</w:t>
      </w:r>
      <w:r w:rsidR="00E27C36" w:rsidRPr="00C7665E">
        <w:rPr>
          <w:i/>
        </w:rPr>
        <w:t>R</w:t>
      </w:r>
      <w:r w:rsidR="00E27C36" w:rsidRPr="00C7665E">
        <w:rPr>
          <w:vertAlign w:val="superscript"/>
        </w:rPr>
        <w:t>2</w:t>
      </w:r>
      <w:r>
        <w:t>) was equal to .00</w:t>
      </w:r>
      <w:r w:rsidR="00E27C36" w:rsidRPr="00C7665E">
        <w:t>, which was</w:t>
      </w:r>
      <w:r>
        <w:t xml:space="preserve"> not a</w:t>
      </w:r>
      <w:r w:rsidR="00E27C36" w:rsidRPr="00C7665E">
        <w:t xml:space="preserve"> statistically significant increase in variance accounted for over the step one model (</w:t>
      </w:r>
      <w:r w:rsidR="00E27C36">
        <w:t>∆</w:t>
      </w:r>
      <w:r w:rsidR="00E27C36" w:rsidRPr="00C7665E">
        <w:rPr>
          <w:i/>
        </w:rPr>
        <w:t>F</w:t>
      </w:r>
      <w:r>
        <w:t xml:space="preserve"> (1, 194) = .004</w:t>
      </w:r>
      <w:r w:rsidR="00E27C36" w:rsidRPr="00C7665E">
        <w:t xml:space="preserve">, </w:t>
      </w:r>
      <w:r w:rsidR="00E27C36" w:rsidRPr="00C7665E">
        <w:rPr>
          <w:i/>
        </w:rPr>
        <w:t>p</w:t>
      </w:r>
      <w:r w:rsidR="00E27C36" w:rsidRPr="00C7665E">
        <w:t></w:t>
      </w:r>
      <w:r w:rsidR="00E27C36">
        <w:rPr>
          <w:rFonts w:hint="eastAsia"/>
        </w:rPr>
        <w:t>=</w:t>
      </w:r>
      <w:r>
        <w:t></w:t>
      </w:r>
      <w:r>
        <w:t>953</w:t>
      </w:r>
      <w:r w:rsidR="00E27C36" w:rsidRPr="00C7665E">
        <w:t xml:space="preserve">).  In step three, </w:t>
      </w:r>
      <w:r w:rsidR="00E27C36">
        <w:t xml:space="preserve">parental mediation of Internet use </w:t>
      </w:r>
      <w:r w:rsidR="00E27C36" w:rsidRPr="00C7665E">
        <w:t>was entered into the regression equation. The change in variance accounted for (</w:t>
      </w:r>
      <w:r w:rsidR="00E27C36">
        <w:t>∆</w:t>
      </w:r>
      <w:r w:rsidR="00E27C36" w:rsidRPr="00C7665E">
        <w:rPr>
          <w:i/>
        </w:rPr>
        <w:t>R</w:t>
      </w:r>
      <w:r w:rsidR="00E27C36" w:rsidRPr="00C7665E">
        <w:rPr>
          <w:vertAlign w:val="superscript"/>
        </w:rPr>
        <w:t>2</w:t>
      </w:r>
      <w:r w:rsidR="00E27C36" w:rsidRPr="00C7665E">
        <w:t xml:space="preserve">) </w:t>
      </w:r>
      <w:r>
        <w:t>was equal to .05, which was</w:t>
      </w:r>
      <w:r w:rsidR="00E27C36">
        <w:t xml:space="preserve"> </w:t>
      </w:r>
      <w:r w:rsidR="00E27C36" w:rsidRPr="00C7665E">
        <w:t>a statistically significant increase in variance accounted above the variability contributed by the previous predictor variables entered in step two (</w:t>
      </w:r>
      <w:r w:rsidR="00E27C36">
        <w:t>∆</w:t>
      </w:r>
      <w:r w:rsidR="00E27C36" w:rsidRPr="00C7665E">
        <w:rPr>
          <w:i/>
        </w:rPr>
        <w:t>F</w:t>
      </w:r>
      <w:r w:rsidR="00E27C36" w:rsidRPr="00C7665E">
        <w:t xml:space="preserve"> (</w:t>
      </w:r>
      <w:r w:rsidR="00E27C36">
        <w:t>1, 193</w:t>
      </w:r>
      <w:r w:rsidR="00E27C36" w:rsidRPr="00C7665E">
        <w:t xml:space="preserve">) = </w:t>
      </w:r>
      <w:r>
        <w:t>10.50,</w:t>
      </w:r>
      <w:r w:rsidR="00E27C36" w:rsidRPr="00C7665E">
        <w:t xml:space="preserve"> </w:t>
      </w:r>
      <w:r w:rsidR="00E27C36" w:rsidRPr="00C7665E">
        <w:rPr>
          <w:i/>
        </w:rPr>
        <w:t>p</w:t>
      </w:r>
      <w:r w:rsidR="00E27C36" w:rsidRPr="00C7665E">
        <w:t></w:t>
      </w:r>
      <w:r w:rsidR="00E27C36">
        <w:rPr>
          <w:rFonts w:hint="eastAsia"/>
        </w:rPr>
        <w:t>=</w:t>
      </w:r>
      <w:r w:rsidR="00E27C36" w:rsidRPr="00C7665E">
        <w:t></w:t>
      </w:r>
      <w:r w:rsidR="00E27C36" w:rsidRPr="00C7665E">
        <w:t></w:t>
      </w:r>
      <w:r w:rsidR="00E27C36" w:rsidRPr="00C7665E">
        <w:t></w:t>
      </w:r>
      <w:r>
        <w:t>01</w:t>
      </w:r>
      <w:r w:rsidR="00E27C36" w:rsidRPr="00C7665E">
        <w:t>).  </w:t>
      </w:r>
    </w:p>
    <w:p w:rsidR="00F861E5" w:rsidRDefault="00E27C36" w:rsidP="001B52F5">
      <w:pPr>
        <w:widowControl w:val="0"/>
        <w:autoSpaceDE w:val="0"/>
        <w:autoSpaceDN w:val="0"/>
        <w:adjustRightInd w:val="0"/>
        <w:spacing w:line="480" w:lineRule="auto"/>
      </w:pPr>
      <w:r>
        <w:tab/>
        <w:t xml:space="preserve">Overall, </w:t>
      </w:r>
      <w:r w:rsidR="004E5287">
        <w:t>parental mediation of Internet use</w:t>
      </w:r>
      <w:r>
        <w:t xml:space="preserve"> contributed sign</w:t>
      </w:r>
      <w:r w:rsidR="004E5287">
        <w:t>ificantly to the prediction of negative perceptions of advergames. Parents’</w:t>
      </w:r>
      <w:r>
        <w:t xml:space="preserve"> </w:t>
      </w:r>
      <w:r w:rsidR="004E5287">
        <w:t xml:space="preserve">individual trait persuasion knowledge </w:t>
      </w:r>
      <w:r>
        <w:t xml:space="preserve">was not a significant predictor </w:t>
      </w:r>
      <w:r w:rsidR="004E5287">
        <w:t>of negative perceptions of advergames.</w:t>
      </w:r>
    </w:p>
    <w:p w:rsidR="007E14DD" w:rsidRDefault="007E14DD" w:rsidP="001B52F5">
      <w:pPr>
        <w:widowControl w:val="0"/>
        <w:autoSpaceDE w:val="0"/>
        <w:autoSpaceDN w:val="0"/>
        <w:adjustRightInd w:val="0"/>
        <w:spacing w:line="480" w:lineRule="auto"/>
      </w:pPr>
    </w:p>
    <w:p w:rsidR="007E14DD" w:rsidRPr="005358AB" w:rsidRDefault="00E27C36" w:rsidP="007E14DD">
      <w:pPr>
        <w:widowControl w:val="0"/>
        <w:autoSpaceDE w:val="0"/>
        <w:autoSpaceDN w:val="0"/>
        <w:adjustRightInd w:val="0"/>
        <w:rPr>
          <w:i/>
        </w:rPr>
      </w:pPr>
      <w:r>
        <w:t>Table 3</w:t>
      </w:r>
      <w:r w:rsidR="007E14DD">
        <w:t xml:space="preserve">: </w:t>
      </w:r>
      <w:r w:rsidR="007E14DD">
        <w:rPr>
          <w:i/>
        </w:rPr>
        <w:t>Hierarchical Regression on Negative Perceptions of Advergames</w:t>
      </w:r>
    </w:p>
    <w:p w:rsidR="007E14DD" w:rsidRDefault="007E14DD" w:rsidP="007E14DD">
      <w:pPr>
        <w:widowControl w:val="0"/>
        <w:autoSpaceDE w:val="0"/>
        <w:autoSpaceDN w:val="0"/>
        <w:adjustRightInd w:val="0"/>
      </w:pPr>
      <w:r>
        <w:t>______________________________________________________________________________</w:t>
      </w:r>
    </w:p>
    <w:p w:rsidR="007E14DD" w:rsidRDefault="007E14DD" w:rsidP="007E14DD">
      <w:pPr>
        <w:widowControl w:val="0"/>
        <w:pBdr>
          <w:bottom w:val="single" w:sz="12" w:space="1" w:color="auto"/>
        </w:pBdr>
        <w:autoSpaceDE w:val="0"/>
        <w:autoSpaceDN w:val="0"/>
        <w:adjustRightInd w:val="0"/>
        <w:rPr>
          <w:i/>
        </w:rPr>
      </w:pPr>
      <w:r>
        <w:t>Measures</w:t>
      </w:r>
      <w:r>
        <w:tab/>
      </w:r>
      <w:r>
        <w:tab/>
      </w:r>
      <w:r>
        <w:tab/>
      </w:r>
      <w:r>
        <w:tab/>
        <w:t>R</w:t>
      </w:r>
      <w:r>
        <w:tab/>
        <w:t>R</w:t>
      </w:r>
      <w:r>
        <w:rPr>
          <w:vertAlign w:val="superscript"/>
        </w:rPr>
        <w:t>2</w:t>
      </w:r>
      <w:r>
        <w:tab/>
        <w:t>∆</w:t>
      </w:r>
      <w:r w:rsidRPr="00C7665E">
        <w:rPr>
          <w:i/>
        </w:rPr>
        <w:t>R</w:t>
      </w:r>
      <w:r w:rsidRPr="00C7665E">
        <w:rPr>
          <w:vertAlign w:val="superscript"/>
        </w:rPr>
        <w:t>2</w:t>
      </w:r>
      <w:r>
        <w:rPr>
          <w:vertAlign w:val="superscript"/>
        </w:rPr>
        <w:tab/>
      </w:r>
      <w:r>
        <w:t>∆</w:t>
      </w:r>
      <w:r w:rsidRPr="00C7665E">
        <w:rPr>
          <w:i/>
        </w:rPr>
        <w:t>F</w:t>
      </w:r>
      <w:r>
        <w:rPr>
          <w:i/>
        </w:rPr>
        <w:tab/>
      </w:r>
      <w:r w:rsidR="00F66402">
        <w:rPr>
          <w:i/>
        </w:rPr>
        <w:t xml:space="preserve">   </w:t>
      </w:r>
      <w:r>
        <w:rPr>
          <w:i/>
        </w:rPr>
        <w:t>df</w:t>
      </w:r>
      <w:r>
        <w:rPr>
          <w:i/>
        </w:rPr>
        <w:tab/>
      </w:r>
      <w:r>
        <w:rPr>
          <w:i/>
        </w:rPr>
        <w:tab/>
        <w:t>ß</w:t>
      </w:r>
    </w:p>
    <w:p w:rsidR="007E14DD" w:rsidRDefault="007E14DD" w:rsidP="007E14DD">
      <w:pPr>
        <w:widowControl w:val="0"/>
        <w:autoSpaceDE w:val="0"/>
        <w:autoSpaceDN w:val="0"/>
        <w:adjustRightInd w:val="0"/>
      </w:pPr>
      <w:r>
        <w:t>Step 1</w:t>
      </w:r>
    </w:p>
    <w:p w:rsidR="007E14DD" w:rsidRDefault="007E14DD" w:rsidP="007E14DD">
      <w:pPr>
        <w:widowControl w:val="0"/>
        <w:autoSpaceDE w:val="0"/>
        <w:autoSpaceDN w:val="0"/>
        <w:adjustRightInd w:val="0"/>
      </w:pPr>
      <w:r>
        <w:t>Demographic</w:t>
      </w:r>
      <w:r>
        <w:tab/>
      </w:r>
      <w:r>
        <w:tab/>
      </w:r>
      <w:r>
        <w:tab/>
      </w:r>
      <w:r>
        <w:tab/>
        <w:t>.31</w:t>
      </w:r>
      <w:r>
        <w:tab/>
        <w:t>.09</w:t>
      </w:r>
      <w:r>
        <w:tab/>
        <w:t>.09</w:t>
      </w:r>
      <w:r>
        <w:tab/>
        <w:t>3.471*</w:t>
      </w:r>
      <w:r>
        <w:tab/>
      </w:r>
      <w:r w:rsidR="00F66402">
        <w:t xml:space="preserve">  </w:t>
      </w:r>
      <w:r>
        <w:t>6, 195</w:t>
      </w:r>
      <w:r>
        <w:tab/>
      </w:r>
      <w:r>
        <w:tab/>
      </w:r>
    </w:p>
    <w:p w:rsidR="007E14DD" w:rsidRDefault="007E14DD" w:rsidP="007E14DD">
      <w:pPr>
        <w:widowControl w:val="0"/>
        <w:autoSpaceDE w:val="0"/>
        <w:autoSpaceDN w:val="0"/>
        <w:adjustRightInd w:val="0"/>
      </w:pPr>
      <w:r>
        <w:t>Parent age</w:t>
      </w:r>
      <w:r>
        <w:tab/>
      </w:r>
      <w:r>
        <w:tab/>
      </w:r>
      <w:r>
        <w:tab/>
      </w:r>
      <w:r>
        <w:tab/>
      </w:r>
      <w:r>
        <w:tab/>
      </w:r>
      <w:r>
        <w:tab/>
      </w:r>
      <w:r>
        <w:tab/>
      </w:r>
      <w:r>
        <w:tab/>
      </w:r>
      <w:r>
        <w:tab/>
      </w:r>
      <w:r>
        <w:tab/>
        <w:t>-.023</w:t>
      </w:r>
    </w:p>
    <w:p w:rsidR="007E14DD" w:rsidRDefault="007E14DD" w:rsidP="007E14DD">
      <w:pPr>
        <w:widowControl w:val="0"/>
        <w:autoSpaceDE w:val="0"/>
        <w:autoSpaceDN w:val="0"/>
        <w:adjustRightInd w:val="0"/>
      </w:pPr>
      <w:r>
        <w:t>Child age</w:t>
      </w:r>
      <w:r>
        <w:tab/>
      </w:r>
      <w:r>
        <w:tab/>
      </w:r>
      <w:r>
        <w:tab/>
      </w:r>
      <w:r>
        <w:tab/>
      </w:r>
      <w:r>
        <w:tab/>
      </w:r>
      <w:r>
        <w:tab/>
      </w:r>
      <w:r>
        <w:tab/>
      </w:r>
      <w:r>
        <w:tab/>
      </w:r>
      <w:r>
        <w:tab/>
      </w:r>
      <w:r>
        <w:tab/>
        <w:t>-.140*</w:t>
      </w:r>
    </w:p>
    <w:p w:rsidR="007E14DD" w:rsidRDefault="007E14DD" w:rsidP="007E14DD">
      <w:pPr>
        <w:widowControl w:val="0"/>
        <w:autoSpaceDE w:val="0"/>
        <w:autoSpaceDN w:val="0"/>
        <w:adjustRightInd w:val="0"/>
      </w:pPr>
      <w:r>
        <w:t>Parent gender</w:t>
      </w:r>
      <w:r>
        <w:tab/>
      </w:r>
      <w:r>
        <w:tab/>
      </w:r>
      <w:r>
        <w:tab/>
      </w:r>
      <w:r>
        <w:tab/>
      </w:r>
      <w:r>
        <w:tab/>
      </w:r>
      <w:r>
        <w:tab/>
      </w:r>
      <w:r>
        <w:tab/>
      </w:r>
      <w:r>
        <w:tab/>
      </w:r>
      <w:r>
        <w:tab/>
      </w:r>
      <w:r>
        <w:tab/>
        <w:t>-.037</w:t>
      </w:r>
    </w:p>
    <w:p w:rsidR="007E14DD" w:rsidRDefault="007E14DD" w:rsidP="007E14DD">
      <w:pPr>
        <w:widowControl w:val="0"/>
        <w:autoSpaceDE w:val="0"/>
        <w:autoSpaceDN w:val="0"/>
        <w:adjustRightInd w:val="0"/>
      </w:pPr>
      <w:r>
        <w:t>Child gender</w:t>
      </w:r>
      <w:r>
        <w:tab/>
      </w:r>
      <w:r>
        <w:tab/>
      </w:r>
      <w:r>
        <w:tab/>
      </w:r>
      <w:r>
        <w:tab/>
      </w:r>
      <w:r>
        <w:tab/>
      </w:r>
      <w:r>
        <w:tab/>
      </w:r>
      <w:r>
        <w:tab/>
      </w:r>
      <w:r>
        <w:tab/>
      </w:r>
      <w:r>
        <w:tab/>
      </w:r>
      <w:r>
        <w:tab/>
        <w:t>-.082</w:t>
      </w:r>
    </w:p>
    <w:p w:rsidR="007E14DD" w:rsidRDefault="007E14DD" w:rsidP="007E14DD">
      <w:pPr>
        <w:widowControl w:val="0"/>
        <w:autoSpaceDE w:val="0"/>
        <w:autoSpaceDN w:val="0"/>
        <w:adjustRightInd w:val="0"/>
      </w:pPr>
      <w:r>
        <w:t>Income</w:t>
      </w:r>
      <w:r>
        <w:tab/>
      </w:r>
      <w:r>
        <w:tab/>
      </w:r>
      <w:r>
        <w:tab/>
      </w:r>
      <w:r>
        <w:tab/>
      </w:r>
      <w:r>
        <w:tab/>
      </w:r>
      <w:r>
        <w:tab/>
      </w:r>
      <w:r>
        <w:tab/>
      </w:r>
      <w:r>
        <w:tab/>
      </w:r>
      <w:r>
        <w:tab/>
      </w:r>
      <w:r>
        <w:tab/>
      </w:r>
      <w:r>
        <w:tab/>
        <w:t>-.103</w:t>
      </w:r>
    </w:p>
    <w:p w:rsidR="007E14DD" w:rsidRDefault="007E14DD" w:rsidP="007E14DD">
      <w:pPr>
        <w:widowControl w:val="0"/>
        <w:pBdr>
          <w:bottom w:val="single" w:sz="12" w:space="1" w:color="auto"/>
        </w:pBdr>
        <w:autoSpaceDE w:val="0"/>
        <w:autoSpaceDN w:val="0"/>
        <w:adjustRightInd w:val="0"/>
      </w:pPr>
      <w:r>
        <w:t>Education</w:t>
      </w:r>
      <w:r>
        <w:tab/>
      </w:r>
      <w:r>
        <w:tab/>
      </w:r>
      <w:r>
        <w:tab/>
      </w:r>
      <w:r>
        <w:tab/>
      </w:r>
      <w:r>
        <w:tab/>
      </w:r>
      <w:r>
        <w:tab/>
      </w:r>
      <w:r>
        <w:tab/>
      </w:r>
      <w:r>
        <w:tab/>
      </w:r>
      <w:r>
        <w:tab/>
      </w:r>
      <w:r>
        <w:tab/>
        <w:t xml:space="preserve"> .229**</w:t>
      </w:r>
    </w:p>
    <w:p w:rsidR="007E14DD" w:rsidRDefault="007E14DD" w:rsidP="007E14DD">
      <w:pPr>
        <w:widowControl w:val="0"/>
        <w:autoSpaceDE w:val="0"/>
        <w:autoSpaceDN w:val="0"/>
        <w:adjustRightInd w:val="0"/>
      </w:pPr>
      <w:r>
        <w:t>Step 2</w:t>
      </w:r>
    </w:p>
    <w:p w:rsidR="007E14DD" w:rsidRDefault="007E14DD" w:rsidP="007E14DD">
      <w:pPr>
        <w:widowControl w:val="0"/>
        <w:autoSpaceDE w:val="0"/>
        <w:autoSpaceDN w:val="0"/>
        <w:adjustRightInd w:val="0"/>
      </w:pPr>
      <w:r>
        <w:t>Individual Trait Persuasion</w:t>
      </w:r>
    </w:p>
    <w:p w:rsidR="007E14DD" w:rsidRDefault="00F66402" w:rsidP="007E14DD">
      <w:pPr>
        <w:widowControl w:val="0"/>
        <w:pBdr>
          <w:bottom w:val="single" w:sz="12" w:space="1" w:color="auto"/>
        </w:pBdr>
        <w:autoSpaceDE w:val="0"/>
        <w:autoSpaceDN w:val="0"/>
        <w:adjustRightInd w:val="0"/>
      </w:pPr>
      <w:r>
        <w:t>Knowledge</w:t>
      </w:r>
      <w:r>
        <w:tab/>
      </w:r>
      <w:r>
        <w:tab/>
      </w:r>
      <w:r>
        <w:tab/>
      </w:r>
      <w:r>
        <w:tab/>
        <w:t>.31</w:t>
      </w:r>
      <w:r>
        <w:tab/>
        <w:t>.09</w:t>
      </w:r>
      <w:r>
        <w:tab/>
        <w:t>.00</w:t>
      </w:r>
      <w:r>
        <w:tab/>
        <w:t>.004</w:t>
      </w:r>
      <w:r>
        <w:tab/>
        <w:t xml:space="preserve">   1, 194</w:t>
      </w:r>
      <w:r>
        <w:tab/>
        <w:t>-.004</w:t>
      </w:r>
    </w:p>
    <w:p w:rsidR="007E14DD" w:rsidRDefault="007E14DD" w:rsidP="007E14DD">
      <w:pPr>
        <w:widowControl w:val="0"/>
        <w:autoSpaceDE w:val="0"/>
        <w:autoSpaceDN w:val="0"/>
        <w:adjustRightInd w:val="0"/>
      </w:pPr>
      <w:r>
        <w:t>Step 3</w:t>
      </w:r>
    </w:p>
    <w:p w:rsidR="007E14DD" w:rsidRDefault="007E14DD" w:rsidP="007E14DD">
      <w:pPr>
        <w:widowControl w:val="0"/>
        <w:autoSpaceDE w:val="0"/>
        <w:autoSpaceDN w:val="0"/>
        <w:adjustRightInd w:val="0"/>
      </w:pPr>
      <w:r>
        <w:t xml:space="preserve">Parental Mediation of </w:t>
      </w:r>
    </w:p>
    <w:p w:rsidR="007E14DD" w:rsidRDefault="004E5287" w:rsidP="007E14DD">
      <w:pPr>
        <w:widowControl w:val="0"/>
        <w:autoSpaceDE w:val="0"/>
        <w:autoSpaceDN w:val="0"/>
        <w:adjustRightInd w:val="0"/>
      </w:pPr>
      <w:r>
        <w:t>Internet Use</w:t>
      </w:r>
      <w:r>
        <w:tab/>
      </w:r>
      <w:r>
        <w:tab/>
      </w:r>
      <w:r>
        <w:tab/>
      </w:r>
      <w:r>
        <w:tab/>
        <w:t>.38</w:t>
      </w:r>
      <w:r>
        <w:tab/>
        <w:t>.14</w:t>
      </w:r>
      <w:r>
        <w:tab/>
        <w:t>.05</w:t>
      </w:r>
      <w:r w:rsidR="00F66402">
        <w:tab/>
        <w:t>10.50**  1, 193</w:t>
      </w:r>
      <w:r w:rsidR="00F66402">
        <w:tab/>
        <w:t xml:space="preserve"> .223**</w:t>
      </w:r>
      <w:r w:rsidR="007E14DD">
        <w:tab/>
      </w:r>
    </w:p>
    <w:p w:rsidR="007E14DD" w:rsidRDefault="007E14DD" w:rsidP="007E14DD">
      <w:pPr>
        <w:widowControl w:val="0"/>
        <w:pBdr>
          <w:top w:val="single" w:sz="12" w:space="1" w:color="auto"/>
          <w:bottom w:val="single" w:sz="12" w:space="1" w:color="auto"/>
        </w:pBdr>
        <w:autoSpaceDE w:val="0"/>
        <w:autoSpaceDN w:val="0"/>
        <w:adjustRightInd w:val="0"/>
      </w:pPr>
      <w:r>
        <w:t>Note: *</w:t>
      </w:r>
      <w:r>
        <w:rPr>
          <w:i/>
        </w:rPr>
        <w:t xml:space="preserve">p </w:t>
      </w:r>
      <w:r w:rsidR="00F66402">
        <w:t>&lt; .05 (two-tailed), **</w:t>
      </w:r>
      <w:r w:rsidR="00F66402">
        <w:rPr>
          <w:i/>
        </w:rPr>
        <w:t xml:space="preserve">p </w:t>
      </w:r>
      <w:r w:rsidR="00F66402">
        <w:t xml:space="preserve">&lt; .01 (two-tailed). </w:t>
      </w:r>
      <w:r>
        <w:t>(N = 202)</w:t>
      </w:r>
    </w:p>
    <w:p w:rsidR="00590E9A" w:rsidRPr="00C72094" w:rsidRDefault="00590E9A" w:rsidP="001B52F5">
      <w:pPr>
        <w:widowControl w:val="0"/>
        <w:autoSpaceDE w:val="0"/>
        <w:autoSpaceDN w:val="0"/>
        <w:adjustRightInd w:val="0"/>
        <w:spacing w:line="480" w:lineRule="auto"/>
        <w:rPr>
          <w:iCs/>
        </w:rPr>
      </w:pPr>
    </w:p>
    <w:p w:rsidR="001B52F5" w:rsidRPr="007F4FEA" w:rsidRDefault="001B52F5" w:rsidP="001B52F5">
      <w:pPr>
        <w:widowControl w:val="0"/>
        <w:autoSpaceDE w:val="0"/>
        <w:autoSpaceDN w:val="0"/>
        <w:adjustRightInd w:val="0"/>
        <w:spacing w:line="480" w:lineRule="auto"/>
        <w:rPr>
          <w:b/>
          <w:bCs/>
        </w:rPr>
      </w:pPr>
    </w:p>
    <w:p w:rsidR="0009786C" w:rsidRPr="001B52F5" w:rsidRDefault="0009786C" w:rsidP="001B52F5">
      <w:pPr>
        <w:widowControl w:val="0"/>
        <w:autoSpaceDE w:val="0"/>
        <w:autoSpaceDN w:val="0"/>
        <w:adjustRightInd w:val="0"/>
        <w:spacing w:line="480" w:lineRule="auto"/>
        <w:rPr>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09786C" w:rsidRDefault="0009786C" w:rsidP="0016491A">
      <w:pPr>
        <w:widowControl w:val="0"/>
        <w:autoSpaceDE w:val="0"/>
        <w:autoSpaceDN w:val="0"/>
        <w:adjustRightInd w:val="0"/>
        <w:spacing w:line="480" w:lineRule="auto"/>
        <w:jc w:val="center"/>
        <w:rPr>
          <w:b/>
          <w:bCs/>
        </w:rPr>
      </w:pPr>
    </w:p>
    <w:p w:rsidR="00590E9A" w:rsidRDefault="00590E9A" w:rsidP="0016491A">
      <w:pPr>
        <w:widowControl w:val="0"/>
        <w:autoSpaceDE w:val="0"/>
        <w:autoSpaceDN w:val="0"/>
        <w:adjustRightInd w:val="0"/>
        <w:spacing w:line="480" w:lineRule="auto"/>
        <w:jc w:val="center"/>
        <w:rPr>
          <w:b/>
          <w:bCs/>
        </w:rPr>
      </w:pPr>
    </w:p>
    <w:p w:rsidR="00590E9A" w:rsidRDefault="00590E9A" w:rsidP="0016491A">
      <w:pPr>
        <w:widowControl w:val="0"/>
        <w:autoSpaceDE w:val="0"/>
        <w:autoSpaceDN w:val="0"/>
        <w:adjustRightInd w:val="0"/>
        <w:spacing w:line="480" w:lineRule="auto"/>
        <w:jc w:val="center"/>
        <w:rPr>
          <w:b/>
          <w:bCs/>
        </w:rPr>
      </w:pPr>
    </w:p>
    <w:p w:rsidR="00590E9A" w:rsidRDefault="00590E9A" w:rsidP="0016491A">
      <w:pPr>
        <w:widowControl w:val="0"/>
        <w:autoSpaceDE w:val="0"/>
        <w:autoSpaceDN w:val="0"/>
        <w:adjustRightInd w:val="0"/>
        <w:spacing w:line="480" w:lineRule="auto"/>
        <w:jc w:val="center"/>
        <w:rPr>
          <w:b/>
          <w:bCs/>
        </w:rPr>
      </w:pPr>
    </w:p>
    <w:p w:rsidR="004E5287" w:rsidRDefault="004E5287" w:rsidP="0016491A">
      <w:pPr>
        <w:widowControl w:val="0"/>
        <w:autoSpaceDE w:val="0"/>
        <w:autoSpaceDN w:val="0"/>
        <w:adjustRightInd w:val="0"/>
        <w:spacing w:line="480" w:lineRule="auto"/>
        <w:jc w:val="center"/>
        <w:rPr>
          <w:b/>
          <w:bCs/>
        </w:rPr>
      </w:pPr>
    </w:p>
    <w:p w:rsidR="004920BC" w:rsidRDefault="004920BC" w:rsidP="0016491A">
      <w:pPr>
        <w:widowControl w:val="0"/>
        <w:autoSpaceDE w:val="0"/>
        <w:autoSpaceDN w:val="0"/>
        <w:adjustRightInd w:val="0"/>
        <w:spacing w:line="480" w:lineRule="auto"/>
        <w:jc w:val="center"/>
        <w:rPr>
          <w:b/>
          <w:bCs/>
        </w:rPr>
      </w:pPr>
    </w:p>
    <w:p w:rsidR="0016491A" w:rsidRDefault="0016491A" w:rsidP="0016491A">
      <w:pPr>
        <w:widowControl w:val="0"/>
        <w:autoSpaceDE w:val="0"/>
        <w:autoSpaceDN w:val="0"/>
        <w:adjustRightInd w:val="0"/>
        <w:spacing w:line="480" w:lineRule="auto"/>
        <w:jc w:val="center"/>
        <w:rPr>
          <w:b/>
          <w:bCs/>
        </w:rPr>
      </w:pPr>
      <w:r>
        <w:rPr>
          <w:b/>
          <w:bCs/>
        </w:rPr>
        <w:t>REFERENCES</w:t>
      </w:r>
    </w:p>
    <w:p w:rsidR="0016491A" w:rsidRPr="00FA4867" w:rsidRDefault="0016491A" w:rsidP="0016491A">
      <w:pPr>
        <w:pStyle w:val="Footer"/>
        <w:tabs>
          <w:tab w:val="clear" w:pos="4320"/>
          <w:tab w:val="clear" w:pos="8640"/>
        </w:tabs>
        <w:spacing w:line="480" w:lineRule="auto"/>
      </w:pPr>
      <w:r w:rsidRPr="00FA4867">
        <w:rPr>
          <w:i/>
          <w:iCs/>
        </w:rPr>
        <w:t xml:space="preserve">Adweek </w:t>
      </w:r>
      <w:r w:rsidRPr="00FA4867">
        <w:t xml:space="preserve">(2012), “The Tween Machine: She is influential and already knows more about </w:t>
      </w:r>
      <w:r w:rsidRPr="00FA4867">
        <w:tab/>
        <w:t xml:space="preserve">technology than you ever will. And she has marketers in her sway, ” June 25, 2012. </w:t>
      </w:r>
      <w:r w:rsidRPr="00FA4867">
        <w:tab/>
        <w:t>Available: http://www.adweek.com/news/advertising-branding/tween-machine-</w:t>
      </w:r>
      <w:r w:rsidRPr="00FA4867">
        <w:tab/>
        <w:t>141357?page=1</w:t>
      </w:r>
    </w:p>
    <w:p w:rsidR="0016491A" w:rsidRDefault="0016491A" w:rsidP="0016491A">
      <w:pPr>
        <w:widowControl w:val="0"/>
        <w:autoSpaceDE w:val="0"/>
        <w:autoSpaceDN w:val="0"/>
        <w:adjustRightInd w:val="0"/>
        <w:spacing w:line="480" w:lineRule="auto"/>
      </w:pPr>
      <w:r>
        <w:t xml:space="preserve">An, Soontae and Susannah Stern (2011), “Mitigating the Effects of Advergames on Children: Do </w:t>
      </w:r>
      <w:r>
        <w:tab/>
        <w:t xml:space="preserve">Advertising Breaks Work?” </w:t>
      </w:r>
      <w:r>
        <w:rPr>
          <w:i/>
          <w:iCs/>
        </w:rPr>
        <w:t>Journal of Advertising</w:t>
      </w:r>
      <w:r>
        <w:t>, 40 (1), 43-56.</w:t>
      </w:r>
    </w:p>
    <w:p w:rsidR="0016491A" w:rsidRPr="00214D7A" w:rsidRDefault="0016491A" w:rsidP="0016491A">
      <w:pPr>
        <w:widowControl w:val="0"/>
        <w:autoSpaceDE w:val="0"/>
        <w:autoSpaceDN w:val="0"/>
        <w:adjustRightInd w:val="0"/>
        <w:spacing w:line="480" w:lineRule="auto"/>
        <w:rPr>
          <w:i/>
        </w:rPr>
      </w:pPr>
      <w:r w:rsidRPr="00214D7A">
        <w:t xml:space="preserve">Andrews, J. Craig (2011), “Warnings and Disclosures,” in </w:t>
      </w:r>
      <w:r w:rsidRPr="00214D7A">
        <w:rPr>
          <w:i/>
        </w:rPr>
        <w:t xml:space="preserve">Communicating Risks and Benefits: </w:t>
      </w:r>
    </w:p>
    <w:p w:rsidR="0016491A" w:rsidRDefault="0016491A" w:rsidP="0016491A">
      <w:pPr>
        <w:widowControl w:val="0"/>
        <w:autoSpaceDE w:val="0"/>
        <w:autoSpaceDN w:val="0"/>
        <w:adjustRightInd w:val="0"/>
        <w:spacing w:line="480" w:lineRule="auto"/>
      </w:pPr>
      <w:r w:rsidRPr="00214D7A">
        <w:rPr>
          <w:i/>
        </w:rPr>
        <w:tab/>
        <w:t xml:space="preserve">An Evidence-Based User’s Guide, </w:t>
      </w:r>
      <w:r w:rsidRPr="00214D7A">
        <w:t xml:space="preserve">Fischhoff, B., Brewer, N. T., and Downs, J. S., eds., </w:t>
      </w:r>
      <w:r w:rsidRPr="00214D7A">
        <w:tab/>
        <w:t>U.S. Department of Health and Human Services, Food and Drug Administration.</w:t>
      </w:r>
    </w:p>
    <w:p w:rsidR="0016491A" w:rsidRDefault="0016491A" w:rsidP="0016491A">
      <w:pPr>
        <w:spacing w:line="480" w:lineRule="auto"/>
      </w:pPr>
      <w:r>
        <w:t xml:space="preserve">Bailey, Rachel, Kevin Wise and Paul Bolls (2009), “How Avatar Customizability Affects </w:t>
      </w:r>
      <w:r>
        <w:tab/>
        <w:t xml:space="preserve">Children’s Arousal and Subjective Presence During Junk Food-Sponsored Online Video </w:t>
      </w:r>
      <w:r>
        <w:tab/>
        <w:t xml:space="preserve">Games,” </w:t>
      </w:r>
      <w:r>
        <w:rPr>
          <w:i/>
          <w:iCs/>
        </w:rPr>
        <w:t>CyberPsychology &amp; Behavior,</w:t>
      </w:r>
      <w:r>
        <w:t xml:space="preserve"> 12(3), 277-283.</w:t>
      </w:r>
    </w:p>
    <w:p w:rsidR="0016491A" w:rsidRDefault="0016491A" w:rsidP="0016491A">
      <w:pPr>
        <w:spacing w:line="480" w:lineRule="auto"/>
      </w:pPr>
      <w:r>
        <w:t xml:space="preserve">Bakir, Aysen. and Scott J. Vitell, (2010), “The ethics of food advertising targeted toward </w:t>
      </w:r>
      <w:r>
        <w:tab/>
        <w:t xml:space="preserve">children: Parental viewpoint,” </w:t>
      </w:r>
      <w:r>
        <w:rPr>
          <w:i/>
        </w:rPr>
        <w:t xml:space="preserve">Journal of Business Ethics, </w:t>
      </w:r>
      <w:r>
        <w:rPr>
          <w:iCs/>
        </w:rPr>
        <w:t>91</w:t>
      </w:r>
      <w:r>
        <w:rPr>
          <w:i/>
        </w:rPr>
        <w:t xml:space="preserve">, </w:t>
      </w:r>
      <w:r>
        <w:t>299-311.</w:t>
      </w:r>
    </w:p>
    <w:p w:rsidR="0016491A" w:rsidRPr="00415028" w:rsidRDefault="0016491A" w:rsidP="0016491A">
      <w:pPr>
        <w:widowControl w:val="0"/>
        <w:autoSpaceDE w:val="0"/>
        <w:autoSpaceDN w:val="0"/>
        <w:adjustRightInd w:val="0"/>
        <w:spacing w:line="480" w:lineRule="auto"/>
      </w:pPr>
      <w:r>
        <w:t xml:space="preserve">Barlow, Todd, and Michael S. Wogalter (1993), “Alcoholic Beverage Warnings in Magazine and </w:t>
      </w:r>
      <w:r>
        <w:tab/>
        <w:t xml:space="preserve">Television Advertisements,” </w:t>
      </w:r>
      <w:r>
        <w:rPr>
          <w:i/>
        </w:rPr>
        <w:t>Journal Of Consumer Research</w:t>
      </w:r>
      <w:r>
        <w:t>, 20 (1), 147-156.</w:t>
      </w:r>
    </w:p>
    <w:p w:rsidR="0016491A" w:rsidRDefault="0016491A" w:rsidP="0016491A">
      <w:pPr>
        <w:widowControl w:val="0"/>
        <w:autoSpaceDE w:val="0"/>
        <w:autoSpaceDN w:val="0"/>
        <w:adjustRightInd w:val="0"/>
        <w:spacing w:line="480" w:lineRule="auto"/>
      </w:pPr>
      <w:r>
        <w:t>Bearden, William O., David M. Hardesty, and Randall L. Rose (2001), “Consumer Self-</w:t>
      </w:r>
      <w:r>
        <w:tab/>
        <w:t xml:space="preserve">Confidence: Refinements in Conceptualization and Measurement,” </w:t>
      </w:r>
      <w:r>
        <w:rPr>
          <w:i/>
          <w:iCs/>
        </w:rPr>
        <w:t xml:space="preserve">Journal of Consumer </w:t>
      </w:r>
      <w:r>
        <w:rPr>
          <w:rFonts w:ascii="Times-Roman" w:hAnsi="Times-Roman" w:cs="Times-Roman"/>
          <w:i/>
          <w:iCs/>
        </w:rPr>
        <w:tab/>
      </w:r>
      <w:r>
        <w:rPr>
          <w:i/>
          <w:iCs/>
        </w:rPr>
        <w:t>Research</w:t>
      </w:r>
      <w:r>
        <w:t>, 28 (June), 121–34.</w:t>
      </w:r>
    </w:p>
    <w:p w:rsidR="0016491A" w:rsidRDefault="0016491A" w:rsidP="0016491A">
      <w:pPr>
        <w:widowControl w:val="0"/>
        <w:autoSpaceDE w:val="0"/>
        <w:autoSpaceDN w:val="0"/>
        <w:adjustRightInd w:val="0"/>
        <w:spacing w:line="480" w:lineRule="auto"/>
      </w:pPr>
      <w:r>
        <w:t xml:space="preserve">Bijmolt, Tammo, H. A., Wilma Claassen, and Britta Brus (1998), “Children's Understanding of </w:t>
      </w:r>
      <w:r>
        <w:tab/>
        <w:t xml:space="preserve">TV Advertising: Effects of Age, Gender, and Parental Influence,” </w:t>
      </w:r>
      <w:r>
        <w:rPr>
          <w:i/>
        </w:rPr>
        <w:t xml:space="preserve">Journal of Consumer </w:t>
      </w:r>
      <w:r>
        <w:rPr>
          <w:i/>
        </w:rPr>
        <w:tab/>
        <w:t xml:space="preserve">Policy, </w:t>
      </w:r>
      <w:r>
        <w:t>21 (2) 171-194.</w:t>
      </w:r>
      <w:r>
        <w:rPr>
          <w:i/>
        </w:rPr>
        <w:t xml:space="preserve"> </w:t>
      </w:r>
      <w:r>
        <w:t xml:space="preserve"> </w:t>
      </w:r>
    </w:p>
    <w:p w:rsidR="0016491A" w:rsidRDefault="0016491A" w:rsidP="0016491A">
      <w:pPr>
        <w:widowControl w:val="0"/>
        <w:autoSpaceDE w:val="0"/>
        <w:autoSpaceDN w:val="0"/>
        <w:adjustRightInd w:val="0"/>
        <w:spacing w:line="480" w:lineRule="auto"/>
      </w:pPr>
      <w:r>
        <w:t xml:space="preserve">Boerman, Sophie C., Eva A. Reijmersdal, and Peter C. Neijens (2012), “Sponsorship Disclosure: </w:t>
      </w:r>
      <w:r>
        <w:tab/>
        <w:t xml:space="preserve">Effects of Duration on Persuasion Knowledge and Brand Responses,” </w:t>
      </w:r>
      <w:r>
        <w:rPr>
          <w:i/>
        </w:rPr>
        <w:t xml:space="preserve">Journal Of </w:t>
      </w:r>
      <w:r>
        <w:rPr>
          <w:i/>
        </w:rPr>
        <w:tab/>
        <w:t>Communication,</w:t>
      </w:r>
      <w:r>
        <w:t xml:space="preserve"> 62 (6), 1047-1064.</w:t>
      </w:r>
    </w:p>
    <w:p w:rsidR="0016491A" w:rsidRPr="004920BC" w:rsidRDefault="0016491A" w:rsidP="0016491A">
      <w:pPr>
        <w:pStyle w:val="Heading1"/>
        <w:spacing w:before="2" w:after="2" w:line="480" w:lineRule="auto"/>
        <w:rPr>
          <w:rFonts w:ascii="Times New Roman" w:hAnsi="Times New Roman"/>
          <w:b w:val="0"/>
          <w:color w:val="auto"/>
          <w:sz w:val="24"/>
        </w:rPr>
      </w:pPr>
      <w:r w:rsidRPr="004920BC">
        <w:rPr>
          <w:rFonts w:ascii="Times New Roman" w:hAnsi="Times New Roman"/>
          <w:b w:val="0"/>
          <w:color w:val="auto"/>
          <w:sz w:val="24"/>
        </w:rPr>
        <w:t xml:space="preserve">Business Insider Intelligence (2012), “Social Gaming Market Will Grow to $5 Billion+ by </w:t>
      </w:r>
      <w:r w:rsidRPr="004920BC">
        <w:rPr>
          <w:rFonts w:ascii="Times New Roman" w:hAnsi="Times New Roman"/>
          <w:b w:val="0"/>
          <w:color w:val="auto"/>
          <w:sz w:val="24"/>
        </w:rPr>
        <w:tab/>
        <w:t xml:space="preserve">2015,” </w:t>
      </w:r>
      <w:r w:rsidRPr="004920BC">
        <w:rPr>
          <w:rFonts w:ascii="Times New Roman" w:hAnsi="Times New Roman"/>
          <w:b w:val="0"/>
          <w:color w:val="auto"/>
          <w:sz w:val="24"/>
        </w:rPr>
        <w:tab/>
        <w:t xml:space="preserve">Available: </w:t>
      </w:r>
      <w:hyperlink r:id="rId20" w:history="1">
        <w:r w:rsidRPr="004920BC">
          <w:rPr>
            <w:rStyle w:val="Hyperlink"/>
            <w:rFonts w:ascii="Times New Roman" w:hAnsi="Times New Roman"/>
            <w:b w:val="0"/>
            <w:color w:val="auto"/>
            <w:sz w:val="24"/>
          </w:rPr>
          <w:t>http://articles.businessinsider.com/2012-02-</w:t>
        </w:r>
      </w:hyperlink>
      <w:r w:rsidRPr="004920BC">
        <w:rPr>
          <w:rFonts w:ascii="Times New Roman" w:hAnsi="Times New Roman"/>
          <w:b w:val="0"/>
          <w:bCs w:val="0"/>
          <w:color w:val="auto"/>
          <w:sz w:val="24"/>
        </w:rPr>
        <w:tab/>
      </w:r>
      <w:r w:rsidRPr="004920BC">
        <w:rPr>
          <w:rFonts w:ascii="Times New Roman" w:hAnsi="Times New Roman"/>
          <w:b w:val="0"/>
          <w:color w:val="auto"/>
          <w:sz w:val="24"/>
        </w:rPr>
        <w:t>21/research/31081794_1_social-games-zynga-virtual-goods#ixzz1nXa6Hqes</w:t>
      </w:r>
    </w:p>
    <w:p w:rsidR="0016491A" w:rsidRDefault="0016491A" w:rsidP="0016491A">
      <w:pPr>
        <w:widowControl w:val="0"/>
        <w:autoSpaceDE w:val="0"/>
        <w:autoSpaceDN w:val="0"/>
        <w:adjustRightInd w:val="0"/>
        <w:spacing w:line="480" w:lineRule="auto"/>
        <w:rPr>
          <w:rFonts w:cs="Times-Roman"/>
          <w:szCs w:val="18"/>
        </w:rPr>
      </w:pPr>
      <w:r>
        <w:t xml:space="preserve">Butter, Eliot J., Paula M. Popovich, Robert H. Stackhouse, and Roger K. Garner (1981), </w:t>
      </w:r>
      <w:r>
        <w:tab/>
        <w:t xml:space="preserve">“Discrimination of Television Programs and Commercials by Preschool Children,” </w:t>
      </w:r>
      <w:r>
        <w:tab/>
      </w:r>
      <w:r>
        <w:rPr>
          <w:i/>
        </w:rPr>
        <w:t>Journal Of Advertising Research</w:t>
      </w:r>
      <w:r>
        <w:t xml:space="preserve">, 21 </w:t>
      </w:r>
      <w:r>
        <w:tab/>
        <w:t>(2), 53-56</w:t>
      </w:r>
    </w:p>
    <w:p w:rsidR="0016491A" w:rsidRPr="00B331C9" w:rsidRDefault="0016491A" w:rsidP="0016491A">
      <w:pPr>
        <w:widowControl w:val="0"/>
        <w:autoSpaceDE w:val="0"/>
        <w:autoSpaceDN w:val="0"/>
        <w:adjustRightInd w:val="0"/>
        <w:spacing w:line="480" w:lineRule="auto"/>
        <w:rPr>
          <w:rFonts w:cs="Times-Roman"/>
          <w:szCs w:val="16"/>
        </w:rPr>
      </w:pPr>
      <w:r w:rsidRPr="00B331C9">
        <w:rPr>
          <w:rFonts w:cs="Times-Roman"/>
          <w:szCs w:val="16"/>
        </w:rPr>
        <w:t>Camp, G., Paas, F., Rikers, R., &amp; van Merriënboer J. J. G (2001). Dynamic</w:t>
      </w:r>
      <w:r>
        <w:rPr>
          <w:rFonts w:cs="Times-Roman"/>
          <w:szCs w:val="16"/>
        </w:rPr>
        <w:t xml:space="preserve"> </w:t>
      </w:r>
      <w:r w:rsidRPr="00B331C9">
        <w:rPr>
          <w:rFonts w:cs="Times-Roman"/>
          <w:szCs w:val="16"/>
        </w:rPr>
        <w:t xml:space="preserve">problem selection in </w:t>
      </w:r>
      <w:r>
        <w:rPr>
          <w:rFonts w:cs="Times-Roman"/>
          <w:szCs w:val="16"/>
        </w:rPr>
        <w:tab/>
      </w:r>
      <w:r w:rsidRPr="00B331C9">
        <w:rPr>
          <w:rFonts w:cs="Times-Roman"/>
          <w:szCs w:val="16"/>
        </w:rPr>
        <w:t>air traffic control training: A comparison between</w:t>
      </w:r>
      <w:r>
        <w:rPr>
          <w:rFonts w:cs="Times-Roman"/>
          <w:szCs w:val="16"/>
        </w:rPr>
        <w:t xml:space="preserve"> </w:t>
      </w:r>
      <w:r w:rsidRPr="00B331C9">
        <w:rPr>
          <w:rFonts w:cs="Times-Roman"/>
          <w:szCs w:val="16"/>
        </w:rPr>
        <w:t xml:space="preserve">performance, mental effort and mental </w:t>
      </w:r>
      <w:r>
        <w:rPr>
          <w:rFonts w:cs="Times-Roman"/>
          <w:szCs w:val="16"/>
        </w:rPr>
        <w:tab/>
      </w:r>
      <w:r w:rsidRPr="00B331C9">
        <w:rPr>
          <w:rFonts w:cs="Times-Roman"/>
          <w:szCs w:val="16"/>
        </w:rPr>
        <w:t xml:space="preserve">efficiency. </w:t>
      </w:r>
      <w:r w:rsidRPr="00B331C9">
        <w:rPr>
          <w:rFonts w:cs="Times-Roman"/>
          <w:i/>
          <w:iCs/>
          <w:szCs w:val="16"/>
        </w:rPr>
        <w:t>Computers in Human</w:t>
      </w:r>
      <w:r>
        <w:rPr>
          <w:rFonts w:cs="Times-Roman"/>
          <w:szCs w:val="16"/>
        </w:rPr>
        <w:t xml:space="preserve"> </w:t>
      </w:r>
      <w:r w:rsidRPr="00B331C9">
        <w:rPr>
          <w:rFonts w:cs="Times-Roman"/>
          <w:i/>
          <w:iCs/>
          <w:szCs w:val="16"/>
        </w:rPr>
        <w:t xml:space="preserve">Behavior, 17, </w:t>
      </w:r>
      <w:r w:rsidRPr="00B331C9">
        <w:rPr>
          <w:rFonts w:cs="Times-Roman"/>
          <w:szCs w:val="16"/>
        </w:rPr>
        <w:t>575–595.</w:t>
      </w:r>
    </w:p>
    <w:p w:rsidR="0016491A" w:rsidRDefault="0016491A" w:rsidP="0016491A">
      <w:pPr>
        <w:widowControl w:val="0"/>
        <w:autoSpaceDE w:val="0"/>
        <w:autoSpaceDN w:val="0"/>
        <w:adjustRightInd w:val="0"/>
        <w:spacing w:line="480" w:lineRule="auto"/>
      </w:pPr>
      <w:r>
        <w:t xml:space="preserve">Campbell, Margaret and Amna Kirmani (2000), “Consumers’ Use of Persuasion Knowledge: </w:t>
      </w:r>
      <w:r>
        <w:rPr>
          <w:rFonts w:ascii="Times-Roman" w:hAnsi="Times-Roman" w:cs="Times-Roman"/>
        </w:rPr>
        <w:tab/>
      </w:r>
      <w:r>
        <w:t xml:space="preserve">The Effects of Accessibility and Cognitive Capacity on Perceptions of an Influence </w:t>
      </w:r>
      <w:r>
        <w:rPr>
          <w:rFonts w:ascii="Times-Roman" w:hAnsi="Times-Roman" w:cs="Times-Roman"/>
        </w:rPr>
        <w:tab/>
      </w:r>
      <w:r>
        <w:t xml:space="preserve">Agent,” </w:t>
      </w:r>
      <w:r>
        <w:rPr>
          <w:i/>
          <w:iCs/>
        </w:rPr>
        <w:t xml:space="preserve">Journal of Consumer Research, </w:t>
      </w:r>
      <w:r>
        <w:t>27 (June), 69-83.</w:t>
      </w:r>
    </w:p>
    <w:p w:rsidR="0016491A" w:rsidRDefault="0016491A" w:rsidP="0016491A">
      <w:pPr>
        <w:widowControl w:val="0"/>
        <w:autoSpaceDE w:val="0"/>
        <w:autoSpaceDN w:val="0"/>
        <w:adjustRightInd w:val="0"/>
        <w:spacing w:line="480" w:lineRule="auto"/>
      </w:pPr>
      <w:r>
        <w:t xml:space="preserve">Cauberghe, Verolein, and Patrick de Pelsmacker (2010), “Advergames: The Impact of Brand </w:t>
      </w:r>
      <w:r>
        <w:rPr>
          <w:rFonts w:ascii="AdvPSA403" w:hAnsi="AdvPSA403" w:cs="AdvPSA403"/>
        </w:rPr>
        <w:tab/>
      </w:r>
      <w:r>
        <w:t xml:space="preserve">Prominence and Game Repetition on Brand Responses,” </w:t>
      </w:r>
      <w:r>
        <w:rPr>
          <w:i/>
          <w:iCs/>
        </w:rPr>
        <w:t xml:space="preserve">Journal of Advertising, </w:t>
      </w:r>
      <w:r>
        <w:t xml:space="preserve">39 (1), </w:t>
      </w:r>
      <w:r>
        <w:rPr>
          <w:rFonts w:ascii="AdvPSA403" w:hAnsi="AdvPSA403" w:cs="AdvPSA403"/>
        </w:rPr>
        <w:tab/>
      </w:r>
      <w:r>
        <w:t>5–18.</w:t>
      </w:r>
    </w:p>
    <w:p w:rsidR="0016491A" w:rsidRDefault="0016491A" w:rsidP="0016491A">
      <w:pPr>
        <w:spacing w:line="480" w:lineRule="auto"/>
      </w:pPr>
      <w:r w:rsidRPr="00FA4867">
        <w:t xml:space="preserve">Children’s Advertising Review Unit (2006), Self-Regulatory Guidelines for Children's </w:t>
      </w:r>
      <w:r w:rsidRPr="00FA4867">
        <w:tab/>
        <w:t>Advertising, 8th edition.</w:t>
      </w:r>
    </w:p>
    <w:p w:rsidR="0016491A" w:rsidRDefault="0016491A" w:rsidP="0016491A">
      <w:pPr>
        <w:widowControl w:val="0"/>
        <w:autoSpaceDE w:val="0"/>
        <w:autoSpaceDN w:val="0"/>
        <w:adjustRightInd w:val="0"/>
        <w:spacing w:line="480" w:lineRule="auto"/>
        <w:rPr>
          <w:rFonts w:cs="TimesNewRomanPSMT"/>
          <w:szCs w:val="18"/>
        </w:rPr>
      </w:pPr>
      <w:r>
        <w:rPr>
          <w:rFonts w:cs="TimesNewRomanPSMT"/>
          <w:szCs w:val="18"/>
        </w:rPr>
        <w:t>Cho, Chang-Hoan and Hognsik John Cheon</w:t>
      </w:r>
      <w:r w:rsidRPr="00161912">
        <w:rPr>
          <w:rFonts w:cs="TimesNewRomanPSMT"/>
          <w:szCs w:val="18"/>
        </w:rPr>
        <w:t xml:space="preserve"> (2005)</w:t>
      </w:r>
      <w:r>
        <w:rPr>
          <w:rFonts w:cs="TimesNewRomanPSMT"/>
          <w:szCs w:val="18"/>
        </w:rPr>
        <w:t>,</w:t>
      </w:r>
      <w:r w:rsidRPr="00161912">
        <w:rPr>
          <w:rFonts w:cs="TimesNewRomanPSMT"/>
          <w:szCs w:val="18"/>
        </w:rPr>
        <w:t xml:space="preserve"> </w:t>
      </w:r>
      <w:r>
        <w:rPr>
          <w:rFonts w:cs="TimesNewRomanPSMT"/>
          <w:szCs w:val="18"/>
        </w:rPr>
        <w:t>“</w:t>
      </w:r>
      <w:r w:rsidRPr="00161912">
        <w:rPr>
          <w:rFonts w:cs="TimesNewRomanPSMT"/>
          <w:szCs w:val="18"/>
        </w:rPr>
        <w:t xml:space="preserve">Children’s exposure to negative Internet </w:t>
      </w:r>
      <w:r>
        <w:rPr>
          <w:rFonts w:cs="TimesNewRomanPSMT"/>
          <w:szCs w:val="18"/>
        </w:rPr>
        <w:tab/>
      </w:r>
      <w:r w:rsidRPr="00161912">
        <w:rPr>
          <w:rFonts w:cs="TimesNewRomanPSMT"/>
          <w:szCs w:val="18"/>
        </w:rPr>
        <w:t>contact: effects of family</w:t>
      </w:r>
      <w:r>
        <w:rPr>
          <w:rFonts w:cs="TimesNewRomanPSMT"/>
          <w:szCs w:val="18"/>
        </w:rPr>
        <w:t xml:space="preserve"> context,”</w:t>
      </w:r>
      <w:r w:rsidRPr="00161912">
        <w:rPr>
          <w:rFonts w:cs="TimesNewRomanPSMT"/>
          <w:szCs w:val="18"/>
        </w:rPr>
        <w:t xml:space="preserve"> </w:t>
      </w:r>
      <w:r w:rsidRPr="00161912">
        <w:rPr>
          <w:rFonts w:cs="TimesNewRomanPSMT"/>
          <w:i/>
          <w:iCs/>
          <w:szCs w:val="18"/>
        </w:rPr>
        <w:t>Journal of Broadcasting and Electronic Media</w:t>
      </w:r>
      <w:r>
        <w:rPr>
          <w:rFonts w:cs="TimesNewRomanPSMT"/>
          <w:i/>
          <w:iCs/>
          <w:szCs w:val="18"/>
        </w:rPr>
        <w:t>,</w:t>
      </w:r>
      <w:r w:rsidRPr="00161912">
        <w:rPr>
          <w:rFonts w:cs="TimesNewRomanPSMT"/>
          <w:i/>
          <w:iCs/>
          <w:szCs w:val="18"/>
        </w:rPr>
        <w:t xml:space="preserve"> </w:t>
      </w:r>
      <w:r w:rsidRPr="00161912">
        <w:rPr>
          <w:rFonts w:cs="TimesNewRomanPSMT"/>
          <w:szCs w:val="18"/>
        </w:rPr>
        <w:t>49</w:t>
      </w:r>
      <w:r>
        <w:rPr>
          <w:rFonts w:cs="TimesNewRomanPSMT"/>
          <w:szCs w:val="18"/>
        </w:rPr>
        <w:t xml:space="preserve"> </w:t>
      </w:r>
      <w:r>
        <w:rPr>
          <w:rFonts w:cs="TimesNewRomanPSMT"/>
          <w:szCs w:val="18"/>
        </w:rPr>
        <w:tab/>
        <w:t>(4),</w:t>
      </w:r>
      <w:r w:rsidRPr="00161912">
        <w:rPr>
          <w:rFonts w:cs="TimesNewRomanPSMT"/>
          <w:szCs w:val="18"/>
        </w:rPr>
        <w:t xml:space="preserve"> 488–510.</w:t>
      </w:r>
    </w:p>
    <w:p w:rsidR="0016491A" w:rsidRDefault="0016491A" w:rsidP="0016491A">
      <w:pPr>
        <w:widowControl w:val="0"/>
        <w:autoSpaceDE w:val="0"/>
        <w:autoSpaceDN w:val="0"/>
        <w:adjustRightInd w:val="0"/>
        <w:spacing w:line="480" w:lineRule="auto"/>
        <w:rPr>
          <w:rFonts w:cs="Times-Roman"/>
          <w:szCs w:val="18"/>
        </w:rPr>
      </w:pPr>
      <w:r>
        <w:rPr>
          <w:rFonts w:cs="Times-Roman"/>
          <w:szCs w:val="18"/>
        </w:rPr>
        <w:t>Commercial Alert (2003</w:t>
      </w:r>
      <w:r w:rsidRPr="007271D5">
        <w:rPr>
          <w:rFonts w:cs="Times-Roman"/>
          <w:szCs w:val="18"/>
        </w:rPr>
        <w:t>), “Complaint, Request for Investigation,</w:t>
      </w:r>
      <w:r>
        <w:rPr>
          <w:rFonts w:cs="Times-Roman"/>
          <w:szCs w:val="18"/>
        </w:rPr>
        <w:t xml:space="preserve"> </w:t>
      </w:r>
      <w:r w:rsidRPr="007271D5">
        <w:rPr>
          <w:rFonts w:cs="Times-Roman"/>
          <w:szCs w:val="18"/>
        </w:rPr>
        <w:t xml:space="preserve">and Petition for Rulemaking to </w:t>
      </w:r>
      <w:r>
        <w:rPr>
          <w:rFonts w:cs="Times-Roman"/>
          <w:szCs w:val="18"/>
        </w:rPr>
        <w:tab/>
      </w:r>
      <w:r w:rsidRPr="007271D5">
        <w:rPr>
          <w:rFonts w:cs="Times-Roman"/>
          <w:szCs w:val="18"/>
        </w:rPr>
        <w:t>Establish Adequate Disclosure</w:t>
      </w:r>
      <w:r>
        <w:rPr>
          <w:rFonts w:cs="Times-Roman"/>
          <w:szCs w:val="18"/>
        </w:rPr>
        <w:t xml:space="preserve"> </w:t>
      </w:r>
      <w:r w:rsidRPr="007271D5">
        <w:rPr>
          <w:rFonts w:cs="Times-Roman"/>
          <w:szCs w:val="18"/>
        </w:rPr>
        <w:t xml:space="preserve">of Product Placement on Television,” submitted to the </w:t>
      </w:r>
      <w:r>
        <w:rPr>
          <w:rFonts w:cs="Times-Roman"/>
          <w:szCs w:val="18"/>
        </w:rPr>
        <w:tab/>
      </w:r>
      <w:r w:rsidRPr="007271D5">
        <w:rPr>
          <w:rFonts w:cs="Times-Roman"/>
          <w:szCs w:val="18"/>
        </w:rPr>
        <w:t>Federal</w:t>
      </w:r>
      <w:r>
        <w:rPr>
          <w:rFonts w:cs="Times-Roman"/>
          <w:szCs w:val="18"/>
        </w:rPr>
        <w:t xml:space="preserve"> </w:t>
      </w:r>
      <w:r w:rsidRPr="007271D5">
        <w:rPr>
          <w:rFonts w:cs="Times-Roman"/>
          <w:szCs w:val="18"/>
        </w:rPr>
        <w:t>Communications Commission, (September 30), 1–12.</w:t>
      </w:r>
    </w:p>
    <w:p w:rsidR="0016491A" w:rsidRDefault="0016491A" w:rsidP="0016491A">
      <w:pPr>
        <w:widowControl w:val="0"/>
        <w:autoSpaceDE w:val="0"/>
        <w:autoSpaceDN w:val="0"/>
        <w:adjustRightInd w:val="0"/>
        <w:spacing w:line="480" w:lineRule="auto"/>
        <w:rPr>
          <w:rFonts w:cs="Roman"/>
          <w:szCs w:val="18"/>
        </w:rPr>
      </w:pPr>
      <w:r w:rsidRPr="007271D5">
        <w:rPr>
          <w:rFonts w:cs="Times-Roman"/>
          <w:szCs w:val="18"/>
        </w:rPr>
        <w:t xml:space="preserve">Commercial Alert </w:t>
      </w:r>
      <w:r w:rsidRPr="007271D5">
        <w:rPr>
          <w:rFonts w:cs="Roman"/>
          <w:szCs w:val="18"/>
        </w:rPr>
        <w:t xml:space="preserve">(2005), “Request for </w:t>
      </w:r>
      <w:r>
        <w:rPr>
          <w:rFonts w:cs="Roman"/>
          <w:szCs w:val="18"/>
        </w:rPr>
        <w:t xml:space="preserve">Investigation of Companies That </w:t>
      </w:r>
      <w:r w:rsidRPr="007271D5">
        <w:rPr>
          <w:rFonts w:cs="Roman"/>
          <w:szCs w:val="18"/>
        </w:rPr>
        <w:t xml:space="preserve">Engage in ‘Buzz </w:t>
      </w:r>
      <w:r>
        <w:rPr>
          <w:rFonts w:cs="Roman"/>
          <w:szCs w:val="18"/>
        </w:rPr>
        <w:tab/>
      </w:r>
      <w:r w:rsidRPr="007271D5">
        <w:rPr>
          <w:rFonts w:cs="Roman"/>
          <w:szCs w:val="18"/>
        </w:rPr>
        <w:t>Marketing,’” submitted to the Federal Trade</w:t>
      </w:r>
      <w:r>
        <w:rPr>
          <w:rFonts w:cs="Roman"/>
          <w:szCs w:val="18"/>
        </w:rPr>
        <w:t xml:space="preserve"> </w:t>
      </w:r>
      <w:r w:rsidRPr="007271D5">
        <w:rPr>
          <w:rFonts w:cs="Roman"/>
          <w:szCs w:val="18"/>
        </w:rPr>
        <w:t>Commission, (October 18), 1–6.</w:t>
      </w:r>
    </w:p>
    <w:p w:rsidR="0016491A" w:rsidRPr="007271D5" w:rsidRDefault="0016491A" w:rsidP="0016491A">
      <w:pPr>
        <w:widowControl w:val="0"/>
        <w:autoSpaceDE w:val="0"/>
        <w:autoSpaceDN w:val="0"/>
        <w:adjustRightInd w:val="0"/>
        <w:spacing w:line="480" w:lineRule="auto"/>
        <w:rPr>
          <w:rFonts w:eastAsia="Times New Roman" w:cs="Times New Roman"/>
          <w:i/>
        </w:rPr>
      </w:pPr>
      <w:r w:rsidRPr="00B33A3F">
        <w:rPr>
          <w:rStyle w:val="groupname"/>
        </w:rPr>
        <w:t>Council of Better Business Bureaus (CBBB)</w:t>
      </w:r>
      <w:r w:rsidRPr="00B33A3F">
        <w:rPr>
          <w:rStyle w:val="HTMLCite"/>
        </w:rPr>
        <w:t xml:space="preserve"> </w:t>
      </w:r>
      <w:r>
        <w:rPr>
          <w:rStyle w:val="HTMLCite"/>
          <w:i w:val="0"/>
        </w:rPr>
        <w:t>(2</w:t>
      </w:r>
      <w:r w:rsidRPr="00B33A3F">
        <w:rPr>
          <w:rStyle w:val="pubyear"/>
        </w:rPr>
        <w:t>009</w:t>
      </w:r>
      <w:r>
        <w:rPr>
          <w:rStyle w:val="pubyear"/>
        </w:rPr>
        <w:t>),</w:t>
      </w:r>
      <w:r w:rsidRPr="00B33A3F">
        <w:rPr>
          <w:rStyle w:val="HTMLCite"/>
        </w:rPr>
        <w:t xml:space="preserve"> </w:t>
      </w:r>
      <w:r w:rsidRPr="00B33A3F">
        <w:rPr>
          <w:rStyle w:val="HTMLCite"/>
          <w:i w:val="0"/>
        </w:rPr>
        <w:t xml:space="preserve">The Children's Food &amp; Beverage </w:t>
      </w:r>
      <w:r w:rsidRPr="00B33A3F">
        <w:rPr>
          <w:rStyle w:val="HTMLCite"/>
          <w:i w:val="0"/>
        </w:rPr>
        <w:tab/>
        <w:t xml:space="preserve">Advertising Initiative in Action: A Report on Compliance and Implementation During </w:t>
      </w:r>
      <w:r w:rsidRPr="00B33A3F">
        <w:rPr>
          <w:rStyle w:val="HTMLCite"/>
          <w:i w:val="0"/>
        </w:rPr>
        <w:tab/>
        <w:t>2008. Council of Better Business Bureaus.</w:t>
      </w:r>
    </w:p>
    <w:p w:rsidR="0016491A" w:rsidRDefault="0016491A" w:rsidP="0016491A">
      <w:pPr>
        <w:spacing w:line="480" w:lineRule="auto"/>
      </w:pPr>
      <w:r>
        <w:t xml:space="preserve">Crosby Lawrence A. and Sanford L. Grossbart (1984), “Parental Style Segments and Concern </w:t>
      </w:r>
      <w:r>
        <w:tab/>
        <w:t xml:space="preserve">about Children’s Food Advertising,” </w:t>
      </w:r>
      <w:r>
        <w:rPr>
          <w:i/>
          <w:iCs/>
        </w:rPr>
        <w:t>Current Issues and Research in Advertising</w:t>
      </w:r>
      <w:r>
        <w:t>, 43-63.</w:t>
      </w:r>
    </w:p>
    <w:p w:rsidR="0016491A" w:rsidRDefault="0016491A" w:rsidP="0016491A">
      <w:pPr>
        <w:spacing w:line="480" w:lineRule="auto"/>
      </w:pPr>
      <w:r>
        <w:t xml:space="preserve">Culp, Jennifer, Robert A. Bell and Diana Cassady (2010), “Characteristics of Food Industry Web </w:t>
      </w:r>
      <w:r>
        <w:tab/>
        <w:t xml:space="preserve">sites and Advergames’ Targeting Children,” </w:t>
      </w:r>
      <w:r>
        <w:rPr>
          <w:i/>
          <w:iCs/>
        </w:rPr>
        <w:t xml:space="preserve">Journal of Nutrition Education and </w:t>
      </w:r>
      <w:r>
        <w:rPr>
          <w:i/>
          <w:iCs/>
        </w:rPr>
        <w:tab/>
        <w:t>Behavior</w:t>
      </w:r>
      <w:r>
        <w:t xml:space="preserve"> 42 (3), 197-201.</w:t>
      </w:r>
    </w:p>
    <w:p w:rsidR="0016491A" w:rsidRDefault="0016491A" w:rsidP="0016491A">
      <w:pPr>
        <w:spacing w:line="480" w:lineRule="auto"/>
      </w:pPr>
      <w:r>
        <w:t xml:space="preserve">Eagle, Lynne (2007), “Commercial Literacy: What Does It Do, to Whom- and Does It Matter?” </w:t>
      </w:r>
      <w:r>
        <w:tab/>
      </w:r>
      <w:r>
        <w:rPr>
          <w:i/>
          <w:iCs/>
        </w:rPr>
        <w:t xml:space="preserve">Journal of Advertising, </w:t>
      </w:r>
      <w:r>
        <w:t xml:space="preserve">26 (2), 101-110. </w:t>
      </w:r>
    </w:p>
    <w:p w:rsidR="0016491A" w:rsidRDefault="0016491A" w:rsidP="0016491A">
      <w:pPr>
        <w:widowControl w:val="0"/>
        <w:autoSpaceDE w:val="0"/>
        <w:autoSpaceDN w:val="0"/>
        <w:adjustRightInd w:val="0"/>
        <w:spacing w:line="480" w:lineRule="auto"/>
      </w:pPr>
      <w:r>
        <w:t xml:space="preserve">Eagle, Lynne, Sandy Bulmer, and Anne De Bruin (2003), “Marketing Communications </w:t>
      </w:r>
      <w:r>
        <w:rPr>
          <w:rFonts w:ascii="BodoniMT" w:hAnsi="BodoniMT" w:cs="BodoniMT"/>
        </w:rPr>
        <w:tab/>
      </w:r>
      <w:r>
        <w:t xml:space="preserve">Implications of Children’s New Electronic Media Use: A Survey of Parental Opinions </w:t>
      </w:r>
      <w:r>
        <w:rPr>
          <w:rFonts w:ascii="BodoniMT" w:hAnsi="BodoniMT" w:cs="BodoniMT"/>
        </w:rPr>
        <w:tab/>
      </w:r>
      <w:r>
        <w:t xml:space="preserve">and Perceptions,” </w:t>
      </w:r>
      <w:r>
        <w:rPr>
          <w:i/>
          <w:iCs/>
        </w:rPr>
        <w:t xml:space="preserve">Journal of Marketing Communications, </w:t>
      </w:r>
      <w:r>
        <w:t>9, 129-146.</w:t>
      </w:r>
    </w:p>
    <w:p w:rsidR="0016491A" w:rsidRPr="00CE474E" w:rsidRDefault="0016491A" w:rsidP="0016491A">
      <w:pPr>
        <w:widowControl w:val="0"/>
        <w:autoSpaceDE w:val="0"/>
        <w:autoSpaceDN w:val="0"/>
        <w:adjustRightInd w:val="0"/>
        <w:spacing w:line="480" w:lineRule="auto"/>
      </w:pPr>
      <w:r w:rsidRPr="00CE474E">
        <w:t xml:space="preserve">Emarketer.com (2012), “Kids Online: Digital Natives in Digital Homes.” Available: </w:t>
      </w:r>
      <w:r w:rsidRPr="00CE474E">
        <w:tab/>
      </w:r>
      <w:r w:rsidRPr="004920BC">
        <w:t>http://www.emarketer.com/Article/Digital-Households-Keep-Kids-Connected/1009609</w:t>
      </w:r>
    </w:p>
    <w:p w:rsidR="0016491A" w:rsidRDefault="0016491A" w:rsidP="0016491A">
      <w:pPr>
        <w:spacing w:line="480" w:lineRule="auto"/>
      </w:pPr>
      <w:r w:rsidRPr="00CE474E">
        <w:t>Electronic Payments Int</w:t>
      </w:r>
      <w:r>
        <w:t>ernational (2011),</w:t>
      </w:r>
      <w:r w:rsidRPr="00CE474E">
        <w:t xml:space="preserve"> </w:t>
      </w:r>
      <w:r>
        <w:t>“For Real: Virtual Currency is on the Way,”</w:t>
      </w:r>
      <w:r w:rsidRPr="00CE474E">
        <w:t xml:space="preserve"> </w:t>
      </w:r>
      <w:r>
        <w:tab/>
        <w:t>Available</w:t>
      </w:r>
      <w:r w:rsidRPr="00CE474E">
        <w:t>: http://www.vrl-financial-news.com/cards--payments/electronic-payments-</w:t>
      </w:r>
      <w:r w:rsidRPr="00CE474E">
        <w:tab/>
        <w:t>intl/issues/epi-</w:t>
      </w:r>
      <w:r w:rsidRPr="00CE474E">
        <w:tab/>
        <w:t>2011/epi-283/for-real-virtual-currency-is.aspx</w:t>
      </w:r>
    </w:p>
    <w:p w:rsidR="0016491A" w:rsidRDefault="0016491A" w:rsidP="0016491A">
      <w:pPr>
        <w:widowControl w:val="0"/>
        <w:autoSpaceDE w:val="0"/>
        <w:autoSpaceDN w:val="0"/>
        <w:adjustRightInd w:val="0"/>
        <w:spacing w:line="480" w:lineRule="auto"/>
        <w:rPr>
          <w:iCs/>
        </w:rPr>
      </w:pPr>
      <w:r>
        <w:t xml:space="preserve">Evans, Nathaniel, Les Carlson and Mariea Grubbs </w:t>
      </w:r>
      <w:r w:rsidR="00201ACB">
        <w:t>Hoy (2013</w:t>
      </w:r>
      <w:r>
        <w:t xml:space="preserve">), “Coddling our Kids: Can </w:t>
      </w:r>
      <w:r>
        <w:tab/>
        <w:t xml:space="preserve">Parenting Style Affect Attitudes Toward Advergames?” </w:t>
      </w:r>
      <w:r>
        <w:rPr>
          <w:i/>
          <w:iCs/>
        </w:rPr>
        <w:t xml:space="preserve">Journal of Advertising, </w:t>
      </w:r>
      <w:r w:rsidR="00201ACB">
        <w:rPr>
          <w:iCs/>
        </w:rPr>
        <w:t xml:space="preserve">42 (2-3), </w:t>
      </w:r>
      <w:r w:rsidR="00201ACB">
        <w:rPr>
          <w:iCs/>
        </w:rPr>
        <w:tab/>
        <w:t>228-240.</w:t>
      </w:r>
    </w:p>
    <w:p w:rsidR="0016491A" w:rsidRPr="007271D5" w:rsidRDefault="0016491A" w:rsidP="0016491A">
      <w:pPr>
        <w:widowControl w:val="0"/>
        <w:autoSpaceDE w:val="0"/>
        <w:autoSpaceDN w:val="0"/>
        <w:adjustRightInd w:val="0"/>
        <w:spacing w:line="480" w:lineRule="auto"/>
        <w:rPr>
          <w:rFonts w:cs="Times-Roman"/>
          <w:szCs w:val="16"/>
        </w:rPr>
      </w:pPr>
      <w:r w:rsidRPr="007271D5">
        <w:rPr>
          <w:rFonts w:cs="Times-Roman"/>
          <w:szCs w:val="16"/>
        </w:rPr>
        <w:t>Federal Communications Commission (1974), “Children’</w:t>
      </w:r>
      <w:r>
        <w:rPr>
          <w:rFonts w:cs="Times-Roman"/>
          <w:szCs w:val="16"/>
        </w:rPr>
        <w:t xml:space="preserve">s Television Programs: </w:t>
      </w:r>
      <w:r w:rsidRPr="007271D5">
        <w:rPr>
          <w:rFonts w:cs="Times-Roman"/>
          <w:szCs w:val="16"/>
        </w:rPr>
        <w:t xml:space="preserve">Report and </w:t>
      </w:r>
      <w:r>
        <w:rPr>
          <w:rFonts w:cs="Times-Roman"/>
          <w:szCs w:val="16"/>
        </w:rPr>
        <w:tab/>
      </w:r>
      <w:r w:rsidRPr="007271D5">
        <w:rPr>
          <w:rFonts w:cs="Times-Roman"/>
          <w:szCs w:val="16"/>
        </w:rPr>
        <w:t xml:space="preserve">Policy Statement,” </w:t>
      </w:r>
      <w:r w:rsidRPr="007271D5">
        <w:rPr>
          <w:rFonts w:cs="Times-Roman"/>
          <w:i/>
          <w:iCs/>
          <w:szCs w:val="16"/>
        </w:rPr>
        <w:t>Federal Registrar</w:t>
      </w:r>
      <w:r w:rsidRPr="007271D5">
        <w:rPr>
          <w:rFonts w:cs="Times-Roman"/>
          <w:szCs w:val="16"/>
        </w:rPr>
        <w:t>, 39, 39396–409.</w:t>
      </w:r>
    </w:p>
    <w:p w:rsidR="0016491A" w:rsidRPr="00415028" w:rsidRDefault="0016491A" w:rsidP="0016491A">
      <w:pPr>
        <w:widowControl w:val="0"/>
        <w:autoSpaceDE w:val="0"/>
        <w:autoSpaceDN w:val="0"/>
        <w:adjustRightInd w:val="0"/>
        <w:spacing w:line="480" w:lineRule="auto"/>
        <w:rPr>
          <w:rFonts w:cs="AdvTT3713a231"/>
          <w:color w:val="131413"/>
          <w:szCs w:val="16"/>
        </w:rPr>
      </w:pPr>
      <w:r w:rsidRPr="00401529">
        <w:rPr>
          <w:rFonts w:cs="AdvTT3713a231"/>
          <w:color w:val="131413"/>
          <w:szCs w:val="16"/>
        </w:rPr>
        <w:t>F</w:t>
      </w:r>
      <w:r>
        <w:rPr>
          <w:rFonts w:cs="AdvTT3713a231"/>
          <w:color w:val="131413"/>
          <w:szCs w:val="16"/>
        </w:rPr>
        <w:t>ederal Trade Commission (1970),</w:t>
      </w:r>
      <w:r w:rsidRPr="00401529">
        <w:rPr>
          <w:rFonts w:cs="AdvTT3713a231"/>
          <w:color w:val="131413"/>
          <w:szCs w:val="16"/>
        </w:rPr>
        <w:t xml:space="preserve"> </w:t>
      </w:r>
      <w:r>
        <w:rPr>
          <w:rFonts w:cs="AdvTT3713a231"/>
          <w:color w:val="131413"/>
          <w:szCs w:val="16"/>
        </w:rPr>
        <w:t>“</w:t>
      </w:r>
      <w:r w:rsidRPr="00401529">
        <w:rPr>
          <w:rFonts w:cs="AdvTT3713a231"/>
          <w:color w:val="131413"/>
          <w:szCs w:val="16"/>
        </w:rPr>
        <w:t xml:space="preserve">Statement of enforcement </w:t>
      </w:r>
      <w:r w:rsidR="00AA5703">
        <w:rPr>
          <w:rFonts w:cs="AdvTT3713a231"/>
          <w:color w:val="131413"/>
          <w:szCs w:val="16"/>
        </w:rPr>
        <w:t xml:space="preserve">policy”, (October 21), </w:t>
      </w:r>
      <w:r>
        <w:rPr>
          <w:rFonts w:cs="AdvTT3713a231"/>
          <w:color w:val="131413"/>
          <w:szCs w:val="16"/>
        </w:rPr>
        <w:t xml:space="preserve">CCH </w:t>
      </w:r>
      <w:r>
        <w:rPr>
          <w:rFonts w:cs="AdvTT3713a231"/>
          <w:color w:val="131413"/>
          <w:szCs w:val="16"/>
        </w:rPr>
        <w:tab/>
        <w:t xml:space="preserve">Trade </w:t>
      </w:r>
      <w:r w:rsidRPr="00401529">
        <w:rPr>
          <w:rFonts w:cs="AdvTT3713a231"/>
          <w:color w:val="131413"/>
          <w:szCs w:val="16"/>
        </w:rPr>
        <w:t>Regulation Reporter, 7569.09.</w:t>
      </w:r>
    </w:p>
    <w:p w:rsidR="0016491A" w:rsidRDefault="0016491A" w:rsidP="0016491A">
      <w:pPr>
        <w:spacing w:line="480" w:lineRule="auto"/>
        <w:rPr>
          <w:rFonts w:cs="Times-Roman"/>
          <w:szCs w:val="18"/>
        </w:rPr>
      </w:pPr>
      <w:r w:rsidRPr="005C4017">
        <w:rPr>
          <w:rFonts w:cs="Times-Roman"/>
          <w:szCs w:val="18"/>
        </w:rPr>
        <w:t>Federal Trade Commission (1984), “Deception Policy Statement</w:t>
      </w:r>
      <w:r>
        <w:rPr>
          <w:rFonts w:cs="Times-Roman"/>
          <w:szCs w:val="18"/>
        </w:rPr>
        <w:t>”</w:t>
      </w:r>
      <w:r w:rsidRPr="005C4017">
        <w:rPr>
          <w:rFonts w:cs="Times-Roman"/>
          <w:szCs w:val="18"/>
        </w:rPr>
        <w:t xml:space="preserve">, appended to Cliffdale </w:t>
      </w:r>
      <w:r>
        <w:rPr>
          <w:rFonts w:cs="Times-Roman"/>
          <w:szCs w:val="18"/>
        </w:rPr>
        <w:tab/>
      </w:r>
      <w:r w:rsidRPr="005C4017">
        <w:rPr>
          <w:rFonts w:cs="Times-Roman"/>
          <w:szCs w:val="18"/>
        </w:rPr>
        <w:t>Associates Inc.,” 103 F.T.C. 110</w:t>
      </w:r>
    </w:p>
    <w:p w:rsidR="0016491A" w:rsidRPr="00FA4867" w:rsidRDefault="0016491A" w:rsidP="0016491A">
      <w:pPr>
        <w:spacing w:line="480" w:lineRule="auto"/>
      </w:pPr>
      <w:r w:rsidRPr="00FA4867">
        <w:t xml:space="preserve">Federal Trade Commission and the Department of Health and Human Services (2005). </w:t>
      </w:r>
      <w:r w:rsidRPr="00FA4867">
        <w:tab/>
        <w:t xml:space="preserve">"Marketing, Self-Regulation, and Childhood Obesity A Joint Workshop of the Federal </w:t>
      </w:r>
      <w:r w:rsidRPr="00FA4867">
        <w:tab/>
        <w:t xml:space="preserve">Trade Commission and the Department of Health and Human Services.” </w:t>
      </w:r>
    </w:p>
    <w:p w:rsidR="0016491A" w:rsidRDefault="0016491A" w:rsidP="0016491A">
      <w:pPr>
        <w:spacing w:line="480" w:lineRule="auto"/>
      </w:pPr>
      <w:r w:rsidRPr="00FA4867">
        <w:tab/>
        <w:t>Available:</w:t>
      </w:r>
      <w:r w:rsidRPr="00FA4867">
        <w:rPr>
          <w:b/>
          <w:bCs/>
        </w:rPr>
        <w:t xml:space="preserve"> </w:t>
      </w:r>
      <w:r w:rsidRPr="00FA3A78">
        <w:t>http://www.ftc.gov/bcp/workshops/foodmarketingtokids/index.htm</w:t>
      </w:r>
    </w:p>
    <w:p w:rsidR="0016491A" w:rsidRDefault="0016491A" w:rsidP="0016491A">
      <w:pPr>
        <w:spacing w:line="480" w:lineRule="auto"/>
        <w:rPr>
          <w:szCs w:val="20"/>
        </w:rPr>
      </w:pPr>
      <w:r w:rsidRPr="00FA3A78">
        <w:rPr>
          <w:szCs w:val="20"/>
        </w:rPr>
        <w:t>Fleming, Michele J</w:t>
      </w:r>
      <w:r>
        <w:rPr>
          <w:szCs w:val="20"/>
        </w:rPr>
        <w:t>.,</w:t>
      </w:r>
      <w:r w:rsidRPr="00FA3A78">
        <w:rPr>
          <w:szCs w:val="20"/>
        </w:rPr>
        <w:t xml:space="preserve"> Shane Greentree, Dayana Cocotti-Muller, Kristy A. Elias, and </w:t>
      </w:r>
      <w:r>
        <w:rPr>
          <w:szCs w:val="20"/>
        </w:rPr>
        <w:t xml:space="preserve">Sarah </w:t>
      </w:r>
      <w:r>
        <w:rPr>
          <w:szCs w:val="20"/>
        </w:rPr>
        <w:tab/>
      </w:r>
      <w:r w:rsidRPr="00FA3A78">
        <w:rPr>
          <w:szCs w:val="20"/>
        </w:rPr>
        <w:t>Morrison</w:t>
      </w:r>
      <w:r>
        <w:rPr>
          <w:szCs w:val="20"/>
        </w:rPr>
        <w:t xml:space="preserve"> (2006),</w:t>
      </w:r>
      <w:r>
        <w:t xml:space="preserve"> “</w:t>
      </w:r>
      <w:r w:rsidRPr="00FA3A78">
        <w:rPr>
          <w:szCs w:val="20"/>
        </w:rPr>
        <w:t>Safety in Cyberspace: Adolescents' Safety and Exposure Online</w:t>
      </w:r>
      <w:r>
        <w:rPr>
          <w:szCs w:val="20"/>
        </w:rPr>
        <w:t>,”</w:t>
      </w:r>
      <w:r w:rsidRPr="00FA3A78">
        <w:rPr>
          <w:szCs w:val="20"/>
        </w:rPr>
        <w:t xml:space="preserve"> </w:t>
      </w:r>
      <w:r>
        <w:rPr>
          <w:szCs w:val="20"/>
        </w:rPr>
        <w:tab/>
      </w:r>
      <w:r w:rsidRPr="00187F61">
        <w:rPr>
          <w:i/>
          <w:szCs w:val="20"/>
        </w:rPr>
        <w:t xml:space="preserve">Youth &amp; Society </w:t>
      </w:r>
      <w:r>
        <w:rPr>
          <w:szCs w:val="20"/>
        </w:rPr>
        <w:t xml:space="preserve">38, </w:t>
      </w:r>
      <w:r w:rsidRPr="00FA3A78">
        <w:rPr>
          <w:szCs w:val="20"/>
        </w:rPr>
        <w:t>135-154, doi:10.1177/0044118X06287858</w:t>
      </w:r>
    </w:p>
    <w:p w:rsidR="0016491A" w:rsidRPr="00FA3A78" w:rsidRDefault="0016491A" w:rsidP="0016491A">
      <w:pPr>
        <w:tabs>
          <w:tab w:val="center" w:pos="4680"/>
        </w:tabs>
        <w:spacing w:line="480" w:lineRule="auto"/>
        <w:ind w:left="720" w:hanging="720"/>
      </w:pPr>
      <w:r>
        <w:t xml:space="preserve">Friestad, Marian and Peter Wright (1994), “The Persuasion Knowledge Model: How People Cope with Persuasion Attempts,” </w:t>
      </w:r>
      <w:r>
        <w:rPr>
          <w:i/>
          <w:iCs/>
        </w:rPr>
        <w:t xml:space="preserve">Journal of Consumer Research, </w:t>
      </w:r>
      <w:r>
        <w:t>21 (June), 1-31.</w:t>
      </w:r>
    </w:p>
    <w:p w:rsidR="0016491A" w:rsidRDefault="0016491A" w:rsidP="0016491A">
      <w:pPr>
        <w:widowControl w:val="0"/>
        <w:autoSpaceDE w:val="0"/>
        <w:autoSpaceDN w:val="0"/>
        <w:adjustRightInd w:val="0"/>
        <w:spacing w:line="480" w:lineRule="auto"/>
        <w:rPr>
          <w:rFonts w:ascii="Times-Roman" w:hAnsi="Times-Roman" w:cs="Times-Roman"/>
          <w:szCs w:val="18"/>
        </w:rPr>
      </w:pPr>
      <w:r w:rsidRPr="00744BF7">
        <w:rPr>
          <w:rFonts w:ascii="Times-Roman" w:hAnsi="Times-Roman" w:cs="Times-Roman"/>
          <w:szCs w:val="18"/>
        </w:rPr>
        <w:t>Gilbert, Daniel T. and Randall E. Osborne (1989), “Thinking Backward:</w:t>
      </w:r>
      <w:r>
        <w:rPr>
          <w:rFonts w:ascii="Times-Roman" w:hAnsi="Times-Roman" w:cs="Times-Roman"/>
          <w:szCs w:val="18"/>
        </w:rPr>
        <w:t xml:space="preserve"> </w:t>
      </w:r>
      <w:r w:rsidRPr="00744BF7">
        <w:rPr>
          <w:rFonts w:ascii="Times-Roman" w:hAnsi="Times-Roman" w:cs="Times-Roman"/>
          <w:szCs w:val="18"/>
        </w:rPr>
        <w:t xml:space="preserve">Some Curable and </w:t>
      </w:r>
      <w:r>
        <w:rPr>
          <w:rFonts w:ascii="Times-Roman" w:hAnsi="Times-Roman" w:cs="Times-Roman"/>
          <w:szCs w:val="18"/>
        </w:rPr>
        <w:tab/>
      </w:r>
      <w:r w:rsidRPr="00744BF7">
        <w:rPr>
          <w:rFonts w:ascii="Times-Roman" w:hAnsi="Times-Roman" w:cs="Times-Roman"/>
          <w:szCs w:val="18"/>
        </w:rPr>
        <w:t>Incurable Consequences of Cognitive</w:t>
      </w:r>
      <w:r>
        <w:rPr>
          <w:rFonts w:ascii="Times-Roman" w:hAnsi="Times-Roman" w:cs="Times-Roman"/>
          <w:szCs w:val="18"/>
        </w:rPr>
        <w:t xml:space="preserve"> </w:t>
      </w:r>
      <w:r w:rsidRPr="00744BF7">
        <w:rPr>
          <w:rFonts w:ascii="Times-Roman" w:hAnsi="Times-Roman" w:cs="Times-Roman"/>
          <w:szCs w:val="18"/>
        </w:rPr>
        <w:t xml:space="preserve">Busyness,” </w:t>
      </w:r>
      <w:r w:rsidRPr="00744BF7">
        <w:rPr>
          <w:rFonts w:ascii="Times-Roman" w:hAnsi="Times-Roman" w:cs="Times-Roman"/>
          <w:i/>
          <w:iCs/>
          <w:szCs w:val="18"/>
        </w:rPr>
        <w:t xml:space="preserve">Journal of Personality and Social </w:t>
      </w:r>
      <w:r>
        <w:rPr>
          <w:rFonts w:ascii="Times-Roman" w:hAnsi="Times-Roman" w:cs="Times-Roman"/>
          <w:i/>
          <w:iCs/>
          <w:szCs w:val="18"/>
        </w:rPr>
        <w:tab/>
      </w:r>
      <w:r w:rsidRPr="00744BF7">
        <w:rPr>
          <w:rFonts w:ascii="Times-Roman" w:hAnsi="Times-Roman" w:cs="Times-Roman"/>
          <w:i/>
          <w:iCs/>
          <w:szCs w:val="18"/>
        </w:rPr>
        <w:t>Psychology</w:t>
      </w:r>
      <w:r w:rsidRPr="00744BF7">
        <w:rPr>
          <w:rFonts w:ascii="Times-Roman" w:hAnsi="Times-Roman" w:cs="Times-Roman"/>
          <w:szCs w:val="18"/>
        </w:rPr>
        <w:t>,</w:t>
      </w:r>
      <w:r>
        <w:rPr>
          <w:rFonts w:ascii="Times-Roman" w:hAnsi="Times-Roman" w:cs="Times-Roman"/>
          <w:szCs w:val="18"/>
        </w:rPr>
        <w:t xml:space="preserve"> </w:t>
      </w:r>
      <w:r w:rsidRPr="00744BF7">
        <w:rPr>
          <w:rFonts w:ascii="Times-Roman" w:hAnsi="Times-Roman" w:cs="Times-Roman"/>
          <w:szCs w:val="18"/>
        </w:rPr>
        <w:t>57 (December), 940–949.</w:t>
      </w:r>
    </w:p>
    <w:p w:rsidR="0016491A" w:rsidRPr="003040E6" w:rsidRDefault="0016491A" w:rsidP="0016491A">
      <w:pPr>
        <w:widowControl w:val="0"/>
        <w:autoSpaceDE w:val="0"/>
        <w:autoSpaceDN w:val="0"/>
        <w:adjustRightInd w:val="0"/>
        <w:spacing w:line="480" w:lineRule="auto"/>
        <w:rPr>
          <w:rFonts w:ascii="Times-Roman" w:hAnsi="Times-Roman" w:cs="Times-Roman"/>
          <w:szCs w:val="18"/>
        </w:rPr>
      </w:pPr>
      <w:r>
        <w:t xml:space="preserve">Grimes, S. M., &amp; Shade, L. (2005). Neopian economics of play:children's cyberpets and online </w:t>
      </w:r>
      <w:r>
        <w:tab/>
        <w:t xml:space="preserve">communities as immersive advertising in NeoPets.com. </w:t>
      </w:r>
      <w:r>
        <w:rPr>
          <w:i/>
        </w:rPr>
        <w:t xml:space="preserve">International Journal Of Media </w:t>
      </w:r>
      <w:r>
        <w:rPr>
          <w:i/>
        </w:rPr>
        <w:tab/>
        <w:t>&amp; Cultural Politics</w:t>
      </w:r>
      <w:r>
        <w:t xml:space="preserve">, </w:t>
      </w:r>
      <w:r>
        <w:rPr>
          <w:i/>
        </w:rPr>
        <w:t>1</w:t>
      </w:r>
      <w:r>
        <w:t>(2), 181-198. doi:10.1386/macp.1.2.181/1</w:t>
      </w:r>
    </w:p>
    <w:p w:rsidR="0016491A" w:rsidRDefault="0016491A" w:rsidP="0016491A">
      <w:pPr>
        <w:spacing w:line="480" w:lineRule="auto"/>
      </w:pPr>
      <w:r>
        <w:t xml:space="preserve">Grossbart, Sanford L. and Lawrence A. Crosby (1984), “Understanding the Bases of Parental </w:t>
      </w:r>
      <w:r>
        <w:tab/>
        <w:t xml:space="preserve">Concern and Reaction to Children’s Food Advertising,” </w:t>
      </w:r>
      <w:r>
        <w:rPr>
          <w:i/>
          <w:iCs/>
        </w:rPr>
        <w:t>The Journal of Marketing</w:t>
      </w:r>
      <w:r>
        <w:t xml:space="preserve">, 48 </w:t>
      </w:r>
      <w:r>
        <w:tab/>
        <w:t>(3), 79-92.</w:t>
      </w:r>
    </w:p>
    <w:p w:rsidR="0016491A" w:rsidRPr="000F7091" w:rsidRDefault="0016491A" w:rsidP="0016491A">
      <w:pPr>
        <w:spacing w:line="480" w:lineRule="auto"/>
        <w:rPr>
          <w:szCs w:val="20"/>
        </w:rPr>
      </w:pPr>
      <w:r>
        <w:rPr>
          <w:szCs w:val="20"/>
        </w:rPr>
        <w:t>Gunter, Barrie</w:t>
      </w:r>
      <w:r w:rsidRPr="000F7091">
        <w:rPr>
          <w:szCs w:val="20"/>
        </w:rPr>
        <w:t xml:space="preserve"> </w:t>
      </w:r>
      <w:r>
        <w:rPr>
          <w:szCs w:val="20"/>
        </w:rPr>
        <w:t xml:space="preserve">and </w:t>
      </w:r>
      <w:r w:rsidRPr="000F7091">
        <w:rPr>
          <w:szCs w:val="20"/>
        </w:rPr>
        <w:t>Fur</w:t>
      </w:r>
      <w:r>
        <w:rPr>
          <w:szCs w:val="20"/>
        </w:rPr>
        <w:t>nham, Adrian (</w:t>
      </w:r>
      <w:r w:rsidRPr="000F7091">
        <w:rPr>
          <w:szCs w:val="20"/>
        </w:rPr>
        <w:t>2012</w:t>
      </w:r>
      <w:r>
        <w:rPr>
          <w:szCs w:val="20"/>
        </w:rPr>
        <w:t>),</w:t>
      </w:r>
      <w:r w:rsidRPr="000F7091">
        <w:rPr>
          <w:szCs w:val="20"/>
        </w:rPr>
        <w:t xml:space="preserve"> </w:t>
      </w:r>
      <w:r>
        <w:rPr>
          <w:i/>
          <w:szCs w:val="20"/>
        </w:rPr>
        <w:t>Children as Consumers: A Psychological A</w:t>
      </w:r>
      <w:r w:rsidRPr="000F7091">
        <w:rPr>
          <w:i/>
          <w:szCs w:val="20"/>
        </w:rPr>
        <w:t xml:space="preserve">nalysis </w:t>
      </w:r>
      <w:r>
        <w:rPr>
          <w:i/>
          <w:szCs w:val="20"/>
        </w:rPr>
        <w:tab/>
      </w:r>
      <w:r w:rsidRPr="000F7091">
        <w:rPr>
          <w:i/>
          <w:szCs w:val="20"/>
        </w:rPr>
        <w:t xml:space="preserve">of the </w:t>
      </w:r>
      <w:r>
        <w:rPr>
          <w:i/>
          <w:szCs w:val="20"/>
        </w:rPr>
        <w:t>Young People's M</w:t>
      </w:r>
      <w:r w:rsidRPr="000F7091">
        <w:rPr>
          <w:i/>
          <w:szCs w:val="20"/>
        </w:rPr>
        <w:t>arket</w:t>
      </w:r>
      <w:r w:rsidRPr="000F7091">
        <w:rPr>
          <w:szCs w:val="20"/>
        </w:rPr>
        <w:t xml:space="preserve">. </w:t>
      </w:r>
      <w:r>
        <w:rPr>
          <w:szCs w:val="20"/>
        </w:rPr>
        <w:t xml:space="preserve">London: </w:t>
      </w:r>
      <w:r w:rsidRPr="000F7091">
        <w:rPr>
          <w:szCs w:val="20"/>
        </w:rPr>
        <w:t xml:space="preserve">Routledge, </w:t>
      </w:r>
    </w:p>
    <w:p w:rsidR="0016491A" w:rsidRDefault="0016491A" w:rsidP="0016491A">
      <w:pPr>
        <w:spacing w:line="480" w:lineRule="auto"/>
      </w:pPr>
      <w:r>
        <w:t xml:space="preserve">Harris, Jennifer L., Sarah E., Spears, Marlene D., Schwartz, and Kelly D. Brownell (2012), “US </w:t>
      </w:r>
      <w:r>
        <w:tab/>
        <w:t xml:space="preserve">Food Company Branded Advergames on the Internet: Children’s Exposure and Effects </w:t>
      </w:r>
      <w:r>
        <w:tab/>
        <w:t xml:space="preserve">on Snack Consumption,” </w:t>
      </w:r>
      <w:r>
        <w:rPr>
          <w:i/>
          <w:iCs/>
        </w:rPr>
        <w:t xml:space="preserve">Journal of Children and Media, </w:t>
      </w:r>
      <w:r w:rsidRPr="003D235A">
        <w:rPr>
          <w:iCs/>
        </w:rPr>
        <w:t>6</w:t>
      </w:r>
      <w:r>
        <w:rPr>
          <w:iCs/>
        </w:rPr>
        <w:t xml:space="preserve"> </w:t>
      </w:r>
      <w:r w:rsidRPr="003D235A">
        <w:t>(</w:t>
      </w:r>
      <w:r>
        <w:t>1), 51-68.</w:t>
      </w:r>
    </w:p>
    <w:p w:rsidR="0016491A" w:rsidRDefault="0016491A" w:rsidP="0016491A">
      <w:pPr>
        <w:spacing w:line="480" w:lineRule="auto"/>
      </w:pPr>
      <w:r>
        <w:t xml:space="preserve">Henry, Anna E. and Mary Story (2009), “Food and Beverage Brands that Market to Children and </w:t>
      </w:r>
      <w:r>
        <w:tab/>
        <w:t xml:space="preserve">Adolescents on the Internet: A Content Analysis of Branded Web sites,” </w:t>
      </w:r>
      <w:r>
        <w:rPr>
          <w:i/>
          <w:iCs/>
        </w:rPr>
        <w:t xml:space="preserve">Journal of </w:t>
      </w:r>
      <w:r>
        <w:rPr>
          <w:i/>
          <w:iCs/>
        </w:rPr>
        <w:tab/>
        <w:t>Nutrition Education and Behavior</w:t>
      </w:r>
      <w:r>
        <w:t xml:space="preserve"> 41 (5), 353-359.</w:t>
      </w:r>
    </w:p>
    <w:p w:rsidR="0016491A" w:rsidRDefault="0016491A" w:rsidP="0016491A">
      <w:pPr>
        <w:spacing w:line="480" w:lineRule="auto"/>
      </w:pPr>
      <w:r>
        <w:t xml:space="preserve">Hernandez, Monica D. (2008), “Determinants of children’s attitudes towards ‘advergames’” the </w:t>
      </w:r>
      <w:r>
        <w:tab/>
        <w:t xml:space="preserve">case of Mexico,” </w:t>
      </w:r>
      <w:r>
        <w:rPr>
          <w:i/>
        </w:rPr>
        <w:t>Young Consumers</w:t>
      </w:r>
      <w:r>
        <w:t>, 9(2), 112-120.</w:t>
      </w:r>
    </w:p>
    <w:p w:rsidR="0016491A" w:rsidRDefault="0016491A" w:rsidP="0016491A">
      <w:pPr>
        <w:spacing w:line="480" w:lineRule="auto"/>
      </w:pPr>
      <w:r>
        <w:t xml:space="preserve">Hernandez, Monica D (2011), “A Model of Flow Experience as Determinant of Positive </w:t>
      </w:r>
      <w:r>
        <w:tab/>
        <w:t xml:space="preserve">Attitudes Toward Online Advergames,” </w:t>
      </w:r>
      <w:r>
        <w:rPr>
          <w:i/>
          <w:iCs/>
        </w:rPr>
        <w:t xml:space="preserve">Journal Of Promotion Management, </w:t>
      </w:r>
      <w:r>
        <w:t>17 (3), 315-</w:t>
      </w:r>
      <w:r>
        <w:tab/>
        <w:t xml:space="preserve">326. </w:t>
      </w:r>
    </w:p>
    <w:p w:rsidR="0016491A" w:rsidRPr="00415028" w:rsidRDefault="0016491A" w:rsidP="0016491A">
      <w:pPr>
        <w:spacing w:line="480" w:lineRule="auto"/>
      </w:pPr>
      <w:r>
        <w:t xml:space="preserve">Hoy, Mariea Grubbs, and J. Craig Andrews (2004), "Adherence of Prime-Time Televised </w:t>
      </w:r>
      <w:r>
        <w:tab/>
        <w:t xml:space="preserve">Advertising Disclosures to the "Clear and Conspicuous" Standard: 1990 Versus 2002." </w:t>
      </w:r>
      <w:r>
        <w:tab/>
      </w:r>
      <w:r>
        <w:rPr>
          <w:i/>
        </w:rPr>
        <w:t>Journal Of Public Policy &amp; Marketing</w:t>
      </w:r>
      <w:r>
        <w:t xml:space="preserve"> 23, (2), 170-182. </w:t>
      </w:r>
    </w:p>
    <w:p w:rsidR="0016491A" w:rsidRDefault="0016491A" w:rsidP="0016491A">
      <w:pPr>
        <w:spacing w:line="480" w:lineRule="auto"/>
      </w:pPr>
      <w:r>
        <w:t xml:space="preserve">Hoy, Mariea and May Lwin. (2008),"An International Perspective of Online Disclosure </w:t>
      </w:r>
      <w:r>
        <w:tab/>
        <w:t xml:space="preserve">Presentation: A Comparison of Banner Ad Disclosures from United States, United </w:t>
      </w:r>
      <w:r>
        <w:tab/>
        <w:t xml:space="preserve">Kingdom, and </w:t>
      </w:r>
      <w:r>
        <w:tab/>
        <w:t xml:space="preserve">Singapore Web Sites." </w:t>
      </w:r>
      <w:r>
        <w:rPr>
          <w:i/>
        </w:rPr>
        <w:t>Journal Of Consumer Policy,</w:t>
      </w:r>
      <w:r>
        <w:t xml:space="preserve"> 31 (3), 327-347. </w:t>
      </w:r>
    </w:p>
    <w:p w:rsidR="0016491A" w:rsidRPr="00CA07BF" w:rsidRDefault="0016491A" w:rsidP="0016491A">
      <w:pPr>
        <w:spacing w:line="480" w:lineRule="auto"/>
      </w:pPr>
      <w:r w:rsidRPr="00FA4867">
        <w:t>Interactive Advertising Bureau (2007), “Game Advertising Platform</w:t>
      </w:r>
      <w:r>
        <w:t xml:space="preserve"> Status Report:</w:t>
      </w:r>
      <w:r w:rsidRPr="00FA4867">
        <w:t xml:space="preserve"> Let the </w:t>
      </w:r>
      <w:r w:rsidRPr="00FA4867">
        <w:tab/>
        <w:t>Games Begin, October 2007.”  Available: www.iab.net/media/file/games-reportv4.pdf</w:t>
      </w:r>
    </w:p>
    <w:p w:rsidR="0016491A" w:rsidRDefault="0016491A" w:rsidP="0016491A">
      <w:pPr>
        <w:widowControl w:val="0"/>
        <w:autoSpaceDE w:val="0"/>
        <w:autoSpaceDN w:val="0"/>
        <w:adjustRightInd w:val="0"/>
        <w:spacing w:line="480" w:lineRule="auto"/>
        <w:rPr>
          <w:rFonts w:ascii="Times-Roman" w:hAnsi="Times-Roman" w:cs="Times-Roman"/>
        </w:rPr>
      </w:pPr>
      <w:r>
        <w:t xml:space="preserve">John, Deborah R. (1999), “Consumer Socialization of Children: A Retrospective Look at </w:t>
      </w:r>
      <w:r>
        <w:tab/>
        <w:t xml:space="preserve">Twenty-Five Years of Research,” </w:t>
      </w:r>
      <w:r>
        <w:rPr>
          <w:i/>
          <w:iCs/>
        </w:rPr>
        <w:t xml:space="preserve">Journal of Consumer Research, </w:t>
      </w:r>
      <w:r>
        <w:t>26 (3), 183-213</w:t>
      </w:r>
      <w:r>
        <w:rPr>
          <w:rFonts w:ascii="Times-Roman" w:hAnsi="Times-Roman" w:cs="Times-Roman"/>
        </w:rPr>
        <w:t>.</w:t>
      </w:r>
    </w:p>
    <w:p w:rsidR="0016491A" w:rsidRDefault="0016491A" w:rsidP="0016491A">
      <w:pPr>
        <w:widowControl w:val="0"/>
        <w:autoSpaceDE w:val="0"/>
        <w:autoSpaceDN w:val="0"/>
        <w:adjustRightInd w:val="0"/>
        <w:spacing w:line="480" w:lineRule="auto"/>
        <w:rPr>
          <w:rFonts w:cs="TimesNewRomanPSMT"/>
          <w:szCs w:val="18"/>
        </w:rPr>
      </w:pPr>
      <w:r w:rsidRPr="003D5F78">
        <w:rPr>
          <w:rFonts w:cs="TimesNewRomanPSMT"/>
          <w:szCs w:val="18"/>
        </w:rPr>
        <w:t>Juvonen</w:t>
      </w:r>
      <w:r>
        <w:rPr>
          <w:rFonts w:cs="TimesNewRomanPSMT"/>
          <w:szCs w:val="18"/>
        </w:rPr>
        <w:t>,</w:t>
      </w:r>
      <w:r w:rsidRPr="003D5F78">
        <w:rPr>
          <w:rFonts w:cs="TimesNewRomanPSMT"/>
          <w:szCs w:val="18"/>
        </w:rPr>
        <w:t xml:space="preserve"> J</w:t>
      </w:r>
      <w:r>
        <w:rPr>
          <w:rFonts w:cs="TimesNewRomanPSMT"/>
          <w:szCs w:val="18"/>
        </w:rPr>
        <w:t>aana and Elisheva F. Gross</w:t>
      </w:r>
      <w:r w:rsidRPr="003D5F78">
        <w:rPr>
          <w:rFonts w:cs="TimesNewRomanPSMT"/>
          <w:szCs w:val="18"/>
        </w:rPr>
        <w:t xml:space="preserve"> (2008)</w:t>
      </w:r>
      <w:r>
        <w:rPr>
          <w:rFonts w:cs="TimesNewRomanPSMT"/>
          <w:szCs w:val="18"/>
        </w:rPr>
        <w:t>, “Extending the School G</w:t>
      </w:r>
      <w:r w:rsidRPr="003D5F78">
        <w:rPr>
          <w:rFonts w:cs="TimesNewRomanPSMT"/>
          <w:szCs w:val="18"/>
        </w:rPr>
        <w:t>rounds? Bull</w:t>
      </w:r>
      <w:r>
        <w:rPr>
          <w:rFonts w:cs="TimesNewRomanPSMT"/>
          <w:szCs w:val="18"/>
        </w:rPr>
        <w:t xml:space="preserve">ying </w:t>
      </w:r>
      <w:r>
        <w:rPr>
          <w:rFonts w:cs="TimesNewRomanPSMT"/>
          <w:szCs w:val="18"/>
        </w:rPr>
        <w:tab/>
        <w:t xml:space="preserve">Experiences in Cyberspace,” </w:t>
      </w:r>
      <w:r w:rsidRPr="003D5F78">
        <w:rPr>
          <w:rFonts w:cs="TimesNewRomanPSMT"/>
          <w:i/>
          <w:iCs/>
          <w:szCs w:val="18"/>
        </w:rPr>
        <w:t>Journal of School Health</w:t>
      </w:r>
      <w:r>
        <w:rPr>
          <w:rFonts w:cs="TimesNewRomanPSMT"/>
          <w:i/>
          <w:iCs/>
          <w:szCs w:val="18"/>
        </w:rPr>
        <w:t>,</w:t>
      </w:r>
      <w:r w:rsidRPr="003D5F78">
        <w:rPr>
          <w:rFonts w:cs="TimesNewRomanPSMT"/>
          <w:i/>
          <w:iCs/>
          <w:szCs w:val="18"/>
        </w:rPr>
        <w:t xml:space="preserve"> </w:t>
      </w:r>
      <w:r w:rsidRPr="003D5F78">
        <w:rPr>
          <w:rFonts w:cs="TimesNewRomanPSMT"/>
          <w:szCs w:val="18"/>
        </w:rPr>
        <w:t>78</w:t>
      </w:r>
      <w:r>
        <w:rPr>
          <w:rFonts w:cs="TimesNewRomanPSMT"/>
          <w:szCs w:val="18"/>
        </w:rPr>
        <w:t xml:space="preserve"> (9)</w:t>
      </w:r>
      <w:r w:rsidRPr="003D5F78">
        <w:rPr>
          <w:rFonts w:cs="TimesNewRomanPSMT"/>
          <w:szCs w:val="18"/>
        </w:rPr>
        <w:t xml:space="preserve"> 496–505.</w:t>
      </w:r>
    </w:p>
    <w:p w:rsidR="0016491A" w:rsidRPr="007271D5" w:rsidRDefault="0016491A" w:rsidP="0016491A">
      <w:pPr>
        <w:widowControl w:val="0"/>
        <w:autoSpaceDE w:val="0"/>
        <w:autoSpaceDN w:val="0"/>
        <w:adjustRightInd w:val="0"/>
        <w:spacing w:line="480" w:lineRule="auto"/>
        <w:rPr>
          <w:rFonts w:cs="AdvPSA403"/>
          <w:szCs w:val="18"/>
        </w:rPr>
      </w:pPr>
      <w:r w:rsidRPr="007271D5">
        <w:rPr>
          <w:rFonts w:cs="AdvPSA403"/>
          <w:szCs w:val="18"/>
        </w:rPr>
        <w:t>Kunkel, D., Wilcox, B., Cantor, J., Palmer, E., Linn, S., &amp; Dowrick, P. (200</w:t>
      </w:r>
      <w:r>
        <w:rPr>
          <w:rFonts w:cs="AdvPSA403"/>
          <w:szCs w:val="18"/>
        </w:rPr>
        <w:t xml:space="preserve">4). Psychological </w:t>
      </w:r>
      <w:r>
        <w:rPr>
          <w:rFonts w:cs="AdvPSA403"/>
          <w:szCs w:val="18"/>
        </w:rPr>
        <w:tab/>
        <w:t xml:space="preserve">issues in the </w:t>
      </w:r>
      <w:r w:rsidRPr="007271D5">
        <w:rPr>
          <w:rFonts w:cs="AdvPSA403"/>
          <w:szCs w:val="18"/>
        </w:rPr>
        <w:t xml:space="preserve">increasing commercialization of childhood A report of the APA Task Force </w:t>
      </w:r>
      <w:r>
        <w:rPr>
          <w:rFonts w:cs="AdvPSA403"/>
          <w:szCs w:val="18"/>
        </w:rPr>
        <w:tab/>
      </w:r>
      <w:r w:rsidRPr="007271D5">
        <w:rPr>
          <w:rFonts w:cs="AdvPSA403"/>
          <w:szCs w:val="18"/>
        </w:rPr>
        <w:t>on Advertising</w:t>
      </w:r>
      <w:r>
        <w:rPr>
          <w:rFonts w:cs="AdvPSA403"/>
          <w:szCs w:val="18"/>
        </w:rPr>
        <w:t xml:space="preserve"> </w:t>
      </w:r>
      <w:r w:rsidRPr="007271D5">
        <w:rPr>
          <w:rFonts w:cs="AdvPSA403"/>
          <w:szCs w:val="18"/>
        </w:rPr>
        <w:t>and Children. Washington, DC: American Psychological Association.</w:t>
      </w:r>
    </w:p>
    <w:p w:rsidR="0016491A" w:rsidRPr="00415028" w:rsidRDefault="0016491A" w:rsidP="0016491A">
      <w:pPr>
        <w:widowControl w:val="0"/>
        <w:autoSpaceDE w:val="0"/>
        <w:autoSpaceDN w:val="0"/>
        <w:adjustRightInd w:val="0"/>
        <w:spacing w:line="480" w:lineRule="auto"/>
      </w:pPr>
      <w:r>
        <w:t xml:space="preserve">Lang, Annie (2000), “The Limited Capacity Model of Mediated Message Processing,” </w:t>
      </w:r>
      <w:r>
        <w:rPr>
          <w:i/>
          <w:iCs/>
        </w:rPr>
        <w:t xml:space="preserve">Journal </w:t>
      </w:r>
      <w:r>
        <w:rPr>
          <w:rFonts w:ascii="Times-Roman" w:hAnsi="Times-Roman" w:cs="Times-Roman"/>
          <w:i/>
          <w:iCs/>
        </w:rPr>
        <w:tab/>
      </w:r>
      <w:r>
        <w:rPr>
          <w:i/>
          <w:iCs/>
        </w:rPr>
        <w:t xml:space="preserve">of Communication, </w:t>
      </w:r>
      <w:r>
        <w:t>50, 46-70.</w:t>
      </w:r>
    </w:p>
    <w:p w:rsidR="0016491A" w:rsidRDefault="0016491A" w:rsidP="0016491A">
      <w:pPr>
        <w:widowControl w:val="0"/>
        <w:autoSpaceDE w:val="0"/>
        <w:autoSpaceDN w:val="0"/>
        <w:adjustRightInd w:val="0"/>
        <w:spacing w:line="480" w:lineRule="auto"/>
        <w:rPr>
          <w:rFonts w:cs="Times-Roman"/>
          <w:szCs w:val="18"/>
        </w:rPr>
      </w:pPr>
      <w:r w:rsidRPr="00F45BFA">
        <w:rPr>
          <w:rFonts w:cs="Times-Roman"/>
          <w:szCs w:val="18"/>
        </w:rPr>
        <w:t>La Pastina, Antonio C. (2001), “</w:t>
      </w:r>
      <w:r>
        <w:rPr>
          <w:rFonts w:cs="Times-Roman"/>
          <w:szCs w:val="18"/>
        </w:rPr>
        <w:t xml:space="preserve">Product Placement in Brazilian </w:t>
      </w:r>
      <w:r w:rsidRPr="00F45BFA">
        <w:rPr>
          <w:rFonts w:cs="Times-Roman"/>
          <w:szCs w:val="18"/>
        </w:rPr>
        <w:t xml:space="preserve">Prime Time Television: The </w:t>
      </w:r>
      <w:r>
        <w:rPr>
          <w:rFonts w:cs="Times-Roman"/>
          <w:szCs w:val="18"/>
        </w:rPr>
        <w:tab/>
      </w:r>
      <w:r w:rsidRPr="00F45BFA">
        <w:rPr>
          <w:rFonts w:cs="Times-Roman"/>
          <w:szCs w:val="18"/>
        </w:rPr>
        <w:t>Case of the Reception of a Telenovela,”</w:t>
      </w:r>
      <w:r>
        <w:rPr>
          <w:rFonts w:cs="Times-Roman"/>
          <w:szCs w:val="18"/>
        </w:rPr>
        <w:t xml:space="preserve"> </w:t>
      </w:r>
      <w:r w:rsidRPr="00F45BFA">
        <w:rPr>
          <w:rFonts w:cs="Times-Roman"/>
          <w:iCs/>
          <w:szCs w:val="18"/>
        </w:rPr>
        <w:t>Journal of Broadcasting and Electronic Media</w:t>
      </w:r>
      <w:r w:rsidRPr="00F45BFA">
        <w:rPr>
          <w:rFonts w:cs="Times-Roman"/>
          <w:szCs w:val="18"/>
        </w:rPr>
        <w:t xml:space="preserve">, </w:t>
      </w:r>
      <w:r>
        <w:rPr>
          <w:rFonts w:cs="Times-Roman"/>
          <w:szCs w:val="18"/>
        </w:rPr>
        <w:tab/>
      </w:r>
      <w:r w:rsidRPr="00F45BFA">
        <w:rPr>
          <w:rFonts w:cs="Times-Roman"/>
          <w:szCs w:val="18"/>
        </w:rPr>
        <w:t>45</w:t>
      </w:r>
      <w:r>
        <w:rPr>
          <w:rFonts w:cs="Times-Roman"/>
          <w:szCs w:val="18"/>
        </w:rPr>
        <w:t xml:space="preserve"> </w:t>
      </w:r>
      <w:r w:rsidRPr="00F45BFA">
        <w:rPr>
          <w:rFonts w:cs="Times-Roman"/>
          <w:szCs w:val="18"/>
        </w:rPr>
        <w:t>(Fall), 541–57.</w:t>
      </w:r>
    </w:p>
    <w:p w:rsidR="0016491A" w:rsidRDefault="0016491A" w:rsidP="0016491A">
      <w:pPr>
        <w:spacing w:line="480" w:lineRule="auto"/>
      </w:pPr>
      <w:r>
        <w:t xml:space="preserve">Lee, Mira, Yoon Hyeung Choi, Elizabeth Taylor Quilliam and Richard T. Cole (2009), “Playing </w:t>
      </w:r>
      <w:r>
        <w:tab/>
        <w:t xml:space="preserve">with Food: Content Analysis of Food Advergames,” </w:t>
      </w:r>
      <w:r>
        <w:rPr>
          <w:i/>
          <w:iCs/>
        </w:rPr>
        <w:t>The Journal of Consumer Affairs</w:t>
      </w:r>
      <w:r>
        <w:t xml:space="preserve"> 43 </w:t>
      </w:r>
      <w:r>
        <w:tab/>
        <w:t xml:space="preserve"> </w:t>
      </w:r>
      <w:r>
        <w:tab/>
        <w:t>(1) 129-154.</w:t>
      </w:r>
    </w:p>
    <w:p w:rsidR="0016491A" w:rsidRPr="00FA4867" w:rsidRDefault="0016491A" w:rsidP="0016491A">
      <w:pPr>
        <w:spacing w:line="480" w:lineRule="auto"/>
      </w:pPr>
      <w:r w:rsidRPr="00FA4867">
        <w:t xml:space="preserve">Levin, Stephan, Thomas Petro, and Florence Petrella (1982), “Preschooler’s Awareness of </w:t>
      </w:r>
      <w:r w:rsidRPr="00FA4867">
        <w:tab/>
        <w:t xml:space="preserve">Television Advertising,” </w:t>
      </w:r>
      <w:r w:rsidRPr="00FA4867">
        <w:rPr>
          <w:i/>
          <w:iCs/>
        </w:rPr>
        <w:t>Child Development</w:t>
      </w:r>
      <w:r w:rsidRPr="00FA4867">
        <w:t>, 53, 933-937.</w:t>
      </w:r>
    </w:p>
    <w:p w:rsidR="0016491A" w:rsidRPr="005B360F" w:rsidRDefault="0016491A" w:rsidP="0016491A">
      <w:pPr>
        <w:spacing w:line="480" w:lineRule="auto"/>
      </w:pPr>
      <w:r w:rsidRPr="00FA4867">
        <w:t xml:space="preserve">Lewis, Ben and Lance Porter (2010), “In-Game Advertising Effects: Examining Player </w:t>
      </w:r>
      <w:r w:rsidRPr="00FA4867">
        <w:tab/>
        <w:t>Perceptions of Advertising Schema Congruity in a Massively Multiplayer Online Role-</w:t>
      </w:r>
      <w:r w:rsidRPr="00FA4867">
        <w:tab/>
        <w:t xml:space="preserve">Playing Game,” </w:t>
      </w:r>
      <w:r w:rsidRPr="00FA4867">
        <w:rPr>
          <w:i/>
          <w:iCs/>
        </w:rPr>
        <w:t xml:space="preserve">Journal of Interactive Advertising, </w:t>
      </w:r>
      <w:r w:rsidRPr="00FA4867">
        <w:t>10</w:t>
      </w:r>
      <w:r w:rsidRPr="00FA4867">
        <w:rPr>
          <w:i/>
          <w:iCs/>
        </w:rPr>
        <w:t xml:space="preserve"> </w:t>
      </w:r>
      <w:r w:rsidRPr="00FA4867">
        <w:t>(2), 46-60.</w:t>
      </w:r>
    </w:p>
    <w:p w:rsidR="0016491A" w:rsidRDefault="0016491A" w:rsidP="0016491A">
      <w:pPr>
        <w:pStyle w:val="Default"/>
        <w:spacing w:line="480" w:lineRule="auto"/>
        <w:rPr>
          <w:rFonts w:ascii="Times New Roman" w:hAnsi="Times New Roman" w:cs="Times New Roman"/>
        </w:rPr>
      </w:pPr>
      <w:r>
        <w:rPr>
          <w:rFonts w:ascii="Times New Roman" w:hAnsi="Times New Roman" w:cs="Times New Roman"/>
        </w:rPr>
        <w:t xml:space="preserve">Livingstone, Sonia and Magdalena Bober (2006) “Regulating the Internet at Home: Contrasting </w:t>
      </w:r>
      <w:r>
        <w:rPr>
          <w:rFonts w:ascii="Times New Roman" w:hAnsi="Times New Roman" w:cs="Times New Roman"/>
        </w:rPr>
        <w:tab/>
        <w:t xml:space="preserve">the Perspectives of Children and Parents,” in </w:t>
      </w:r>
      <w:r>
        <w:rPr>
          <w:rFonts w:ascii="Times New Roman" w:hAnsi="Times New Roman" w:cs="Times New Roman"/>
          <w:i/>
          <w:iCs/>
        </w:rPr>
        <w:t xml:space="preserve">Digital Generations: Children, Young </w:t>
      </w:r>
      <w:r>
        <w:rPr>
          <w:rFonts w:ascii="Times New Roman" w:hAnsi="Times New Roman" w:cs="Times New Roman"/>
          <w:i/>
          <w:iCs/>
        </w:rPr>
        <w:tab/>
        <w:t xml:space="preserve">People and New Media, </w:t>
      </w:r>
      <w:r>
        <w:rPr>
          <w:rFonts w:ascii="Times New Roman" w:hAnsi="Times New Roman" w:cs="Times New Roman"/>
        </w:rPr>
        <w:t>Buckingham, D. and Willett, R., eds.,</w:t>
      </w:r>
      <w:r>
        <w:rPr>
          <w:rFonts w:ascii="Times New Roman" w:hAnsi="Times New Roman" w:cs="Times New Roman"/>
          <w:i/>
          <w:iCs/>
        </w:rPr>
        <w:t xml:space="preserve"> </w:t>
      </w:r>
      <w:r>
        <w:rPr>
          <w:rFonts w:ascii="Times New Roman" w:hAnsi="Times New Roman" w:cs="Times New Roman"/>
        </w:rPr>
        <w:t xml:space="preserve">Mahwah, N.J. : Lawrence </w:t>
      </w:r>
      <w:r>
        <w:rPr>
          <w:rFonts w:ascii="Times New Roman" w:hAnsi="Times New Roman" w:cs="Times New Roman"/>
        </w:rPr>
        <w:tab/>
        <w:t>Erlbaum.</w:t>
      </w:r>
    </w:p>
    <w:p w:rsidR="0016491A" w:rsidRDefault="0016491A" w:rsidP="0016491A">
      <w:pPr>
        <w:pStyle w:val="Default"/>
        <w:spacing w:line="480" w:lineRule="auto"/>
        <w:rPr>
          <w:rFonts w:ascii="Times New Roman" w:hAnsi="Times New Roman" w:cs="Times New Roman"/>
        </w:rPr>
      </w:pPr>
      <w:r>
        <w:rPr>
          <w:rFonts w:ascii="Times New Roman" w:hAnsi="Times New Roman" w:cs="Times New Roman"/>
        </w:rPr>
        <w:t xml:space="preserve">Livingstone, Sonia and Ellen J. Helsper (2008), “Parental Mediation of Children’s Internet Use,” </w:t>
      </w:r>
      <w:r>
        <w:rPr>
          <w:rFonts w:ascii="Times New Roman" w:hAnsi="Times New Roman" w:cs="Times New Roman"/>
        </w:rPr>
        <w:tab/>
      </w:r>
      <w:r>
        <w:rPr>
          <w:rFonts w:ascii="Times New Roman" w:hAnsi="Times New Roman" w:cs="Times New Roman"/>
          <w:i/>
        </w:rPr>
        <w:t xml:space="preserve">Journal of Broadcasting and Electronic Media, </w:t>
      </w:r>
      <w:r>
        <w:rPr>
          <w:rFonts w:ascii="Times New Roman" w:hAnsi="Times New Roman" w:cs="Times New Roman"/>
        </w:rPr>
        <w:t>52 (4), 581-599.</w:t>
      </w:r>
    </w:p>
    <w:p w:rsidR="0016491A" w:rsidRPr="00D62013" w:rsidRDefault="0016491A" w:rsidP="0016491A">
      <w:pPr>
        <w:widowControl w:val="0"/>
        <w:autoSpaceDE w:val="0"/>
        <w:autoSpaceDN w:val="0"/>
        <w:adjustRightInd w:val="0"/>
        <w:spacing w:line="480" w:lineRule="auto"/>
        <w:rPr>
          <w:rFonts w:cs="TimesNewRomanPSMT"/>
          <w:szCs w:val="18"/>
        </w:rPr>
      </w:pPr>
      <w:r w:rsidRPr="00D62013">
        <w:rPr>
          <w:rFonts w:cs="TimesNewRomanPSMT"/>
          <w:szCs w:val="18"/>
        </w:rPr>
        <w:t>Livingstone S</w:t>
      </w:r>
      <w:r>
        <w:rPr>
          <w:rFonts w:cs="TimesNewRomanPSMT"/>
          <w:szCs w:val="18"/>
        </w:rPr>
        <w:t>onia, Leslie Haddon,</w:t>
      </w:r>
      <w:r w:rsidRPr="00D62013">
        <w:rPr>
          <w:rFonts w:cs="TimesNewRomanPSMT"/>
          <w:szCs w:val="18"/>
        </w:rPr>
        <w:t xml:space="preserve"> </w:t>
      </w:r>
      <w:r>
        <w:rPr>
          <w:rFonts w:cs="TimesNewRomanPSMT"/>
          <w:szCs w:val="18"/>
        </w:rPr>
        <w:t xml:space="preserve">Anke </w:t>
      </w:r>
      <w:r w:rsidRPr="00D62013">
        <w:rPr>
          <w:rFonts w:cs="TimesNewRomanPSMT"/>
          <w:szCs w:val="18"/>
        </w:rPr>
        <w:t>Gö</w:t>
      </w:r>
      <w:r>
        <w:rPr>
          <w:rFonts w:cs="TimesNewRomanPSMT"/>
          <w:szCs w:val="18"/>
        </w:rPr>
        <w:t>rzig and Kajartan Olafsson</w:t>
      </w:r>
      <w:r w:rsidRPr="00D62013">
        <w:rPr>
          <w:rFonts w:cs="TimesNewRomanPSMT"/>
          <w:szCs w:val="18"/>
        </w:rPr>
        <w:t xml:space="preserve"> with members of the EU </w:t>
      </w:r>
      <w:r>
        <w:rPr>
          <w:rFonts w:cs="TimesNewRomanPSMT"/>
          <w:szCs w:val="18"/>
        </w:rPr>
        <w:tab/>
      </w:r>
      <w:r w:rsidRPr="00D62013">
        <w:rPr>
          <w:rFonts w:cs="TimesNewRomanPSMT"/>
          <w:szCs w:val="18"/>
        </w:rPr>
        <w:t>Kids Online Network (2011)</w:t>
      </w:r>
      <w:r>
        <w:rPr>
          <w:rFonts w:cs="TimesNewRomanPSMT"/>
          <w:szCs w:val="18"/>
        </w:rPr>
        <w:t>, “</w:t>
      </w:r>
      <w:r w:rsidRPr="00D62013">
        <w:rPr>
          <w:rFonts w:cs="TimesNewRomanPSMT"/>
          <w:iCs/>
          <w:szCs w:val="18"/>
        </w:rPr>
        <w:t>EU Kids Online Final Report</w:t>
      </w:r>
      <w:r>
        <w:rPr>
          <w:rFonts w:cs="TimesNewRomanPSMT"/>
          <w:szCs w:val="18"/>
        </w:rPr>
        <w:t>,”</w:t>
      </w:r>
      <w:r w:rsidRPr="00D62013">
        <w:rPr>
          <w:rFonts w:cs="TimesNewRomanPSMT"/>
          <w:szCs w:val="18"/>
        </w:rPr>
        <w:t xml:space="preserve"> London: EU Kids Online.</w:t>
      </w:r>
    </w:p>
    <w:p w:rsidR="0016491A" w:rsidRPr="00415028" w:rsidRDefault="0016491A" w:rsidP="0016491A">
      <w:pPr>
        <w:widowControl w:val="0"/>
        <w:autoSpaceDE w:val="0"/>
        <w:autoSpaceDN w:val="0"/>
        <w:adjustRightInd w:val="0"/>
        <w:spacing w:line="480" w:lineRule="auto"/>
        <w:rPr>
          <w:rFonts w:cs="AdvPS6F01"/>
        </w:rPr>
      </w:pPr>
      <w:r>
        <w:t>Lorenzon, Kristian and Cristel Antonia Russell (2012), “</w:t>
      </w:r>
      <w:r w:rsidRPr="00F30927">
        <w:rPr>
          <w:rFonts w:cs="AdvPS6F01"/>
        </w:rPr>
        <w:t xml:space="preserve">From apathy to ambivalence: How is </w:t>
      </w:r>
      <w:r>
        <w:rPr>
          <w:rFonts w:cs="AdvPS6F01"/>
        </w:rPr>
        <w:tab/>
      </w:r>
      <w:r w:rsidRPr="00F30927">
        <w:rPr>
          <w:rFonts w:cs="AdvPS6F01"/>
        </w:rPr>
        <w:t>persuasion knowledge reflected in</w:t>
      </w:r>
      <w:r>
        <w:rPr>
          <w:rFonts w:cs="AdvPS6F01"/>
        </w:rPr>
        <w:t xml:space="preserve"> </w:t>
      </w:r>
      <w:r w:rsidRPr="00F30927">
        <w:rPr>
          <w:rFonts w:cs="AdvPS6F01"/>
        </w:rPr>
        <w:t>consumers’ comments about in-game advertising?</w:t>
      </w:r>
      <w:r>
        <w:rPr>
          <w:rFonts w:cs="AdvPS6F01"/>
        </w:rPr>
        <w:t xml:space="preserve">”, </w:t>
      </w:r>
      <w:r>
        <w:rPr>
          <w:rFonts w:cs="AdvPS6F01"/>
        </w:rPr>
        <w:tab/>
      </w:r>
      <w:r>
        <w:rPr>
          <w:rFonts w:cs="AdvPS6F01"/>
          <w:i/>
        </w:rPr>
        <w:t xml:space="preserve">Journal of Marketing Communications </w:t>
      </w:r>
      <w:r>
        <w:rPr>
          <w:rFonts w:cs="AdvPS6F01"/>
        </w:rPr>
        <w:t>18 (1) 55-67.</w:t>
      </w:r>
    </w:p>
    <w:p w:rsidR="0016491A" w:rsidRDefault="0016491A" w:rsidP="0016491A">
      <w:pPr>
        <w:spacing w:line="480" w:lineRule="auto"/>
      </w:pPr>
      <w:r>
        <w:t xml:space="preserve">Mallinckrodt, Victoria and Dick Mizerski (2007), “The Effects of Playing an Advergame on </w:t>
      </w:r>
      <w:r>
        <w:tab/>
        <w:t xml:space="preserve">Young Children’s Perceptions, Preferences, and Requests,” </w:t>
      </w:r>
      <w:r>
        <w:rPr>
          <w:i/>
          <w:iCs/>
        </w:rPr>
        <w:t>Journal of Advertising</w:t>
      </w:r>
      <w:r>
        <w:t xml:space="preserve">, 36 </w:t>
      </w:r>
      <w:r>
        <w:tab/>
        <w:t>(2), 87-100.</w:t>
      </w:r>
    </w:p>
    <w:p w:rsidR="0016491A" w:rsidRDefault="0016491A" w:rsidP="0016491A">
      <w:pPr>
        <w:spacing w:line="480" w:lineRule="auto"/>
      </w:pPr>
      <w:r>
        <w:t xml:space="preserve">Matthes, J., Wirth, W., Schemer, C., &amp; Kissling, A. (2011). I See What You Don't See. </w:t>
      </w:r>
      <w:r>
        <w:rPr>
          <w:i/>
        </w:rPr>
        <w:t xml:space="preserve">Journal </w:t>
      </w:r>
      <w:r>
        <w:rPr>
          <w:i/>
        </w:rPr>
        <w:tab/>
        <w:t>Of Advertising</w:t>
      </w:r>
      <w:r>
        <w:t xml:space="preserve">, </w:t>
      </w:r>
      <w:r>
        <w:rPr>
          <w:i/>
        </w:rPr>
        <w:t>40</w:t>
      </w:r>
      <w:r>
        <w:t>(4), 85-100.</w:t>
      </w:r>
    </w:p>
    <w:p w:rsidR="0016491A" w:rsidRDefault="0016491A" w:rsidP="0016491A">
      <w:pPr>
        <w:spacing w:line="480" w:lineRule="auto"/>
      </w:pPr>
      <w:r w:rsidRPr="00FA4867">
        <w:t xml:space="preserve">Moore, Elizabeth S. (2006, July), “It's Childs play: Advergaming and the online marketing of </w:t>
      </w:r>
      <w:r w:rsidRPr="00FA4867">
        <w:tab/>
        <w:t>food to children.” Available: http://www.kff.org/entmedia/7536.cfm.</w:t>
      </w:r>
    </w:p>
    <w:p w:rsidR="0016491A" w:rsidRDefault="0016491A" w:rsidP="0016491A">
      <w:pPr>
        <w:spacing w:line="480" w:lineRule="auto"/>
      </w:pPr>
      <w:r>
        <w:t xml:space="preserve">Moore, Elizabeth S. and Victoria J. Rideout (2007), “The Online Marketing of Food to Children: </w:t>
      </w:r>
      <w:r>
        <w:tab/>
        <w:t xml:space="preserve">Is it Just Fun and Games?” </w:t>
      </w:r>
      <w:r>
        <w:rPr>
          <w:i/>
          <w:iCs/>
        </w:rPr>
        <w:t>Journal of Public Policy &amp; Marketing</w:t>
      </w:r>
      <w:r>
        <w:t>, 26 (2), 202-220.</w:t>
      </w:r>
    </w:p>
    <w:p w:rsidR="0016491A" w:rsidRDefault="0016491A" w:rsidP="0016491A">
      <w:pPr>
        <w:spacing w:line="480" w:lineRule="auto"/>
      </w:pPr>
      <w:r>
        <w:t xml:space="preserve">Morris, Louis A., Michael B. Mazis, and David Brinberg (1989), “Risk Disclosures in Televised </w:t>
      </w:r>
      <w:r>
        <w:tab/>
        <w:t xml:space="preserve">Prescription Drug Advertising to Consumers,” </w:t>
      </w:r>
      <w:r>
        <w:rPr>
          <w:i/>
        </w:rPr>
        <w:t>Journal Of Public Policy &amp; Marketing,</w:t>
      </w:r>
      <w:r>
        <w:t xml:space="preserve"> 8 </w:t>
      </w:r>
      <w:r>
        <w:tab/>
        <w:t>(1), 64-80</w:t>
      </w:r>
    </w:p>
    <w:p w:rsidR="0016491A" w:rsidRPr="009573BB" w:rsidRDefault="0016491A" w:rsidP="0016491A">
      <w:pPr>
        <w:spacing w:line="480" w:lineRule="auto"/>
        <w:rPr>
          <w:i/>
        </w:rPr>
      </w:pPr>
      <w:r>
        <w:t>Moses</w:t>
      </w:r>
      <w:r w:rsidRPr="009573BB">
        <w:t xml:space="preserve"> </w:t>
      </w:r>
      <w:r>
        <w:t xml:space="preserve">Louis J. and Dare A. Baldwin (2005), “What Can the Study of Cognitive Development </w:t>
      </w:r>
      <w:r>
        <w:tab/>
        <w:t xml:space="preserve">Reveal about Children's Ability to Appreciate and Cope with Advertising?” </w:t>
      </w:r>
      <w:r>
        <w:rPr>
          <w:i/>
        </w:rPr>
        <w:t xml:space="preserve">Journal of </w:t>
      </w:r>
      <w:r>
        <w:rPr>
          <w:i/>
        </w:rPr>
        <w:tab/>
        <w:t xml:space="preserve">Public Policy </w:t>
      </w:r>
      <w:r>
        <w:rPr>
          <w:rStyle w:val="HTMLCite"/>
        </w:rPr>
        <w:t>&amp; Marketing</w:t>
      </w:r>
      <w:r>
        <w:t>, 24 (2) 186-201</w:t>
      </w:r>
    </w:p>
    <w:p w:rsidR="0016491A" w:rsidRDefault="0016491A" w:rsidP="0016491A">
      <w:pPr>
        <w:widowControl w:val="0"/>
        <w:autoSpaceDE w:val="0"/>
        <w:autoSpaceDN w:val="0"/>
        <w:adjustRightInd w:val="0"/>
        <w:spacing w:line="480" w:lineRule="auto"/>
      </w:pPr>
      <w:r>
        <w:t xml:space="preserve">Murray, Noel M., Lalita A. Manrai, and Ajay K. Manrai (1998), “How Super Are Video Supers? </w:t>
      </w:r>
      <w:r>
        <w:tab/>
        <w:t xml:space="preserve">A Test of Communication Efficacy,” </w:t>
      </w:r>
      <w:r>
        <w:rPr>
          <w:i/>
        </w:rPr>
        <w:t>Journal Of Public Policy &amp; Marketing,</w:t>
      </w:r>
      <w:r>
        <w:t xml:space="preserve"> 17 (1), 24-</w:t>
      </w:r>
      <w:r>
        <w:tab/>
        <w:t>34.</w:t>
      </w:r>
    </w:p>
    <w:p w:rsidR="0016491A" w:rsidRPr="00FA4867" w:rsidRDefault="0016491A" w:rsidP="0016491A">
      <w:pPr>
        <w:widowControl w:val="0"/>
        <w:autoSpaceDE w:val="0"/>
        <w:autoSpaceDN w:val="0"/>
        <w:adjustRightInd w:val="0"/>
        <w:spacing w:line="480" w:lineRule="auto"/>
        <w:rPr>
          <w:rFonts w:cs="AdvGulliv-R"/>
          <w:i/>
          <w:iCs/>
        </w:rPr>
      </w:pPr>
      <w:r w:rsidRPr="00FA4867">
        <w:rPr>
          <w:rFonts w:cs="AdvGulliv-R"/>
        </w:rPr>
        <w:t xml:space="preserve">Nairn, Agnes, and Cordella Fine (2008), "Who’s Messing With My Mind? The Implications of </w:t>
      </w:r>
      <w:r w:rsidRPr="00FA4867">
        <w:rPr>
          <w:rFonts w:cs="AdvGulliv-R"/>
        </w:rPr>
        <w:tab/>
        <w:t xml:space="preserve">Dual-Process Models for the Ethics of Advertising to Children," </w:t>
      </w:r>
      <w:r w:rsidRPr="00FA4867">
        <w:rPr>
          <w:rFonts w:cs="AdvGulliv-R"/>
          <w:i/>
          <w:iCs/>
        </w:rPr>
        <w:t>International Journal of</w:t>
      </w:r>
    </w:p>
    <w:p w:rsidR="0016491A" w:rsidRPr="001A290A" w:rsidRDefault="0016491A" w:rsidP="0016491A">
      <w:pPr>
        <w:widowControl w:val="0"/>
        <w:autoSpaceDE w:val="0"/>
        <w:autoSpaceDN w:val="0"/>
        <w:adjustRightInd w:val="0"/>
        <w:spacing w:line="480" w:lineRule="auto"/>
        <w:rPr>
          <w:rFonts w:cs="AdvGulliv-R"/>
        </w:rPr>
      </w:pPr>
      <w:r w:rsidRPr="00FA4867">
        <w:rPr>
          <w:rFonts w:cs="AdvGulliv-R"/>
          <w:i/>
          <w:iCs/>
        </w:rPr>
        <w:tab/>
        <w:t>Advertising, 27</w:t>
      </w:r>
      <w:r w:rsidRPr="00FA4867">
        <w:rPr>
          <w:rFonts w:cs="AdvGulliv-R"/>
        </w:rPr>
        <w:t>(3), 447–470.</w:t>
      </w:r>
    </w:p>
    <w:p w:rsidR="0016491A" w:rsidRDefault="0016491A" w:rsidP="0016491A">
      <w:pPr>
        <w:spacing w:line="480" w:lineRule="auto"/>
      </w:pPr>
      <w:r>
        <w:t xml:space="preserve">Nelson, Michelle R., Heejo Keum, and Ronald Yaros (2004), “Advertainment or adcreep? Game </w:t>
      </w:r>
      <w:r>
        <w:tab/>
        <w:t xml:space="preserve">players’ attitudes toward advertising and product placements in computer games,” </w:t>
      </w:r>
      <w:r>
        <w:tab/>
      </w:r>
      <w:r>
        <w:rPr>
          <w:i/>
          <w:iCs/>
        </w:rPr>
        <w:t xml:space="preserve">Journal of Interactive </w:t>
      </w:r>
      <w:r>
        <w:rPr>
          <w:i/>
          <w:iCs/>
        </w:rPr>
        <w:tab/>
        <w:t xml:space="preserve">Advertising, </w:t>
      </w:r>
      <w:r>
        <w:t>5</w:t>
      </w:r>
      <w:r>
        <w:rPr>
          <w:i/>
          <w:iCs/>
        </w:rPr>
        <w:t xml:space="preserve"> </w:t>
      </w:r>
      <w:r>
        <w:t>(Fall).</w:t>
      </w:r>
    </w:p>
    <w:p w:rsidR="0016491A" w:rsidRDefault="0016491A" w:rsidP="0016491A">
      <w:pPr>
        <w:spacing w:line="480" w:lineRule="auto"/>
      </w:pPr>
      <w:r>
        <w:t xml:space="preserve">Nowak, Peter (2010), “Parents Unaware of Kids’ Online Gaming: Survey,” Available: </w:t>
      </w:r>
      <w:r>
        <w:tab/>
      </w:r>
      <w:r w:rsidRPr="004578D1">
        <w:t>http://www.cbc.ca/technology/story/2010/09/28/video-games-children.html</w:t>
      </w:r>
      <w:r>
        <w:t>.</w:t>
      </w:r>
    </w:p>
    <w:p w:rsidR="0016491A" w:rsidRDefault="0016491A" w:rsidP="0016491A">
      <w:pPr>
        <w:spacing w:line="480" w:lineRule="auto"/>
      </w:pPr>
      <w:r>
        <w:t xml:space="preserve">Owens, Laura, Charlie Lewis, Susan Auty and Moniek Buijzen (2012), “Is Children’s </w:t>
      </w:r>
      <w:r>
        <w:tab/>
        <w:t xml:space="preserve">Understanding of Non-Traditional Advertising Comparable to Their Understanding of </w:t>
      </w:r>
      <w:r>
        <w:tab/>
        <w:t xml:space="preserve">Television Advertising, </w:t>
      </w:r>
      <w:r>
        <w:rPr>
          <w:i/>
        </w:rPr>
        <w:t>Journal of Public Policy and Marketing.</w:t>
      </w:r>
      <w:r>
        <w:t xml:space="preserve">   </w:t>
      </w:r>
    </w:p>
    <w:p w:rsidR="0016491A" w:rsidRDefault="0016491A" w:rsidP="0016491A">
      <w:pPr>
        <w:spacing w:line="480" w:lineRule="auto"/>
      </w:pPr>
      <w:r>
        <w:t xml:space="preserve">Palmer, Edward L., and Cynthia N. McDowell (1979), “Program/Commercial Separators in </w:t>
      </w:r>
      <w:r>
        <w:tab/>
        <w:t xml:space="preserve">Children's Television Programming,” </w:t>
      </w:r>
      <w:r>
        <w:rPr>
          <w:i/>
        </w:rPr>
        <w:t>Journal Of Communication</w:t>
      </w:r>
      <w:r>
        <w:t xml:space="preserve"> 29, 197-201.</w:t>
      </w:r>
    </w:p>
    <w:p w:rsidR="0016491A" w:rsidRDefault="0016491A" w:rsidP="0016491A">
      <w:pPr>
        <w:widowControl w:val="0"/>
        <w:autoSpaceDE w:val="0"/>
        <w:autoSpaceDN w:val="0"/>
        <w:adjustRightInd w:val="0"/>
        <w:spacing w:line="480" w:lineRule="auto"/>
        <w:rPr>
          <w:rFonts w:cs="Times-Roman"/>
          <w:szCs w:val="20"/>
        </w:rPr>
      </w:pPr>
      <w:r w:rsidRPr="002A7E2C">
        <w:rPr>
          <w:rFonts w:cs="Times-Roman"/>
          <w:szCs w:val="18"/>
        </w:rPr>
        <w:t>Paivi</w:t>
      </w:r>
      <w:r>
        <w:rPr>
          <w:rFonts w:cs="Times-Roman"/>
          <w:szCs w:val="18"/>
        </w:rPr>
        <w:t>o. Alan (1971),</w:t>
      </w:r>
      <w:r w:rsidRPr="002A7E2C">
        <w:rPr>
          <w:rFonts w:cs="Times-Roman"/>
          <w:szCs w:val="18"/>
        </w:rPr>
        <w:t xml:space="preserve"> </w:t>
      </w:r>
      <w:r>
        <w:rPr>
          <w:rFonts w:cs="Times-Roman"/>
          <w:szCs w:val="18"/>
        </w:rPr>
        <w:t>“</w:t>
      </w:r>
      <w:r>
        <w:rPr>
          <w:rFonts w:cs="Times-Roman"/>
          <w:iCs/>
          <w:szCs w:val="18"/>
        </w:rPr>
        <w:t>Imagery and Verb</w:t>
      </w:r>
      <w:r w:rsidRPr="002A7E2C">
        <w:rPr>
          <w:rFonts w:cs="Times-Roman"/>
          <w:iCs/>
          <w:szCs w:val="18"/>
        </w:rPr>
        <w:t>al Processes</w:t>
      </w:r>
      <w:r>
        <w:rPr>
          <w:rFonts w:cs="Times-Roman"/>
          <w:iCs/>
          <w:szCs w:val="18"/>
        </w:rPr>
        <w:t>,”</w:t>
      </w:r>
      <w:r w:rsidRPr="002A7E2C">
        <w:rPr>
          <w:rFonts w:cs="Times-Roman"/>
          <w:iCs/>
          <w:szCs w:val="18"/>
        </w:rPr>
        <w:t xml:space="preserve"> </w:t>
      </w:r>
      <w:r w:rsidRPr="002A7E2C">
        <w:rPr>
          <w:rFonts w:cs="Times-Roman"/>
          <w:szCs w:val="18"/>
        </w:rPr>
        <w:t>New</w:t>
      </w:r>
      <w:r>
        <w:rPr>
          <w:rFonts w:cs="Times-Roman"/>
          <w:szCs w:val="18"/>
        </w:rPr>
        <w:t xml:space="preserve"> </w:t>
      </w:r>
      <w:r w:rsidRPr="002A7E2C">
        <w:rPr>
          <w:rFonts w:cs="Times-Roman"/>
          <w:szCs w:val="20"/>
        </w:rPr>
        <w:t>York: Holt, Rinehart &amp; Winston.</w:t>
      </w:r>
    </w:p>
    <w:p w:rsidR="0016491A" w:rsidRDefault="0016491A" w:rsidP="0016491A">
      <w:pPr>
        <w:widowControl w:val="0"/>
        <w:autoSpaceDE w:val="0"/>
        <w:autoSpaceDN w:val="0"/>
        <w:adjustRightInd w:val="0"/>
        <w:spacing w:line="480" w:lineRule="auto"/>
      </w:pPr>
      <w:r>
        <w:t xml:space="preserve">Paas, F., Tuovinen, J. E., Tabbers, H., &amp; Van Gerven, P. M. (2003). Cognitive Load </w:t>
      </w:r>
      <w:r>
        <w:tab/>
        <w:t xml:space="preserve">Measurement as a Means to Advance Cognitive Load Theory. </w:t>
      </w:r>
      <w:r>
        <w:rPr>
          <w:i/>
        </w:rPr>
        <w:t>Educational Psychologist</w:t>
      </w:r>
      <w:r>
        <w:t xml:space="preserve">, </w:t>
      </w:r>
      <w:r>
        <w:tab/>
      </w:r>
      <w:r>
        <w:rPr>
          <w:i/>
        </w:rPr>
        <w:t>38</w:t>
      </w:r>
      <w:r>
        <w:t>(1), 63-71.</w:t>
      </w:r>
    </w:p>
    <w:p w:rsidR="0016491A" w:rsidRDefault="0016491A" w:rsidP="0016491A">
      <w:pPr>
        <w:widowControl w:val="0"/>
        <w:autoSpaceDE w:val="0"/>
        <w:autoSpaceDN w:val="0"/>
        <w:adjustRightInd w:val="0"/>
        <w:spacing w:line="480" w:lineRule="auto"/>
        <w:rPr>
          <w:rFonts w:cs="Times-Roman"/>
          <w:szCs w:val="16"/>
        </w:rPr>
      </w:pPr>
      <w:r w:rsidRPr="00F022BA">
        <w:rPr>
          <w:rFonts w:cs="Times-Roman"/>
          <w:szCs w:val="16"/>
        </w:rPr>
        <w:t xml:space="preserve">Paas, F., &amp; van Merriënboer, J. J. G. (1993). </w:t>
      </w:r>
      <w:r>
        <w:rPr>
          <w:rFonts w:cs="Times-Roman"/>
          <w:szCs w:val="16"/>
        </w:rPr>
        <w:t xml:space="preserve">The efficiency of instructional </w:t>
      </w:r>
      <w:r w:rsidRPr="00F022BA">
        <w:rPr>
          <w:rFonts w:cs="Times-Roman"/>
          <w:szCs w:val="16"/>
        </w:rPr>
        <w:t xml:space="preserve">conditions: An </w:t>
      </w:r>
      <w:r>
        <w:rPr>
          <w:rFonts w:cs="Times-Roman"/>
          <w:szCs w:val="16"/>
        </w:rPr>
        <w:tab/>
      </w:r>
      <w:r w:rsidRPr="00F022BA">
        <w:rPr>
          <w:rFonts w:cs="Times-Roman"/>
          <w:szCs w:val="16"/>
        </w:rPr>
        <w:t>approach to combine mental effort and performance</w:t>
      </w:r>
      <w:r>
        <w:rPr>
          <w:rFonts w:cs="Times-Roman"/>
          <w:szCs w:val="16"/>
        </w:rPr>
        <w:t xml:space="preserve"> </w:t>
      </w:r>
      <w:r w:rsidRPr="00F022BA">
        <w:rPr>
          <w:rFonts w:cs="Times-Roman"/>
          <w:szCs w:val="16"/>
        </w:rPr>
        <w:t xml:space="preserve">measures. </w:t>
      </w:r>
      <w:r w:rsidRPr="00F022BA">
        <w:rPr>
          <w:rFonts w:cs="Times-Roman"/>
          <w:i/>
          <w:iCs/>
          <w:szCs w:val="16"/>
        </w:rPr>
        <w:t xml:space="preserve">Human Factors, 35, </w:t>
      </w:r>
      <w:r w:rsidRPr="00F022BA">
        <w:rPr>
          <w:rFonts w:cs="Times-Roman"/>
          <w:szCs w:val="16"/>
        </w:rPr>
        <w:t>737–</w:t>
      </w:r>
      <w:r>
        <w:rPr>
          <w:rFonts w:cs="Times-Roman"/>
          <w:szCs w:val="16"/>
        </w:rPr>
        <w:tab/>
      </w:r>
      <w:r w:rsidRPr="00F022BA">
        <w:rPr>
          <w:rFonts w:cs="Times-Roman"/>
          <w:szCs w:val="16"/>
        </w:rPr>
        <w:t>743.</w:t>
      </w:r>
    </w:p>
    <w:p w:rsidR="0016491A" w:rsidRPr="00F022BA" w:rsidRDefault="0016491A" w:rsidP="0016491A">
      <w:pPr>
        <w:widowControl w:val="0"/>
        <w:autoSpaceDE w:val="0"/>
        <w:autoSpaceDN w:val="0"/>
        <w:adjustRightInd w:val="0"/>
        <w:spacing w:line="480" w:lineRule="auto"/>
        <w:rPr>
          <w:rFonts w:cs="Times-Roman"/>
          <w:szCs w:val="16"/>
        </w:rPr>
      </w:pPr>
      <w:r>
        <w:t xml:space="preserve">Petty, R. D., &amp; Andrews, J. (2008). Covert Marketing Unmasked: A Legal and Regulatory Guide </w:t>
      </w:r>
      <w:r>
        <w:tab/>
        <w:t xml:space="preserve">for Practices That Mask Marketing Messages. </w:t>
      </w:r>
      <w:r>
        <w:rPr>
          <w:i/>
        </w:rPr>
        <w:t>Journal Of Public Policy &amp; Marketing</w:t>
      </w:r>
      <w:r>
        <w:t xml:space="preserve">, </w:t>
      </w:r>
      <w:r>
        <w:tab/>
      </w:r>
      <w:r>
        <w:rPr>
          <w:i/>
        </w:rPr>
        <w:t>27</w:t>
      </w:r>
      <w:r>
        <w:t>(1), 7-18. doi:10.1509/jppm.27.1.7</w:t>
      </w:r>
    </w:p>
    <w:p w:rsidR="0016491A" w:rsidRDefault="0016491A" w:rsidP="0016491A">
      <w:pPr>
        <w:spacing w:line="480" w:lineRule="auto"/>
      </w:pPr>
      <w:r w:rsidRPr="00FA4867">
        <w:t xml:space="preserve">Quilliam, Elizabeth Taylor, Mira Lee, Richard T. Cole and Mikyoung Kim (2011), “The Impetus </w:t>
      </w:r>
      <w:r w:rsidRPr="00FA4867">
        <w:tab/>
        <w:t>for (And Limited Powe</w:t>
      </w:r>
      <w:r>
        <w:t>r of) Business Self-Regulation:</w:t>
      </w:r>
      <w:r w:rsidRPr="00FA4867">
        <w:t xml:space="preserve"> The Example of Advergames,” </w:t>
      </w:r>
      <w:r w:rsidRPr="00FA4867">
        <w:tab/>
      </w:r>
      <w:r w:rsidRPr="00FA4867">
        <w:rPr>
          <w:i/>
          <w:iCs/>
        </w:rPr>
        <w:t>Journal of Consumer Affairs</w:t>
      </w:r>
      <w:r w:rsidRPr="00FA4867">
        <w:t>, (Summer), 224-247</w:t>
      </w:r>
      <w:r>
        <w:t>.</w:t>
      </w:r>
    </w:p>
    <w:p w:rsidR="0016491A" w:rsidRPr="00B00E20" w:rsidRDefault="0016491A" w:rsidP="0016491A">
      <w:pPr>
        <w:widowControl w:val="0"/>
        <w:autoSpaceDE w:val="0"/>
        <w:autoSpaceDN w:val="0"/>
        <w:adjustRightInd w:val="0"/>
        <w:spacing w:line="480" w:lineRule="auto"/>
        <w:rPr>
          <w:rFonts w:cs="AdvEPSTIM"/>
          <w:szCs w:val="34"/>
        </w:rPr>
      </w:pPr>
      <w:r w:rsidRPr="00B00E20">
        <w:t xml:space="preserve">Rienhard, </w:t>
      </w:r>
      <w:r w:rsidRPr="00B00E20">
        <w:rPr>
          <w:rFonts w:cs="AdvEPSTIM"/>
          <w:szCs w:val="26"/>
        </w:rPr>
        <w:t>Marc-Andre</w:t>
      </w:r>
      <w:r w:rsidRPr="00B00E20">
        <w:t xml:space="preserve"> &amp; Sporer, </w:t>
      </w:r>
      <w:r w:rsidRPr="00B00E20">
        <w:rPr>
          <w:rFonts w:cs="AdvEPSTIM"/>
          <w:szCs w:val="26"/>
        </w:rPr>
        <w:t>Siegfried L.</w:t>
      </w:r>
      <w:r>
        <w:rPr>
          <w:rFonts w:cs="AdvEPSTIM"/>
          <w:szCs w:val="26"/>
        </w:rPr>
        <w:t xml:space="preserve"> (</w:t>
      </w:r>
      <w:r w:rsidRPr="00B00E20">
        <w:t>2008</w:t>
      </w:r>
      <w:r>
        <w:t xml:space="preserve">). </w:t>
      </w:r>
      <w:r w:rsidRPr="00B00E20">
        <w:rPr>
          <w:rFonts w:cs="AdvEPSTIM"/>
          <w:szCs w:val="34"/>
        </w:rPr>
        <w:t xml:space="preserve">Verbal and nonverbal behaviour as a basis </w:t>
      </w:r>
      <w:r>
        <w:rPr>
          <w:rFonts w:cs="AdvEPSTIM"/>
          <w:szCs w:val="34"/>
        </w:rPr>
        <w:tab/>
      </w:r>
      <w:r w:rsidRPr="00B00E20">
        <w:rPr>
          <w:rFonts w:cs="AdvEPSTIM"/>
          <w:szCs w:val="34"/>
        </w:rPr>
        <w:t xml:space="preserve">for credibility attribution: The impact of task involvement and cognitive capacity Journal </w:t>
      </w:r>
      <w:r>
        <w:rPr>
          <w:rFonts w:cs="AdvEPSTIM"/>
          <w:szCs w:val="34"/>
        </w:rPr>
        <w:tab/>
      </w:r>
      <w:r w:rsidRPr="00B00E20">
        <w:rPr>
          <w:rFonts w:cs="AdvEPSTIM"/>
          <w:szCs w:val="34"/>
        </w:rPr>
        <w:t>of Experimental Psychology, 44</w:t>
      </w:r>
      <w:r>
        <w:rPr>
          <w:rFonts w:cs="AdvEPSTIM"/>
          <w:szCs w:val="34"/>
        </w:rPr>
        <w:t>,</w:t>
      </w:r>
      <w:r w:rsidRPr="00B00E20">
        <w:rPr>
          <w:rFonts w:cs="AdvEPSTIM"/>
          <w:szCs w:val="34"/>
        </w:rPr>
        <w:t xml:space="preserve"> 477-488</w:t>
      </w:r>
    </w:p>
    <w:p w:rsidR="0016491A" w:rsidRDefault="0016491A" w:rsidP="0016491A">
      <w:pPr>
        <w:widowControl w:val="0"/>
        <w:autoSpaceDE w:val="0"/>
        <w:autoSpaceDN w:val="0"/>
        <w:adjustRightInd w:val="0"/>
        <w:spacing w:line="480" w:lineRule="auto"/>
      </w:pPr>
      <w:r>
        <w:t xml:space="preserve">Rozendaal, Esther, Moniek Buijzen and Patti. Valkenburg. (2010), “Comparing children’s and </w:t>
      </w:r>
      <w:r>
        <w:rPr>
          <w:rFonts w:ascii="AdvPS6F00" w:hAnsi="AdvPS6F00" w:cs="AdvPS6F00"/>
        </w:rPr>
        <w:tab/>
      </w:r>
      <w:r>
        <w:t xml:space="preserve">adults’ </w:t>
      </w:r>
      <w:r>
        <w:tab/>
        <w:t xml:space="preserve">cognitive advertising competences in the Netherlands,” </w:t>
      </w:r>
      <w:r>
        <w:rPr>
          <w:i/>
          <w:iCs/>
        </w:rPr>
        <w:t xml:space="preserve">Journal of Children and </w:t>
      </w:r>
      <w:r>
        <w:rPr>
          <w:rFonts w:ascii="AdvPS6F00" w:hAnsi="AdvPS6F00" w:cs="AdvPS6F00"/>
          <w:i/>
          <w:iCs/>
        </w:rPr>
        <w:tab/>
      </w:r>
      <w:r>
        <w:rPr>
          <w:i/>
          <w:iCs/>
        </w:rPr>
        <w:t>Media</w:t>
      </w:r>
      <w:r>
        <w:t>, 4, 77–</w:t>
      </w:r>
      <w:r>
        <w:rPr>
          <w:rFonts w:ascii="AdvPS6F00" w:hAnsi="AdvPS6F00" w:cs="AdvPS6F00"/>
        </w:rPr>
        <w:tab/>
      </w:r>
      <w:r>
        <w:t>89.</w:t>
      </w:r>
    </w:p>
    <w:p w:rsidR="0016491A" w:rsidRDefault="0016491A" w:rsidP="0016491A">
      <w:pPr>
        <w:widowControl w:val="0"/>
        <w:autoSpaceDE w:val="0"/>
        <w:autoSpaceDN w:val="0"/>
        <w:adjustRightInd w:val="0"/>
        <w:spacing w:line="480" w:lineRule="auto"/>
      </w:pPr>
      <w:r>
        <w:t xml:space="preserve">Shrum, L. J., Min Liu, Mark Nespoli and Tina M. Lowrey (2012), “Persuasion in the </w:t>
      </w:r>
      <w:r>
        <w:tab/>
        <w:t xml:space="preserve">Marketplace: How Theories of Persuasion Apply to Marketing and Advertising,” in </w:t>
      </w:r>
      <w:r>
        <w:rPr>
          <w:i/>
          <w:iCs/>
        </w:rPr>
        <w:t>The</w:t>
      </w:r>
      <w:r>
        <w:t xml:space="preserve"> </w:t>
      </w:r>
      <w:r>
        <w:rPr>
          <w:rFonts w:ascii="TimesNewRomanPSMT" w:hAnsi="TimesNewRomanPSMT" w:cs="TimesNewRomanPSMT"/>
        </w:rPr>
        <w:tab/>
      </w:r>
      <w:r>
        <w:rPr>
          <w:i/>
          <w:iCs/>
        </w:rPr>
        <w:t>Persuasion Handbook</w:t>
      </w:r>
      <w:r>
        <w:t>, eds. James Dillard &amp; Lijiang Shen, Thousand Oaks, CA: Sage.</w:t>
      </w:r>
    </w:p>
    <w:p w:rsidR="0016491A" w:rsidRDefault="0016491A" w:rsidP="0016491A">
      <w:pPr>
        <w:widowControl w:val="0"/>
        <w:autoSpaceDE w:val="0"/>
        <w:autoSpaceDN w:val="0"/>
        <w:adjustRightInd w:val="0"/>
        <w:spacing w:line="480" w:lineRule="auto"/>
      </w:pPr>
      <w:r>
        <w:t xml:space="preserve">Smith, Sandra J. (1990), “The Impact of Product Usage Warnings in Alcoholic Beverage </w:t>
      </w:r>
      <w:r>
        <w:tab/>
        <w:t xml:space="preserve">Advertising.” </w:t>
      </w:r>
      <w:r>
        <w:rPr>
          <w:i/>
        </w:rPr>
        <w:t>Journal Of Public Policy &amp; Marketing,</w:t>
      </w:r>
      <w:r>
        <w:t xml:space="preserve"> 9 (1), 16-29.</w:t>
      </w:r>
    </w:p>
    <w:p w:rsidR="0016491A" w:rsidRDefault="0016491A" w:rsidP="0016491A">
      <w:pPr>
        <w:widowControl w:val="0"/>
        <w:autoSpaceDE w:val="0"/>
        <w:autoSpaceDN w:val="0"/>
        <w:adjustRightInd w:val="0"/>
        <w:spacing w:line="480" w:lineRule="auto"/>
      </w:pPr>
      <w:r>
        <w:t xml:space="preserve">Sorbring, Emma, and Linda Lundin (2012), “Mothers’ and fathers’ insights into teenagers’ use of </w:t>
      </w:r>
      <w:r>
        <w:tab/>
        <w:t xml:space="preserve">the internet,” </w:t>
      </w:r>
      <w:r>
        <w:rPr>
          <w:i/>
        </w:rPr>
        <w:t>New Media &amp; Society,</w:t>
      </w:r>
      <w:r>
        <w:t xml:space="preserve"> 14 (7), 1181-1197.</w:t>
      </w:r>
    </w:p>
    <w:p w:rsidR="0016491A" w:rsidRPr="00783962" w:rsidRDefault="0016491A" w:rsidP="0016491A">
      <w:pPr>
        <w:widowControl w:val="0"/>
        <w:autoSpaceDE w:val="0"/>
        <w:autoSpaceDN w:val="0"/>
        <w:adjustRightInd w:val="0"/>
        <w:spacing w:line="480" w:lineRule="auto"/>
        <w:rPr>
          <w:rFonts w:cs="TimesNewRomanPSMT"/>
          <w:szCs w:val="18"/>
        </w:rPr>
      </w:pPr>
      <w:r w:rsidRPr="00783962">
        <w:rPr>
          <w:rFonts w:cs="TimesNewRomanPSMT"/>
          <w:szCs w:val="18"/>
        </w:rPr>
        <w:t>Stattin H</w:t>
      </w:r>
      <w:r>
        <w:rPr>
          <w:rFonts w:cs="TimesNewRomanPSMT"/>
          <w:szCs w:val="18"/>
        </w:rPr>
        <w:t>akan</w:t>
      </w:r>
      <w:r w:rsidRPr="00783962">
        <w:rPr>
          <w:rFonts w:cs="TimesNewRomanPSMT"/>
          <w:szCs w:val="18"/>
        </w:rPr>
        <w:t xml:space="preserve"> and </w:t>
      </w:r>
      <w:r>
        <w:rPr>
          <w:rFonts w:cs="TimesNewRomanPSMT"/>
          <w:szCs w:val="18"/>
        </w:rPr>
        <w:t xml:space="preserve">Margaret </w:t>
      </w:r>
      <w:r w:rsidRPr="00783962">
        <w:rPr>
          <w:rFonts w:cs="TimesNewRomanPSMT"/>
          <w:szCs w:val="18"/>
        </w:rPr>
        <w:t>Kerr (2000)</w:t>
      </w:r>
      <w:r>
        <w:rPr>
          <w:rFonts w:cs="TimesNewRomanPSMT"/>
          <w:szCs w:val="18"/>
        </w:rPr>
        <w:t>,</w:t>
      </w:r>
      <w:r w:rsidRPr="00783962">
        <w:rPr>
          <w:rFonts w:cs="TimesNewRomanPSMT"/>
          <w:szCs w:val="18"/>
        </w:rPr>
        <w:t xml:space="preserve"> </w:t>
      </w:r>
      <w:r>
        <w:rPr>
          <w:rFonts w:cs="TimesNewRomanPSMT"/>
          <w:szCs w:val="18"/>
        </w:rPr>
        <w:t>“Parenting Monitoring: A Reinterpretation,”</w:t>
      </w:r>
      <w:r w:rsidRPr="00783962">
        <w:rPr>
          <w:rFonts w:cs="TimesNewRomanPSMT"/>
          <w:szCs w:val="18"/>
        </w:rPr>
        <w:t xml:space="preserve"> </w:t>
      </w:r>
      <w:r w:rsidRPr="00783962">
        <w:rPr>
          <w:rFonts w:cs="TimesNewRomanPSMT"/>
          <w:i/>
          <w:iCs/>
          <w:szCs w:val="18"/>
        </w:rPr>
        <w:t xml:space="preserve">Child </w:t>
      </w:r>
      <w:r>
        <w:rPr>
          <w:rFonts w:cs="TimesNewRomanPSMT"/>
          <w:i/>
          <w:iCs/>
          <w:szCs w:val="18"/>
        </w:rPr>
        <w:tab/>
      </w:r>
      <w:r w:rsidRPr="00783962">
        <w:rPr>
          <w:rFonts w:cs="TimesNewRomanPSMT"/>
          <w:i/>
          <w:iCs/>
          <w:szCs w:val="18"/>
        </w:rPr>
        <w:t>Development</w:t>
      </w:r>
      <w:r>
        <w:rPr>
          <w:rFonts w:cs="TimesNewRomanPSMT"/>
          <w:i/>
          <w:iCs/>
          <w:szCs w:val="18"/>
        </w:rPr>
        <w:t xml:space="preserve">, </w:t>
      </w:r>
      <w:r>
        <w:rPr>
          <w:rFonts w:cs="TimesNewRomanPSMT"/>
          <w:szCs w:val="18"/>
        </w:rPr>
        <w:t xml:space="preserve">71 (4) </w:t>
      </w:r>
      <w:r w:rsidRPr="00783962">
        <w:rPr>
          <w:rFonts w:cs="TimesNewRomanPSMT"/>
          <w:szCs w:val="18"/>
        </w:rPr>
        <w:t>1072–1085.</w:t>
      </w:r>
    </w:p>
    <w:p w:rsidR="0016491A" w:rsidRPr="00415028" w:rsidRDefault="0016491A" w:rsidP="0016491A">
      <w:pPr>
        <w:widowControl w:val="0"/>
        <w:autoSpaceDE w:val="0"/>
        <w:autoSpaceDN w:val="0"/>
        <w:adjustRightInd w:val="0"/>
        <w:spacing w:line="480" w:lineRule="auto"/>
      </w:pPr>
      <w:r>
        <w:t xml:space="preserve">Stephens, Nancy, and Mary Ann Stutts (1982), “Preschoolers' Ability To Distinguish Between </w:t>
      </w:r>
      <w:r>
        <w:tab/>
        <w:t xml:space="preserve">Television Programming And Commercials,” </w:t>
      </w:r>
      <w:r>
        <w:rPr>
          <w:i/>
        </w:rPr>
        <w:t>Journal Of Advertising</w:t>
      </w:r>
      <w:r>
        <w:t xml:space="preserve"> 11 (2), 16-26</w:t>
      </w:r>
    </w:p>
    <w:p w:rsidR="0016491A" w:rsidRDefault="0016491A" w:rsidP="0016491A">
      <w:pPr>
        <w:spacing w:line="480" w:lineRule="auto"/>
      </w:pPr>
      <w:r w:rsidRPr="00FA4867">
        <w:t xml:space="preserve">Story, Mary and Simone French (2004), “Food Advertising and Marketing Directed at Children </w:t>
      </w:r>
      <w:r w:rsidRPr="00FA4867">
        <w:tab/>
        <w:t xml:space="preserve">and Adolescents in the US,” </w:t>
      </w:r>
      <w:r w:rsidRPr="00FA4867">
        <w:rPr>
          <w:i/>
          <w:iCs/>
        </w:rPr>
        <w:t xml:space="preserve">International Journal of Behavioral Nutrition and Physical </w:t>
      </w:r>
      <w:r w:rsidRPr="00FA4867">
        <w:rPr>
          <w:i/>
          <w:iCs/>
        </w:rPr>
        <w:tab/>
        <w:t>Activity</w:t>
      </w:r>
      <w:r w:rsidRPr="00FA4867">
        <w:t>, 1 (3). Available</w:t>
      </w:r>
      <w:r w:rsidRPr="00CA07BF">
        <w:t xml:space="preserve">: </w:t>
      </w:r>
      <w:r w:rsidRPr="00983A07">
        <w:t>http://www.ncbi.nlm.nih.gov/pmc/articles/PMC416565/</w:t>
      </w:r>
    </w:p>
    <w:p w:rsidR="0016491A" w:rsidRDefault="0016491A" w:rsidP="0016491A">
      <w:pPr>
        <w:spacing w:line="480" w:lineRule="auto"/>
      </w:pPr>
      <w:r>
        <w:t xml:space="preserve">Stutts, Mary Ann, Donald Vance, and Sarah Hudleson (1981), “Program-Commercial Separators </w:t>
      </w:r>
      <w:r>
        <w:tab/>
        <w:t xml:space="preserve">In Children's Television: Do They Help A Child Tell The Difference Between Bugs </w:t>
      </w:r>
      <w:r>
        <w:tab/>
        <w:t xml:space="preserve">Bunny And The Quik Rabbit?” </w:t>
      </w:r>
      <w:r>
        <w:rPr>
          <w:i/>
        </w:rPr>
        <w:t>Journal Of Advertising</w:t>
      </w:r>
      <w:r>
        <w:t xml:space="preserve"> 10 (2),16-48.</w:t>
      </w:r>
    </w:p>
    <w:p w:rsidR="0016491A" w:rsidRPr="00CA07BF" w:rsidRDefault="0016491A" w:rsidP="0016491A">
      <w:pPr>
        <w:spacing w:line="480" w:lineRule="auto"/>
        <w:rPr>
          <w:rFonts w:cs="AdvTimes"/>
          <w:szCs w:val="16"/>
        </w:rPr>
      </w:pPr>
      <w:r w:rsidRPr="00EF6CC1">
        <w:rPr>
          <w:rFonts w:cs="AdvTimes"/>
          <w:szCs w:val="16"/>
        </w:rPr>
        <w:t>Tanaka, K</w:t>
      </w:r>
      <w:r>
        <w:rPr>
          <w:rFonts w:cs="AdvTimes"/>
          <w:szCs w:val="16"/>
        </w:rPr>
        <w:t>oichi</w:t>
      </w:r>
      <w:r w:rsidRPr="00EF6CC1">
        <w:rPr>
          <w:rFonts w:cs="AdvTimes"/>
          <w:szCs w:val="16"/>
        </w:rPr>
        <w:t xml:space="preserve"> (1994/1999). </w:t>
      </w:r>
      <w:r w:rsidRPr="00EF6CC1">
        <w:rPr>
          <w:rFonts w:cs="AdvTimes"/>
          <w:i/>
          <w:szCs w:val="16"/>
        </w:rPr>
        <w:t xml:space="preserve">Advertising language: A pragmatic approach to advertisements in </w:t>
      </w:r>
      <w:r>
        <w:rPr>
          <w:rFonts w:cs="AdvTimes"/>
          <w:i/>
          <w:szCs w:val="16"/>
        </w:rPr>
        <w:tab/>
      </w:r>
      <w:r w:rsidRPr="00EF6CC1">
        <w:rPr>
          <w:rFonts w:cs="AdvTimes"/>
          <w:i/>
          <w:szCs w:val="16"/>
        </w:rPr>
        <w:t>Britain and Japan.</w:t>
      </w:r>
      <w:r w:rsidRPr="00EF6CC1">
        <w:rPr>
          <w:rFonts w:cs="AdvTimes"/>
          <w:szCs w:val="16"/>
        </w:rPr>
        <w:t xml:space="preserve"> Routledge, London.</w:t>
      </w:r>
    </w:p>
    <w:p w:rsidR="0016491A" w:rsidRPr="00415028" w:rsidRDefault="0016491A" w:rsidP="0016491A">
      <w:pPr>
        <w:spacing w:line="480" w:lineRule="auto"/>
      </w:pPr>
      <w:r>
        <w:t xml:space="preserve">Tutaj, Karolina and Eva A. van Reijmersdal (2012), “Effects of online advertising format and </w:t>
      </w:r>
      <w:r>
        <w:tab/>
        <w:t xml:space="preserve">persuasion knowledge on audience reactions,” </w:t>
      </w:r>
      <w:r>
        <w:rPr>
          <w:i/>
          <w:iCs/>
        </w:rPr>
        <w:t>Journal Of Marketing Communications</w:t>
      </w:r>
      <w:r>
        <w:t xml:space="preserve">, </w:t>
      </w:r>
      <w:r>
        <w:tab/>
        <w:t xml:space="preserve">18(1), 5-18. </w:t>
      </w:r>
    </w:p>
    <w:p w:rsidR="0016491A" w:rsidRDefault="0016491A" w:rsidP="0016491A">
      <w:pPr>
        <w:widowControl w:val="0"/>
        <w:autoSpaceDE w:val="0"/>
        <w:autoSpaceDN w:val="0"/>
        <w:adjustRightInd w:val="0"/>
        <w:spacing w:line="480" w:lineRule="auto"/>
        <w:rPr>
          <w:rFonts w:cs="AdvGulliv-R"/>
        </w:rPr>
      </w:pPr>
      <w:r w:rsidRPr="00FA4867">
        <w:rPr>
          <w:rFonts w:cs="AdvGulliv-R"/>
          <w:color w:val="000000"/>
        </w:rPr>
        <w:t>van Reijmersdal, Eva A.,  Jeroen Jansz, Oscar Peters, and Guda van Noort (2010), "</w:t>
      </w:r>
      <w:r w:rsidRPr="00FA4867">
        <w:rPr>
          <w:rFonts w:cs="AdvGulliv-R"/>
        </w:rPr>
        <w:t xml:space="preserve">The Effects </w:t>
      </w:r>
      <w:r w:rsidRPr="00FA4867">
        <w:rPr>
          <w:rFonts w:cs="AdvGulliv-R"/>
        </w:rPr>
        <w:tab/>
        <w:t xml:space="preserve">of Interactive Brand Placements in Online Games on Children’s Cognitive, Affective, </w:t>
      </w:r>
      <w:r w:rsidRPr="00FA4867">
        <w:rPr>
          <w:rFonts w:cs="AdvGulliv-R"/>
        </w:rPr>
        <w:tab/>
        <w:t>a</w:t>
      </w:r>
      <w:r>
        <w:rPr>
          <w:rFonts w:cs="AdvGulliv-R"/>
        </w:rPr>
        <w:t>nd Conative Brand R</w:t>
      </w:r>
      <w:r w:rsidRPr="00FA4867">
        <w:rPr>
          <w:rFonts w:cs="AdvGulliv-R"/>
        </w:rPr>
        <w:t xml:space="preserve">esponses," </w:t>
      </w:r>
      <w:r w:rsidRPr="00FA4867">
        <w:rPr>
          <w:rFonts w:cs="AdvGulliv-R"/>
          <w:i/>
          <w:iCs/>
        </w:rPr>
        <w:t>Computers in Human Behavior, 26</w:t>
      </w:r>
      <w:r w:rsidRPr="00FA4867">
        <w:rPr>
          <w:rFonts w:cs="AdvGulliv-R"/>
        </w:rPr>
        <w:t>, 1787-1794.</w:t>
      </w:r>
    </w:p>
    <w:p w:rsidR="0016491A" w:rsidRDefault="0016491A" w:rsidP="0016491A">
      <w:pPr>
        <w:widowControl w:val="0"/>
        <w:autoSpaceDE w:val="0"/>
        <w:autoSpaceDN w:val="0"/>
        <w:adjustRightInd w:val="0"/>
        <w:spacing w:line="480" w:lineRule="auto"/>
        <w:rPr>
          <w:rFonts w:cs="AdvGulliv-R"/>
        </w:rPr>
      </w:pPr>
      <w:r>
        <w:t xml:space="preserve">Waiguny, M. J., Nelson, M. R., &amp; Terlutter, R. (2012). Entertainment matters! The relationship </w:t>
      </w:r>
      <w:r>
        <w:tab/>
        <w:t xml:space="preserve">between challenge and persuasiveness of an advergame for children. </w:t>
      </w:r>
      <w:r>
        <w:rPr>
          <w:i/>
        </w:rPr>
        <w:t xml:space="preserve">Journal Of </w:t>
      </w:r>
      <w:r>
        <w:rPr>
          <w:i/>
        </w:rPr>
        <w:tab/>
        <w:t>Marketing Communications</w:t>
      </w:r>
      <w:r>
        <w:t xml:space="preserve">, </w:t>
      </w:r>
      <w:r>
        <w:rPr>
          <w:i/>
        </w:rPr>
        <w:t>18</w:t>
      </w:r>
      <w:r>
        <w:t>(1), 69-89. doi:10.1080/13527266.2011.620766</w:t>
      </w:r>
    </w:p>
    <w:p w:rsidR="0016491A" w:rsidRPr="00783962" w:rsidRDefault="0016491A" w:rsidP="0016491A">
      <w:pPr>
        <w:widowControl w:val="0"/>
        <w:autoSpaceDE w:val="0"/>
        <w:autoSpaceDN w:val="0"/>
        <w:adjustRightInd w:val="0"/>
        <w:spacing w:line="480" w:lineRule="auto"/>
        <w:rPr>
          <w:rFonts w:cs="TimesNewRomanPSMT"/>
          <w:szCs w:val="18"/>
        </w:rPr>
      </w:pPr>
      <w:r w:rsidRPr="00783962">
        <w:rPr>
          <w:rFonts w:cs="TimesNewRomanPSMT"/>
          <w:szCs w:val="18"/>
        </w:rPr>
        <w:t>Wai</w:t>
      </w:r>
      <w:r>
        <w:rPr>
          <w:rFonts w:cs="TimesNewRomanPSMT"/>
          <w:szCs w:val="18"/>
        </w:rPr>
        <w:t>zenhofer</w:t>
      </w:r>
      <w:r w:rsidRPr="00783962">
        <w:rPr>
          <w:rFonts w:cs="TimesNewRomanPSMT"/>
          <w:szCs w:val="18"/>
        </w:rPr>
        <w:t>,</w:t>
      </w:r>
      <w:r>
        <w:rPr>
          <w:rFonts w:cs="TimesNewRomanPSMT"/>
          <w:szCs w:val="18"/>
        </w:rPr>
        <w:t xml:space="preserve"> Robyn N., Christy M. Buchanan and Julia Jackson-Newson </w:t>
      </w:r>
      <w:r w:rsidRPr="00783962">
        <w:rPr>
          <w:rFonts w:cs="TimesNewRomanPSMT"/>
          <w:szCs w:val="18"/>
        </w:rPr>
        <w:t>(2002)</w:t>
      </w:r>
      <w:r>
        <w:rPr>
          <w:rFonts w:cs="TimesNewRomanPSMT"/>
          <w:szCs w:val="18"/>
        </w:rPr>
        <w:t>,</w:t>
      </w:r>
      <w:r w:rsidRPr="00783962">
        <w:rPr>
          <w:rFonts w:cs="TimesNewRomanPSMT"/>
          <w:szCs w:val="18"/>
        </w:rPr>
        <w:t xml:space="preserve"> </w:t>
      </w:r>
      <w:r>
        <w:rPr>
          <w:rFonts w:cs="TimesNewRomanPSMT"/>
          <w:szCs w:val="18"/>
        </w:rPr>
        <w:t>“</w:t>
      </w:r>
      <w:r w:rsidRPr="00783962">
        <w:rPr>
          <w:rFonts w:cs="TimesNewRomanPSMT"/>
          <w:szCs w:val="18"/>
        </w:rPr>
        <w:t>Mothers’</w:t>
      </w:r>
      <w:r>
        <w:rPr>
          <w:rFonts w:cs="TimesNewRomanPSMT"/>
          <w:szCs w:val="18"/>
        </w:rPr>
        <w:t xml:space="preserve"> and </w:t>
      </w:r>
      <w:r>
        <w:rPr>
          <w:rFonts w:cs="TimesNewRomanPSMT"/>
          <w:szCs w:val="18"/>
        </w:rPr>
        <w:tab/>
        <w:t>Fathers’ K</w:t>
      </w:r>
      <w:r w:rsidRPr="00783962">
        <w:rPr>
          <w:rFonts w:cs="TimesNewRomanPSMT"/>
          <w:szCs w:val="18"/>
        </w:rPr>
        <w:t>nowledge</w:t>
      </w:r>
      <w:r>
        <w:rPr>
          <w:rFonts w:cs="TimesNewRomanPSMT"/>
          <w:szCs w:val="18"/>
        </w:rPr>
        <w:t xml:space="preserve"> of Adolescents’ Daily Activities: Its Sources and its L</w:t>
      </w:r>
      <w:r w:rsidRPr="00783962">
        <w:rPr>
          <w:rFonts w:cs="TimesNewRomanPSMT"/>
          <w:szCs w:val="18"/>
        </w:rPr>
        <w:t xml:space="preserve">inks with </w:t>
      </w:r>
      <w:r>
        <w:rPr>
          <w:rFonts w:cs="TimesNewRomanPSMT"/>
          <w:szCs w:val="18"/>
        </w:rPr>
        <w:tab/>
        <w:t>Adolescent Adjustment,”</w:t>
      </w:r>
      <w:r w:rsidRPr="00783962">
        <w:rPr>
          <w:rFonts w:cs="TimesNewRomanPSMT"/>
          <w:szCs w:val="18"/>
        </w:rPr>
        <w:t xml:space="preserve"> </w:t>
      </w:r>
      <w:r w:rsidRPr="00783962">
        <w:rPr>
          <w:rFonts w:cs="TimesNewRomanPSMT"/>
          <w:i/>
          <w:iCs/>
          <w:szCs w:val="18"/>
        </w:rPr>
        <w:t>Journal of</w:t>
      </w:r>
      <w:r>
        <w:rPr>
          <w:rFonts w:cs="TimesNewRomanPSMT"/>
          <w:i/>
          <w:iCs/>
          <w:szCs w:val="18"/>
        </w:rPr>
        <w:t xml:space="preserve"> </w:t>
      </w:r>
      <w:r w:rsidRPr="00783962">
        <w:rPr>
          <w:rFonts w:cs="TimesNewRomanPSMT"/>
          <w:i/>
          <w:iCs/>
          <w:szCs w:val="18"/>
        </w:rPr>
        <w:t>Family Psychology</w:t>
      </w:r>
      <w:r>
        <w:rPr>
          <w:rFonts w:cs="TimesNewRomanPSMT"/>
          <w:i/>
          <w:iCs/>
          <w:szCs w:val="18"/>
        </w:rPr>
        <w:t>,</w:t>
      </w:r>
      <w:r w:rsidRPr="00783962">
        <w:rPr>
          <w:rFonts w:cs="TimesNewRomanPSMT"/>
          <w:i/>
          <w:iCs/>
          <w:szCs w:val="18"/>
        </w:rPr>
        <w:t xml:space="preserve"> </w:t>
      </w:r>
      <w:r w:rsidRPr="00783962">
        <w:rPr>
          <w:rFonts w:cs="TimesNewRomanPSMT"/>
          <w:szCs w:val="18"/>
        </w:rPr>
        <w:t>18</w:t>
      </w:r>
      <w:r>
        <w:rPr>
          <w:rFonts w:cs="TimesNewRomanPSMT"/>
          <w:szCs w:val="18"/>
        </w:rPr>
        <w:t xml:space="preserve"> (2),</w:t>
      </w:r>
      <w:r w:rsidRPr="00783962">
        <w:rPr>
          <w:rFonts w:cs="TimesNewRomanPSMT"/>
          <w:szCs w:val="18"/>
        </w:rPr>
        <w:t xml:space="preserve"> 348–360.</w:t>
      </w:r>
    </w:p>
    <w:p w:rsidR="0016491A" w:rsidRPr="00983A07" w:rsidRDefault="0016491A" w:rsidP="0016491A">
      <w:pPr>
        <w:widowControl w:val="0"/>
        <w:autoSpaceDE w:val="0"/>
        <w:autoSpaceDN w:val="0"/>
        <w:adjustRightInd w:val="0"/>
        <w:spacing w:line="480" w:lineRule="auto"/>
        <w:rPr>
          <w:rFonts w:cs="Times-Roman"/>
          <w:szCs w:val="20"/>
        </w:rPr>
      </w:pPr>
      <w:r w:rsidRPr="00DE25E0">
        <w:rPr>
          <w:rFonts w:cs="Times-Roman"/>
          <w:szCs w:val="20"/>
        </w:rPr>
        <w:t>Ward, S</w:t>
      </w:r>
      <w:r>
        <w:rPr>
          <w:rFonts w:cs="Times-Roman"/>
          <w:szCs w:val="20"/>
        </w:rPr>
        <w:t>cott, Daniel B. Wackman and Ellen</w:t>
      </w:r>
      <w:r w:rsidRPr="00DE25E0">
        <w:rPr>
          <w:rFonts w:cs="Times-Roman"/>
          <w:szCs w:val="20"/>
        </w:rPr>
        <w:t xml:space="preserve"> Wartella</w:t>
      </w:r>
      <w:r>
        <w:rPr>
          <w:rFonts w:cs="Times-Roman"/>
          <w:szCs w:val="20"/>
        </w:rPr>
        <w:t xml:space="preserve"> (1977), </w:t>
      </w:r>
      <w:r w:rsidRPr="00DE25E0">
        <w:rPr>
          <w:rFonts w:cs="Times-Roman"/>
          <w:i/>
          <w:iCs/>
          <w:szCs w:val="20"/>
        </w:rPr>
        <w:t xml:space="preserve">How Children Learn to Buy: The </w:t>
      </w:r>
      <w:r>
        <w:rPr>
          <w:rFonts w:cs="Times-Roman"/>
          <w:i/>
          <w:iCs/>
          <w:szCs w:val="20"/>
        </w:rPr>
        <w:tab/>
      </w:r>
      <w:r w:rsidRPr="00DE25E0">
        <w:rPr>
          <w:rFonts w:cs="Times-Roman"/>
          <w:i/>
          <w:iCs/>
          <w:szCs w:val="20"/>
        </w:rPr>
        <w:t>Development of Consumer</w:t>
      </w:r>
      <w:r>
        <w:rPr>
          <w:rFonts w:cs="Times-Roman"/>
          <w:szCs w:val="20"/>
        </w:rPr>
        <w:t xml:space="preserve"> </w:t>
      </w:r>
      <w:r w:rsidRPr="00DE25E0">
        <w:rPr>
          <w:rFonts w:cs="Times-Roman"/>
          <w:i/>
          <w:iCs/>
          <w:szCs w:val="20"/>
        </w:rPr>
        <w:t xml:space="preserve">Information Processing Skills, </w:t>
      </w:r>
      <w:r w:rsidRPr="00A30F32">
        <w:rPr>
          <w:rFonts w:cs="Times-Roman"/>
          <w:bCs/>
          <w:szCs w:val="20"/>
        </w:rPr>
        <w:t>Beverly Hills, CA:</w:t>
      </w:r>
      <w:r w:rsidRPr="00A30F32">
        <w:rPr>
          <w:rFonts w:cs="Times-Roman"/>
          <w:szCs w:val="20"/>
        </w:rPr>
        <w:t xml:space="preserve"> Sage.</w:t>
      </w:r>
    </w:p>
    <w:p w:rsidR="0016491A" w:rsidRPr="00623302" w:rsidRDefault="0016491A" w:rsidP="0016491A">
      <w:pPr>
        <w:spacing w:line="480" w:lineRule="auto"/>
      </w:pPr>
      <w:r>
        <w:t xml:space="preserve">Weber, Kristi, Mary Story, and Lisa Harnack (2006), “Internet Food Marketing Strategies Aimed </w:t>
      </w:r>
      <w:r>
        <w:tab/>
        <w:t xml:space="preserve">at Children and Adolescents: A Content Analysis of Food and Beverage Brand Web </w:t>
      </w:r>
      <w:r>
        <w:tab/>
        <w:t xml:space="preserve">sites,” </w:t>
      </w:r>
      <w:r>
        <w:tab/>
      </w:r>
      <w:r>
        <w:rPr>
          <w:i/>
          <w:iCs/>
        </w:rPr>
        <w:t xml:space="preserve">Journal of the American Dietetic Association, </w:t>
      </w:r>
      <w:r>
        <w:t>106 (9), 1463-1466.</w:t>
      </w:r>
    </w:p>
    <w:p w:rsidR="0016491A" w:rsidRDefault="0016491A" w:rsidP="0016491A">
      <w:pPr>
        <w:spacing w:line="480" w:lineRule="auto"/>
      </w:pPr>
      <w:r>
        <w:t xml:space="preserve">Wei, Mei-Ling, Eileen Fischer, and Kelly J. Main (2008), “An Examination of the Effects of </w:t>
      </w:r>
      <w:r>
        <w:tab/>
        <w:t xml:space="preserve">Activating Persuasion Knowledge on Consumer Response to Brands Engaging in Covert </w:t>
      </w:r>
      <w:r>
        <w:tab/>
        <w:t xml:space="preserve">Marketing,” </w:t>
      </w:r>
      <w:r>
        <w:rPr>
          <w:i/>
          <w:iCs/>
        </w:rPr>
        <w:t>Journal Of Public Policy &amp; Marketing</w:t>
      </w:r>
      <w:r>
        <w:t xml:space="preserve">, 27 (1), 34-44. </w:t>
      </w:r>
    </w:p>
    <w:p w:rsidR="0016491A" w:rsidRPr="000E1A70" w:rsidRDefault="0016491A" w:rsidP="0016491A">
      <w:pPr>
        <w:widowControl w:val="0"/>
        <w:autoSpaceDE w:val="0"/>
        <w:autoSpaceDN w:val="0"/>
        <w:adjustRightInd w:val="0"/>
        <w:spacing w:line="480" w:lineRule="auto"/>
        <w:rPr>
          <w:rFonts w:eastAsia="Times New Roman" w:cs="Times New Roman"/>
        </w:rPr>
      </w:pPr>
      <w:r>
        <w:t xml:space="preserve">WGAW (2008), “Comments Before the Federal Communications Commission in the Matter of </w:t>
      </w:r>
      <w:r>
        <w:tab/>
        <w:t>Sponsorship Identification Rules,” MB 08-90.</w:t>
      </w:r>
    </w:p>
    <w:p w:rsidR="0016491A" w:rsidRPr="009E1B30" w:rsidRDefault="0016491A" w:rsidP="0016491A">
      <w:pPr>
        <w:widowControl w:val="0"/>
        <w:autoSpaceDE w:val="0"/>
        <w:autoSpaceDN w:val="0"/>
        <w:adjustRightInd w:val="0"/>
        <w:spacing w:line="480" w:lineRule="auto"/>
        <w:rPr>
          <w:rFonts w:cs="Roman"/>
          <w:color w:val="231F20"/>
          <w:szCs w:val="18"/>
        </w:rPr>
      </w:pPr>
      <w:r>
        <w:t xml:space="preserve">Wilson, Barbara J., and Audrey J. Weiss (1992), “Developmental Differences In Children's </w:t>
      </w:r>
      <w:r>
        <w:tab/>
        <w:t xml:space="preserve">Reactions To A Toy Advertisement Linked To A Toy-Based,” </w:t>
      </w:r>
      <w:r>
        <w:rPr>
          <w:i/>
        </w:rPr>
        <w:t xml:space="preserve">Journal Of Broadcasting </w:t>
      </w:r>
      <w:r>
        <w:rPr>
          <w:i/>
        </w:rPr>
        <w:tab/>
        <w:t>&amp; Electronic Media,</w:t>
      </w:r>
      <w:r>
        <w:t xml:space="preserve"> 36 (4) 371- 394.</w:t>
      </w:r>
    </w:p>
    <w:p w:rsidR="0016491A" w:rsidRDefault="0016491A" w:rsidP="0016491A">
      <w:pPr>
        <w:spacing w:line="480" w:lineRule="auto"/>
      </w:pPr>
      <w:r>
        <w:t xml:space="preserve">Wolin, Lori. D., Pradeep Korgaonkar and Daulatram Lund (2002), “Beliefs, Attitudes and </w:t>
      </w:r>
      <w:r>
        <w:tab/>
        <w:t xml:space="preserve">Behaviour Towards Web Advertising,” </w:t>
      </w:r>
      <w:r>
        <w:rPr>
          <w:i/>
          <w:iCs/>
        </w:rPr>
        <w:t>International Journal of Advertising</w:t>
      </w:r>
      <w:r>
        <w:t>, 21 (1), 87-</w:t>
      </w:r>
      <w:r>
        <w:tab/>
        <w:t>113.</w:t>
      </w:r>
    </w:p>
    <w:p w:rsidR="0016491A" w:rsidRDefault="0016491A" w:rsidP="0016491A">
      <w:pPr>
        <w:spacing w:line="480" w:lineRule="auto"/>
      </w:pPr>
      <w:r>
        <w:t xml:space="preserve">Wright, Peter, Marian Friestad, and David M. Boush (2005), “The Development of Marketplace </w:t>
      </w:r>
      <w:r>
        <w:tab/>
        <w:t xml:space="preserve">Persuasion Knowledge in Children, Adolescents, and Young Adults,” </w:t>
      </w:r>
      <w:r>
        <w:rPr>
          <w:i/>
        </w:rPr>
        <w:t xml:space="preserve">Journal Of Public </w:t>
      </w:r>
      <w:r>
        <w:rPr>
          <w:i/>
        </w:rPr>
        <w:tab/>
        <w:t>Policy &amp; Marketing,</w:t>
      </w:r>
      <w:r>
        <w:t xml:space="preserve"> 24 (2), 222-233.</w:t>
      </w:r>
    </w:p>
    <w:p w:rsidR="0016491A" w:rsidRPr="00B331C9" w:rsidRDefault="0016491A" w:rsidP="0016491A">
      <w:pPr>
        <w:widowControl w:val="0"/>
        <w:autoSpaceDE w:val="0"/>
        <w:autoSpaceDN w:val="0"/>
        <w:adjustRightInd w:val="0"/>
        <w:spacing w:line="480" w:lineRule="auto"/>
        <w:rPr>
          <w:rFonts w:cs="MinionPro-Regular"/>
          <w:szCs w:val="18"/>
        </w:rPr>
      </w:pPr>
      <w:r w:rsidRPr="00B331C9">
        <w:rPr>
          <w:rFonts w:cs="MinionPro-Regular"/>
          <w:szCs w:val="18"/>
        </w:rPr>
        <w:t xml:space="preserve">Yin, Bo, Fang Chen, Natalie Ruiz, and Eliathamby Ambikairajah. 2008. “Speech-Based </w:t>
      </w:r>
      <w:r>
        <w:rPr>
          <w:rFonts w:cs="MinionPro-Regular"/>
          <w:szCs w:val="18"/>
        </w:rPr>
        <w:tab/>
      </w:r>
      <w:r w:rsidRPr="00B331C9">
        <w:rPr>
          <w:rFonts w:cs="MinionPro-Regular"/>
          <w:szCs w:val="18"/>
        </w:rPr>
        <w:t>Cognitive</w:t>
      </w:r>
      <w:r>
        <w:rPr>
          <w:rFonts w:cs="MinionPro-Regular"/>
          <w:szCs w:val="18"/>
        </w:rPr>
        <w:t xml:space="preserve"> </w:t>
      </w:r>
      <w:r w:rsidRPr="00B331C9">
        <w:rPr>
          <w:rFonts w:cs="MinionPro-Regular"/>
          <w:szCs w:val="18"/>
        </w:rPr>
        <w:t xml:space="preserve">Load Monitoring System.” </w:t>
      </w:r>
      <w:r w:rsidRPr="00B331C9">
        <w:rPr>
          <w:rFonts w:cs="MinionPro-Regular"/>
          <w:i/>
          <w:iCs/>
          <w:szCs w:val="18"/>
        </w:rPr>
        <w:t xml:space="preserve">Proceedings of the IEEE International Conference </w:t>
      </w:r>
      <w:r>
        <w:rPr>
          <w:rFonts w:cs="MinionPro-Regular"/>
          <w:i/>
          <w:iCs/>
          <w:szCs w:val="18"/>
        </w:rPr>
        <w:tab/>
      </w:r>
      <w:r w:rsidRPr="00B331C9">
        <w:rPr>
          <w:rFonts w:cs="MinionPro-Regular"/>
          <w:i/>
          <w:iCs/>
          <w:szCs w:val="18"/>
        </w:rPr>
        <w:t>on Acoustics,</w:t>
      </w:r>
      <w:r>
        <w:rPr>
          <w:rFonts w:cs="MinionPro-Regular"/>
          <w:szCs w:val="18"/>
        </w:rPr>
        <w:t xml:space="preserve"> </w:t>
      </w:r>
      <w:r w:rsidRPr="00B331C9">
        <w:rPr>
          <w:rFonts w:cs="MinionPro-Regular"/>
          <w:i/>
          <w:iCs/>
          <w:szCs w:val="18"/>
        </w:rPr>
        <w:t>Speech and Signal Processing</w:t>
      </w:r>
      <w:r w:rsidRPr="00B331C9">
        <w:rPr>
          <w:rFonts w:cs="MinionPro-Regular"/>
          <w:szCs w:val="18"/>
        </w:rPr>
        <w:t>, 2041–2044. Las Vegas, Nevada.</w:t>
      </w:r>
    </w:p>
    <w:p w:rsidR="0016491A" w:rsidRPr="00415028" w:rsidRDefault="0016491A" w:rsidP="0016491A">
      <w:pPr>
        <w:widowControl w:val="0"/>
        <w:autoSpaceDE w:val="0"/>
        <w:autoSpaceDN w:val="0"/>
        <w:adjustRightInd w:val="0"/>
        <w:spacing w:line="480" w:lineRule="auto"/>
      </w:pPr>
      <w:r>
        <w:t xml:space="preserve">Yoon, Suki, Yung Kyun Choi, and Sujin Song (2011), “When Intrusive Can be Likable: Product </w:t>
      </w:r>
      <w:r>
        <w:tab/>
        <w:t xml:space="preserve">Placement Effects on Multitasking Consumers,” </w:t>
      </w:r>
      <w:r>
        <w:rPr>
          <w:i/>
          <w:iCs/>
        </w:rPr>
        <w:t xml:space="preserve">Journal of Advertising, </w:t>
      </w:r>
      <w:r>
        <w:t>40 (2), 63-76.</w:t>
      </w:r>
    </w:p>
    <w:p w:rsidR="0016491A" w:rsidRDefault="0016491A" w:rsidP="0016491A">
      <w:pPr>
        <w:spacing w:line="480" w:lineRule="auto"/>
      </w:pPr>
      <w:r>
        <w:t xml:space="preserve">Yun Chan, Y. (2009). The Effects of Persuasion Knowledge on Click-Through of Keyword </w:t>
      </w:r>
      <w:r>
        <w:tab/>
        <w:t xml:space="preserve">Search Ads: Moderating role of Search Task and Perceived Fairness,” </w:t>
      </w:r>
      <w:r>
        <w:rPr>
          <w:i/>
          <w:iCs/>
        </w:rPr>
        <w:t xml:space="preserve">Journalism &amp; </w:t>
      </w:r>
      <w:r>
        <w:rPr>
          <w:i/>
          <w:iCs/>
        </w:rPr>
        <w:tab/>
        <w:t>Mass Communication Quarterly</w:t>
      </w:r>
      <w:r>
        <w:t>, 86 (2), 401-418.</w:t>
      </w: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09786C" w:rsidRDefault="0009786C" w:rsidP="002C0A70">
      <w:pPr>
        <w:rPr>
          <w:b/>
        </w:rPr>
      </w:pPr>
    </w:p>
    <w:p w:rsidR="00A41A49" w:rsidRDefault="00A41A49" w:rsidP="002C0A70">
      <w:pPr>
        <w:rPr>
          <w:b/>
        </w:rPr>
      </w:pPr>
    </w:p>
    <w:p w:rsidR="00A41A49" w:rsidRDefault="00A41A49" w:rsidP="002C0A70">
      <w:pPr>
        <w:rPr>
          <w:b/>
        </w:rPr>
      </w:pPr>
    </w:p>
    <w:p w:rsidR="00A41A49" w:rsidRDefault="00A41A49" w:rsidP="002C0A70">
      <w:pPr>
        <w:rPr>
          <w:b/>
        </w:rPr>
      </w:pPr>
    </w:p>
    <w:p w:rsidR="00A41A49" w:rsidRDefault="00A41A49" w:rsidP="002C0A70">
      <w:pPr>
        <w:rPr>
          <w:b/>
        </w:rPr>
      </w:pPr>
    </w:p>
    <w:p w:rsidR="00A41A49" w:rsidRDefault="00A41A49" w:rsidP="002C0A70">
      <w:pPr>
        <w:rPr>
          <w:b/>
        </w:rPr>
      </w:pPr>
    </w:p>
    <w:p w:rsidR="00A41A49" w:rsidRDefault="00A41A49" w:rsidP="002C0A70">
      <w:pPr>
        <w:rPr>
          <w:b/>
        </w:rPr>
      </w:pPr>
    </w:p>
    <w:p w:rsidR="00AA5703" w:rsidRDefault="00AA5703" w:rsidP="002C0A70">
      <w:pPr>
        <w:rPr>
          <w:b/>
        </w:rPr>
      </w:pPr>
    </w:p>
    <w:p w:rsidR="00B422AD" w:rsidRDefault="00B422AD" w:rsidP="002C0A70">
      <w:pPr>
        <w:rPr>
          <w:b/>
        </w:rPr>
      </w:pPr>
    </w:p>
    <w:p w:rsidR="00B422AD" w:rsidRPr="004920BC" w:rsidRDefault="004920BC" w:rsidP="004920BC">
      <w:pPr>
        <w:jc w:val="center"/>
        <w:rPr>
          <w:sz w:val="32"/>
        </w:rPr>
      </w:pPr>
      <w:r>
        <w:rPr>
          <w:sz w:val="32"/>
        </w:rPr>
        <w:t>Appendix A</w:t>
      </w:r>
    </w:p>
    <w:p w:rsidR="00B422AD" w:rsidRPr="00DD01F2" w:rsidRDefault="00B422AD" w:rsidP="00B422AD">
      <w:pPr>
        <w:pStyle w:val="NormalWeb"/>
        <w:spacing w:before="0" w:beforeAutospacing="0" w:after="0" w:afterAutospacing="0"/>
        <w:ind w:left="360"/>
        <w:jc w:val="center"/>
        <w:rPr>
          <w:b/>
          <w:bCs/>
        </w:rPr>
      </w:pPr>
      <w:r>
        <w:rPr>
          <w:b/>
          <w:bCs/>
          <w:sz w:val="36"/>
        </w:rPr>
        <w:t>Informed Consent Statement</w:t>
      </w:r>
      <w:r>
        <w:rPr>
          <w:b/>
          <w:bCs/>
        </w:rPr>
        <w:t xml:space="preserve"> </w:t>
      </w:r>
    </w:p>
    <w:p w:rsidR="00B422AD" w:rsidRDefault="00923C9D" w:rsidP="00B422AD">
      <w:pPr>
        <w:pStyle w:val="NormalWeb"/>
        <w:spacing w:before="0" w:beforeAutospacing="0" w:after="0" w:afterAutospacing="0"/>
        <w:ind w:left="360"/>
        <w:jc w:val="center"/>
      </w:pPr>
      <w:r>
        <w:pict>
          <v:shape id="_x0000_i1026" type="#_x0000_t75" style="width:431.7pt;height:1.4pt" o:hrpct="0" o:hralign="center" o:hr="t">
            <v:imagedata r:id="rId21" o:title="Default Line"/>
          </v:shape>
        </w:pict>
      </w:r>
    </w:p>
    <w:p w:rsidR="00B422AD" w:rsidRDefault="00B422AD" w:rsidP="00B422AD">
      <w:pPr>
        <w:pStyle w:val="NormalWeb"/>
        <w:spacing w:before="0" w:beforeAutospacing="0" w:after="0" w:afterAutospacing="0"/>
        <w:ind w:left="360"/>
        <w:jc w:val="center"/>
      </w:pPr>
    </w:p>
    <w:p w:rsidR="00B422AD" w:rsidRDefault="00B422AD" w:rsidP="00B422AD">
      <w:r>
        <w:rPr>
          <w:snapToGrid w:val="0"/>
          <w:color w:val="000000"/>
        </w:rPr>
        <w:t>Hello! Thank you for taking the time to participate in this online experiment</w:t>
      </w:r>
      <w:r w:rsidRPr="00DD01F2">
        <w:t xml:space="preserve">. </w:t>
      </w:r>
      <w:r>
        <w:t>If you are a parent and have a child between the ages of 7-11 you qualify to participate in this study. Participation in this experiment includes playing an online children’s game for at least 1 minute and 30 seconds. After playing the game you will be asked to answer several questions, which include your experiences and attitudes about the game, online games in general, internet use and rules, as well as demographic information. The purpose of this research is to examine parents’ attitudes towards children’s online games. Participation in this study, playing the game, and the completion of a questionnaire should take no more than 15</w:t>
      </w:r>
      <w:r w:rsidRPr="00DD01F2">
        <w:t xml:space="preserve"> minutes of your </w:t>
      </w:r>
      <w:r>
        <w:t xml:space="preserve">time. </w:t>
      </w:r>
      <w:r w:rsidRPr="00DD01F2">
        <w:t>Plea</w:t>
      </w:r>
      <w:r>
        <w:t>se read all directions and headings</w:t>
      </w:r>
      <w:r w:rsidRPr="00DD01F2">
        <w:t xml:space="preserve"> carefully.</w:t>
      </w:r>
      <w:r>
        <w:t xml:space="preserve"> If you have any questions or concerns regarding this study please contact the principle investigator: Nathaniel Evans at </w:t>
      </w:r>
      <w:hyperlink r:id="rId22" w:history="1">
        <w:r w:rsidRPr="004824B5">
          <w:rPr>
            <w:rStyle w:val="Hyperlink"/>
          </w:rPr>
          <w:t>nevans4@utk.edu</w:t>
        </w:r>
      </w:hyperlink>
      <w:r>
        <w:t xml:space="preserve"> or (865) 603-4683.</w:t>
      </w:r>
    </w:p>
    <w:p w:rsidR="00B422AD" w:rsidRDefault="00B422AD" w:rsidP="00B422AD">
      <w:r>
        <w:tab/>
      </w:r>
      <w:r>
        <w:tab/>
        <w:t xml:space="preserve"> </w:t>
      </w:r>
    </w:p>
    <w:p w:rsidR="00B422AD" w:rsidRPr="00CD69C4" w:rsidRDefault="00B422AD" w:rsidP="00B422AD">
      <w:pPr>
        <w:rPr>
          <w:b/>
          <w:snapToGrid w:val="0"/>
          <w:color w:val="000000"/>
        </w:rPr>
      </w:pPr>
      <w:r>
        <w:br/>
      </w:r>
      <w:r w:rsidRPr="00CD69C4">
        <w:rPr>
          <w:b/>
          <w:snapToGrid w:val="0"/>
          <w:color w:val="000000"/>
        </w:rPr>
        <w:t>Please read the following information before proceeding:</w:t>
      </w:r>
    </w:p>
    <w:p w:rsidR="00B422AD" w:rsidRDefault="00B422AD" w:rsidP="00B422AD">
      <w:pPr>
        <w:rPr>
          <w:snapToGrid w:val="0"/>
          <w:color w:val="000000"/>
        </w:rPr>
      </w:pPr>
    </w:p>
    <w:p w:rsidR="00B422AD" w:rsidRDefault="00B422AD" w:rsidP="00B422AD">
      <w:pPr>
        <w:rPr>
          <w:snapToGrid w:val="0"/>
          <w:color w:val="000000"/>
        </w:rPr>
      </w:pPr>
      <w:r>
        <w:rPr>
          <w:snapToGrid w:val="0"/>
          <w:color w:val="000000"/>
        </w:rPr>
        <w:t>I hereby give my consent for participation in this research study. I understand that:</w:t>
      </w:r>
    </w:p>
    <w:p w:rsidR="00B422AD" w:rsidRDefault="00B422AD" w:rsidP="00B422AD">
      <w:pPr>
        <w:rPr>
          <w:snapToGrid w:val="0"/>
          <w:color w:val="000000"/>
        </w:rPr>
      </w:pPr>
    </w:p>
    <w:p w:rsidR="00B422AD" w:rsidRDefault="00B422AD" w:rsidP="00B422AD">
      <w:pPr>
        <w:rPr>
          <w:snapToGrid w:val="0"/>
          <w:color w:val="000000"/>
        </w:rPr>
      </w:pPr>
      <w:r>
        <w:rPr>
          <w:snapToGrid w:val="0"/>
          <w:color w:val="000000"/>
        </w:rPr>
        <w:t xml:space="preserve">A. </w:t>
      </w:r>
      <w:r>
        <w:t xml:space="preserve">My participation in this study is voluntary. If I decide to participate I may withdraw from the study at anytime. I understand that I am free not to answer any question that I am uncomfortable with. I understand that by choosing to participate in this study I am entitled to rewards or incentives provided and determined by ResearchNow. I understand that continuing on to the study constitutes my consent. </w:t>
      </w:r>
    </w:p>
    <w:p w:rsidR="00B422AD" w:rsidRDefault="00B422AD" w:rsidP="00B422AD">
      <w:pPr>
        <w:rPr>
          <w:snapToGrid w:val="0"/>
          <w:color w:val="000000"/>
        </w:rPr>
      </w:pPr>
      <w:r>
        <w:rPr>
          <w:snapToGrid w:val="0"/>
          <w:color w:val="000000"/>
        </w:rPr>
        <w:t xml:space="preserve"> </w:t>
      </w:r>
    </w:p>
    <w:p w:rsidR="00B422AD" w:rsidRDefault="00B422AD" w:rsidP="00B422AD">
      <w:pPr>
        <w:rPr>
          <w:snapToGrid w:val="0"/>
          <w:color w:val="000000"/>
        </w:rPr>
      </w:pPr>
      <w:r>
        <w:rPr>
          <w:snapToGrid w:val="0"/>
          <w:color w:val="000000"/>
        </w:rPr>
        <w:t xml:space="preserve">B. I understand that </w:t>
      </w:r>
      <w:r>
        <w:t>any personally identifying information I provide will be removed, replaced, or deleted before my responses are used for this research</w:t>
      </w:r>
      <w:r>
        <w:rPr>
          <w:snapToGrid w:val="0"/>
          <w:color w:val="000000"/>
        </w:rPr>
        <w:t xml:space="preserve">. </w:t>
      </w:r>
    </w:p>
    <w:p w:rsidR="00B422AD" w:rsidRDefault="00B422AD" w:rsidP="00B422AD">
      <w:pPr>
        <w:rPr>
          <w:snapToGrid w:val="0"/>
          <w:color w:val="000000"/>
        </w:rPr>
      </w:pPr>
    </w:p>
    <w:p w:rsidR="00B422AD" w:rsidRDefault="00B422AD" w:rsidP="00B422AD">
      <w:r>
        <w:rPr>
          <w:snapToGrid w:val="0"/>
          <w:color w:val="000000"/>
        </w:rPr>
        <w:t xml:space="preserve">C. I understand that </w:t>
      </w:r>
      <w:r>
        <w:t>there is little or no anticipated risk associated with my participation in this study.</w:t>
      </w:r>
    </w:p>
    <w:p w:rsidR="00B422AD" w:rsidRPr="009F3811" w:rsidRDefault="00B422AD" w:rsidP="00B422AD">
      <w:pPr>
        <w:rPr>
          <w:snapToGrid w:val="0"/>
          <w:color w:val="000000"/>
        </w:rPr>
      </w:pPr>
    </w:p>
    <w:p w:rsidR="00B422AD" w:rsidRDefault="00B422AD" w:rsidP="00B422AD">
      <w:r>
        <w:rPr>
          <w:snapToGrid w:val="0"/>
          <w:color w:val="000000"/>
        </w:rPr>
        <w:t xml:space="preserve">D. </w:t>
      </w:r>
      <w:r>
        <w:t xml:space="preserve">If you have questions at any time about the study or the procedures, you may contact the researcher, Nathaniel Evans (nevans4@utk.edu), at University of Tennessee, 476 Communications Building, Knoxville, TN 37996-0343 or (865) 974-3046. If you have questions about your rights as a participant, contact the Office of Research </w:t>
      </w:r>
      <w:r w:rsidRPr="00AA73B3">
        <w:t>Compliance Officer</w:t>
      </w:r>
      <w:r>
        <w:t xml:space="preserve"> at (865) 974-3466.</w:t>
      </w:r>
    </w:p>
    <w:p w:rsidR="00B422AD" w:rsidRDefault="00B422AD" w:rsidP="00B422AD"/>
    <w:p w:rsidR="00B422AD" w:rsidRDefault="00B422AD" w:rsidP="00B422AD">
      <w:pPr>
        <w:rPr>
          <w:b/>
          <w:snapToGrid w:val="0"/>
          <w:color w:val="000000"/>
        </w:rPr>
      </w:pPr>
      <w:r>
        <w:rPr>
          <w:b/>
          <w:snapToGrid w:val="0"/>
          <w:color w:val="000000"/>
        </w:rPr>
        <w:t xml:space="preserve">BY CLICKING “YES” BELOW, I AGREE TO PARTICIPATE IN THIS STUDY AND </w:t>
      </w:r>
    </w:p>
    <w:p w:rsidR="00B422AD" w:rsidRDefault="00B422AD" w:rsidP="00B422AD">
      <w:pPr>
        <w:rPr>
          <w:b/>
          <w:snapToGrid w:val="0"/>
          <w:color w:val="000000"/>
        </w:rPr>
      </w:pPr>
      <w:r>
        <w:rPr>
          <w:b/>
          <w:snapToGrid w:val="0"/>
          <w:color w:val="000000"/>
        </w:rPr>
        <w:t>1)</w:t>
      </w:r>
      <w:r>
        <w:rPr>
          <w:b/>
          <w:snapToGrid w:val="0"/>
          <w:color w:val="000000"/>
        </w:rPr>
        <w:tab/>
        <w:t>I UNDERSTAND THE ABOVE INFORMATION</w:t>
      </w:r>
    </w:p>
    <w:p w:rsidR="00B422AD" w:rsidRDefault="00B422AD" w:rsidP="00B422AD">
      <w:pPr>
        <w:rPr>
          <w:b/>
          <w:snapToGrid w:val="0"/>
          <w:color w:val="000000"/>
        </w:rPr>
      </w:pPr>
      <w:r>
        <w:rPr>
          <w:b/>
          <w:snapToGrid w:val="0"/>
          <w:color w:val="000000"/>
        </w:rPr>
        <w:t>2)</w:t>
      </w:r>
      <w:r>
        <w:rPr>
          <w:b/>
          <w:snapToGrid w:val="0"/>
          <w:color w:val="000000"/>
        </w:rPr>
        <w:tab/>
        <w:t>I AM 18 YEARS OR OLDER</w:t>
      </w:r>
    </w:p>
    <w:p w:rsidR="00B422AD" w:rsidRDefault="00B422AD" w:rsidP="00B422AD">
      <w:pPr>
        <w:rPr>
          <w:b/>
          <w:snapToGrid w:val="0"/>
          <w:color w:val="000000"/>
        </w:rPr>
      </w:pPr>
      <w:r>
        <w:rPr>
          <w:b/>
          <w:snapToGrid w:val="0"/>
          <w:color w:val="000000"/>
        </w:rPr>
        <w:t>3)</w:t>
      </w:r>
      <w:r>
        <w:rPr>
          <w:b/>
          <w:snapToGrid w:val="0"/>
          <w:color w:val="000000"/>
        </w:rPr>
        <w:tab/>
        <w:t>I AM A PARENT OF AT LEAST ONE CHILD BETWEEN THE AGES OF 7 -11</w:t>
      </w:r>
    </w:p>
    <w:p w:rsidR="00B422AD" w:rsidRDefault="00B422AD" w:rsidP="00B422AD">
      <w:pPr>
        <w:numPr>
          <w:ilvl w:val="0"/>
          <w:numId w:val="28"/>
        </w:numPr>
        <w:spacing w:after="120"/>
        <w:rPr>
          <w:snapToGrid w:val="0"/>
          <w:color w:val="000000"/>
        </w:rPr>
      </w:pPr>
      <w:r>
        <w:rPr>
          <w:snapToGrid w:val="0"/>
          <w:color w:val="000000"/>
        </w:rPr>
        <w:t>Yes</w:t>
      </w:r>
    </w:p>
    <w:p w:rsidR="004920BC" w:rsidRDefault="00B422AD" w:rsidP="004920BC">
      <w:pPr>
        <w:numPr>
          <w:ilvl w:val="0"/>
          <w:numId w:val="28"/>
        </w:numPr>
        <w:spacing w:after="120"/>
        <w:rPr>
          <w:snapToGrid w:val="0"/>
          <w:color w:val="000000"/>
        </w:rPr>
      </w:pPr>
      <w:r>
        <w:rPr>
          <w:snapToGrid w:val="0"/>
          <w:color w:val="000000"/>
        </w:rPr>
        <w:t>No</w:t>
      </w:r>
    </w:p>
    <w:p w:rsidR="004920BC" w:rsidRPr="004920BC" w:rsidRDefault="004920BC" w:rsidP="004920BC">
      <w:pPr>
        <w:spacing w:after="120"/>
        <w:jc w:val="center"/>
        <w:rPr>
          <w:snapToGrid w:val="0"/>
          <w:color w:val="000000"/>
        </w:rPr>
      </w:pPr>
      <w:r w:rsidRPr="004920BC">
        <w:rPr>
          <w:sz w:val="32"/>
        </w:rPr>
        <w:t xml:space="preserve">Appendix </w:t>
      </w:r>
      <w:r>
        <w:rPr>
          <w:sz w:val="32"/>
        </w:rPr>
        <w:t>B</w:t>
      </w:r>
    </w:p>
    <w:p w:rsidR="00B422AD" w:rsidRDefault="00B422AD" w:rsidP="00B422AD">
      <w:pPr>
        <w:jc w:val="center"/>
        <w:rPr>
          <w:b/>
          <w:sz w:val="36"/>
          <w:u w:val="single"/>
        </w:rPr>
      </w:pPr>
    </w:p>
    <w:p w:rsidR="00B422AD" w:rsidRDefault="00B422AD" w:rsidP="00B422AD">
      <w:pPr>
        <w:jc w:val="center"/>
        <w:rPr>
          <w:b/>
          <w:sz w:val="36"/>
          <w:u w:val="single"/>
        </w:rPr>
      </w:pPr>
      <w:r w:rsidRPr="000878B8">
        <w:rPr>
          <w:b/>
          <w:sz w:val="36"/>
          <w:u w:val="single"/>
        </w:rPr>
        <w:t>Study Directions</w:t>
      </w:r>
    </w:p>
    <w:p w:rsidR="00B422AD" w:rsidRDefault="00B422AD" w:rsidP="00B422AD">
      <w:pPr>
        <w:jc w:val="center"/>
        <w:rPr>
          <w:b/>
          <w:sz w:val="36"/>
          <w:u w:val="single"/>
        </w:rPr>
      </w:pPr>
    </w:p>
    <w:p w:rsidR="00B422AD" w:rsidRDefault="00B422AD" w:rsidP="00B422AD">
      <w:pPr>
        <w:rPr>
          <w:b/>
        </w:rPr>
      </w:pPr>
      <w:r>
        <w:tab/>
        <w:t>Thank you for taking the time</w:t>
      </w:r>
      <w:r w:rsidR="006F3D14">
        <w:t xml:space="preserve"> to participate in this study about</w:t>
      </w:r>
      <w:r>
        <w:t xml:space="preserve"> children’s online games. After reading these directions please click on the link to begin the study and play an online game. Since children’s online games are interactive and contain many elements, we ask that you do your best to concentrate when reading the game directions and while playing the game. We are interested in your accurate attitudes and perceptions toward children’s online games so please make sure to </w:t>
      </w:r>
      <w:r w:rsidRPr="000878B8">
        <w:rPr>
          <w:b/>
        </w:rPr>
        <w:t xml:space="preserve">read all </w:t>
      </w:r>
      <w:r>
        <w:rPr>
          <w:b/>
        </w:rPr>
        <w:t>the following instructions</w:t>
      </w:r>
      <w:r w:rsidRPr="000878B8">
        <w:rPr>
          <w:b/>
        </w:rPr>
        <w:t xml:space="preserve"> carefully</w:t>
      </w:r>
      <w:r>
        <w:rPr>
          <w:b/>
        </w:rPr>
        <w:t xml:space="preserve">. </w:t>
      </w:r>
    </w:p>
    <w:p w:rsidR="00B422AD" w:rsidRDefault="00B422AD" w:rsidP="00B422AD">
      <w:pPr>
        <w:rPr>
          <w:b/>
        </w:rPr>
      </w:pPr>
    </w:p>
    <w:p w:rsidR="00B422AD" w:rsidRDefault="00B422AD" w:rsidP="00B422AD">
      <w:pPr>
        <w:pStyle w:val="ListParagraph"/>
        <w:numPr>
          <w:ilvl w:val="0"/>
          <w:numId w:val="30"/>
        </w:numPr>
      </w:pPr>
      <w:r>
        <w:t>Your computer’s volume level should be loud enough so you can hear the game you are about to play.</w:t>
      </w:r>
    </w:p>
    <w:p w:rsidR="00B422AD" w:rsidRDefault="00B422AD" w:rsidP="00B422AD">
      <w:pPr>
        <w:pStyle w:val="ListParagraph"/>
        <w:numPr>
          <w:ilvl w:val="0"/>
          <w:numId w:val="30"/>
        </w:numPr>
      </w:pPr>
      <w:r>
        <w:t>Do not write anything down from this point forward.</w:t>
      </w:r>
    </w:p>
    <w:p w:rsidR="00B422AD" w:rsidRDefault="00B422AD" w:rsidP="00B422AD">
      <w:pPr>
        <w:pStyle w:val="ListParagraph"/>
        <w:numPr>
          <w:ilvl w:val="0"/>
          <w:numId w:val="30"/>
        </w:numPr>
      </w:pPr>
      <w:r>
        <w:t xml:space="preserve">If possible, </w:t>
      </w:r>
      <w:r w:rsidR="006F3D14">
        <w:t>play the game</w:t>
      </w:r>
      <w:r>
        <w:t xml:space="preserve"> in a quiet place. This will help keep potential distractions to a minimum. </w:t>
      </w:r>
    </w:p>
    <w:p w:rsidR="00B422AD" w:rsidRDefault="00B422AD" w:rsidP="00B422AD">
      <w:pPr>
        <w:pStyle w:val="ListParagraph"/>
        <w:numPr>
          <w:ilvl w:val="0"/>
          <w:numId w:val="30"/>
        </w:numPr>
      </w:pPr>
      <w:r>
        <w:t xml:space="preserve">Read the game directions before you play the game. </w:t>
      </w:r>
    </w:p>
    <w:p w:rsidR="00B422AD" w:rsidRDefault="00B422AD" w:rsidP="00B422AD">
      <w:pPr>
        <w:pStyle w:val="ListParagraph"/>
        <w:numPr>
          <w:ilvl w:val="0"/>
          <w:numId w:val="30"/>
        </w:numPr>
      </w:pPr>
      <w:r>
        <w:t>It is important that you know how to play the game before you begin playing.</w:t>
      </w:r>
    </w:p>
    <w:p w:rsidR="00B422AD" w:rsidRDefault="00874A09" w:rsidP="00B422AD">
      <w:pPr>
        <w:pStyle w:val="ListParagraph"/>
        <w:numPr>
          <w:ilvl w:val="0"/>
          <w:numId w:val="30"/>
        </w:numPr>
      </w:pPr>
      <w:r>
        <w:t>You will have 3 minutes to read the directions and play the game. Once this time expires you will be directed to a questionnaire.</w:t>
      </w:r>
    </w:p>
    <w:p w:rsidR="00B422AD" w:rsidRDefault="00B422AD" w:rsidP="00B422AD"/>
    <w:p w:rsidR="00B422AD" w:rsidRDefault="00B422AD" w:rsidP="00B422AD"/>
    <w:p w:rsidR="00B422AD" w:rsidRDefault="00B422AD" w:rsidP="00B422AD">
      <w:r>
        <w:tab/>
      </w:r>
      <w:r w:rsidR="006F3D14">
        <w:t>After</w:t>
      </w:r>
      <w:r>
        <w:t xml:space="preserve"> you have read the above instructions please click the link below to begin the study.</w:t>
      </w:r>
    </w:p>
    <w:p w:rsidR="00B422AD" w:rsidRDefault="00B422AD" w:rsidP="00B422AD"/>
    <w:p w:rsidR="00B422AD" w:rsidRDefault="00B422AD" w:rsidP="00B422AD"/>
    <w:p w:rsidR="00B422AD" w:rsidRDefault="00B422AD" w:rsidP="00B422AD"/>
    <w:p w:rsidR="00B422AD" w:rsidRDefault="00B422AD" w:rsidP="00B422AD"/>
    <w:p w:rsidR="00B422AD" w:rsidRDefault="00B422AD" w:rsidP="00B422AD"/>
    <w:p w:rsidR="00B422AD" w:rsidRDefault="00B422AD" w:rsidP="00B422AD"/>
    <w:p w:rsidR="00B422AD" w:rsidRDefault="00B422AD" w:rsidP="00B422AD"/>
    <w:p w:rsidR="00B422AD" w:rsidRDefault="00B422AD" w:rsidP="00B422AD">
      <w:r>
        <w:tab/>
      </w:r>
      <w:r>
        <w:tab/>
      </w:r>
      <w:r>
        <w:tab/>
      </w:r>
      <w:r>
        <w:tab/>
      </w:r>
      <w:r>
        <w:tab/>
      </w:r>
      <w:r w:rsidRPr="00DF4038">
        <w:rPr>
          <w:noProof/>
        </w:rPr>
        <w:drawing>
          <wp:inline distT="0" distB="0" distL="0" distR="0">
            <wp:extent cx="1231900" cy="647700"/>
            <wp:effectExtent l="25400" t="0" r="0" b="0"/>
            <wp:docPr id="15" name="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31900" cy="647700"/>
                      <a:chOff x="3721100" y="5397500"/>
                      <a:chExt cx="1231900" cy="647700"/>
                    </a:xfrm>
                  </a:grpSpPr>
                  <a:sp>
                    <a:nvSpPr>
                      <a:cNvPr id="5" name="Rounded Rectangle 4"/>
                      <a:cNvSpPr/>
                    </a:nvSpPr>
                    <a:spPr>
                      <a:xfrm>
                        <a:off x="3721100" y="5397500"/>
                        <a:ext cx="1231900" cy="647700"/>
                      </a:xfrm>
                      <a:prstGeom prst="roundRect">
                        <a:avLst/>
                      </a:prstGeom>
                      <a:solidFill>
                        <a:schemeClr val="tx1"/>
                      </a:solidFill>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r>
                            <a:rPr lang="en-US" sz="1400" dirty="0" smtClean="0">
                              <a:hlinkClick r:id="rId23"/>
                            </a:rPr>
                            <a:t>Click here </a:t>
                          </a:r>
                          <a:r>
                            <a:rPr lang="en-US" sz="1400" dirty="0" smtClean="0">
                              <a:hlinkClick r:id="rId23"/>
                            </a:rPr>
                            <a:t>to continue</a:t>
                          </a:r>
                          <a:endParaRPr lang="en-US" sz="1400" dirty="0"/>
                        </a:p>
                      </a:txBody>
                      <a:useSpRect/>
                    </a:txSp>
                    <a:style>
                      <a:lnRef idx="1">
                        <a:schemeClr val="accent1"/>
                      </a:lnRef>
                      <a:fillRef idx="3">
                        <a:schemeClr val="accent1"/>
                      </a:fillRef>
                      <a:effectRef idx="2">
                        <a:schemeClr val="accent1"/>
                      </a:effectRef>
                      <a:fontRef idx="minor">
                        <a:schemeClr val="lt1"/>
                      </a:fontRef>
                    </a:style>
                  </a:sp>
                </lc:lockedCanvas>
              </a:graphicData>
            </a:graphic>
          </wp:inline>
        </w:drawing>
      </w:r>
    </w:p>
    <w:p w:rsidR="00B422AD" w:rsidRDefault="00B422AD" w:rsidP="00B422AD"/>
    <w:p w:rsidR="00B422AD" w:rsidRDefault="00B422AD" w:rsidP="00B422AD"/>
    <w:p w:rsidR="00B422AD" w:rsidRDefault="00B422AD" w:rsidP="00B422AD"/>
    <w:p w:rsidR="00B422AD" w:rsidRDefault="00B422AD" w:rsidP="00B422AD"/>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B422AD" w:rsidRDefault="00B422AD" w:rsidP="002C0A70">
      <w:pPr>
        <w:rPr>
          <w:b/>
        </w:rPr>
      </w:pPr>
    </w:p>
    <w:p w:rsidR="004920BC" w:rsidRPr="004920BC" w:rsidRDefault="004920BC" w:rsidP="004920BC">
      <w:pPr>
        <w:jc w:val="center"/>
        <w:rPr>
          <w:sz w:val="32"/>
        </w:rPr>
      </w:pPr>
      <w:r>
        <w:rPr>
          <w:sz w:val="32"/>
        </w:rPr>
        <w:t>Appendix C</w:t>
      </w:r>
    </w:p>
    <w:p w:rsidR="00B422AD" w:rsidRDefault="00B422AD" w:rsidP="002C0A70">
      <w:pPr>
        <w:rPr>
          <w:b/>
        </w:rPr>
      </w:pPr>
    </w:p>
    <w:p w:rsidR="00B422AD" w:rsidRPr="00652C9E" w:rsidRDefault="00B422AD" w:rsidP="00B422AD">
      <w:pPr>
        <w:widowControl w:val="0"/>
        <w:autoSpaceDE w:val="0"/>
        <w:autoSpaceDN w:val="0"/>
        <w:adjustRightInd w:val="0"/>
        <w:rPr>
          <w:rFonts w:cs="AdvPS6F00"/>
          <w:b/>
          <w:szCs w:val="20"/>
        </w:rPr>
      </w:pPr>
      <w:r w:rsidRPr="00652C9E">
        <w:rPr>
          <w:rFonts w:cs="AdvPS6F00"/>
          <w:szCs w:val="20"/>
        </w:rPr>
        <w:t xml:space="preserve">Were you asked to remember a number sequence before you played the game?  </w:t>
      </w:r>
      <w:r w:rsidRPr="00652C9E">
        <w:rPr>
          <w:rFonts w:cs="AdvPS6F00"/>
          <w:b/>
          <w:szCs w:val="20"/>
        </w:rPr>
        <w:t>Y____ N_____</w:t>
      </w:r>
    </w:p>
    <w:p w:rsidR="00B422AD" w:rsidRPr="00652C9E" w:rsidRDefault="00B422AD" w:rsidP="00B422AD">
      <w:pPr>
        <w:widowControl w:val="0"/>
        <w:autoSpaceDE w:val="0"/>
        <w:autoSpaceDN w:val="0"/>
        <w:adjustRightInd w:val="0"/>
        <w:rPr>
          <w:rFonts w:cs="AdvPS6F00"/>
          <w:b/>
          <w:szCs w:val="20"/>
        </w:rPr>
      </w:pPr>
    </w:p>
    <w:p w:rsidR="00B422AD" w:rsidRPr="00652C9E" w:rsidRDefault="00B422AD" w:rsidP="00B422AD">
      <w:pPr>
        <w:widowControl w:val="0"/>
        <w:autoSpaceDE w:val="0"/>
        <w:autoSpaceDN w:val="0"/>
        <w:adjustRightInd w:val="0"/>
        <w:rPr>
          <w:rFonts w:cs="AdvPS6F00"/>
          <w:b/>
          <w:szCs w:val="20"/>
        </w:rPr>
      </w:pPr>
      <w:r w:rsidRPr="00652C9E">
        <w:rPr>
          <w:rFonts w:cs="AdvPS6F00"/>
          <w:szCs w:val="20"/>
        </w:rPr>
        <w:tab/>
      </w:r>
      <w:r w:rsidRPr="00652C9E">
        <w:rPr>
          <w:rFonts w:cs="AdvPS6F00"/>
          <w:szCs w:val="20"/>
        </w:rPr>
        <w:tab/>
      </w:r>
      <w:r w:rsidRPr="00652C9E">
        <w:rPr>
          <w:rFonts w:cs="AdvPS6F00"/>
          <w:szCs w:val="20"/>
        </w:rPr>
        <w:tab/>
      </w:r>
      <w:r w:rsidRPr="00652C9E">
        <w:rPr>
          <w:rFonts w:cs="AdvPS6F00"/>
          <w:szCs w:val="20"/>
        </w:rPr>
        <w:tab/>
        <w:t xml:space="preserve">Did you write that number sequence down? </w:t>
      </w:r>
      <w:r w:rsidRPr="00652C9E">
        <w:rPr>
          <w:rFonts w:cs="AdvPS6F00"/>
          <w:b/>
          <w:szCs w:val="20"/>
        </w:rPr>
        <w:t>Y____ N_____</w:t>
      </w:r>
    </w:p>
    <w:p w:rsidR="00B422AD" w:rsidRPr="00652C9E" w:rsidRDefault="00B422AD" w:rsidP="00B422AD">
      <w:pPr>
        <w:widowControl w:val="0"/>
        <w:autoSpaceDE w:val="0"/>
        <w:autoSpaceDN w:val="0"/>
        <w:adjustRightInd w:val="0"/>
        <w:rPr>
          <w:rFonts w:cs="AdvPS6F00"/>
          <w:szCs w:val="20"/>
        </w:rPr>
      </w:pPr>
    </w:p>
    <w:p w:rsidR="00B422AD" w:rsidRPr="00652C9E" w:rsidRDefault="00B422AD" w:rsidP="00B422AD">
      <w:pPr>
        <w:widowControl w:val="0"/>
        <w:autoSpaceDE w:val="0"/>
        <w:autoSpaceDN w:val="0"/>
        <w:adjustRightInd w:val="0"/>
        <w:rPr>
          <w:rFonts w:cs="AdvPS6F00"/>
          <w:szCs w:val="20"/>
        </w:rPr>
      </w:pPr>
      <w:r w:rsidRPr="00652C9E">
        <w:rPr>
          <w:rFonts w:cs="AdvPS6F00"/>
          <w:szCs w:val="20"/>
        </w:rPr>
        <w:t>What was the number sequence you were asked to remember? ______________________</w:t>
      </w:r>
    </w:p>
    <w:p w:rsidR="00B422AD" w:rsidRDefault="00B422AD" w:rsidP="00B422AD">
      <w:pPr>
        <w:widowControl w:val="0"/>
        <w:autoSpaceDE w:val="0"/>
        <w:autoSpaceDN w:val="0"/>
        <w:adjustRightInd w:val="0"/>
        <w:rPr>
          <w:rFonts w:cs="AdvPS6F00"/>
          <w:sz w:val="20"/>
          <w:szCs w:val="20"/>
        </w:rPr>
      </w:pPr>
    </w:p>
    <w:p w:rsidR="00B422AD" w:rsidRPr="00652C9E" w:rsidRDefault="00B422AD" w:rsidP="00B422AD">
      <w:pPr>
        <w:widowControl w:val="0"/>
        <w:autoSpaceDE w:val="0"/>
        <w:autoSpaceDN w:val="0"/>
        <w:adjustRightInd w:val="0"/>
        <w:rPr>
          <w:rFonts w:cs="AdvPS6F00"/>
          <w:szCs w:val="20"/>
        </w:rPr>
      </w:pPr>
      <w:r w:rsidRPr="00652C9E">
        <w:rPr>
          <w:rFonts w:cs="AdvPS6F00"/>
          <w:szCs w:val="20"/>
        </w:rPr>
        <w:t>How difficult was it to remember the number sequence?</w:t>
      </w:r>
    </w:p>
    <w:p w:rsidR="00B422AD" w:rsidRDefault="00B422AD" w:rsidP="00B422AD">
      <w:pPr>
        <w:widowControl w:val="0"/>
        <w:autoSpaceDE w:val="0"/>
        <w:autoSpaceDN w:val="0"/>
        <w:adjustRightInd w:val="0"/>
        <w:rPr>
          <w:rFonts w:cs="AdvPS6F00"/>
          <w:b/>
          <w:sz w:val="20"/>
          <w:szCs w:val="20"/>
        </w:rPr>
      </w:pPr>
      <w:r>
        <w:rPr>
          <w:rFonts w:cs="AdvPS6F00"/>
          <w:b/>
          <w:sz w:val="20"/>
          <w:szCs w:val="20"/>
        </w:rPr>
        <w:t xml:space="preserve">Not Difficult at all  </w:t>
      </w:r>
      <w:r>
        <w:rPr>
          <w:rFonts w:cs="AdvPS6F00"/>
          <w:b/>
          <w:sz w:val="20"/>
          <w:szCs w:val="20"/>
        </w:rPr>
        <w:tab/>
      </w:r>
      <w:r>
        <w:rPr>
          <w:rFonts w:cs="AdvPS6F00"/>
          <w:b/>
          <w:sz w:val="20"/>
          <w:szCs w:val="20"/>
        </w:rPr>
        <w:tab/>
      </w:r>
      <w:r>
        <w:rPr>
          <w:rFonts w:cs="AdvPS6F00"/>
          <w:b/>
          <w:sz w:val="20"/>
          <w:szCs w:val="20"/>
        </w:rPr>
        <w:tab/>
      </w:r>
      <w:r>
        <w:rPr>
          <w:rFonts w:cs="AdvPS6F00"/>
          <w:b/>
          <w:sz w:val="20"/>
          <w:szCs w:val="20"/>
        </w:rPr>
        <w:tab/>
      </w:r>
      <w:r>
        <w:rPr>
          <w:rFonts w:cs="AdvPS6F00"/>
          <w:b/>
          <w:sz w:val="20"/>
          <w:szCs w:val="20"/>
        </w:rPr>
        <w:tab/>
      </w:r>
      <w:r>
        <w:rPr>
          <w:rFonts w:cs="AdvPS6F00"/>
          <w:b/>
          <w:sz w:val="20"/>
          <w:szCs w:val="20"/>
        </w:rPr>
        <w:tab/>
        <w:t>Very Difficult</w:t>
      </w:r>
    </w:p>
    <w:p w:rsidR="00B422AD" w:rsidRPr="00215386" w:rsidRDefault="00B422AD" w:rsidP="00B422AD">
      <w:pPr>
        <w:widowControl w:val="0"/>
        <w:autoSpaceDE w:val="0"/>
        <w:autoSpaceDN w:val="0"/>
        <w:adjustRightInd w:val="0"/>
        <w:rPr>
          <w:rFonts w:cs="AdvPS6F00"/>
          <w:b/>
          <w:sz w:val="20"/>
          <w:szCs w:val="20"/>
        </w:rPr>
      </w:pPr>
      <w:r>
        <w:rPr>
          <w:rFonts w:cs="AdvPS6F00"/>
          <w:b/>
          <w:sz w:val="20"/>
          <w:szCs w:val="20"/>
        </w:rPr>
        <w:tab/>
      </w:r>
      <w:r>
        <w:rPr>
          <w:rFonts w:cs="AdvPS6F00"/>
          <w:b/>
          <w:sz w:val="20"/>
          <w:szCs w:val="20"/>
        </w:rPr>
        <w:tab/>
        <w:t>1</w:t>
      </w:r>
      <w:r>
        <w:rPr>
          <w:rFonts w:cs="AdvPS6F00"/>
          <w:b/>
          <w:sz w:val="20"/>
          <w:szCs w:val="20"/>
        </w:rPr>
        <w:tab/>
        <w:t>2</w:t>
      </w:r>
      <w:r>
        <w:rPr>
          <w:rFonts w:cs="AdvPS6F00"/>
          <w:b/>
          <w:sz w:val="20"/>
          <w:szCs w:val="20"/>
        </w:rPr>
        <w:tab/>
        <w:t>3</w:t>
      </w:r>
      <w:r>
        <w:rPr>
          <w:rFonts w:cs="AdvPS6F00"/>
          <w:b/>
          <w:sz w:val="20"/>
          <w:szCs w:val="20"/>
        </w:rPr>
        <w:tab/>
        <w:t>4</w:t>
      </w:r>
      <w:r>
        <w:rPr>
          <w:rFonts w:cs="AdvPS6F00"/>
          <w:b/>
          <w:sz w:val="20"/>
          <w:szCs w:val="20"/>
        </w:rPr>
        <w:tab/>
        <w:t>5</w:t>
      </w:r>
      <w:r>
        <w:rPr>
          <w:rFonts w:cs="AdvPS6F00"/>
          <w:b/>
          <w:sz w:val="20"/>
          <w:szCs w:val="20"/>
        </w:rPr>
        <w:tab/>
        <w:t>6</w:t>
      </w:r>
      <w:r>
        <w:rPr>
          <w:rFonts w:cs="AdvPS6F00"/>
          <w:b/>
          <w:sz w:val="20"/>
          <w:szCs w:val="20"/>
        </w:rPr>
        <w:tab/>
        <w:t>7</w:t>
      </w:r>
    </w:p>
    <w:p w:rsidR="00B422AD" w:rsidRDefault="00B422AD" w:rsidP="00B422AD">
      <w:pPr>
        <w:widowControl w:val="0"/>
        <w:autoSpaceDE w:val="0"/>
        <w:autoSpaceDN w:val="0"/>
        <w:adjustRightInd w:val="0"/>
        <w:rPr>
          <w:rFonts w:cs="AdvPS6F00"/>
          <w:szCs w:val="20"/>
        </w:rPr>
      </w:pPr>
    </w:p>
    <w:p w:rsidR="00B422AD" w:rsidRPr="00652C9E" w:rsidRDefault="00B422AD" w:rsidP="00B422AD">
      <w:pPr>
        <w:widowControl w:val="0"/>
        <w:autoSpaceDE w:val="0"/>
        <w:autoSpaceDN w:val="0"/>
        <w:adjustRightInd w:val="0"/>
        <w:rPr>
          <w:rFonts w:cs="AdvPS6F00"/>
          <w:szCs w:val="20"/>
        </w:rPr>
      </w:pPr>
      <w:r w:rsidRPr="00652C9E">
        <w:rPr>
          <w:rFonts w:cs="AdvPS6F00"/>
          <w:szCs w:val="20"/>
        </w:rPr>
        <w:t>How difficult was it to re</w:t>
      </w:r>
      <w:r>
        <w:rPr>
          <w:rFonts w:cs="AdvPS6F00"/>
          <w:szCs w:val="20"/>
        </w:rPr>
        <w:t>call</w:t>
      </w:r>
      <w:r w:rsidRPr="00652C9E">
        <w:rPr>
          <w:rFonts w:cs="AdvPS6F00"/>
          <w:szCs w:val="20"/>
        </w:rPr>
        <w:t xml:space="preserve"> the number sequence?</w:t>
      </w:r>
    </w:p>
    <w:p w:rsidR="00B422AD" w:rsidRDefault="00B422AD" w:rsidP="00B422AD">
      <w:pPr>
        <w:widowControl w:val="0"/>
        <w:autoSpaceDE w:val="0"/>
        <w:autoSpaceDN w:val="0"/>
        <w:adjustRightInd w:val="0"/>
        <w:rPr>
          <w:rFonts w:cs="AdvPS6F00"/>
          <w:b/>
          <w:sz w:val="20"/>
          <w:szCs w:val="20"/>
        </w:rPr>
      </w:pPr>
      <w:r>
        <w:rPr>
          <w:rFonts w:cs="AdvPS6F00"/>
          <w:b/>
          <w:sz w:val="20"/>
          <w:szCs w:val="20"/>
        </w:rPr>
        <w:t xml:space="preserve">Not Difficult at all  </w:t>
      </w:r>
      <w:r>
        <w:rPr>
          <w:rFonts w:cs="AdvPS6F00"/>
          <w:b/>
          <w:sz w:val="20"/>
          <w:szCs w:val="20"/>
        </w:rPr>
        <w:tab/>
      </w:r>
      <w:r>
        <w:rPr>
          <w:rFonts w:cs="AdvPS6F00"/>
          <w:b/>
          <w:sz w:val="20"/>
          <w:szCs w:val="20"/>
        </w:rPr>
        <w:tab/>
      </w:r>
      <w:r>
        <w:rPr>
          <w:rFonts w:cs="AdvPS6F00"/>
          <w:b/>
          <w:sz w:val="20"/>
          <w:szCs w:val="20"/>
        </w:rPr>
        <w:tab/>
      </w:r>
      <w:r>
        <w:rPr>
          <w:rFonts w:cs="AdvPS6F00"/>
          <w:b/>
          <w:sz w:val="20"/>
          <w:szCs w:val="20"/>
        </w:rPr>
        <w:tab/>
      </w:r>
      <w:r>
        <w:rPr>
          <w:rFonts w:cs="AdvPS6F00"/>
          <w:b/>
          <w:sz w:val="20"/>
          <w:szCs w:val="20"/>
        </w:rPr>
        <w:tab/>
      </w:r>
      <w:r>
        <w:rPr>
          <w:rFonts w:cs="AdvPS6F00"/>
          <w:b/>
          <w:sz w:val="20"/>
          <w:szCs w:val="20"/>
        </w:rPr>
        <w:tab/>
        <w:t>Very Difficult</w:t>
      </w:r>
    </w:p>
    <w:p w:rsidR="00B422AD" w:rsidRPr="00215386" w:rsidRDefault="00B422AD" w:rsidP="00B422AD">
      <w:pPr>
        <w:widowControl w:val="0"/>
        <w:autoSpaceDE w:val="0"/>
        <w:autoSpaceDN w:val="0"/>
        <w:adjustRightInd w:val="0"/>
        <w:rPr>
          <w:rFonts w:cs="AdvPS6F00"/>
          <w:b/>
          <w:sz w:val="20"/>
          <w:szCs w:val="20"/>
        </w:rPr>
      </w:pPr>
      <w:r>
        <w:rPr>
          <w:rFonts w:cs="AdvPS6F00"/>
          <w:b/>
          <w:sz w:val="20"/>
          <w:szCs w:val="20"/>
        </w:rPr>
        <w:tab/>
      </w:r>
      <w:r>
        <w:rPr>
          <w:rFonts w:cs="AdvPS6F00"/>
          <w:b/>
          <w:sz w:val="20"/>
          <w:szCs w:val="20"/>
        </w:rPr>
        <w:tab/>
        <w:t>1</w:t>
      </w:r>
      <w:r>
        <w:rPr>
          <w:rFonts w:cs="AdvPS6F00"/>
          <w:b/>
          <w:sz w:val="20"/>
          <w:szCs w:val="20"/>
        </w:rPr>
        <w:tab/>
        <w:t>2</w:t>
      </w:r>
      <w:r>
        <w:rPr>
          <w:rFonts w:cs="AdvPS6F00"/>
          <w:b/>
          <w:sz w:val="20"/>
          <w:szCs w:val="20"/>
        </w:rPr>
        <w:tab/>
        <w:t>3</w:t>
      </w:r>
      <w:r>
        <w:rPr>
          <w:rFonts w:cs="AdvPS6F00"/>
          <w:b/>
          <w:sz w:val="20"/>
          <w:szCs w:val="20"/>
        </w:rPr>
        <w:tab/>
        <w:t>4</w:t>
      </w:r>
      <w:r>
        <w:rPr>
          <w:rFonts w:cs="AdvPS6F00"/>
          <w:b/>
          <w:sz w:val="20"/>
          <w:szCs w:val="20"/>
        </w:rPr>
        <w:tab/>
        <w:t>5</w:t>
      </w:r>
      <w:r>
        <w:rPr>
          <w:rFonts w:cs="AdvPS6F00"/>
          <w:b/>
          <w:sz w:val="20"/>
          <w:szCs w:val="20"/>
        </w:rPr>
        <w:tab/>
        <w:t>6</w:t>
      </w:r>
      <w:r>
        <w:rPr>
          <w:rFonts w:cs="AdvPS6F00"/>
          <w:b/>
          <w:sz w:val="20"/>
          <w:szCs w:val="20"/>
        </w:rPr>
        <w:tab/>
        <w:t>7</w:t>
      </w:r>
    </w:p>
    <w:p w:rsidR="00B422AD" w:rsidRDefault="00B422AD" w:rsidP="00B422AD">
      <w:pPr>
        <w:widowControl w:val="0"/>
        <w:autoSpaceDE w:val="0"/>
        <w:autoSpaceDN w:val="0"/>
        <w:adjustRightInd w:val="0"/>
        <w:rPr>
          <w:rFonts w:cs="AdvPS6F00"/>
          <w:sz w:val="20"/>
          <w:szCs w:val="20"/>
        </w:rPr>
      </w:pPr>
    </w:p>
    <w:p w:rsidR="00B422AD" w:rsidRPr="00652C9E" w:rsidRDefault="00B422AD" w:rsidP="00B422AD">
      <w:pPr>
        <w:widowControl w:val="0"/>
        <w:autoSpaceDE w:val="0"/>
        <w:autoSpaceDN w:val="0"/>
        <w:adjustRightInd w:val="0"/>
        <w:rPr>
          <w:rFonts w:cs="AdvPS6F00"/>
          <w:szCs w:val="20"/>
        </w:rPr>
      </w:pPr>
      <w:r w:rsidRPr="00652C9E">
        <w:rPr>
          <w:color w:val="000000"/>
        </w:rPr>
        <w:t>When you were playing, how hard were you concentrating on remembering the number sequence?</w:t>
      </w:r>
    </w:p>
    <w:p w:rsidR="00B422AD" w:rsidRDefault="00B422AD" w:rsidP="00B422AD">
      <w:pPr>
        <w:widowControl w:val="0"/>
        <w:autoSpaceDE w:val="0"/>
        <w:autoSpaceDN w:val="0"/>
        <w:adjustRightInd w:val="0"/>
        <w:rPr>
          <w:rFonts w:cs="AdvPS6F00"/>
          <w:b/>
          <w:sz w:val="20"/>
          <w:szCs w:val="20"/>
        </w:rPr>
      </w:pPr>
      <w:r>
        <w:rPr>
          <w:rFonts w:cs="AdvPS6F00"/>
          <w:sz w:val="20"/>
          <w:szCs w:val="20"/>
        </w:rPr>
        <w:tab/>
      </w:r>
      <w:r w:rsidRPr="00594659">
        <w:rPr>
          <w:rFonts w:cs="AdvPS6F00"/>
          <w:b/>
          <w:sz w:val="20"/>
          <w:szCs w:val="20"/>
        </w:rPr>
        <w:t xml:space="preserve">Not at all </w:t>
      </w:r>
      <w:r w:rsidRPr="00594659">
        <w:rPr>
          <w:rFonts w:cs="AdvPS6F00"/>
          <w:b/>
          <w:sz w:val="20"/>
          <w:szCs w:val="20"/>
        </w:rPr>
        <w:tab/>
      </w:r>
      <w:r w:rsidRPr="00594659">
        <w:rPr>
          <w:rFonts w:cs="AdvPS6F00"/>
          <w:b/>
          <w:sz w:val="20"/>
          <w:szCs w:val="20"/>
        </w:rPr>
        <w:tab/>
      </w:r>
      <w:r w:rsidRPr="00594659">
        <w:rPr>
          <w:rFonts w:cs="AdvPS6F00"/>
          <w:b/>
          <w:sz w:val="20"/>
          <w:szCs w:val="20"/>
        </w:rPr>
        <w:tab/>
      </w:r>
      <w:r w:rsidRPr="00594659">
        <w:rPr>
          <w:rFonts w:cs="AdvPS6F00"/>
          <w:b/>
          <w:sz w:val="20"/>
          <w:szCs w:val="20"/>
        </w:rPr>
        <w:tab/>
      </w:r>
      <w:r w:rsidRPr="00594659">
        <w:rPr>
          <w:rFonts w:cs="AdvPS6F00"/>
          <w:b/>
          <w:sz w:val="20"/>
          <w:szCs w:val="20"/>
        </w:rPr>
        <w:tab/>
      </w:r>
      <w:r w:rsidRPr="00594659">
        <w:rPr>
          <w:rFonts w:cs="AdvPS6F00"/>
          <w:b/>
          <w:sz w:val="20"/>
          <w:szCs w:val="20"/>
        </w:rPr>
        <w:tab/>
        <w:t>Very Hard</w:t>
      </w:r>
    </w:p>
    <w:p w:rsidR="00B422AD" w:rsidRPr="00215386" w:rsidRDefault="00B422AD" w:rsidP="00B422AD">
      <w:pPr>
        <w:widowControl w:val="0"/>
        <w:autoSpaceDE w:val="0"/>
        <w:autoSpaceDN w:val="0"/>
        <w:adjustRightInd w:val="0"/>
        <w:rPr>
          <w:rFonts w:cs="AdvPS6F00"/>
          <w:b/>
          <w:sz w:val="20"/>
          <w:szCs w:val="20"/>
        </w:rPr>
      </w:pPr>
      <w:r>
        <w:rPr>
          <w:rFonts w:cs="AdvPS6F00"/>
          <w:b/>
          <w:sz w:val="20"/>
          <w:szCs w:val="20"/>
        </w:rPr>
        <w:tab/>
      </w:r>
      <w:r>
        <w:rPr>
          <w:rFonts w:cs="AdvPS6F00"/>
          <w:b/>
          <w:sz w:val="20"/>
          <w:szCs w:val="20"/>
        </w:rPr>
        <w:tab/>
        <w:t>1</w:t>
      </w:r>
      <w:r>
        <w:rPr>
          <w:rFonts w:cs="AdvPS6F00"/>
          <w:b/>
          <w:sz w:val="20"/>
          <w:szCs w:val="20"/>
        </w:rPr>
        <w:tab/>
        <w:t>2</w:t>
      </w:r>
      <w:r>
        <w:rPr>
          <w:rFonts w:cs="AdvPS6F00"/>
          <w:b/>
          <w:sz w:val="20"/>
          <w:szCs w:val="20"/>
        </w:rPr>
        <w:tab/>
        <w:t>3</w:t>
      </w:r>
      <w:r>
        <w:rPr>
          <w:rFonts w:cs="AdvPS6F00"/>
          <w:b/>
          <w:sz w:val="20"/>
          <w:szCs w:val="20"/>
        </w:rPr>
        <w:tab/>
        <w:t>4</w:t>
      </w:r>
      <w:r>
        <w:rPr>
          <w:rFonts w:cs="AdvPS6F00"/>
          <w:b/>
          <w:sz w:val="20"/>
          <w:szCs w:val="20"/>
        </w:rPr>
        <w:tab/>
        <w:t>5</w:t>
      </w:r>
      <w:r>
        <w:rPr>
          <w:rFonts w:cs="AdvPS6F00"/>
          <w:b/>
          <w:sz w:val="20"/>
          <w:szCs w:val="20"/>
        </w:rPr>
        <w:tab/>
        <w:t>6</w:t>
      </w:r>
      <w:r>
        <w:rPr>
          <w:rFonts w:cs="AdvPS6F00"/>
          <w:b/>
          <w:sz w:val="20"/>
          <w:szCs w:val="20"/>
        </w:rPr>
        <w:tab/>
        <w:t>7</w:t>
      </w:r>
    </w:p>
    <w:p w:rsidR="00B422AD" w:rsidRDefault="00B422AD" w:rsidP="00B422AD">
      <w:pPr>
        <w:widowControl w:val="0"/>
        <w:autoSpaceDE w:val="0"/>
        <w:autoSpaceDN w:val="0"/>
        <w:adjustRightInd w:val="0"/>
        <w:rPr>
          <w:rFonts w:cs="AdvPS6F00"/>
          <w:sz w:val="20"/>
          <w:szCs w:val="20"/>
        </w:rPr>
      </w:pPr>
    </w:p>
    <w:p w:rsidR="00B422AD" w:rsidRPr="00652C9E" w:rsidRDefault="00B422AD" w:rsidP="00B422AD">
      <w:pPr>
        <w:widowControl w:val="0"/>
        <w:autoSpaceDE w:val="0"/>
        <w:autoSpaceDN w:val="0"/>
        <w:adjustRightInd w:val="0"/>
        <w:rPr>
          <w:rFonts w:cs="AdvPS6F00"/>
          <w:szCs w:val="20"/>
        </w:rPr>
      </w:pPr>
      <w:r w:rsidRPr="00652C9E">
        <w:rPr>
          <w:color w:val="000000"/>
        </w:rPr>
        <w:t>When you were playing, how hard were you concentrating on the game</w:t>
      </w:r>
      <w:r w:rsidRPr="00652C9E">
        <w:rPr>
          <w:rFonts w:cs="AdvPS6F00"/>
          <w:szCs w:val="20"/>
        </w:rPr>
        <w:t>?</w:t>
      </w:r>
    </w:p>
    <w:p w:rsidR="00B422AD" w:rsidRDefault="00B422AD" w:rsidP="00B422AD">
      <w:pPr>
        <w:widowControl w:val="0"/>
        <w:autoSpaceDE w:val="0"/>
        <w:autoSpaceDN w:val="0"/>
        <w:adjustRightInd w:val="0"/>
        <w:rPr>
          <w:rFonts w:cs="AdvPS6F00"/>
          <w:b/>
          <w:sz w:val="20"/>
          <w:szCs w:val="20"/>
        </w:rPr>
      </w:pPr>
      <w:r>
        <w:rPr>
          <w:rFonts w:cs="AdvPS6F00"/>
          <w:b/>
          <w:sz w:val="20"/>
          <w:szCs w:val="20"/>
        </w:rPr>
        <w:tab/>
      </w:r>
      <w:r w:rsidRPr="00594659">
        <w:rPr>
          <w:rFonts w:cs="AdvPS6F00"/>
          <w:b/>
          <w:sz w:val="20"/>
          <w:szCs w:val="20"/>
        </w:rPr>
        <w:t xml:space="preserve">Not at all </w:t>
      </w:r>
      <w:r w:rsidRPr="00594659">
        <w:rPr>
          <w:rFonts w:cs="AdvPS6F00"/>
          <w:b/>
          <w:sz w:val="20"/>
          <w:szCs w:val="20"/>
        </w:rPr>
        <w:tab/>
      </w:r>
      <w:r w:rsidRPr="00594659">
        <w:rPr>
          <w:rFonts w:cs="AdvPS6F00"/>
          <w:b/>
          <w:sz w:val="20"/>
          <w:szCs w:val="20"/>
        </w:rPr>
        <w:tab/>
      </w:r>
      <w:r w:rsidRPr="00594659">
        <w:rPr>
          <w:rFonts w:cs="AdvPS6F00"/>
          <w:b/>
          <w:sz w:val="20"/>
          <w:szCs w:val="20"/>
        </w:rPr>
        <w:tab/>
      </w:r>
      <w:r w:rsidRPr="00594659">
        <w:rPr>
          <w:rFonts w:cs="AdvPS6F00"/>
          <w:b/>
          <w:sz w:val="20"/>
          <w:szCs w:val="20"/>
        </w:rPr>
        <w:tab/>
      </w:r>
      <w:r w:rsidRPr="00594659">
        <w:rPr>
          <w:rFonts w:cs="AdvPS6F00"/>
          <w:b/>
          <w:sz w:val="20"/>
          <w:szCs w:val="20"/>
        </w:rPr>
        <w:tab/>
      </w:r>
      <w:r w:rsidRPr="00594659">
        <w:rPr>
          <w:rFonts w:cs="AdvPS6F00"/>
          <w:b/>
          <w:sz w:val="20"/>
          <w:szCs w:val="20"/>
        </w:rPr>
        <w:tab/>
        <w:t>Very Hard</w:t>
      </w:r>
    </w:p>
    <w:p w:rsidR="00B422AD" w:rsidRDefault="00B422AD" w:rsidP="00B422AD">
      <w:pPr>
        <w:widowControl w:val="0"/>
        <w:pBdr>
          <w:bottom w:val="single" w:sz="12" w:space="1" w:color="auto"/>
        </w:pBdr>
        <w:autoSpaceDE w:val="0"/>
        <w:autoSpaceDN w:val="0"/>
        <w:adjustRightInd w:val="0"/>
        <w:rPr>
          <w:rFonts w:cs="AdvPS6F00"/>
          <w:b/>
          <w:sz w:val="20"/>
          <w:szCs w:val="20"/>
        </w:rPr>
      </w:pPr>
      <w:r>
        <w:rPr>
          <w:rFonts w:cs="AdvPS6F00"/>
          <w:b/>
          <w:sz w:val="20"/>
          <w:szCs w:val="20"/>
        </w:rPr>
        <w:tab/>
      </w:r>
      <w:r>
        <w:rPr>
          <w:rFonts w:cs="AdvPS6F00"/>
          <w:b/>
          <w:sz w:val="20"/>
          <w:szCs w:val="20"/>
        </w:rPr>
        <w:tab/>
        <w:t>1</w:t>
      </w:r>
      <w:r>
        <w:rPr>
          <w:rFonts w:cs="AdvPS6F00"/>
          <w:b/>
          <w:sz w:val="20"/>
          <w:szCs w:val="20"/>
        </w:rPr>
        <w:tab/>
        <w:t>2</w:t>
      </w:r>
      <w:r>
        <w:rPr>
          <w:rFonts w:cs="AdvPS6F00"/>
          <w:b/>
          <w:sz w:val="20"/>
          <w:szCs w:val="20"/>
        </w:rPr>
        <w:tab/>
        <w:t>3</w:t>
      </w:r>
      <w:r>
        <w:rPr>
          <w:rFonts w:cs="AdvPS6F00"/>
          <w:b/>
          <w:sz w:val="20"/>
          <w:szCs w:val="20"/>
        </w:rPr>
        <w:tab/>
        <w:t>4</w:t>
      </w:r>
      <w:r>
        <w:rPr>
          <w:rFonts w:cs="AdvPS6F00"/>
          <w:b/>
          <w:sz w:val="20"/>
          <w:szCs w:val="20"/>
        </w:rPr>
        <w:tab/>
        <w:t>5</w:t>
      </w:r>
      <w:r>
        <w:rPr>
          <w:rFonts w:cs="AdvPS6F00"/>
          <w:b/>
          <w:sz w:val="20"/>
          <w:szCs w:val="20"/>
        </w:rPr>
        <w:tab/>
        <w:t>6</w:t>
      </w:r>
      <w:r>
        <w:rPr>
          <w:rFonts w:cs="AdvPS6F00"/>
          <w:b/>
          <w:sz w:val="20"/>
          <w:szCs w:val="20"/>
        </w:rPr>
        <w:tab/>
        <w:t>7</w:t>
      </w:r>
    </w:p>
    <w:p w:rsidR="00B422AD" w:rsidRDefault="00B422AD" w:rsidP="00B422AD">
      <w:pPr>
        <w:widowControl w:val="0"/>
        <w:pBdr>
          <w:bottom w:val="single" w:sz="12" w:space="1" w:color="auto"/>
        </w:pBdr>
        <w:autoSpaceDE w:val="0"/>
        <w:autoSpaceDN w:val="0"/>
        <w:adjustRightInd w:val="0"/>
        <w:rPr>
          <w:rFonts w:cs="AdvPS6F00"/>
          <w:b/>
          <w:sz w:val="20"/>
          <w:szCs w:val="20"/>
        </w:rPr>
      </w:pPr>
    </w:p>
    <w:p w:rsidR="00B422AD" w:rsidRDefault="00B422AD" w:rsidP="00B42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Helvetica"/>
          <w:b/>
          <w:sz w:val="20"/>
          <w:szCs w:val="18"/>
        </w:rPr>
      </w:pPr>
    </w:p>
    <w:p w:rsidR="00B422AD" w:rsidRPr="00652C9E" w:rsidRDefault="00B422AD" w:rsidP="00B42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Helvetica"/>
          <w:b/>
          <w:szCs w:val="18"/>
        </w:rPr>
      </w:pPr>
      <w:r w:rsidRPr="00652C9E">
        <w:rPr>
          <w:rFonts w:cs="Helvetica"/>
          <w:b/>
          <w:szCs w:val="18"/>
        </w:rPr>
        <w:t>For the next questions please think of your youngest child between the ages of 7 -11</w:t>
      </w:r>
    </w:p>
    <w:p w:rsidR="00B422AD" w:rsidRPr="00652C9E" w:rsidRDefault="00B422AD" w:rsidP="00B422AD">
      <w:pPr>
        <w:pStyle w:val="NormalWeb"/>
        <w:spacing w:before="0" w:beforeAutospacing="0" w:after="0" w:afterAutospacing="0"/>
      </w:pPr>
    </w:p>
    <w:p w:rsidR="00B422AD" w:rsidRPr="00652C9E" w:rsidRDefault="00B422AD" w:rsidP="00B422AD">
      <w:pPr>
        <w:pStyle w:val="NormalWeb"/>
        <w:spacing w:before="0" w:beforeAutospacing="0" w:after="0" w:afterAutospacing="0"/>
      </w:pPr>
      <w:r w:rsidRPr="00652C9E">
        <w:t>How old is this child_____?</w:t>
      </w:r>
    </w:p>
    <w:p w:rsidR="00B422AD" w:rsidRPr="00652C9E" w:rsidRDefault="00B422AD" w:rsidP="00B422AD">
      <w:pPr>
        <w:pStyle w:val="NormalWeb"/>
        <w:spacing w:before="0" w:beforeAutospacing="0" w:after="0" w:afterAutospacing="0"/>
      </w:pPr>
    </w:p>
    <w:p w:rsidR="00B422AD" w:rsidRPr="00652C9E" w:rsidRDefault="00B422AD" w:rsidP="00B422AD">
      <w:pPr>
        <w:pStyle w:val="NormalWeb"/>
        <w:spacing w:before="0" w:beforeAutospacing="0" w:after="0" w:afterAutospacing="0"/>
        <w:rPr>
          <w:b/>
        </w:rPr>
      </w:pPr>
      <w:r w:rsidRPr="00652C9E">
        <w:t xml:space="preserve">This child is a </w:t>
      </w:r>
      <w:r w:rsidRPr="00652C9E">
        <w:rPr>
          <w:b/>
        </w:rPr>
        <w:t>Male___ Female___</w:t>
      </w:r>
    </w:p>
    <w:p w:rsidR="00B422AD" w:rsidRPr="00652C9E" w:rsidRDefault="00B422AD" w:rsidP="00B422AD">
      <w:pPr>
        <w:pStyle w:val="NormalWeb"/>
        <w:spacing w:before="0" w:beforeAutospacing="0" w:after="0" w:afterAutospacing="0"/>
      </w:pPr>
    </w:p>
    <w:p w:rsidR="00B422AD" w:rsidRPr="00652C9E" w:rsidRDefault="00B422AD" w:rsidP="00B422AD">
      <w:pPr>
        <w:pStyle w:val="NormalWeb"/>
        <w:spacing w:before="0" w:beforeAutospacing="0" w:after="0" w:afterAutospacing="0"/>
      </w:pPr>
      <w:r w:rsidRPr="00652C9E">
        <w:t xml:space="preserve">I am this child’s </w:t>
      </w:r>
      <w:r w:rsidRPr="00652C9E">
        <w:rPr>
          <w:b/>
        </w:rPr>
        <w:t>Mother ___ Father___ Other (Please Explain) ________________________________</w:t>
      </w:r>
    </w:p>
    <w:p w:rsidR="00B422AD" w:rsidRPr="00652C9E" w:rsidRDefault="00B422AD" w:rsidP="00B422AD">
      <w:pPr>
        <w:widowControl w:val="0"/>
        <w:pBdr>
          <w:bottom w:val="single" w:sz="12" w:space="1" w:color="auto"/>
        </w:pBdr>
        <w:autoSpaceDE w:val="0"/>
        <w:autoSpaceDN w:val="0"/>
        <w:adjustRightInd w:val="0"/>
        <w:rPr>
          <w:rFonts w:cs="AdvPS6F00"/>
          <w:b/>
          <w:szCs w:val="20"/>
        </w:rPr>
      </w:pPr>
    </w:p>
    <w:p w:rsidR="00B422AD" w:rsidRPr="00652C9E" w:rsidRDefault="00B422AD" w:rsidP="00B422AD">
      <w:pPr>
        <w:pStyle w:val="NormalWeb"/>
        <w:pBdr>
          <w:bottom w:val="single" w:sz="12" w:space="1" w:color="auto"/>
        </w:pBdr>
        <w:spacing w:before="0" w:beforeAutospacing="0" w:after="0" w:afterAutospacing="0"/>
        <w:rPr>
          <w:b/>
        </w:rPr>
      </w:pPr>
      <w:r w:rsidRPr="00652C9E">
        <w:t xml:space="preserve">Does your child play online games? </w:t>
      </w:r>
      <w:r w:rsidRPr="00652C9E">
        <w:rPr>
          <w:b/>
        </w:rPr>
        <w:t>Y___N___</w:t>
      </w:r>
    </w:p>
    <w:p w:rsidR="00B422AD" w:rsidRPr="00652C9E" w:rsidRDefault="00B422AD" w:rsidP="00B422AD">
      <w:pPr>
        <w:pStyle w:val="NormalWeb"/>
        <w:pBdr>
          <w:bottom w:val="single" w:sz="12" w:space="1" w:color="auto"/>
        </w:pBdr>
        <w:spacing w:before="0" w:beforeAutospacing="0" w:after="0" w:afterAutospacing="0"/>
      </w:pPr>
    </w:p>
    <w:p w:rsidR="00B422AD" w:rsidRPr="00652C9E" w:rsidRDefault="00B422AD" w:rsidP="00B422AD">
      <w:pPr>
        <w:pStyle w:val="NormalWeb"/>
        <w:pBdr>
          <w:bottom w:val="single" w:sz="12" w:space="1" w:color="auto"/>
        </w:pBdr>
        <w:spacing w:before="0" w:beforeAutospacing="0" w:after="0" w:afterAutospacing="0"/>
      </w:pPr>
      <w:r w:rsidRPr="00652C9E">
        <w:t>What online games does he or she play?</w:t>
      </w:r>
    </w:p>
    <w:p w:rsidR="00B422AD" w:rsidRPr="00652C9E" w:rsidRDefault="00B422AD" w:rsidP="00B422AD">
      <w:pPr>
        <w:pStyle w:val="NormalWeb"/>
        <w:pBdr>
          <w:bottom w:val="single" w:sz="12" w:space="1" w:color="auto"/>
        </w:pBdr>
        <w:spacing w:before="0" w:beforeAutospacing="0" w:after="0" w:afterAutospacing="0"/>
      </w:pPr>
    </w:p>
    <w:p w:rsidR="00B422AD" w:rsidRPr="00652C9E" w:rsidRDefault="00B422AD" w:rsidP="00B422AD">
      <w:pPr>
        <w:pStyle w:val="NormalWeb"/>
        <w:spacing w:before="0" w:beforeAutospacing="0" w:after="0" w:afterAutospacing="0"/>
      </w:pPr>
    </w:p>
    <w:p w:rsidR="00B422AD" w:rsidRPr="00652C9E" w:rsidRDefault="00B422AD" w:rsidP="00B422AD">
      <w:pPr>
        <w:pStyle w:val="NormalWeb"/>
        <w:pBdr>
          <w:top w:val="single" w:sz="12" w:space="1" w:color="auto"/>
          <w:bottom w:val="single" w:sz="12" w:space="1" w:color="auto"/>
        </w:pBdr>
        <w:spacing w:before="0" w:beforeAutospacing="0" w:after="0" w:afterAutospacing="0"/>
        <w:jc w:val="center"/>
        <w:rPr>
          <w:b/>
        </w:rPr>
      </w:pPr>
    </w:p>
    <w:p w:rsidR="00B422AD" w:rsidRPr="00652C9E" w:rsidRDefault="00B422AD" w:rsidP="00B422AD">
      <w:pPr>
        <w:pStyle w:val="NormalWeb"/>
        <w:spacing w:before="0" w:beforeAutospacing="0" w:after="0" w:afterAutospacing="0"/>
        <w:jc w:val="center"/>
        <w:rPr>
          <w:b/>
        </w:rPr>
      </w:pPr>
    </w:p>
    <w:p w:rsidR="00B422AD" w:rsidRPr="00652C9E" w:rsidRDefault="00B422AD" w:rsidP="00B422AD">
      <w:pPr>
        <w:pStyle w:val="NormalWeb"/>
        <w:spacing w:before="0" w:beforeAutospacing="0" w:after="0" w:afterAutospacing="0"/>
        <w:rPr>
          <w:b/>
        </w:rPr>
      </w:pPr>
      <w:r w:rsidRPr="00652C9E">
        <w:t xml:space="preserve">Would you allow your child to play this game? </w:t>
      </w:r>
      <w:r w:rsidRPr="00652C9E">
        <w:rPr>
          <w:b/>
        </w:rPr>
        <w:t>Y_____ N______</w:t>
      </w:r>
    </w:p>
    <w:p w:rsidR="00B422AD" w:rsidRPr="00652C9E" w:rsidRDefault="00B422AD" w:rsidP="00B422AD">
      <w:pPr>
        <w:pStyle w:val="NormalWeb"/>
        <w:spacing w:before="0" w:beforeAutospacing="0" w:after="0" w:afterAutospacing="0"/>
      </w:pPr>
    </w:p>
    <w:p w:rsidR="00B422AD" w:rsidRPr="00652C9E" w:rsidRDefault="00B422AD" w:rsidP="00B422AD">
      <w:pPr>
        <w:pStyle w:val="NormalWeb"/>
        <w:spacing w:before="0" w:beforeAutospacing="0" w:after="0" w:afterAutospacing="0"/>
      </w:pPr>
      <w:r w:rsidRPr="00652C9E">
        <w:t>How likely would you be to let your child play this game?</w:t>
      </w:r>
    </w:p>
    <w:p w:rsidR="00B422AD" w:rsidRDefault="00B422AD" w:rsidP="00B422AD">
      <w:pPr>
        <w:widowControl w:val="0"/>
        <w:autoSpaceDE w:val="0"/>
        <w:autoSpaceDN w:val="0"/>
        <w:adjustRightInd w:val="0"/>
        <w:rPr>
          <w:rFonts w:cs="AdvPS6F00"/>
          <w:b/>
          <w:sz w:val="20"/>
          <w:szCs w:val="20"/>
        </w:rPr>
      </w:pPr>
      <w:r>
        <w:rPr>
          <w:rFonts w:cs="AdvPS6F00"/>
          <w:b/>
          <w:sz w:val="20"/>
          <w:szCs w:val="20"/>
        </w:rPr>
        <w:tab/>
        <w:t>Not likely at all</w:t>
      </w:r>
      <w:r w:rsidRPr="00594659">
        <w:rPr>
          <w:rFonts w:cs="AdvPS6F00"/>
          <w:b/>
          <w:sz w:val="20"/>
          <w:szCs w:val="20"/>
        </w:rPr>
        <w:tab/>
      </w:r>
      <w:r w:rsidRPr="00594659">
        <w:rPr>
          <w:rFonts w:cs="AdvPS6F00"/>
          <w:b/>
          <w:sz w:val="20"/>
          <w:szCs w:val="20"/>
        </w:rPr>
        <w:tab/>
      </w:r>
      <w:r w:rsidRPr="00594659">
        <w:rPr>
          <w:rFonts w:cs="AdvPS6F00"/>
          <w:b/>
          <w:sz w:val="20"/>
          <w:szCs w:val="20"/>
        </w:rPr>
        <w:tab/>
      </w:r>
      <w:r w:rsidRPr="00594659">
        <w:rPr>
          <w:rFonts w:cs="AdvPS6F00"/>
          <w:b/>
          <w:sz w:val="20"/>
          <w:szCs w:val="20"/>
        </w:rPr>
        <w:tab/>
      </w:r>
      <w:r>
        <w:rPr>
          <w:rFonts w:cs="AdvPS6F00"/>
          <w:b/>
          <w:sz w:val="20"/>
          <w:szCs w:val="20"/>
        </w:rPr>
        <w:tab/>
      </w:r>
      <w:r>
        <w:rPr>
          <w:rFonts w:cs="AdvPS6F00"/>
          <w:b/>
          <w:sz w:val="20"/>
          <w:szCs w:val="20"/>
        </w:rPr>
        <w:tab/>
        <w:t>Very likely</w:t>
      </w:r>
    </w:p>
    <w:p w:rsidR="00B422AD" w:rsidRDefault="00B422AD" w:rsidP="00B422AD">
      <w:pPr>
        <w:widowControl w:val="0"/>
        <w:pBdr>
          <w:bottom w:val="single" w:sz="12" w:space="1" w:color="auto"/>
        </w:pBdr>
        <w:autoSpaceDE w:val="0"/>
        <w:autoSpaceDN w:val="0"/>
        <w:adjustRightInd w:val="0"/>
        <w:rPr>
          <w:rFonts w:cs="AdvPS6F00"/>
          <w:b/>
          <w:sz w:val="20"/>
          <w:szCs w:val="20"/>
        </w:rPr>
      </w:pPr>
      <w:r>
        <w:rPr>
          <w:rFonts w:cs="AdvPS6F00"/>
          <w:b/>
          <w:sz w:val="20"/>
          <w:szCs w:val="20"/>
        </w:rPr>
        <w:tab/>
      </w:r>
      <w:r>
        <w:rPr>
          <w:rFonts w:cs="AdvPS6F00"/>
          <w:b/>
          <w:sz w:val="20"/>
          <w:szCs w:val="20"/>
        </w:rPr>
        <w:tab/>
        <w:t>1</w:t>
      </w:r>
      <w:r>
        <w:rPr>
          <w:rFonts w:cs="AdvPS6F00"/>
          <w:b/>
          <w:sz w:val="20"/>
          <w:szCs w:val="20"/>
        </w:rPr>
        <w:tab/>
        <w:t>2</w:t>
      </w:r>
      <w:r>
        <w:rPr>
          <w:rFonts w:cs="AdvPS6F00"/>
          <w:b/>
          <w:sz w:val="20"/>
          <w:szCs w:val="20"/>
        </w:rPr>
        <w:tab/>
        <w:t>3</w:t>
      </w:r>
      <w:r>
        <w:rPr>
          <w:rFonts w:cs="AdvPS6F00"/>
          <w:b/>
          <w:sz w:val="20"/>
          <w:szCs w:val="20"/>
        </w:rPr>
        <w:tab/>
        <w:t>4</w:t>
      </w:r>
      <w:r>
        <w:rPr>
          <w:rFonts w:cs="AdvPS6F00"/>
          <w:b/>
          <w:sz w:val="20"/>
          <w:szCs w:val="20"/>
        </w:rPr>
        <w:tab/>
        <w:t>5</w:t>
      </w:r>
      <w:r>
        <w:rPr>
          <w:rFonts w:cs="AdvPS6F00"/>
          <w:b/>
          <w:sz w:val="20"/>
          <w:szCs w:val="20"/>
        </w:rPr>
        <w:tab/>
        <w:t>6</w:t>
      </w:r>
      <w:r>
        <w:rPr>
          <w:rFonts w:cs="AdvPS6F00"/>
          <w:b/>
          <w:sz w:val="20"/>
          <w:szCs w:val="20"/>
        </w:rPr>
        <w:tab/>
        <w:t>7</w:t>
      </w:r>
    </w:p>
    <w:p w:rsidR="00B422AD" w:rsidRDefault="00B422AD" w:rsidP="00B422AD">
      <w:pPr>
        <w:widowControl w:val="0"/>
        <w:pBdr>
          <w:bottom w:val="single" w:sz="12" w:space="1" w:color="auto"/>
        </w:pBdr>
        <w:autoSpaceDE w:val="0"/>
        <w:autoSpaceDN w:val="0"/>
        <w:adjustRightInd w:val="0"/>
        <w:rPr>
          <w:rFonts w:cs="AdvPS6F00"/>
          <w:b/>
          <w:sz w:val="20"/>
          <w:szCs w:val="20"/>
        </w:rPr>
      </w:pPr>
    </w:p>
    <w:p w:rsidR="00B422AD" w:rsidRPr="00652C9E" w:rsidRDefault="00B422AD" w:rsidP="00B422AD">
      <w:pPr>
        <w:widowControl w:val="0"/>
        <w:pBdr>
          <w:bottom w:val="single" w:sz="12" w:space="1" w:color="auto"/>
        </w:pBdr>
        <w:autoSpaceDE w:val="0"/>
        <w:autoSpaceDN w:val="0"/>
        <w:adjustRightInd w:val="0"/>
        <w:rPr>
          <w:rFonts w:cs="AdvPS6F00"/>
          <w:b/>
          <w:sz w:val="20"/>
          <w:szCs w:val="20"/>
        </w:rPr>
      </w:pPr>
    </w:p>
    <w:p w:rsidR="00B422AD" w:rsidRPr="000F2929" w:rsidRDefault="00B422AD" w:rsidP="00B422AD">
      <w:pPr>
        <w:jc w:val="center"/>
        <w:rPr>
          <w:b/>
        </w:rPr>
      </w:pPr>
      <w:r w:rsidRPr="000F2929">
        <w:rPr>
          <w:b/>
        </w:rPr>
        <w:t>On a scale from 1 to 7, with 1 = Strongly Disagree and 7 = Strongly Agree, please mark the number that best reflects your attitude toward the game you just played.</w:t>
      </w:r>
    </w:p>
    <w:p w:rsidR="00B422AD" w:rsidRDefault="00B422AD" w:rsidP="00B422AD"/>
    <w:p w:rsidR="00B422AD" w:rsidRDefault="00B422AD" w:rsidP="00B422AD"/>
    <w:p w:rsidR="00B422AD" w:rsidRDefault="00B422AD" w:rsidP="00B422AD">
      <w:r>
        <w:t>This game provides information about pop tarts.</w:t>
      </w:r>
      <w:r>
        <w:tab/>
      </w:r>
    </w:p>
    <w:p w:rsidR="00B422AD" w:rsidRDefault="00B422AD" w:rsidP="00B422AD">
      <w:pPr>
        <w:rPr>
          <w:rFonts w:ascii="Times New Roman Bold" w:hAnsi="Times New Roman Bold"/>
          <w:b/>
          <w:sz w:val="20"/>
        </w:rPr>
      </w:pPr>
      <w:r>
        <w:rPr>
          <w:rFonts w:ascii="Times New Roman Bold" w:hAnsi="Times New Roman Bold"/>
          <w:b/>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DB4DCE" w:rsidP="00B422AD">
      <w:r>
        <w:t>This game is</w:t>
      </w:r>
      <w:r w:rsidR="00B422AD">
        <w:t xml:space="preserve"> educational in nature.**</w:t>
      </w:r>
      <w:r w:rsidR="00B422AD">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game makes people like pop tarts.</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w:t>
      </w:r>
      <w:r w:rsidR="00DB4DCE">
        <w:t>ame is</w:t>
      </w:r>
      <w:r>
        <w:t xml:space="preserve"> a good way to pass the time.**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game lets people know more about pop tarts.</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game is not meant to sell pop tarts.</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game provides entertainment.**</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DB4DCE" w:rsidP="00B422AD">
      <w:r>
        <w:t>This game is</w:t>
      </w:r>
      <w:r w:rsidR="00B422AD">
        <w:t xml:space="preserve"> meant to be fun.**</w:t>
      </w:r>
      <w:r w:rsidR="00B422AD">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game helps develop cognitive skills.**</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p w:rsidR="00B422AD" w:rsidRDefault="00B422AD" w:rsidP="00B422AD"/>
    <w:p w:rsidR="00B422AD" w:rsidRDefault="00B422AD" w:rsidP="00B422AD">
      <w:pPr>
        <w:rPr>
          <w:rFonts w:ascii="Times New Roman Bold" w:hAnsi="Times New Roman Bold"/>
          <w:b/>
          <w:sz w:val="20"/>
        </w:rPr>
      </w:pPr>
      <w:r>
        <w:t>This game stimulates the sales of pop tarts.</w:t>
      </w:r>
      <w:r>
        <w:tab/>
      </w:r>
      <w:r>
        <w:br/>
      </w: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game is a waste of time.**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*This game does not influence opinions about pop tarts.</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 xml:space="preserve">I </w:t>
      </w:r>
      <w:r w:rsidR="00DB4DCE">
        <w:t>don’t know</w:t>
      </w:r>
      <w:r>
        <w:t xml:space="preserve"> when an offer is “too good to be true.*</w:t>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 can tell when an offer has strings attached.</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DB4DCE" w:rsidP="00B422AD">
      <w:r>
        <w:t>I don’t understand</w:t>
      </w:r>
      <w:r w:rsidR="00B422AD">
        <w:t xml:space="preserve"> the bargaining tactics used by salespersons.*</w:t>
      </w:r>
      <w:r w:rsidR="00B422AD">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 know when a marketer is pressuring me to buy.</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DB4DCE" w:rsidP="00B422AD">
      <w:r>
        <w:t>I can’t see</w:t>
      </w:r>
      <w:r w:rsidR="00B422AD">
        <w:t xml:space="preserve"> through sales gimmicks used to get me to buy.*</w:t>
      </w:r>
      <w:r w:rsidR="00B422AD">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DB4DCE" w:rsidP="00B422AD">
      <w:r>
        <w:t>I can’t separate</w:t>
      </w:r>
      <w:r w:rsidR="00B422AD">
        <w:t xml:space="preserve"> fact from fantasy in advertising.*</w:t>
      </w:r>
      <w:r w:rsidR="00B422AD">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p w:rsidR="00B422AD" w:rsidRPr="000F2929" w:rsidRDefault="00B422AD" w:rsidP="00B422AD">
      <w:pPr>
        <w:jc w:val="center"/>
        <w:rPr>
          <w:b/>
        </w:rPr>
      </w:pPr>
      <w:r w:rsidRPr="000F2929">
        <w:rPr>
          <w:b/>
        </w:rPr>
        <w:t>The following questions ask are about online games for children like the one you just played. When answering the following questions please think of your youngest child between the ages of 7 -11.</w:t>
      </w:r>
    </w:p>
    <w:p w:rsidR="00B422AD" w:rsidRDefault="00B422AD" w:rsidP="00B422AD"/>
    <w:p w:rsidR="00B422AD" w:rsidRDefault="00B422AD" w:rsidP="00B422AD"/>
    <w:p w:rsidR="00B422AD" w:rsidRDefault="00B422AD" w:rsidP="00B422AD">
      <w:r>
        <w:t>Games like this make children want things they don’t really need.</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Games like this that use children’s food related content should not be allowed.</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 xml:space="preserve">Games like this lead children to make unreasonable purchase demands on their parents. </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Games like this don’t need parents’ permission before children under 12 can play.*</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Games like this directed at children lead to family conflict.</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It's the parent's responsibility to explain games like this to their children.</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Games like this don’t take advantage of children.*</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Online games that use children’s toy-related content should not be allowed.</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There aren’t enough games like this directed at children.*</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pPr>
        <w:rPr>
          <w:rFonts w:ascii="Times New Roman Bold" w:hAnsi="Times New Roman Bold"/>
          <w:b/>
          <w:sz w:val="20"/>
        </w:rPr>
      </w:pPr>
      <w:r>
        <w:t>Games like this that use children's program/commercial cha</w:t>
      </w:r>
      <w:r w:rsidR="00B80200">
        <w:t>racters should not be allowed.</w:t>
      </w:r>
      <w:r w:rsidR="00B80200">
        <w:tab/>
      </w:r>
      <w:r>
        <w:tab/>
      </w: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p w:rsidR="00B422AD" w:rsidRDefault="00B422AD" w:rsidP="00B422AD"/>
    <w:p w:rsidR="00B422AD" w:rsidRDefault="00B422AD" w:rsidP="00B422AD">
      <w:r>
        <w:t>Games like this use tricks and gimmicks to get children to buy their products.</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Games like this don’t need to be required to identify themselves as advertising.*</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Pr>
        <w:rPr>
          <w:rFonts w:ascii="Times New Roman Bold" w:hAnsi="Times New Roman Bold"/>
          <w:b/>
          <w:sz w:val="20"/>
        </w:rPr>
      </w:pPr>
    </w:p>
    <w:p w:rsidR="00B422AD" w:rsidRPr="000F2929" w:rsidRDefault="00B422AD" w:rsidP="00B422AD">
      <w:pPr>
        <w:rPr>
          <w:rFonts w:ascii="Times New Roman Bold" w:hAnsi="Times New Roman Bold"/>
          <w:b/>
          <w:sz w:val="20"/>
        </w:rPr>
      </w:pPr>
    </w:p>
    <w:p w:rsidR="00B422AD" w:rsidRPr="00652C9E" w:rsidRDefault="00B422AD" w:rsidP="00B422AD">
      <w:pPr>
        <w:jc w:val="center"/>
        <w:rPr>
          <w:b/>
        </w:rPr>
      </w:pPr>
      <w:r w:rsidRPr="00652C9E">
        <w:rPr>
          <w:b/>
        </w:rPr>
        <w:t>The following questions ask about your Internet rules and practices. When answering them please think of your youngest child between the ages of 7 -11.</w:t>
      </w:r>
    </w:p>
    <w:p w:rsidR="00B422AD" w:rsidRDefault="00B422AD" w:rsidP="00B422AD"/>
    <w:p w:rsidR="00B422AD" w:rsidRDefault="00B422AD" w:rsidP="00B422AD">
      <w:r>
        <w:t>I have strict rules about the time my child spends online.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 stay nearby when my child is online.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 watch the screen when my child is online.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 help my child when they use the Internet.</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 talk to my child about Internet use.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I sit with my child when they are online.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My child is allowed to give out personal information.*</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p w:rsidR="00B422AD" w:rsidRDefault="00B422AD" w:rsidP="00B422AD">
      <w:r>
        <w:t>My child is not allowed to buy anything online.</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Default="00B422AD" w:rsidP="00B422AD"/>
    <w:p w:rsidR="00B422AD" w:rsidRDefault="00B422AD" w:rsidP="00B422AD">
      <w:r>
        <w:t>My child is allowed to fill out online forms/quizzes.*</w:t>
      </w:r>
      <w: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 xml:space="preserve">Strongly </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Strongly</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p>
    <w:p w:rsidR="00B422AD" w:rsidRDefault="00B422AD" w:rsidP="00B422AD">
      <w:pPr>
        <w:rPr>
          <w:rFonts w:ascii="Times New Roman Bold" w:hAnsi="Times New Roman Bold"/>
          <w:b/>
          <w:sz w:val="20"/>
        </w:rPr>
      </w:pPr>
      <w:r>
        <w:rPr>
          <w:rFonts w:ascii="Times New Roman Bold" w:hAnsi="Times New Roman Bold"/>
          <w:b/>
          <w:sz w:val="20"/>
        </w:rPr>
        <w:tab/>
      </w:r>
      <w:r w:rsidRPr="000F2929">
        <w:rPr>
          <w:rFonts w:ascii="Times New Roman Bold" w:hAnsi="Times New Roman Bold"/>
          <w:b/>
          <w:sz w:val="20"/>
        </w:rPr>
        <w:t>Disagree</w:t>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Agree</w:t>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r>
      <w:r w:rsidRPr="000F2929">
        <w:rPr>
          <w:rFonts w:ascii="Times New Roman Bold" w:hAnsi="Times New Roman Bold"/>
          <w:b/>
          <w:sz w:val="20"/>
        </w:rPr>
        <w:tab/>
        <w:t xml:space="preserve"> </w:t>
      </w:r>
    </w:p>
    <w:p w:rsidR="00B422AD" w:rsidRPr="000F2929" w:rsidRDefault="00B422AD" w:rsidP="00B422AD">
      <w:pPr>
        <w:pBdr>
          <w:bottom w:val="single" w:sz="12" w:space="1" w:color="auto"/>
        </w:pBdr>
        <w:rPr>
          <w:rFonts w:ascii="Times New Roman Bold" w:hAnsi="Times New Roman Bold"/>
          <w:b/>
          <w:sz w:val="20"/>
        </w:rPr>
      </w:pPr>
      <w:r>
        <w:rPr>
          <w:rFonts w:ascii="Times New Roman Bold" w:hAnsi="Times New Roman Bold"/>
          <w:b/>
          <w:sz w:val="20"/>
        </w:rPr>
        <w:tab/>
      </w:r>
      <w:r>
        <w:rPr>
          <w:rFonts w:ascii="Times New Roman Bold" w:hAnsi="Times New Roman Bold"/>
          <w:b/>
          <w:sz w:val="20"/>
        </w:rPr>
        <w:tab/>
      </w:r>
      <w:r w:rsidRPr="000F2929">
        <w:rPr>
          <w:rFonts w:ascii="Times New Roman Bold" w:hAnsi="Times New Roman Bold"/>
          <w:b/>
          <w:sz w:val="20"/>
        </w:rPr>
        <w:t>1</w:t>
      </w:r>
      <w:r w:rsidRPr="000F2929">
        <w:rPr>
          <w:rFonts w:ascii="Times New Roman Bold" w:hAnsi="Times New Roman Bold"/>
          <w:b/>
          <w:sz w:val="20"/>
        </w:rPr>
        <w:tab/>
        <w:t>2</w:t>
      </w:r>
      <w:r w:rsidRPr="000F2929">
        <w:rPr>
          <w:rFonts w:ascii="Times New Roman Bold" w:hAnsi="Times New Roman Bold"/>
          <w:b/>
          <w:sz w:val="20"/>
        </w:rPr>
        <w:tab/>
        <w:t>3</w:t>
      </w:r>
      <w:r w:rsidRPr="000F2929">
        <w:rPr>
          <w:rFonts w:ascii="Times New Roman Bold" w:hAnsi="Times New Roman Bold"/>
          <w:b/>
          <w:sz w:val="20"/>
        </w:rPr>
        <w:tab/>
        <w:t>4</w:t>
      </w:r>
      <w:r w:rsidRPr="000F2929">
        <w:rPr>
          <w:rFonts w:ascii="Times New Roman Bold" w:hAnsi="Times New Roman Bold"/>
          <w:b/>
          <w:sz w:val="20"/>
        </w:rPr>
        <w:tab/>
        <w:t>5</w:t>
      </w:r>
      <w:r w:rsidRPr="000F2929">
        <w:rPr>
          <w:rFonts w:ascii="Times New Roman Bold" w:hAnsi="Times New Roman Bold"/>
          <w:b/>
          <w:sz w:val="20"/>
        </w:rPr>
        <w:tab/>
        <w:t>6</w:t>
      </w:r>
      <w:r w:rsidRPr="000F2929">
        <w:rPr>
          <w:rFonts w:ascii="Times New Roman Bold" w:hAnsi="Times New Roman Bold"/>
          <w:b/>
          <w:sz w:val="20"/>
        </w:rPr>
        <w:tab/>
        <w:t>7</w:t>
      </w:r>
    </w:p>
    <w:p w:rsidR="00B422AD" w:rsidRPr="00652C9E" w:rsidRDefault="00B422AD" w:rsidP="00B422AD">
      <w:pPr>
        <w:rPr>
          <w:i/>
          <w:sz w:val="20"/>
        </w:rPr>
      </w:pPr>
      <w:r w:rsidRPr="00652C9E">
        <w:rPr>
          <w:i/>
          <w:sz w:val="20"/>
        </w:rPr>
        <w:t>*Reverse Coded Questions</w:t>
      </w:r>
    </w:p>
    <w:p w:rsidR="00B422AD" w:rsidRPr="00652C9E" w:rsidRDefault="00B422AD" w:rsidP="00B422AD">
      <w:pPr>
        <w:rPr>
          <w:i/>
          <w:sz w:val="20"/>
        </w:rPr>
      </w:pPr>
      <w:r w:rsidRPr="00652C9E">
        <w:rPr>
          <w:i/>
          <w:sz w:val="20"/>
        </w:rPr>
        <w:t>**Filler Questions</w:t>
      </w:r>
    </w:p>
    <w:p w:rsidR="00B422AD" w:rsidRDefault="00B422AD" w:rsidP="00B422AD"/>
    <w:p w:rsidR="00B422AD" w:rsidRPr="00652C9E" w:rsidRDefault="00B422AD" w:rsidP="00B422AD">
      <w:pPr>
        <w:rPr>
          <w:b/>
          <w:color w:val="000000"/>
          <w:szCs w:val="20"/>
        </w:rPr>
      </w:pPr>
      <w:r w:rsidRPr="00652C9E">
        <w:rPr>
          <w:color w:val="000000"/>
          <w:szCs w:val="20"/>
        </w:rPr>
        <w:t xml:space="preserve">Did the pop tarts game explicitly tell you that it was advertising? </w:t>
      </w:r>
      <w:r w:rsidRPr="00652C9E">
        <w:rPr>
          <w:b/>
          <w:color w:val="000000"/>
          <w:szCs w:val="20"/>
        </w:rPr>
        <w:t>Y____N____</w:t>
      </w:r>
    </w:p>
    <w:p w:rsidR="00B422AD" w:rsidRPr="00652C9E" w:rsidRDefault="00B422AD" w:rsidP="00B422AD">
      <w:pPr>
        <w:rPr>
          <w:color w:val="000000"/>
          <w:szCs w:val="20"/>
        </w:rPr>
      </w:pPr>
    </w:p>
    <w:p w:rsidR="00B422AD" w:rsidRPr="00652C9E" w:rsidRDefault="00B422AD" w:rsidP="00B422AD">
      <w:pPr>
        <w:rPr>
          <w:color w:val="000000"/>
          <w:szCs w:val="20"/>
        </w:rPr>
      </w:pPr>
      <w:r w:rsidRPr="00652C9E">
        <w:rPr>
          <w:color w:val="000000"/>
          <w:szCs w:val="20"/>
        </w:rPr>
        <w:t>If yes, how did it tell you?</w:t>
      </w:r>
    </w:p>
    <w:p w:rsidR="00B422AD" w:rsidRPr="00652C9E" w:rsidRDefault="00B422AD" w:rsidP="00B422AD">
      <w:pPr>
        <w:rPr>
          <w:color w:val="000000"/>
          <w:szCs w:val="20"/>
        </w:rPr>
      </w:pPr>
      <w:r w:rsidRPr="00652C9E">
        <w:rPr>
          <w:color w:val="000000"/>
          <w:szCs w:val="20"/>
        </w:rPr>
        <w:t>__________________________________________________________</w:t>
      </w:r>
    </w:p>
    <w:p w:rsidR="00B422AD" w:rsidRPr="00652C9E" w:rsidRDefault="00B422AD" w:rsidP="00B422AD">
      <w:pPr>
        <w:rPr>
          <w:color w:val="000000"/>
          <w:szCs w:val="20"/>
        </w:rPr>
      </w:pPr>
      <w:r w:rsidRPr="00652C9E">
        <w:rPr>
          <w:color w:val="000000"/>
          <w:szCs w:val="20"/>
        </w:rPr>
        <w:t>__________________________________________________________</w:t>
      </w:r>
    </w:p>
    <w:p w:rsidR="00B422AD" w:rsidRPr="00652C9E" w:rsidRDefault="00B422AD" w:rsidP="00B422AD">
      <w:pPr>
        <w:rPr>
          <w:color w:val="000000"/>
          <w:szCs w:val="20"/>
        </w:rPr>
      </w:pPr>
      <w:r w:rsidRPr="00652C9E">
        <w:rPr>
          <w:color w:val="000000"/>
          <w:szCs w:val="20"/>
        </w:rPr>
        <w:t>__________________________________________________________</w:t>
      </w:r>
    </w:p>
    <w:p w:rsidR="00B422AD" w:rsidRPr="00652C9E" w:rsidRDefault="00B422AD" w:rsidP="00B422AD"/>
    <w:p w:rsidR="00B422AD" w:rsidRPr="00652C9E" w:rsidRDefault="00B422AD" w:rsidP="00B422AD">
      <w:pPr>
        <w:pBdr>
          <w:bottom w:val="single" w:sz="12" w:space="1" w:color="auto"/>
        </w:pBdr>
      </w:pPr>
    </w:p>
    <w:p w:rsidR="00B422AD" w:rsidRPr="00652C9E" w:rsidRDefault="00B422AD" w:rsidP="00B422AD"/>
    <w:p w:rsidR="00B422AD" w:rsidRPr="00652C9E" w:rsidRDefault="00B422AD" w:rsidP="00B422AD">
      <w:pPr>
        <w:pStyle w:val="NormalWeb"/>
        <w:spacing w:before="0" w:beforeAutospacing="0" w:after="0" w:afterAutospacing="0"/>
        <w:jc w:val="center"/>
        <w:rPr>
          <w:b/>
        </w:rPr>
      </w:pPr>
      <w:r w:rsidRPr="00652C9E">
        <w:rPr>
          <w:b/>
        </w:rPr>
        <w:t>These next questions are about you</w:t>
      </w:r>
    </w:p>
    <w:p w:rsidR="00B422AD" w:rsidRPr="00652C9E" w:rsidRDefault="00B422AD" w:rsidP="00B422AD">
      <w:pPr>
        <w:pStyle w:val="NormalWeb"/>
        <w:spacing w:before="0" w:beforeAutospacing="0" w:after="0" w:afterAutospacing="0"/>
      </w:pPr>
      <w:r w:rsidRPr="00652C9E">
        <w:t>What is your age____?</w:t>
      </w:r>
    </w:p>
    <w:p w:rsidR="00B422AD" w:rsidRPr="00652C9E" w:rsidRDefault="00B422AD" w:rsidP="00B422AD">
      <w:pPr>
        <w:pStyle w:val="NormalWeb"/>
        <w:spacing w:before="0" w:beforeAutospacing="0" w:after="0" w:afterAutospacing="0"/>
      </w:pPr>
    </w:p>
    <w:p w:rsidR="00B422AD" w:rsidRPr="00652C9E" w:rsidRDefault="00B422AD" w:rsidP="00B422AD">
      <w:pPr>
        <w:pStyle w:val="NormalWeb"/>
        <w:spacing w:before="0" w:beforeAutospacing="0" w:after="0" w:afterAutospacing="0"/>
      </w:pPr>
      <w:r w:rsidRPr="00652C9E">
        <w:t>What is your race? American Indian_____ Asian/ Pacific Islander_____ Bi- Racial _____ Black _____ Hispanic _____ White _____    Other (Please Indicate____________________)</w:t>
      </w:r>
    </w:p>
    <w:p w:rsidR="00B422AD" w:rsidRPr="00652C9E" w:rsidRDefault="00B422AD" w:rsidP="00B422AD">
      <w:pPr>
        <w:pStyle w:val="NormalWeb"/>
        <w:spacing w:before="0" w:beforeAutospacing="0" w:after="0" w:afterAutospacing="0"/>
      </w:pPr>
    </w:p>
    <w:p w:rsidR="00B422AD" w:rsidRPr="00652C9E" w:rsidRDefault="00B422AD" w:rsidP="00B422AD">
      <w:pPr>
        <w:pStyle w:val="NormalWeb"/>
        <w:spacing w:before="0" w:beforeAutospacing="0" w:after="0" w:afterAutospacing="0"/>
      </w:pPr>
      <w:r w:rsidRPr="00652C9E">
        <w:t>What best describes your level of education.</w:t>
      </w:r>
    </w:p>
    <w:p w:rsidR="00B422AD" w:rsidRPr="00652C9E" w:rsidRDefault="00B422AD" w:rsidP="00B422AD">
      <w:pPr>
        <w:pStyle w:val="NormalWeb"/>
        <w:spacing w:before="0" w:beforeAutospacing="0" w:after="0" w:afterAutospacing="0"/>
      </w:pPr>
      <w:r w:rsidRPr="00652C9E">
        <w:t>___Some high school</w:t>
      </w:r>
    </w:p>
    <w:p w:rsidR="00B422AD" w:rsidRPr="00652C9E" w:rsidRDefault="00B422AD" w:rsidP="00B422AD">
      <w:pPr>
        <w:pStyle w:val="NormalWeb"/>
        <w:spacing w:before="0" w:beforeAutospacing="0" w:after="0" w:afterAutospacing="0"/>
      </w:pPr>
      <w:r w:rsidRPr="00652C9E">
        <w:t>___High school graduate/ GED</w:t>
      </w:r>
    </w:p>
    <w:p w:rsidR="00B422AD" w:rsidRPr="00652C9E" w:rsidRDefault="00B422AD" w:rsidP="00B422AD">
      <w:pPr>
        <w:pStyle w:val="NormalWeb"/>
        <w:spacing w:before="0" w:beforeAutospacing="0" w:after="0" w:afterAutospacing="0"/>
      </w:pPr>
      <w:r w:rsidRPr="00652C9E">
        <w:t>___Some college</w:t>
      </w:r>
    </w:p>
    <w:p w:rsidR="00B422AD" w:rsidRPr="00652C9E" w:rsidRDefault="00B422AD" w:rsidP="00B422AD">
      <w:pPr>
        <w:pStyle w:val="NormalWeb"/>
        <w:spacing w:before="0" w:beforeAutospacing="0" w:after="0" w:afterAutospacing="0"/>
      </w:pPr>
      <w:r w:rsidRPr="00652C9E">
        <w:t>___College graduate</w:t>
      </w:r>
    </w:p>
    <w:p w:rsidR="00B422AD" w:rsidRPr="00652C9E" w:rsidRDefault="00B422AD" w:rsidP="00B422AD">
      <w:pPr>
        <w:pStyle w:val="NormalWeb"/>
        <w:spacing w:before="0" w:beforeAutospacing="0" w:after="0" w:afterAutospacing="0"/>
      </w:pPr>
      <w:r w:rsidRPr="00652C9E">
        <w:t>___Graduate/ Professional Degree</w:t>
      </w:r>
    </w:p>
    <w:p w:rsidR="00B422AD" w:rsidRPr="00652C9E" w:rsidRDefault="00B422AD" w:rsidP="00B422AD">
      <w:pPr>
        <w:pStyle w:val="NormalWeb"/>
        <w:spacing w:before="0" w:beforeAutospacing="0" w:after="0" w:afterAutospacing="0"/>
      </w:pPr>
      <w:r w:rsidRPr="00652C9E">
        <w:t>___Don’t know/ not sure</w:t>
      </w:r>
    </w:p>
    <w:p w:rsidR="00B422AD" w:rsidRPr="00652C9E" w:rsidRDefault="00B422AD" w:rsidP="00B422AD">
      <w:pPr>
        <w:widowControl w:val="0"/>
        <w:autoSpaceDE w:val="0"/>
        <w:autoSpaceDN w:val="0"/>
        <w:adjustRightInd w:val="0"/>
      </w:pPr>
    </w:p>
    <w:p w:rsidR="00B422AD" w:rsidRPr="00652C9E" w:rsidRDefault="00B422AD" w:rsidP="00B422AD">
      <w:pPr>
        <w:widowControl w:val="0"/>
        <w:autoSpaceDE w:val="0"/>
        <w:autoSpaceDN w:val="0"/>
        <w:adjustRightInd w:val="0"/>
      </w:pPr>
      <w:r w:rsidRPr="00652C9E">
        <w:t>What is your approximate annual household income______________________</w:t>
      </w:r>
    </w:p>
    <w:p w:rsidR="00B422AD" w:rsidRPr="00652C9E" w:rsidRDefault="00B422AD" w:rsidP="00B422AD">
      <w:pPr>
        <w:widowControl w:val="0"/>
        <w:autoSpaceDE w:val="0"/>
        <w:autoSpaceDN w:val="0"/>
        <w:adjustRightInd w:val="0"/>
      </w:pPr>
    </w:p>
    <w:p w:rsidR="00B422AD" w:rsidRPr="00652C9E" w:rsidRDefault="00B422AD" w:rsidP="00B422AD">
      <w:pPr>
        <w:widowControl w:val="0"/>
        <w:autoSpaceDE w:val="0"/>
        <w:autoSpaceDN w:val="0"/>
        <w:adjustRightInd w:val="0"/>
        <w:rPr>
          <w:rFonts w:cs="AdvPS6F00"/>
          <w:szCs w:val="20"/>
        </w:rPr>
      </w:pPr>
      <w:r w:rsidRPr="00652C9E">
        <w:rPr>
          <w:rFonts w:cs="AdvPS6F00"/>
          <w:szCs w:val="20"/>
        </w:rPr>
        <w:t>How many days per week on average are you on the</w:t>
      </w:r>
      <w:r>
        <w:rPr>
          <w:rFonts w:cs="AdvPS6F00"/>
          <w:szCs w:val="20"/>
        </w:rPr>
        <w:t xml:space="preserve"> Internet for personal use? ___</w:t>
      </w:r>
      <w:r w:rsidRPr="00652C9E">
        <w:rPr>
          <w:rFonts w:cs="AdvPS6F00"/>
          <w:szCs w:val="20"/>
        </w:rPr>
        <w:t>___________</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How many hours per day do you use the Internet for personal use? ______________</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How many days per week on average do you use the Internet at work? _______________</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How many hours per day do you use the Internet for work? ______________</w:t>
      </w:r>
    </w:p>
    <w:p w:rsidR="00B422AD" w:rsidRPr="00652C9E" w:rsidRDefault="00B422AD" w:rsidP="00B422AD">
      <w:pPr>
        <w:widowControl w:val="0"/>
        <w:autoSpaceDE w:val="0"/>
        <w:autoSpaceDN w:val="0"/>
        <w:adjustRightInd w:val="0"/>
        <w:rPr>
          <w:rFonts w:cs="AdvPS6F00"/>
          <w:b/>
          <w:szCs w:val="20"/>
        </w:rPr>
      </w:pPr>
      <w:r w:rsidRPr="00652C9E">
        <w:rPr>
          <w:rFonts w:cs="AdvPS6F00"/>
          <w:szCs w:val="20"/>
        </w:rPr>
        <w:t xml:space="preserve">Do you play online games? </w:t>
      </w:r>
      <w:r w:rsidRPr="00652C9E">
        <w:rPr>
          <w:rFonts w:cs="AdvPS6F00"/>
          <w:b/>
          <w:szCs w:val="20"/>
        </w:rPr>
        <w:t>Y____N____</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What online games do you play?</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_______________________________________________</w:t>
      </w:r>
      <w:r>
        <w:rPr>
          <w:rFonts w:cs="AdvPS6F00"/>
          <w:szCs w:val="20"/>
        </w:rPr>
        <w:t>_______________________________</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_______________________________________________</w:t>
      </w:r>
      <w:r>
        <w:rPr>
          <w:rFonts w:cs="AdvPS6F00"/>
          <w:szCs w:val="20"/>
        </w:rPr>
        <w:t>_______________________________</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_______________________________________________</w:t>
      </w:r>
      <w:r>
        <w:rPr>
          <w:rFonts w:cs="AdvPS6F00"/>
          <w:szCs w:val="20"/>
        </w:rPr>
        <w:t>_______________________________</w:t>
      </w:r>
    </w:p>
    <w:p w:rsidR="00B422AD" w:rsidRPr="00652C9E" w:rsidRDefault="00B422AD" w:rsidP="00B422AD">
      <w:pPr>
        <w:widowControl w:val="0"/>
        <w:autoSpaceDE w:val="0"/>
        <w:autoSpaceDN w:val="0"/>
        <w:adjustRightInd w:val="0"/>
        <w:rPr>
          <w:rFonts w:cs="AdvPS6F00"/>
          <w:szCs w:val="20"/>
        </w:rPr>
      </w:pPr>
    </w:p>
    <w:p w:rsidR="00B422AD" w:rsidRPr="00652C9E" w:rsidRDefault="00B422AD" w:rsidP="00B422AD">
      <w:pPr>
        <w:widowControl w:val="0"/>
        <w:autoSpaceDE w:val="0"/>
        <w:autoSpaceDN w:val="0"/>
        <w:adjustRightInd w:val="0"/>
        <w:rPr>
          <w:rFonts w:cs="AdvPS6F00"/>
          <w:szCs w:val="20"/>
        </w:rPr>
      </w:pPr>
      <w:r w:rsidRPr="00652C9E">
        <w:rPr>
          <w:rFonts w:cs="AdvPS6F00"/>
          <w:szCs w:val="20"/>
        </w:rPr>
        <w:t>How experienced are you with playing online games?</w:t>
      </w:r>
    </w:p>
    <w:p w:rsidR="00B422AD" w:rsidRPr="001D7991" w:rsidRDefault="00B422AD" w:rsidP="00B422AD">
      <w:pPr>
        <w:widowControl w:val="0"/>
        <w:autoSpaceDE w:val="0"/>
        <w:autoSpaceDN w:val="0"/>
        <w:adjustRightInd w:val="0"/>
        <w:rPr>
          <w:rFonts w:ascii="AdvPS6F00" w:hAnsi="AdvPS6F00" w:cs="AdvPS6F00"/>
          <w:b/>
          <w:sz w:val="20"/>
          <w:szCs w:val="20"/>
        </w:rPr>
      </w:pPr>
      <w:r>
        <w:rPr>
          <w:rFonts w:ascii="AdvPS6F00" w:hAnsi="AdvPS6F00" w:cs="AdvPS6F00"/>
          <w:b/>
          <w:sz w:val="20"/>
          <w:szCs w:val="20"/>
        </w:rPr>
        <w:tab/>
      </w:r>
      <w:r w:rsidRPr="001D7991">
        <w:rPr>
          <w:rFonts w:ascii="AdvPS6F00" w:hAnsi="AdvPS6F00" w:cs="AdvPS6F00"/>
          <w:b/>
          <w:sz w:val="20"/>
          <w:szCs w:val="20"/>
        </w:rPr>
        <w:t>Not at all Experienced</w:t>
      </w:r>
      <w:r>
        <w:rPr>
          <w:rFonts w:ascii="AdvPS6F00" w:hAnsi="AdvPS6F00" w:cs="AdvPS6F00"/>
          <w:b/>
          <w:sz w:val="20"/>
          <w:szCs w:val="20"/>
        </w:rPr>
        <w:tab/>
      </w:r>
      <w:r>
        <w:rPr>
          <w:rFonts w:ascii="AdvPS6F00" w:hAnsi="AdvPS6F00" w:cs="AdvPS6F00"/>
          <w:b/>
          <w:sz w:val="20"/>
          <w:szCs w:val="20"/>
        </w:rPr>
        <w:tab/>
      </w:r>
      <w:r>
        <w:rPr>
          <w:rFonts w:ascii="AdvPS6F00" w:hAnsi="AdvPS6F00" w:cs="AdvPS6F00"/>
          <w:b/>
          <w:sz w:val="20"/>
          <w:szCs w:val="20"/>
        </w:rPr>
        <w:tab/>
      </w:r>
      <w:r>
        <w:rPr>
          <w:rFonts w:ascii="AdvPS6F00" w:hAnsi="AdvPS6F00" w:cs="AdvPS6F00"/>
          <w:b/>
          <w:sz w:val="20"/>
          <w:szCs w:val="20"/>
        </w:rPr>
        <w:tab/>
      </w:r>
      <w:r>
        <w:rPr>
          <w:rFonts w:ascii="AdvPS6F00" w:hAnsi="AdvPS6F00" w:cs="AdvPS6F00"/>
          <w:b/>
          <w:sz w:val="20"/>
          <w:szCs w:val="20"/>
        </w:rPr>
        <w:tab/>
      </w:r>
      <w:r>
        <w:rPr>
          <w:rFonts w:ascii="AdvPS6F00" w:hAnsi="AdvPS6F00" w:cs="AdvPS6F00"/>
          <w:b/>
          <w:sz w:val="20"/>
          <w:szCs w:val="20"/>
        </w:rPr>
        <w:tab/>
        <w:t xml:space="preserve">   Very Experienced</w:t>
      </w:r>
    </w:p>
    <w:p w:rsidR="00B422AD" w:rsidRDefault="00B422AD" w:rsidP="00B422AD">
      <w:pPr>
        <w:widowControl w:val="0"/>
        <w:autoSpaceDE w:val="0"/>
        <w:autoSpaceDN w:val="0"/>
        <w:adjustRightInd w:val="0"/>
        <w:jc w:val="center"/>
        <w:rPr>
          <w:rFonts w:cs="AdvPS6F00"/>
          <w:b/>
          <w:sz w:val="20"/>
          <w:szCs w:val="20"/>
        </w:rPr>
      </w:pPr>
      <w:r>
        <w:rPr>
          <w:rFonts w:cs="AdvPS6F00"/>
          <w:b/>
          <w:sz w:val="20"/>
          <w:szCs w:val="20"/>
        </w:rPr>
        <w:t>1</w:t>
      </w:r>
      <w:r>
        <w:rPr>
          <w:rFonts w:cs="AdvPS6F00"/>
          <w:b/>
          <w:sz w:val="20"/>
          <w:szCs w:val="20"/>
        </w:rPr>
        <w:tab/>
        <w:t>2</w:t>
      </w:r>
      <w:r>
        <w:rPr>
          <w:rFonts w:cs="AdvPS6F00"/>
          <w:b/>
          <w:sz w:val="20"/>
          <w:szCs w:val="20"/>
        </w:rPr>
        <w:tab/>
        <w:t>3</w:t>
      </w:r>
      <w:r>
        <w:rPr>
          <w:rFonts w:cs="AdvPS6F00"/>
          <w:b/>
          <w:sz w:val="20"/>
          <w:szCs w:val="20"/>
        </w:rPr>
        <w:tab/>
        <w:t>4</w:t>
      </w:r>
      <w:r>
        <w:rPr>
          <w:rFonts w:cs="AdvPS6F00"/>
          <w:b/>
          <w:sz w:val="20"/>
          <w:szCs w:val="20"/>
        </w:rPr>
        <w:tab/>
        <w:t>5</w:t>
      </w:r>
      <w:r>
        <w:rPr>
          <w:rFonts w:cs="AdvPS6F00"/>
          <w:b/>
          <w:sz w:val="20"/>
          <w:szCs w:val="20"/>
        </w:rPr>
        <w:tab/>
        <w:t>6</w:t>
      </w:r>
      <w:r>
        <w:rPr>
          <w:rFonts w:cs="AdvPS6F00"/>
          <w:b/>
          <w:sz w:val="20"/>
          <w:szCs w:val="20"/>
        </w:rPr>
        <w:tab/>
        <w:t>7</w:t>
      </w:r>
    </w:p>
    <w:p w:rsidR="00B422AD" w:rsidRDefault="00B422AD" w:rsidP="00B422AD">
      <w:pPr>
        <w:widowControl w:val="0"/>
        <w:autoSpaceDE w:val="0"/>
        <w:autoSpaceDN w:val="0"/>
        <w:adjustRightInd w:val="0"/>
        <w:rPr>
          <w:rFonts w:cs="AdvPS6F00"/>
          <w:sz w:val="20"/>
          <w:szCs w:val="20"/>
        </w:rPr>
      </w:pPr>
    </w:p>
    <w:p w:rsidR="00B422AD" w:rsidRPr="00652C9E" w:rsidRDefault="00B422AD" w:rsidP="00B422AD">
      <w:pPr>
        <w:widowControl w:val="0"/>
        <w:autoSpaceDE w:val="0"/>
        <w:autoSpaceDN w:val="0"/>
        <w:adjustRightInd w:val="0"/>
        <w:rPr>
          <w:rFonts w:cs="AdvPS6F00"/>
          <w:szCs w:val="20"/>
        </w:rPr>
      </w:pPr>
      <w:r w:rsidRPr="00652C9E">
        <w:rPr>
          <w:rFonts w:cs="AdvPS6F00"/>
          <w:szCs w:val="20"/>
        </w:rPr>
        <w:t>What device did you use while participating in this study?</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__Laptop Computer</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__Desktop Computer</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__Tablet</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__Smartphone</w:t>
      </w:r>
    </w:p>
    <w:p w:rsidR="00B422AD" w:rsidRPr="00652C9E" w:rsidRDefault="00B422AD" w:rsidP="00B422AD">
      <w:pPr>
        <w:widowControl w:val="0"/>
        <w:autoSpaceDE w:val="0"/>
        <w:autoSpaceDN w:val="0"/>
        <w:adjustRightInd w:val="0"/>
        <w:rPr>
          <w:rFonts w:cs="AdvPS6F00"/>
          <w:szCs w:val="20"/>
        </w:rPr>
      </w:pPr>
      <w:r w:rsidRPr="00652C9E">
        <w:rPr>
          <w:rFonts w:cs="AdvPS6F00"/>
          <w:szCs w:val="20"/>
        </w:rPr>
        <w:t>__Other___________</w:t>
      </w:r>
    </w:p>
    <w:p w:rsidR="00B422AD" w:rsidRDefault="00B422AD" w:rsidP="00B422AD"/>
    <w:p w:rsidR="009D525D" w:rsidRPr="002C0A70" w:rsidRDefault="009D525D" w:rsidP="002C0A70">
      <w:pPr>
        <w:rPr>
          <w:b/>
        </w:rPr>
      </w:pPr>
    </w:p>
    <w:sectPr w:rsidR="009D525D" w:rsidRPr="002C0A70" w:rsidSect="00250894">
      <w:type w:val="continuous"/>
      <w:pgSz w:w="12240" w:h="15840"/>
      <w:pgMar w:top="1440" w:right="1440" w:bottom="1440" w:left="1440" w:gutter="0"/>
      <w:pgNumType w:start="1"/>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AdvPS6F00">
    <w:altName w:val="Times New Roman"/>
    <w:panose1 w:val="00000000000000000000"/>
    <w:charset w:val="4D"/>
    <w:family w:val="roman"/>
    <w:notTrueType/>
    <w:pitch w:val="default"/>
    <w:sig w:usb0="00000003" w:usb1="00000000" w:usb2="00000000" w:usb3="00000000" w:csb0="00000001" w:csb1="00000000"/>
  </w:font>
  <w:font w:name="AdvGulliv-R">
    <w:altName w:val="Times New Roman"/>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AdvTT3713a231">
    <w:panose1 w:val="00000000000000000000"/>
    <w:charset w:val="4D"/>
    <w:family w:val="roman"/>
    <w:notTrueType/>
    <w:pitch w:val="default"/>
    <w:sig w:usb0="00000003" w:usb1="00000000" w:usb2="00000000" w:usb3="00000000" w:csb0="00000001" w:csb1="00000000"/>
  </w:font>
  <w:font w:name="新細明體">
    <w:altName w:val="新細明體"/>
    <w:charset w:val="51"/>
    <w:family w:val="auto"/>
    <w:pitch w:val="variable"/>
    <w:sig w:usb0="00000001" w:usb1="00000000" w:usb2="01000408" w:usb3="00000000" w:csb0="00100000" w:csb1="00000000"/>
  </w:font>
  <w:font w:name="MinionPro-Regular">
    <w:altName w:val="Minion Pro"/>
    <w:panose1 w:val="00000000000000000000"/>
    <w:charset w:val="4D"/>
    <w:family w:val="roman"/>
    <w:notTrueType/>
    <w:pitch w:val="default"/>
    <w:sig w:usb0="00000003" w:usb1="00000000" w:usb2="00000000" w:usb3="00000000" w:csb0="00000001" w:csb1="00000000"/>
  </w:font>
  <w:font w:name="TimesNewRoman">
    <w:altName w:val="Times New Roman"/>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dvPSA403">
    <w:altName w:val="Times New Roman"/>
    <w:panose1 w:val="00000000000000000000"/>
    <w:charset w:val="4D"/>
    <w:family w:val="swiss"/>
    <w:notTrueType/>
    <w:pitch w:val="default"/>
    <w:sig w:usb0="00000003" w:usb1="00000000" w:usb2="00000000" w:usb3="00000000" w:csb0="00000001" w:csb1="00000000"/>
  </w:font>
  <w:font w:name="Roman">
    <w:altName w:val="Times New Roman"/>
    <w:panose1 w:val="00000000000000000000"/>
    <w:charset w:val="4D"/>
    <w:family w:val="auto"/>
    <w:notTrueType/>
    <w:pitch w:val="default"/>
    <w:sig w:usb0="00000003" w:usb1="00000000" w:usb2="00000000" w:usb3="00000000" w:csb0="00000001" w:csb1="00000000"/>
  </w:font>
  <w:font w:name="BodoniMT">
    <w:altName w:val="Times New Roman"/>
    <w:panose1 w:val="00000000000000000000"/>
    <w:charset w:val="4D"/>
    <w:family w:val="roman"/>
    <w:notTrueType/>
    <w:pitch w:val="default"/>
    <w:sig w:usb0="00000003" w:usb1="00000000" w:usb2="00000000" w:usb3="00000000" w:csb0="00000001" w:csb1="00000000"/>
  </w:font>
  <w:font w:name="AdvPS6F01">
    <w:altName w:val="Times New Roman"/>
    <w:panose1 w:val="00000000000000000000"/>
    <w:charset w:val="4D"/>
    <w:family w:val="roman"/>
    <w:notTrueType/>
    <w:pitch w:val="default"/>
    <w:sig w:usb0="00000003" w:usb1="00000000" w:usb2="00000000" w:usb3="00000000" w:csb0="00000001" w:csb1="00000000"/>
  </w:font>
  <w:font w:name="AdvEPSTIM">
    <w:altName w:val="Times New Roman"/>
    <w:panose1 w:val="00000000000000000000"/>
    <w:charset w:val="4D"/>
    <w:family w:val="auto"/>
    <w:notTrueType/>
    <w:pitch w:val="default"/>
    <w:sig w:usb0="00000003" w:usb1="00000000" w:usb2="00000000" w:usb3="00000000" w:csb0="00000001" w:csb1="00000000"/>
  </w:font>
  <w:font w:name="AdvTimes">
    <w:panose1 w:val="00000000000000000000"/>
    <w:charset w:val="4D"/>
    <w:family w:val="roman"/>
    <w:notTrueType/>
    <w:pitch w:val="default"/>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962" w:rsidRDefault="00964962" w:rsidP="004920BC">
    <w:pPr>
      <w:pStyle w:val="Footer"/>
      <w:framePr w:wrap="around" w:vAnchor="text" w:hAnchor="margin" w:xAlign="center" w:y="1"/>
      <w:rPr>
        <w:rStyle w:val="PageNumber"/>
        <w:rFonts w:eastAsiaTheme="minorHAnsi" w:cstheme="minorBidi"/>
      </w:rPr>
    </w:pPr>
    <w:r>
      <w:rPr>
        <w:rStyle w:val="PageNumber"/>
      </w:rPr>
      <w:fldChar w:fldCharType="begin"/>
    </w:r>
    <w:r>
      <w:rPr>
        <w:rStyle w:val="PageNumber"/>
      </w:rPr>
      <w:instrText xml:space="preserve">PAGE  </w:instrText>
    </w:r>
    <w:r>
      <w:rPr>
        <w:rStyle w:val="PageNumber"/>
      </w:rPr>
      <w:fldChar w:fldCharType="end"/>
    </w:r>
  </w:p>
  <w:p w:rsidR="00964962" w:rsidRDefault="00964962">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962" w:rsidRDefault="00964962" w:rsidP="004920BC">
    <w:pPr>
      <w:pStyle w:val="Footer"/>
      <w:framePr w:wrap="around" w:vAnchor="text" w:hAnchor="margin" w:xAlign="center" w:y="1"/>
      <w:rPr>
        <w:rStyle w:val="PageNumber"/>
        <w:rFonts w:eastAsiaTheme="minorHAnsi" w:cstheme="minorBidi"/>
      </w:rPr>
    </w:pPr>
    <w:r>
      <w:rPr>
        <w:rStyle w:val="PageNumber"/>
      </w:rPr>
      <w:fldChar w:fldCharType="begin"/>
    </w:r>
    <w:r>
      <w:rPr>
        <w:rStyle w:val="PageNumber"/>
      </w:rPr>
      <w:instrText xml:space="preserve">PAGE  </w:instrText>
    </w:r>
    <w:r>
      <w:rPr>
        <w:rStyle w:val="PageNumber"/>
      </w:rPr>
      <w:fldChar w:fldCharType="separate"/>
    </w:r>
    <w:r w:rsidR="00843EB2">
      <w:rPr>
        <w:rStyle w:val="PageNumber"/>
        <w:noProof/>
      </w:rPr>
      <w:t>iv</w:t>
    </w:r>
    <w:r>
      <w:rPr>
        <w:rStyle w:val="PageNumber"/>
      </w:rPr>
      <w:fldChar w:fldCharType="end"/>
    </w:r>
  </w:p>
  <w:p w:rsidR="00964962" w:rsidRDefault="00964962">
    <w:pPr>
      <w:pStyle w:val="Footer"/>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5.2pt;height:15.2pt" o:bullet="t">
        <v:imagedata r:id="rId1" o:title="msoA"/>
      </v:shape>
    </w:pict>
  </w:numPicBullet>
  <w:abstractNum w:abstractNumId="0">
    <w:nsid w:val="05431B37"/>
    <w:multiLevelType w:val="hybridMultilevel"/>
    <w:tmpl w:val="901608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24123D"/>
    <w:multiLevelType w:val="multilevel"/>
    <w:tmpl w:val="A1E8E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24A13"/>
    <w:multiLevelType w:val="multilevel"/>
    <w:tmpl w:val="46E4EC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Lucida Grande"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Lucida Grande"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Lucida Grande"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7685DBD"/>
    <w:multiLevelType w:val="hybridMultilevel"/>
    <w:tmpl w:val="ED8A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B656F4"/>
    <w:multiLevelType w:val="hybridMultilevel"/>
    <w:tmpl w:val="99A61B28"/>
    <w:lvl w:ilvl="0" w:tplc="22567EB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9150D74"/>
    <w:multiLevelType w:val="hybridMultilevel"/>
    <w:tmpl w:val="79FC2E06"/>
    <w:lvl w:ilvl="0" w:tplc="5EC64EA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1E7906"/>
    <w:multiLevelType w:val="hybridMultilevel"/>
    <w:tmpl w:val="484A91A0"/>
    <w:lvl w:ilvl="0" w:tplc="3D600AF0">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F92B2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
    <w:nsid w:val="1DDA717B"/>
    <w:multiLevelType w:val="multilevel"/>
    <w:tmpl w:val="CD829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04E7B3A"/>
    <w:multiLevelType w:val="multilevel"/>
    <w:tmpl w:val="CD829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4665FB"/>
    <w:multiLevelType w:val="hybridMultilevel"/>
    <w:tmpl w:val="6E341DD2"/>
    <w:lvl w:ilvl="0" w:tplc="61823C3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30D923BE"/>
    <w:multiLevelType w:val="hybridMultilevel"/>
    <w:tmpl w:val="0706D846"/>
    <w:lvl w:ilvl="0" w:tplc="2F7AA42E">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DA06408"/>
    <w:multiLevelType w:val="hybridMultilevel"/>
    <w:tmpl w:val="9A46FDBA"/>
    <w:lvl w:ilvl="0" w:tplc="2DAA5A1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43A66E90"/>
    <w:multiLevelType w:val="multilevel"/>
    <w:tmpl w:val="9A58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CC66D1"/>
    <w:multiLevelType w:val="hybridMultilevel"/>
    <w:tmpl w:val="46E4EC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9840B19"/>
    <w:multiLevelType w:val="hybridMultilevel"/>
    <w:tmpl w:val="F66417D0"/>
    <w:lvl w:ilvl="0" w:tplc="6C1015A0">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D160661"/>
    <w:multiLevelType w:val="hybridMultilevel"/>
    <w:tmpl w:val="A57AB214"/>
    <w:lvl w:ilvl="0" w:tplc="5E26502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EED2DF5"/>
    <w:multiLevelType w:val="multilevel"/>
    <w:tmpl w:val="DBBA0D9A"/>
    <w:lvl w:ilvl="0">
      <w:start w:val="1"/>
      <w:numFmt w:val="decimal"/>
      <w:lvlText w:val="%1."/>
      <w:lvlJc w:val="left"/>
      <w:pPr>
        <w:tabs>
          <w:tab w:val="num" w:pos="720"/>
        </w:tabs>
        <w:ind w:left="720" w:hanging="360"/>
      </w:pPr>
      <w:rPr>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FF0CE9"/>
    <w:multiLevelType w:val="multilevel"/>
    <w:tmpl w:val="BB6A5E2C"/>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Lucida Grande"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Lucida Grande"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Lucida Grande"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1945F70"/>
    <w:multiLevelType w:val="hybridMultilevel"/>
    <w:tmpl w:val="B600C3AC"/>
    <w:lvl w:ilvl="0" w:tplc="934E57D8">
      <w:start w:val="1"/>
      <w:numFmt w:val="decimal"/>
      <w:lvlText w:val="%1."/>
      <w:lvlJc w:val="left"/>
      <w:pPr>
        <w:tabs>
          <w:tab w:val="num" w:pos="780"/>
        </w:tabs>
        <w:ind w:left="780" w:hanging="420"/>
      </w:pPr>
      <w:rPr>
        <w:rFonts w:ascii="Verdana" w:hAnsi="Verdana" w:hint="default"/>
        <w:b/>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57FF2665"/>
    <w:multiLevelType w:val="multilevel"/>
    <w:tmpl w:val="EBE41A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Lucida Grande"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Lucida Grande"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Lucida Grande"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2F114E8"/>
    <w:multiLevelType w:val="hybridMultilevel"/>
    <w:tmpl w:val="B28ADFB4"/>
    <w:lvl w:ilvl="0" w:tplc="B616130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63284F52"/>
    <w:multiLevelType w:val="hybridMultilevel"/>
    <w:tmpl w:val="F6167620"/>
    <w:lvl w:ilvl="0" w:tplc="818075A0">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B5F7C4D"/>
    <w:multiLevelType w:val="multilevel"/>
    <w:tmpl w:val="5AFCE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2BC7805"/>
    <w:multiLevelType w:val="hybridMultilevel"/>
    <w:tmpl w:val="79147EAA"/>
    <w:lvl w:ilvl="0" w:tplc="C5142ECA">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39E46FF"/>
    <w:multiLevelType w:val="hybridMultilevel"/>
    <w:tmpl w:val="AE2EC65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nsid w:val="764F0B9B"/>
    <w:multiLevelType w:val="hybridMultilevel"/>
    <w:tmpl w:val="EBE41A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9DA6617"/>
    <w:multiLevelType w:val="hybridMultilevel"/>
    <w:tmpl w:val="BB6A5E2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B872D8D"/>
    <w:multiLevelType w:val="multilevel"/>
    <w:tmpl w:val="A1E8E6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DC54EC7"/>
    <w:multiLevelType w:val="hybridMultilevel"/>
    <w:tmpl w:val="66AC4114"/>
    <w:lvl w:ilvl="0" w:tplc="6E86A8C6">
      <w:start w:val="1"/>
      <w:numFmt w:val="decimal"/>
      <w:lvlText w:val="%1."/>
      <w:lvlJc w:val="left"/>
      <w:pPr>
        <w:tabs>
          <w:tab w:val="num" w:pos="720"/>
        </w:tabs>
        <w:ind w:left="720" w:hanging="360"/>
      </w:pPr>
      <w:rPr>
        <w:rFonts w:ascii="Verdana" w:hAnsi="Verdana"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4"/>
  </w:num>
  <w:num w:numId="3">
    <w:abstractNumId w:val="10"/>
  </w:num>
  <w:num w:numId="4">
    <w:abstractNumId w:val="15"/>
  </w:num>
  <w:num w:numId="5">
    <w:abstractNumId w:val="4"/>
  </w:num>
  <w:num w:numId="6">
    <w:abstractNumId w:val="21"/>
  </w:num>
  <w:num w:numId="7">
    <w:abstractNumId w:val="11"/>
  </w:num>
  <w:num w:numId="8">
    <w:abstractNumId w:val="12"/>
  </w:num>
  <w:num w:numId="9">
    <w:abstractNumId w:val="9"/>
  </w:num>
  <w:num w:numId="10">
    <w:abstractNumId w:val="1"/>
  </w:num>
  <w:num w:numId="11">
    <w:abstractNumId w:val="23"/>
  </w:num>
  <w:num w:numId="12">
    <w:abstractNumId w:val="29"/>
  </w:num>
  <w:num w:numId="13">
    <w:abstractNumId w:val="8"/>
  </w:num>
  <w:num w:numId="14">
    <w:abstractNumId w:val="14"/>
  </w:num>
  <w:num w:numId="15">
    <w:abstractNumId w:val="2"/>
  </w:num>
  <w:num w:numId="16">
    <w:abstractNumId w:val="26"/>
  </w:num>
  <w:num w:numId="17">
    <w:abstractNumId w:val="20"/>
  </w:num>
  <w:num w:numId="18">
    <w:abstractNumId w:val="27"/>
  </w:num>
  <w:num w:numId="19">
    <w:abstractNumId w:val="18"/>
  </w:num>
  <w:num w:numId="20">
    <w:abstractNumId w:val="5"/>
  </w:num>
  <w:num w:numId="21">
    <w:abstractNumId w:val="28"/>
  </w:num>
  <w:num w:numId="22">
    <w:abstractNumId w:val="25"/>
  </w:num>
  <w:num w:numId="23">
    <w:abstractNumId w:val="19"/>
  </w:num>
  <w:num w:numId="24">
    <w:abstractNumId w:val="6"/>
  </w:num>
  <w:num w:numId="25">
    <w:abstractNumId w:val="17"/>
  </w:num>
  <w:num w:numId="26">
    <w:abstractNumId w:val="22"/>
  </w:num>
  <w:num w:numId="27">
    <w:abstractNumId w:val="0"/>
  </w:num>
  <w:num w:numId="28">
    <w:abstractNumId w:val="7"/>
  </w:num>
  <w:num w:numId="29">
    <w:abstractNumId w:val="13"/>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activeWritingStyle w:appName="MSWord" w:lang="en-US" w:vendorID="64" w:dllVersion="131078" w:nlCheck="1" w:checkStyle="1"/>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9D525D"/>
    <w:rsid w:val="00007B25"/>
    <w:rsid w:val="00021749"/>
    <w:rsid w:val="000244BB"/>
    <w:rsid w:val="00033049"/>
    <w:rsid w:val="000503DA"/>
    <w:rsid w:val="000567F0"/>
    <w:rsid w:val="00060600"/>
    <w:rsid w:val="00065BEF"/>
    <w:rsid w:val="00082B83"/>
    <w:rsid w:val="00091E87"/>
    <w:rsid w:val="0009769A"/>
    <w:rsid w:val="0009786C"/>
    <w:rsid w:val="000B6570"/>
    <w:rsid w:val="000B7B3B"/>
    <w:rsid w:val="000C75A0"/>
    <w:rsid w:val="000E27A2"/>
    <w:rsid w:val="000E3167"/>
    <w:rsid w:val="000F7B86"/>
    <w:rsid w:val="0012208F"/>
    <w:rsid w:val="0015673D"/>
    <w:rsid w:val="0016491A"/>
    <w:rsid w:val="00174D75"/>
    <w:rsid w:val="00177BF3"/>
    <w:rsid w:val="001803DF"/>
    <w:rsid w:val="00180DFB"/>
    <w:rsid w:val="001934A8"/>
    <w:rsid w:val="00197E77"/>
    <w:rsid w:val="001B18DD"/>
    <w:rsid w:val="001B52F5"/>
    <w:rsid w:val="001C36FB"/>
    <w:rsid w:val="001C69E3"/>
    <w:rsid w:val="001E03EE"/>
    <w:rsid w:val="00201ACB"/>
    <w:rsid w:val="00204131"/>
    <w:rsid w:val="00214C1D"/>
    <w:rsid w:val="00217EE8"/>
    <w:rsid w:val="00222BCE"/>
    <w:rsid w:val="002312EB"/>
    <w:rsid w:val="00250894"/>
    <w:rsid w:val="00252A5D"/>
    <w:rsid w:val="0025490E"/>
    <w:rsid w:val="00255BE5"/>
    <w:rsid w:val="00262ABA"/>
    <w:rsid w:val="00284939"/>
    <w:rsid w:val="00290E67"/>
    <w:rsid w:val="0029429E"/>
    <w:rsid w:val="00294332"/>
    <w:rsid w:val="002A29FC"/>
    <w:rsid w:val="002C0A70"/>
    <w:rsid w:val="002D0AED"/>
    <w:rsid w:val="002D34CA"/>
    <w:rsid w:val="002D7835"/>
    <w:rsid w:val="002E1A43"/>
    <w:rsid w:val="002E4B35"/>
    <w:rsid w:val="002E5D32"/>
    <w:rsid w:val="003023A1"/>
    <w:rsid w:val="0030793E"/>
    <w:rsid w:val="00342978"/>
    <w:rsid w:val="00344F6B"/>
    <w:rsid w:val="00353669"/>
    <w:rsid w:val="0038045B"/>
    <w:rsid w:val="0038486D"/>
    <w:rsid w:val="003905F9"/>
    <w:rsid w:val="003925C0"/>
    <w:rsid w:val="003A2F3E"/>
    <w:rsid w:val="003A31D6"/>
    <w:rsid w:val="003A4981"/>
    <w:rsid w:val="003B366D"/>
    <w:rsid w:val="003D227A"/>
    <w:rsid w:val="003E6555"/>
    <w:rsid w:val="003F5BD9"/>
    <w:rsid w:val="00411FF1"/>
    <w:rsid w:val="00415861"/>
    <w:rsid w:val="00420549"/>
    <w:rsid w:val="00422303"/>
    <w:rsid w:val="00430D63"/>
    <w:rsid w:val="004429C0"/>
    <w:rsid w:val="0047405F"/>
    <w:rsid w:val="00482A06"/>
    <w:rsid w:val="004920BC"/>
    <w:rsid w:val="004D7039"/>
    <w:rsid w:val="004E3E59"/>
    <w:rsid w:val="004E5287"/>
    <w:rsid w:val="004F0A04"/>
    <w:rsid w:val="00505B74"/>
    <w:rsid w:val="00514E6A"/>
    <w:rsid w:val="00515CB9"/>
    <w:rsid w:val="0053153B"/>
    <w:rsid w:val="005358AB"/>
    <w:rsid w:val="005362C0"/>
    <w:rsid w:val="00541C49"/>
    <w:rsid w:val="0055157E"/>
    <w:rsid w:val="00553AED"/>
    <w:rsid w:val="00562EE3"/>
    <w:rsid w:val="005665F5"/>
    <w:rsid w:val="00575129"/>
    <w:rsid w:val="0058056E"/>
    <w:rsid w:val="00581F72"/>
    <w:rsid w:val="00590E9A"/>
    <w:rsid w:val="005B3E3D"/>
    <w:rsid w:val="005C099D"/>
    <w:rsid w:val="005C6C17"/>
    <w:rsid w:val="005C7258"/>
    <w:rsid w:val="005D32A8"/>
    <w:rsid w:val="005E392E"/>
    <w:rsid w:val="005E68ED"/>
    <w:rsid w:val="00611FA9"/>
    <w:rsid w:val="006200DB"/>
    <w:rsid w:val="00620654"/>
    <w:rsid w:val="00621E6E"/>
    <w:rsid w:val="00622175"/>
    <w:rsid w:val="00633FBE"/>
    <w:rsid w:val="0064520B"/>
    <w:rsid w:val="0065263C"/>
    <w:rsid w:val="00657568"/>
    <w:rsid w:val="0066446B"/>
    <w:rsid w:val="00674276"/>
    <w:rsid w:val="00683EA0"/>
    <w:rsid w:val="00691DD4"/>
    <w:rsid w:val="0069467B"/>
    <w:rsid w:val="006C4EE9"/>
    <w:rsid w:val="006C5154"/>
    <w:rsid w:val="006C6E84"/>
    <w:rsid w:val="006E7730"/>
    <w:rsid w:val="006F3D14"/>
    <w:rsid w:val="00710725"/>
    <w:rsid w:val="00711B83"/>
    <w:rsid w:val="00716479"/>
    <w:rsid w:val="007246B3"/>
    <w:rsid w:val="007269B6"/>
    <w:rsid w:val="00726D4C"/>
    <w:rsid w:val="00730764"/>
    <w:rsid w:val="00740B6E"/>
    <w:rsid w:val="00757608"/>
    <w:rsid w:val="00771126"/>
    <w:rsid w:val="00771E46"/>
    <w:rsid w:val="007853FD"/>
    <w:rsid w:val="00786E57"/>
    <w:rsid w:val="007A2BC3"/>
    <w:rsid w:val="007A3DDC"/>
    <w:rsid w:val="007A5AAB"/>
    <w:rsid w:val="007D3008"/>
    <w:rsid w:val="007D4E07"/>
    <w:rsid w:val="007E14DD"/>
    <w:rsid w:val="007E3C1F"/>
    <w:rsid w:val="007F4FEA"/>
    <w:rsid w:val="007F52FA"/>
    <w:rsid w:val="00801292"/>
    <w:rsid w:val="00843EB2"/>
    <w:rsid w:val="00844E12"/>
    <w:rsid w:val="008507A0"/>
    <w:rsid w:val="00873981"/>
    <w:rsid w:val="00874A09"/>
    <w:rsid w:val="0088120C"/>
    <w:rsid w:val="0088623E"/>
    <w:rsid w:val="00894702"/>
    <w:rsid w:val="008975E2"/>
    <w:rsid w:val="008B5558"/>
    <w:rsid w:val="008C398E"/>
    <w:rsid w:val="008C3BEC"/>
    <w:rsid w:val="008D5C29"/>
    <w:rsid w:val="008E0355"/>
    <w:rsid w:val="008F504A"/>
    <w:rsid w:val="008F55C7"/>
    <w:rsid w:val="009140D7"/>
    <w:rsid w:val="00923C9D"/>
    <w:rsid w:val="00942520"/>
    <w:rsid w:val="0094761B"/>
    <w:rsid w:val="0095141A"/>
    <w:rsid w:val="009569EB"/>
    <w:rsid w:val="00963FA7"/>
    <w:rsid w:val="00964962"/>
    <w:rsid w:val="00966FEB"/>
    <w:rsid w:val="00995648"/>
    <w:rsid w:val="009A7D84"/>
    <w:rsid w:val="009B6F4D"/>
    <w:rsid w:val="009C73D6"/>
    <w:rsid w:val="009D525D"/>
    <w:rsid w:val="009D5743"/>
    <w:rsid w:val="009F3B9B"/>
    <w:rsid w:val="009F7697"/>
    <w:rsid w:val="00A031F4"/>
    <w:rsid w:val="00A057F3"/>
    <w:rsid w:val="00A15000"/>
    <w:rsid w:val="00A214DB"/>
    <w:rsid w:val="00A34646"/>
    <w:rsid w:val="00A3548E"/>
    <w:rsid w:val="00A41A49"/>
    <w:rsid w:val="00A44C80"/>
    <w:rsid w:val="00A667B7"/>
    <w:rsid w:val="00A8251F"/>
    <w:rsid w:val="00A9297C"/>
    <w:rsid w:val="00A9555B"/>
    <w:rsid w:val="00AA0643"/>
    <w:rsid w:val="00AA5703"/>
    <w:rsid w:val="00AB1007"/>
    <w:rsid w:val="00AB5097"/>
    <w:rsid w:val="00AE63C6"/>
    <w:rsid w:val="00AF5DAD"/>
    <w:rsid w:val="00AF6E5E"/>
    <w:rsid w:val="00B23027"/>
    <w:rsid w:val="00B27ED6"/>
    <w:rsid w:val="00B3265E"/>
    <w:rsid w:val="00B422AD"/>
    <w:rsid w:val="00B44F7F"/>
    <w:rsid w:val="00B52B2B"/>
    <w:rsid w:val="00B726AB"/>
    <w:rsid w:val="00B75E34"/>
    <w:rsid w:val="00B80200"/>
    <w:rsid w:val="00B91D8D"/>
    <w:rsid w:val="00BA03F5"/>
    <w:rsid w:val="00BA6178"/>
    <w:rsid w:val="00BB7772"/>
    <w:rsid w:val="00BF586C"/>
    <w:rsid w:val="00C11F2C"/>
    <w:rsid w:val="00C14A69"/>
    <w:rsid w:val="00C32336"/>
    <w:rsid w:val="00C47E9D"/>
    <w:rsid w:val="00C51CDB"/>
    <w:rsid w:val="00C624A9"/>
    <w:rsid w:val="00C72094"/>
    <w:rsid w:val="00C7665E"/>
    <w:rsid w:val="00CB183D"/>
    <w:rsid w:val="00CB3CD0"/>
    <w:rsid w:val="00CB68D1"/>
    <w:rsid w:val="00CD28D6"/>
    <w:rsid w:val="00CD619E"/>
    <w:rsid w:val="00CD6641"/>
    <w:rsid w:val="00CF0171"/>
    <w:rsid w:val="00D22175"/>
    <w:rsid w:val="00D26351"/>
    <w:rsid w:val="00D30C83"/>
    <w:rsid w:val="00D32E52"/>
    <w:rsid w:val="00D32F9D"/>
    <w:rsid w:val="00D65143"/>
    <w:rsid w:val="00D66E92"/>
    <w:rsid w:val="00D67531"/>
    <w:rsid w:val="00D92CFA"/>
    <w:rsid w:val="00DA2CEB"/>
    <w:rsid w:val="00DA796E"/>
    <w:rsid w:val="00DB4DCE"/>
    <w:rsid w:val="00E014B7"/>
    <w:rsid w:val="00E0350B"/>
    <w:rsid w:val="00E13DBF"/>
    <w:rsid w:val="00E27C36"/>
    <w:rsid w:val="00E27CD5"/>
    <w:rsid w:val="00E30C27"/>
    <w:rsid w:val="00E41199"/>
    <w:rsid w:val="00E441B1"/>
    <w:rsid w:val="00E46A1C"/>
    <w:rsid w:val="00E525F6"/>
    <w:rsid w:val="00E60083"/>
    <w:rsid w:val="00E61861"/>
    <w:rsid w:val="00E97131"/>
    <w:rsid w:val="00EA1E30"/>
    <w:rsid w:val="00EA7AAB"/>
    <w:rsid w:val="00EB603E"/>
    <w:rsid w:val="00EC753A"/>
    <w:rsid w:val="00EF6F9F"/>
    <w:rsid w:val="00F163B2"/>
    <w:rsid w:val="00F307C5"/>
    <w:rsid w:val="00F320DD"/>
    <w:rsid w:val="00F41BB9"/>
    <w:rsid w:val="00F430FF"/>
    <w:rsid w:val="00F47F76"/>
    <w:rsid w:val="00F61972"/>
    <w:rsid w:val="00F62A2B"/>
    <w:rsid w:val="00F66402"/>
    <w:rsid w:val="00F702DB"/>
    <w:rsid w:val="00F861E5"/>
    <w:rsid w:val="00F92515"/>
    <w:rsid w:val="00F957EC"/>
    <w:rsid w:val="00FC1196"/>
    <w:rsid w:val="00FD03A5"/>
    <w:rsid w:val="00FF47B7"/>
  </w:rsids>
  <m:mathPr>
    <m:mathFont m:val="AdvPS6F00"/>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168"/>
        <o:r id="V:Rule2" type="callout" idref="#_x0000_s11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able Grid" w:uiPriority="59"/>
  </w:latentStyles>
  <w:style w:type="paragraph" w:default="1" w:styleId="Normal">
    <w:name w:val="Normal"/>
    <w:qFormat/>
    <w:rsid w:val="00B57B2F"/>
    <w:rPr>
      <w:rFonts w:ascii="Times New Roman" w:hAnsi="Times New Roman"/>
    </w:rPr>
  </w:style>
  <w:style w:type="paragraph" w:styleId="Heading1">
    <w:name w:val="heading 1"/>
    <w:basedOn w:val="Normal"/>
    <w:next w:val="Normal"/>
    <w:link w:val="Heading1Char"/>
    <w:rsid w:val="00A3548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qFormat/>
    <w:rsid w:val="00A3548E"/>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qFormat/>
    <w:rsid w:val="00A3548E"/>
    <w:pPr>
      <w:spacing w:before="100" w:beforeAutospacing="1" w:after="100" w:afterAutospacing="1"/>
      <w:outlineLvl w:val="2"/>
    </w:pPr>
    <w:rPr>
      <w:rFonts w:eastAsia="Times New Roman" w:cs="Times New Roman"/>
      <w:b/>
      <w:bCs/>
      <w:sz w:val="27"/>
      <w:szCs w:val="27"/>
    </w:rPr>
  </w:style>
  <w:style w:type="paragraph" w:styleId="Heading4">
    <w:name w:val="heading 4"/>
    <w:basedOn w:val="Normal"/>
    <w:link w:val="Heading4Char"/>
    <w:qFormat/>
    <w:rsid w:val="00A3548E"/>
    <w:pPr>
      <w:spacing w:before="100" w:beforeAutospacing="1" w:after="100" w:afterAutospacing="1"/>
      <w:outlineLvl w:val="3"/>
    </w:pPr>
    <w:rPr>
      <w:rFonts w:eastAsia="Times New Roman" w:cs="Times New Roman"/>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9D525D"/>
    <w:pPr>
      <w:ind w:left="720"/>
      <w:contextualSpacing/>
    </w:pPr>
  </w:style>
  <w:style w:type="paragraph" w:styleId="BodyTextIndent2">
    <w:name w:val="Body Text Indent 2"/>
    <w:basedOn w:val="Normal"/>
    <w:link w:val="BodyTextIndent2Char"/>
    <w:rsid w:val="00482A06"/>
    <w:pPr>
      <w:spacing w:line="480" w:lineRule="auto"/>
      <w:ind w:firstLine="720"/>
    </w:pPr>
    <w:rPr>
      <w:rFonts w:eastAsia="Times New Roman" w:cs="Times New Roman"/>
    </w:rPr>
  </w:style>
  <w:style w:type="character" w:customStyle="1" w:styleId="BodyTextIndent2Char">
    <w:name w:val="Body Text Indent 2 Char"/>
    <w:basedOn w:val="DefaultParagraphFont"/>
    <w:link w:val="BodyTextIndent2"/>
    <w:rsid w:val="00482A06"/>
    <w:rPr>
      <w:rFonts w:ascii="Times New Roman" w:eastAsia="Times New Roman" w:hAnsi="Times New Roman" w:cs="Times New Roman"/>
    </w:rPr>
  </w:style>
  <w:style w:type="character" w:customStyle="1" w:styleId="Heading1Char">
    <w:name w:val="Heading 1 Char"/>
    <w:basedOn w:val="DefaultParagraphFont"/>
    <w:link w:val="Heading1"/>
    <w:rsid w:val="00A3548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A3548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A3548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A3548E"/>
    <w:rPr>
      <w:rFonts w:ascii="Times New Roman" w:eastAsia="Times New Roman" w:hAnsi="Times New Roman" w:cs="Times New Roman"/>
      <w:b/>
      <w:bCs/>
    </w:rPr>
  </w:style>
  <w:style w:type="paragraph" w:styleId="NormalWeb">
    <w:name w:val="Normal (Web)"/>
    <w:basedOn w:val="Normal"/>
    <w:rsid w:val="00A3548E"/>
    <w:pPr>
      <w:spacing w:before="100" w:beforeAutospacing="1" w:after="100" w:afterAutospacing="1"/>
    </w:pPr>
    <w:rPr>
      <w:rFonts w:eastAsia="Times New Roman" w:cs="Times New Roman"/>
    </w:rPr>
  </w:style>
  <w:style w:type="character" w:styleId="Strong">
    <w:name w:val="Strong"/>
    <w:basedOn w:val="DefaultParagraphFont"/>
    <w:qFormat/>
    <w:rsid w:val="00A3548E"/>
    <w:rPr>
      <w:b/>
      <w:bCs/>
    </w:rPr>
  </w:style>
  <w:style w:type="character" w:styleId="Hyperlink">
    <w:name w:val="Hyperlink"/>
    <w:basedOn w:val="DefaultParagraphFont"/>
    <w:rsid w:val="00A3548E"/>
    <w:rPr>
      <w:color w:val="CC6600"/>
      <w:u w:val="single"/>
    </w:rPr>
  </w:style>
  <w:style w:type="character" w:styleId="Emphasis">
    <w:name w:val="Emphasis"/>
    <w:basedOn w:val="DefaultParagraphFont"/>
    <w:qFormat/>
    <w:rsid w:val="00A3548E"/>
    <w:rPr>
      <w:i/>
      <w:iCs/>
    </w:rPr>
  </w:style>
  <w:style w:type="paragraph" w:styleId="Header">
    <w:name w:val="header"/>
    <w:basedOn w:val="Normal"/>
    <w:link w:val="HeaderChar"/>
    <w:rsid w:val="00A3548E"/>
    <w:pPr>
      <w:tabs>
        <w:tab w:val="center" w:pos="4320"/>
        <w:tab w:val="right" w:pos="8640"/>
      </w:tabs>
    </w:pPr>
    <w:rPr>
      <w:rFonts w:eastAsia="Times New Roman" w:cs="Times New Roman"/>
    </w:rPr>
  </w:style>
  <w:style w:type="character" w:customStyle="1" w:styleId="HeaderChar">
    <w:name w:val="Header Char"/>
    <w:basedOn w:val="DefaultParagraphFont"/>
    <w:link w:val="Header"/>
    <w:rsid w:val="00A3548E"/>
    <w:rPr>
      <w:rFonts w:ascii="Times New Roman" w:eastAsia="Times New Roman" w:hAnsi="Times New Roman" w:cs="Times New Roman"/>
    </w:rPr>
  </w:style>
  <w:style w:type="paragraph" w:styleId="Footer">
    <w:name w:val="footer"/>
    <w:basedOn w:val="Normal"/>
    <w:link w:val="FooterChar"/>
    <w:uiPriority w:val="99"/>
    <w:rsid w:val="00A3548E"/>
    <w:pPr>
      <w:tabs>
        <w:tab w:val="center" w:pos="4320"/>
        <w:tab w:val="right" w:pos="8640"/>
      </w:tabs>
    </w:pPr>
    <w:rPr>
      <w:rFonts w:eastAsia="Times New Roman" w:cs="Times New Roman"/>
    </w:rPr>
  </w:style>
  <w:style w:type="character" w:customStyle="1" w:styleId="FooterChar">
    <w:name w:val="Footer Char"/>
    <w:basedOn w:val="DefaultParagraphFont"/>
    <w:link w:val="Footer"/>
    <w:rsid w:val="00A3548E"/>
    <w:rPr>
      <w:rFonts w:ascii="Times New Roman" w:eastAsia="Times New Roman" w:hAnsi="Times New Roman" w:cs="Times New Roman"/>
    </w:rPr>
  </w:style>
  <w:style w:type="paragraph" w:customStyle="1" w:styleId="Default">
    <w:name w:val="Default"/>
    <w:uiPriority w:val="99"/>
    <w:rsid w:val="00A3548E"/>
    <w:pPr>
      <w:widowControl w:val="0"/>
      <w:autoSpaceDE w:val="0"/>
      <w:autoSpaceDN w:val="0"/>
      <w:adjustRightInd w:val="0"/>
    </w:pPr>
    <w:rPr>
      <w:rFonts w:ascii="Arial" w:eastAsiaTheme="minorEastAsia" w:hAnsi="Arial" w:cs="Arial"/>
      <w:color w:val="000000"/>
    </w:rPr>
  </w:style>
  <w:style w:type="paragraph" w:styleId="BlockText">
    <w:name w:val="Block Text"/>
    <w:basedOn w:val="Normal"/>
    <w:uiPriority w:val="99"/>
    <w:rsid w:val="00A3548E"/>
    <w:pPr>
      <w:ind w:left="720" w:right="720"/>
    </w:pPr>
    <w:rPr>
      <w:rFonts w:eastAsiaTheme="minorEastAsia"/>
      <w:i/>
      <w:iCs/>
    </w:rPr>
  </w:style>
  <w:style w:type="character" w:styleId="PageNumber">
    <w:name w:val="page number"/>
    <w:basedOn w:val="DefaultParagraphFont"/>
    <w:rsid w:val="00A3548E"/>
  </w:style>
  <w:style w:type="character" w:customStyle="1" w:styleId="FooterChar1">
    <w:name w:val="Footer Char1"/>
    <w:basedOn w:val="DefaultParagraphFont"/>
    <w:uiPriority w:val="99"/>
    <w:rsid w:val="00A3548E"/>
    <w:rPr>
      <w:rFonts w:ascii="Times New Roman" w:hAnsi="Times New Roman" w:cs="Times New Roman"/>
    </w:rPr>
  </w:style>
  <w:style w:type="character" w:styleId="HTMLCite">
    <w:name w:val="HTML Cite"/>
    <w:basedOn w:val="DefaultParagraphFont"/>
    <w:uiPriority w:val="99"/>
    <w:rsid w:val="00A3548E"/>
    <w:rPr>
      <w:i/>
    </w:rPr>
  </w:style>
  <w:style w:type="character" w:customStyle="1" w:styleId="groupname">
    <w:name w:val="groupname"/>
    <w:basedOn w:val="DefaultParagraphFont"/>
    <w:rsid w:val="00A3548E"/>
  </w:style>
  <w:style w:type="character" w:customStyle="1" w:styleId="pubyear">
    <w:name w:val="pubyear"/>
    <w:basedOn w:val="DefaultParagraphFont"/>
    <w:rsid w:val="00A3548E"/>
  </w:style>
  <w:style w:type="paragraph" w:styleId="BalloonText">
    <w:name w:val="Balloon Text"/>
    <w:basedOn w:val="Normal"/>
    <w:link w:val="BalloonTextChar"/>
    <w:rsid w:val="00A3548E"/>
    <w:rPr>
      <w:rFonts w:ascii="Lucida Grande" w:eastAsia="Times New Roman" w:hAnsi="Lucida Grande" w:cs="Times New Roman"/>
      <w:sz w:val="18"/>
      <w:szCs w:val="18"/>
    </w:rPr>
  </w:style>
  <w:style w:type="character" w:customStyle="1" w:styleId="BalloonTextChar">
    <w:name w:val="Balloon Text Char"/>
    <w:basedOn w:val="DefaultParagraphFont"/>
    <w:link w:val="BalloonText"/>
    <w:rsid w:val="00A3548E"/>
    <w:rPr>
      <w:rFonts w:ascii="Lucida Grande" w:eastAsia="Times New Roman" w:hAnsi="Lucida Grande" w:cs="Times New Roman"/>
      <w:sz w:val="18"/>
      <w:szCs w:val="18"/>
    </w:rPr>
  </w:style>
  <w:style w:type="character" w:customStyle="1" w:styleId="cit-authcit-auth-type-author">
    <w:name w:val="cit-auth cit-auth-type-author"/>
    <w:basedOn w:val="DefaultParagraphFont"/>
    <w:rsid w:val="00A3548E"/>
  </w:style>
  <w:style w:type="character" w:customStyle="1" w:styleId="cit-sepcit-sep-separator">
    <w:name w:val="cit-sep cit-sep-separator"/>
    <w:basedOn w:val="DefaultParagraphFont"/>
    <w:rsid w:val="00A3548E"/>
  </w:style>
  <w:style w:type="character" w:customStyle="1" w:styleId="cit-sepcit-sep-last-separator">
    <w:name w:val="cit-sep cit-sep-last-separator"/>
    <w:basedOn w:val="DefaultParagraphFont"/>
    <w:rsid w:val="00A3548E"/>
  </w:style>
  <w:style w:type="character" w:customStyle="1" w:styleId="cit-title">
    <w:name w:val="cit-title"/>
    <w:basedOn w:val="DefaultParagraphFont"/>
    <w:rsid w:val="00A3548E"/>
  </w:style>
  <w:style w:type="character" w:customStyle="1" w:styleId="cit-sepcit-sep-after-article-title">
    <w:name w:val="cit-sep cit-sep-after-article-title"/>
    <w:basedOn w:val="DefaultParagraphFont"/>
    <w:rsid w:val="00A3548E"/>
  </w:style>
  <w:style w:type="character" w:customStyle="1" w:styleId="cit-subtitle">
    <w:name w:val="cit-subtitle"/>
    <w:basedOn w:val="DefaultParagraphFont"/>
    <w:rsid w:val="00A3548E"/>
  </w:style>
  <w:style w:type="character" w:customStyle="1" w:styleId="site-title">
    <w:name w:val="site-title"/>
    <w:basedOn w:val="DefaultParagraphFont"/>
    <w:rsid w:val="00A3548E"/>
  </w:style>
  <w:style w:type="character" w:customStyle="1" w:styleId="cit-print-date">
    <w:name w:val="cit-print-date"/>
    <w:basedOn w:val="DefaultParagraphFont"/>
    <w:rsid w:val="00A3548E"/>
  </w:style>
  <w:style w:type="character" w:customStyle="1" w:styleId="cit-vol">
    <w:name w:val="cit-vol"/>
    <w:basedOn w:val="DefaultParagraphFont"/>
    <w:rsid w:val="00A3548E"/>
  </w:style>
  <w:style w:type="character" w:customStyle="1" w:styleId="cit-sepcit-sep-after-article-vol">
    <w:name w:val="cit-sep cit-sep-after-article-vol"/>
    <w:basedOn w:val="DefaultParagraphFont"/>
    <w:rsid w:val="00A3548E"/>
  </w:style>
  <w:style w:type="character" w:customStyle="1" w:styleId="cit-first-page">
    <w:name w:val="cit-first-page"/>
    <w:basedOn w:val="DefaultParagraphFont"/>
    <w:rsid w:val="00A3548E"/>
  </w:style>
  <w:style w:type="character" w:customStyle="1" w:styleId="cit-sep">
    <w:name w:val="cit-sep"/>
    <w:basedOn w:val="DefaultParagraphFont"/>
    <w:rsid w:val="00A3548E"/>
  </w:style>
  <w:style w:type="character" w:customStyle="1" w:styleId="cit-last-page">
    <w:name w:val="cit-last-page"/>
    <w:basedOn w:val="DefaultParagraphFont"/>
    <w:rsid w:val="00A3548E"/>
  </w:style>
  <w:style w:type="character" w:customStyle="1" w:styleId="cit-sepcit-sep-after-article-pages">
    <w:name w:val="cit-sep cit-sep-after-article-pages"/>
    <w:basedOn w:val="DefaultParagraphFont"/>
    <w:rsid w:val="00A3548E"/>
  </w:style>
  <w:style w:type="character" w:customStyle="1" w:styleId="cit-doi">
    <w:name w:val="cit-doi"/>
    <w:basedOn w:val="DefaultParagraphFont"/>
    <w:rsid w:val="00A3548E"/>
  </w:style>
  <w:style w:type="character" w:customStyle="1" w:styleId="cit-sepcit-sep-before-article-doi">
    <w:name w:val="cit-sep cit-sep-before-article-doi"/>
    <w:basedOn w:val="DefaultParagraphFont"/>
    <w:rsid w:val="00A3548E"/>
  </w:style>
  <w:style w:type="character" w:customStyle="1" w:styleId="author">
    <w:name w:val="author"/>
    <w:basedOn w:val="DefaultParagraphFont"/>
    <w:rsid w:val="00A3548E"/>
  </w:style>
  <w:style w:type="table" w:styleId="TableGrid">
    <w:name w:val="Table Grid"/>
    <w:basedOn w:val="TableNormal"/>
    <w:uiPriority w:val="59"/>
    <w:rsid w:val="00C51CD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7" Type="http://schemas.openxmlformats.org/officeDocument/2006/relationships/image" Target="media/image2.png"/><Relationship Id="rId1"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theme" Target="theme/theme1.xml"/><Relationship Id="rId8" Type="http://schemas.openxmlformats.org/officeDocument/2006/relationships/image" Target="media/image3.png"/><Relationship Id="rId13" Type="http://schemas.openxmlformats.org/officeDocument/2006/relationships/image" Target="media/image8.png"/><Relationship Id="rId10" Type="http://schemas.openxmlformats.org/officeDocument/2006/relationships/image" Target="media/image5.png"/><Relationship Id="rId12" Type="http://schemas.openxmlformats.org/officeDocument/2006/relationships/image" Target="media/image7.png"/><Relationship Id="rId17" Type="http://schemas.openxmlformats.org/officeDocument/2006/relationships/image" Target="media/image12.png"/><Relationship Id="rId9" Type="http://schemas.openxmlformats.org/officeDocument/2006/relationships/image" Target="media/image4.png"/><Relationship Id="rId18" Type="http://schemas.openxmlformats.org/officeDocument/2006/relationships/image" Target="media/image13.png"/><Relationship Id="rId3" Type="http://schemas.openxmlformats.org/officeDocument/2006/relationships/settings" Target="settings.xml"/><Relationship Id="rId14" Type="http://schemas.openxmlformats.org/officeDocument/2006/relationships/image" Target="media/image9.png"/><Relationship Id="rId23" Type="http://schemas.openxmlformats.org/officeDocument/2006/relationships/hyperlink" Target="http://www.labelinteractive.com/dev/nate/nate-3.html" TargetMode="External"/><Relationship Id="rId4" Type="http://schemas.openxmlformats.org/officeDocument/2006/relationships/webSettings" Target="webSettings.xml"/><Relationship Id="rId11" Type="http://schemas.openxmlformats.org/officeDocument/2006/relationships/image" Target="media/image6.png"/><Relationship Id="rId6" Type="http://schemas.openxmlformats.org/officeDocument/2006/relationships/footer" Target="footer2.xml"/><Relationship Id="rId16" Type="http://schemas.openxmlformats.org/officeDocument/2006/relationships/image" Target="media/image11.png"/><Relationship Id="rId5" Type="http://schemas.openxmlformats.org/officeDocument/2006/relationships/footer" Target="footer1.xml"/><Relationship Id="rId15" Type="http://schemas.openxmlformats.org/officeDocument/2006/relationships/image" Target="media/image10.png"/><Relationship Id="rId19" Type="http://schemas.openxmlformats.org/officeDocument/2006/relationships/image" Target="media/image14.png"/><Relationship Id="rId20" Type="http://schemas.openxmlformats.org/officeDocument/2006/relationships/hyperlink" Target="http://articles.businessinsider.com/2012-02-" TargetMode="External"/><Relationship Id="rId22" Type="http://schemas.openxmlformats.org/officeDocument/2006/relationships/hyperlink" Target="mailto:nevans4@utk.edu" TargetMode="External"/><Relationship Id="rId21" Type="http://schemas.openxmlformats.org/officeDocument/2006/relationships/image" Target="media/image15.png"/><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88</Pages>
  <Words>17612</Words>
  <Characters>116240</Characters>
  <Application>Microsoft Macintosh Word</Application>
  <DocSecurity>0</DocSecurity>
  <Lines>16605</Lines>
  <Paragraphs>11624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Business Insider Intelligence (2012), “Social Gaming Market Will Grow to $5 Bill</vt:lpstr>
    </vt:vector>
  </TitlesOfParts>
  <Manager/>
  <Company>UT</Company>
  <LinksUpToDate>false</LinksUpToDate>
  <CharactersWithSpaces>139135</CharactersWithSpaces>
  <SharedDoc>false</SharedDoc>
  <HyperlinkBase/>
  <HLinks>
    <vt:vector size="12" baseType="variant">
      <vt:variant>
        <vt:i4>3014723</vt:i4>
      </vt:variant>
      <vt:variant>
        <vt:i4>3</vt:i4>
      </vt:variant>
      <vt:variant>
        <vt:i4>0</vt:i4>
      </vt:variant>
      <vt:variant>
        <vt:i4>5</vt:i4>
      </vt:variant>
      <vt:variant>
        <vt:lpwstr>mailto:nevans4@utk.edu</vt:lpwstr>
      </vt:variant>
      <vt:variant>
        <vt:lpwstr/>
      </vt:variant>
      <vt:variant>
        <vt:i4>983071</vt:i4>
      </vt:variant>
      <vt:variant>
        <vt:i4>0</vt:i4>
      </vt:variant>
      <vt:variant>
        <vt:i4>0</vt:i4>
      </vt:variant>
      <vt:variant>
        <vt:i4>5</vt:i4>
      </vt:variant>
      <vt:variant>
        <vt:lpwstr>http://articles.businessinsider.com/2012-02-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evans</dc:creator>
  <cp:keywords/>
  <dc:description/>
  <cp:lastModifiedBy>nathan evans</cp:lastModifiedBy>
  <cp:revision>3</cp:revision>
  <cp:lastPrinted>2013-06-14T03:18:00Z</cp:lastPrinted>
  <dcterms:created xsi:type="dcterms:W3CDTF">2013-06-17T15:12:00Z</dcterms:created>
  <dcterms:modified xsi:type="dcterms:W3CDTF">2013-06-17T15:28:00Z</dcterms:modified>
  <cp:category/>
</cp:coreProperties>
</file>