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DBED8" w14:textId="76182FC8" w:rsidR="00236E6D" w:rsidRPr="00BB6824" w:rsidRDefault="000B3E3E" w:rsidP="00562BA2">
      <w:pPr>
        <w:ind w:firstLine="0"/>
        <w:jc w:val="center"/>
        <w:rPr>
          <w:rFonts w:cs="Times New Roman"/>
        </w:rPr>
      </w:pPr>
      <w:bookmarkStart w:id="0" w:name="_Hlk193614850"/>
      <w:bookmarkEnd w:id="0"/>
      <w:r w:rsidRPr="00F727C5">
        <w:rPr>
          <w:rFonts w:cs="Times New Roman"/>
          <w:b/>
          <w:lang w:val="en-CA"/>
        </w:rPr>
        <w:t>MICROBIAL INTERACTIONS IN AN ANTARCTIC DESERT</w:t>
      </w:r>
      <w:r>
        <w:rPr>
          <w:rFonts w:cs="Times New Roman"/>
          <w:b/>
          <w:lang w:val="en-CA"/>
        </w:rPr>
        <w:t>:</w:t>
      </w:r>
      <w:r w:rsidRPr="00F727C5">
        <w:rPr>
          <w:rFonts w:cs="Times New Roman"/>
          <w:b/>
          <w:lang w:val="en-CA"/>
        </w:rPr>
        <w:t xml:space="preserve"> RESPONSE</w:t>
      </w:r>
      <w:r>
        <w:rPr>
          <w:rFonts w:cs="Times New Roman"/>
          <w:b/>
          <w:lang w:val="en-CA"/>
        </w:rPr>
        <w:t>S</w:t>
      </w:r>
      <w:r w:rsidRPr="00F727C5">
        <w:rPr>
          <w:rFonts w:cs="Times New Roman"/>
          <w:b/>
          <w:lang w:val="en-CA"/>
        </w:rPr>
        <w:t xml:space="preserve"> TO ENVIRONMENTAL CHANGE AND TOOLS FOR LIFE DETECTION</w:t>
      </w:r>
    </w:p>
    <w:p w14:paraId="7F7F214F" w14:textId="77777777" w:rsidR="00236E6D" w:rsidRPr="00BB6824" w:rsidRDefault="00236E6D" w:rsidP="00562BA2">
      <w:pPr>
        <w:ind w:firstLine="0"/>
        <w:jc w:val="center"/>
        <w:rPr>
          <w:rFonts w:cs="Times New Roman"/>
        </w:rPr>
      </w:pPr>
    </w:p>
    <w:p w14:paraId="4B2DC06B" w14:textId="77777777" w:rsidR="00236E6D" w:rsidRPr="00BB6824" w:rsidRDefault="00236E6D" w:rsidP="00562BA2">
      <w:pPr>
        <w:ind w:firstLine="0"/>
        <w:jc w:val="center"/>
        <w:rPr>
          <w:rFonts w:cs="Times New Roman"/>
        </w:rPr>
      </w:pPr>
    </w:p>
    <w:p w14:paraId="40267C0D" w14:textId="77777777" w:rsidR="00BB6824" w:rsidRPr="00BB6824" w:rsidRDefault="00BB6824" w:rsidP="00562BA2">
      <w:pPr>
        <w:ind w:firstLine="0"/>
        <w:jc w:val="center"/>
        <w:rPr>
          <w:rFonts w:cs="Times New Roman"/>
        </w:rPr>
      </w:pPr>
    </w:p>
    <w:p w14:paraId="6DB61C2C" w14:textId="77777777" w:rsidR="00BB6824" w:rsidRPr="00BB6824" w:rsidRDefault="00BB6824" w:rsidP="00562BA2">
      <w:pPr>
        <w:ind w:firstLine="0"/>
        <w:jc w:val="center"/>
        <w:rPr>
          <w:rFonts w:cs="Times New Roman"/>
        </w:rPr>
      </w:pPr>
    </w:p>
    <w:p w14:paraId="353BB84A" w14:textId="77777777" w:rsidR="00236E6D" w:rsidRDefault="00236E6D" w:rsidP="00562BA2">
      <w:pPr>
        <w:ind w:firstLine="0"/>
        <w:jc w:val="center"/>
        <w:rPr>
          <w:rFonts w:cs="Times New Roman"/>
        </w:rPr>
      </w:pPr>
    </w:p>
    <w:p w14:paraId="6DD3296B" w14:textId="77777777" w:rsidR="001A14AF" w:rsidRPr="00BB6824" w:rsidRDefault="001A14AF" w:rsidP="00562BA2">
      <w:pPr>
        <w:ind w:firstLine="0"/>
        <w:jc w:val="center"/>
        <w:rPr>
          <w:rFonts w:cs="Times New Roman"/>
        </w:rPr>
      </w:pPr>
    </w:p>
    <w:p w14:paraId="7C353E2F" w14:textId="77777777" w:rsidR="004A6214" w:rsidRPr="00BB6824" w:rsidRDefault="004A6214" w:rsidP="00562BA2">
      <w:pPr>
        <w:ind w:firstLine="0"/>
        <w:jc w:val="center"/>
        <w:rPr>
          <w:rFonts w:cs="Times New Roman"/>
        </w:rPr>
      </w:pPr>
    </w:p>
    <w:p w14:paraId="4F19CC8B" w14:textId="77777777" w:rsidR="00236E6D" w:rsidRPr="00BB6824" w:rsidRDefault="00236E6D" w:rsidP="00562BA2">
      <w:pPr>
        <w:ind w:firstLine="0"/>
        <w:jc w:val="center"/>
        <w:rPr>
          <w:rFonts w:cs="Times New Roman"/>
        </w:rPr>
      </w:pPr>
    </w:p>
    <w:p w14:paraId="3D9E2EA9" w14:textId="1AC07EE7" w:rsidR="00236E6D" w:rsidRPr="00BB6824" w:rsidRDefault="009C755C" w:rsidP="00562BA2">
      <w:pPr>
        <w:ind w:firstLine="0"/>
        <w:jc w:val="center"/>
        <w:rPr>
          <w:rFonts w:cs="Times New Roman"/>
        </w:rPr>
      </w:pPr>
      <w:r w:rsidRPr="00BB6824">
        <w:rPr>
          <w:rFonts w:cs="Times New Roman"/>
        </w:rPr>
        <w:t xml:space="preserve">A </w:t>
      </w:r>
      <w:r w:rsidR="00212387" w:rsidRPr="00BB6824">
        <w:rPr>
          <w:rFonts w:cs="Times New Roman"/>
        </w:rPr>
        <w:t>Dissertation</w:t>
      </w:r>
      <w:r w:rsidRPr="00BB6824">
        <w:rPr>
          <w:rFonts w:cs="Times New Roman"/>
        </w:rPr>
        <w:t xml:space="preserve"> Presented for</w:t>
      </w:r>
      <w:r w:rsidR="008865B6" w:rsidRPr="00BB6824">
        <w:rPr>
          <w:rFonts w:cs="Times New Roman"/>
        </w:rPr>
        <w:t xml:space="preserve"> the</w:t>
      </w:r>
    </w:p>
    <w:p w14:paraId="7870E075" w14:textId="16EC6F0F" w:rsidR="009C755C" w:rsidRPr="00BB6824" w:rsidRDefault="00212387" w:rsidP="00562BA2">
      <w:pPr>
        <w:ind w:firstLine="0"/>
        <w:jc w:val="center"/>
        <w:rPr>
          <w:rFonts w:cs="Times New Roman"/>
        </w:rPr>
      </w:pPr>
      <w:r w:rsidRPr="00BB6824">
        <w:rPr>
          <w:rFonts w:cs="Times New Roman"/>
        </w:rPr>
        <w:t>Doctor of Philosophy</w:t>
      </w:r>
    </w:p>
    <w:p w14:paraId="1D5FEB42" w14:textId="77777777" w:rsidR="009C755C" w:rsidRPr="00BB6824" w:rsidRDefault="009C755C" w:rsidP="00562BA2">
      <w:pPr>
        <w:ind w:firstLine="0"/>
        <w:jc w:val="center"/>
        <w:rPr>
          <w:rFonts w:cs="Times New Roman"/>
        </w:rPr>
      </w:pPr>
      <w:r w:rsidRPr="00BB6824">
        <w:rPr>
          <w:rFonts w:cs="Times New Roman"/>
        </w:rPr>
        <w:t>Degree</w:t>
      </w:r>
    </w:p>
    <w:p w14:paraId="03D0F51C" w14:textId="77777777" w:rsidR="009C755C" w:rsidRPr="00BB6824" w:rsidRDefault="009C755C" w:rsidP="00562BA2">
      <w:pPr>
        <w:ind w:firstLine="0"/>
        <w:jc w:val="center"/>
        <w:rPr>
          <w:rFonts w:cs="Times New Roman"/>
        </w:rPr>
      </w:pPr>
      <w:r w:rsidRPr="00BB6824">
        <w:rPr>
          <w:rFonts w:cs="Times New Roman"/>
        </w:rPr>
        <w:t>The University of Tennessee, Knoxville</w:t>
      </w:r>
    </w:p>
    <w:p w14:paraId="0257D425" w14:textId="77777777" w:rsidR="00236E6D" w:rsidRPr="00BB6824" w:rsidRDefault="00236E6D" w:rsidP="00562BA2">
      <w:pPr>
        <w:ind w:firstLine="0"/>
        <w:jc w:val="center"/>
        <w:rPr>
          <w:rFonts w:cs="Times New Roman"/>
        </w:rPr>
      </w:pPr>
    </w:p>
    <w:p w14:paraId="7E723FEB" w14:textId="77777777" w:rsidR="00236E6D" w:rsidRPr="00BB6824" w:rsidRDefault="00236E6D" w:rsidP="00562BA2">
      <w:pPr>
        <w:ind w:firstLine="0"/>
        <w:jc w:val="center"/>
        <w:rPr>
          <w:rFonts w:cs="Times New Roman"/>
        </w:rPr>
      </w:pPr>
    </w:p>
    <w:p w14:paraId="000B0839" w14:textId="77777777" w:rsidR="00236E6D" w:rsidRPr="00BB6824" w:rsidRDefault="00236E6D" w:rsidP="00562BA2">
      <w:pPr>
        <w:ind w:firstLine="0"/>
        <w:jc w:val="center"/>
        <w:rPr>
          <w:rFonts w:cs="Times New Roman"/>
        </w:rPr>
      </w:pPr>
    </w:p>
    <w:p w14:paraId="1A5D9E5F" w14:textId="77777777" w:rsidR="004A6214" w:rsidRPr="00BB6824" w:rsidRDefault="004A6214" w:rsidP="00562BA2">
      <w:pPr>
        <w:ind w:firstLine="0"/>
        <w:jc w:val="center"/>
        <w:rPr>
          <w:rFonts w:cs="Times New Roman"/>
        </w:rPr>
      </w:pPr>
    </w:p>
    <w:p w14:paraId="4F50D906" w14:textId="1D079CF5" w:rsidR="00402987" w:rsidRPr="00BB6824" w:rsidRDefault="00402987" w:rsidP="00562BA2">
      <w:pPr>
        <w:ind w:firstLine="0"/>
        <w:jc w:val="center"/>
        <w:rPr>
          <w:rFonts w:cs="Times New Roman"/>
        </w:rPr>
      </w:pPr>
    </w:p>
    <w:p w14:paraId="36D6CCC0" w14:textId="77777777" w:rsidR="00BB6824" w:rsidRPr="00BB6824" w:rsidRDefault="00BB6824" w:rsidP="00562BA2">
      <w:pPr>
        <w:ind w:firstLine="0"/>
        <w:jc w:val="center"/>
        <w:rPr>
          <w:rFonts w:cs="Times New Roman"/>
        </w:rPr>
      </w:pPr>
    </w:p>
    <w:p w14:paraId="7EC7F9E5" w14:textId="77777777" w:rsidR="00BB6824" w:rsidRPr="00BB6824" w:rsidRDefault="00BB6824" w:rsidP="00562BA2">
      <w:pPr>
        <w:ind w:firstLine="0"/>
        <w:jc w:val="center"/>
        <w:rPr>
          <w:rFonts w:cs="Times New Roman"/>
        </w:rPr>
      </w:pPr>
    </w:p>
    <w:p w14:paraId="7CC97FCE" w14:textId="77777777" w:rsidR="004A6214" w:rsidRDefault="004A6214" w:rsidP="00562BA2">
      <w:pPr>
        <w:ind w:firstLine="0"/>
        <w:jc w:val="center"/>
        <w:rPr>
          <w:rFonts w:cs="Times New Roman"/>
        </w:rPr>
      </w:pPr>
    </w:p>
    <w:p w14:paraId="0E7AE197" w14:textId="77777777" w:rsidR="001A14AF" w:rsidRDefault="001A14AF" w:rsidP="00562BA2">
      <w:pPr>
        <w:ind w:firstLine="0"/>
        <w:jc w:val="center"/>
        <w:rPr>
          <w:rFonts w:cs="Times New Roman"/>
        </w:rPr>
      </w:pPr>
    </w:p>
    <w:p w14:paraId="2B15BA85" w14:textId="77777777" w:rsidR="001A14AF" w:rsidRDefault="001A14AF" w:rsidP="00562BA2">
      <w:pPr>
        <w:ind w:firstLine="0"/>
        <w:jc w:val="center"/>
        <w:rPr>
          <w:rFonts w:cs="Times New Roman"/>
        </w:rPr>
      </w:pPr>
    </w:p>
    <w:p w14:paraId="730A7BE1" w14:textId="77777777" w:rsidR="001A14AF" w:rsidRDefault="001A14AF" w:rsidP="00562BA2">
      <w:pPr>
        <w:ind w:firstLine="0"/>
        <w:jc w:val="center"/>
        <w:rPr>
          <w:rFonts w:cs="Times New Roman"/>
        </w:rPr>
      </w:pPr>
    </w:p>
    <w:p w14:paraId="3EC78406" w14:textId="77777777" w:rsidR="001A14AF" w:rsidRDefault="001A14AF" w:rsidP="00562BA2">
      <w:pPr>
        <w:ind w:firstLine="0"/>
        <w:jc w:val="center"/>
        <w:rPr>
          <w:rFonts w:cs="Times New Roman"/>
        </w:rPr>
      </w:pPr>
    </w:p>
    <w:p w14:paraId="0B428587" w14:textId="77777777" w:rsidR="001A14AF" w:rsidRDefault="001A14AF" w:rsidP="00562BA2">
      <w:pPr>
        <w:ind w:firstLine="0"/>
        <w:jc w:val="center"/>
        <w:rPr>
          <w:rFonts w:cs="Times New Roman"/>
        </w:rPr>
      </w:pPr>
    </w:p>
    <w:p w14:paraId="099CCE8F" w14:textId="77777777" w:rsidR="001A14AF" w:rsidRPr="00BB6824" w:rsidRDefault="001A14AF" w:rsidP="00562BA2">
      <w:pPr>
        <w:ind w:firstLine="0"/>
        <w:jc w:val="center"/>
        <w:rPr>
          <w:rFonts w:cs="Times New Roman"/>
        </w:rPr>
      </w:pPr>
    </w:p>
    <w:p w14:paraId="014AC92A" w14:textId="1D57FC35" w:rsidR="00236E6D" w:rsidRPr="00BB6824" w:rsidRDefault="00212387" w:rsidP="00562BA2">
      <w:pPr>
        <w:ind w:firstLine="0"/>
        <w:jc w:val="center"/>
        <w:rPr>
          <w:rFonts w:cs="Times New Roman"/>
        </w:rPr>
      </w:pPr>
      <w:r w:rsidRPr="00BB6824">
        <w:rPr>
          <w:rFonts w:cs="Times New Roman"/>
        </w:rPr>
        <w:t>Jacob M</w:t>
      </w:r>
      <w:r w:rsidR="00954AAF">
        <w:rPr>
          <w:rFonts w:cs="Times New Roman"/>
        </w:rPr>
        <w:t>ichael</w:t>
      </w:r>
      <w:r w:rsidRPr="00BB6824">
        <w:rPr>
          <w:rFonts w:cs="Times New Roman"/>
        </w:rPr>
        <w:t xml:space="preserve"> C</w:t>
      </w:r>
      <w:r w:rsidR="00954AAF">
        <w:rPr>
          <w:rFonts w:cs="Times New Roman"/>
        </w:rPr>
        <w:t>hristian</w:t>
      </w:r>
      <w:r w:rsidRPr="00BB6824">
        <w:rPr>
          <w:rFonts w:cs="Times New Roman"/>
        </w:rPr>
        <w:t xml:space="preserve"> Shaffer</w:t>
      </w:r>
    </w:p>
    <w:p w14:paraId="73D17EE6" w14:textId="19CCA737" w:rsidR="00562BA2" w:rsidRDefault="00212387" w:rsidP="001A14AF">
      <w:pPr>
        <w:ind w:firstLine="0"/>
        <w:jc w:val="center"/>
        <w:rPr>
          <w:rFonts w:cs="Times New Roman"/>
        </w:rPr>
        <w:sectPr w:rsidR="00562BA2" w:rsidSect="007122C3">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docGrid w:linePitch="360"/>
        </w:sectPr>
      </w:pPr>
      <w:r w:rsidRPr="00BB6824">
        <w:rPr>
          <w:rFonts w:cs="Times New Roman"/>
        </w:rPr>
        <w:t>May</w:t>
      </w:r>
      <w:r w:rsidR="009C755C" w:rsidRPr="00BB6824">
        <w:rPr>
          <w:rFonts w:cs="Times New Roman"/>
        </w:rPr>
        <w:t xml:space="preserve"> </w:t>
      </w:r>
      <w:r w:rsidR="00206090" w:rsidRPr="00BB6824">
        <w:rPr>
          <w:rFonts w:cs="Times New Roman"/>
        </w:rPr>
        <w:t>202</w:t>
      </w:r>
      <w:r w:rsidRPr="00BB6824">
        <w:rPr>
          <w:rFonts w:cs="Times New Roman"/>
        </w:rPr>
        <w:t>5</w:t>
      </w:r>
    </w:p>
    <w:p w14:paraId="7C527EAD" w14:textId="5136B35F" w:rsidR="00236E6D" w:rsidRPr="00BB6824" w:rsidRDefault="003D07F7" w:rsidP="00562BA2">
      <w:pPr>
        <w:ind w:firstLine="0"/>
        <w:jc w:val="center"/>
        <w:rPr>
          <w:rFonts w:cs="Times New Roman"/>
        </w:rPr>
      </w:pPr>
      <w:r w:rsidRPr="00BB6824">
        <w:rPr>
          <w:rFonts w:cs="Times New Roman"/>
        </w:rPr>
        <w:lastRenderedPageBreak/>
        <w:t>Copyright © 20</w:t>
      </w:r>
      <w:r w:rsidR="00206090" w:rsidRPr="00BB6824">
        <w:rPr>
          <w:rFonts w:cs="Times New Roman"/>
        </w:rPr>
        <w:t>2</w:t>
      </w:r>
      <w:r w:rsidR="00212387" w:rsidRPr="00BB6824">
        <w:rPr>
          <w:rFonts w:cs="Times New Roman"/>
        </w:rPr>
        <w:t>5</w:t>
      </w:r>
      <w:r w:rsidR="00236E6D" w:rsidRPr="00BB6824">
        <w:rPr>
          <w:rFonts w:cs="Times New Roman"/>
        </w:rPr>
        <w:t xml:space="preserve"> by </w:t>
      </w:r>
      <w:r w:rsidR="00173751" w:rsidRPr="00BB6824">
        <w:rPr>
          <w:rFonts w:cs="Times New Roman"/>
        </w:rPr>
        <w:t>Ja</w:t>
      </w:r>
      <w:r w:rsidR="00212387" w:rsidRPr="00BB6824">
        <w:rPr>
          <w:rFonts w:cs="Times New Roman"/>
        </w:rPr>
        <w:t>cob M. C. Shaffer</w:t>
      </w:r>
    </w:p>
    <w:p w14:paraId="03D2ABDC" w14:textId="77777777" w:rsidR="00236E6D" w:rsidRPr="00BB6824" w:rsidRDefault="00236E6D" w:rsidP="00562BA2">
      <w:pPr>
        <w:ind w:firstLine="0"/>
        <w:jc w:val="center"/>
        <w:rPr>
          <w:rFonts w:cs="Times New Roman"/>
        </w:rPr>
      </w:pPr>
      <w:r w:rsidRPr="00BB6824">
        <w:rPr>
          <w:rFonts w:cs="Times New Roman"/>
        </w:rPr>
        <w:t>All rights reserved.</w:t>
      </w:r>
    </w:p>
    <w:p w14:paraId="4417D7E3" w14:textId="77777777" w:rsidR="00236E6D" w:rsidRPr="00BB6824" w:rsidRDefault="00236E6D" w:rsidP="00562BA2">
      <w:pPr>
        <w:jc w:val="center"/>
        <w:rPr>
          <w:rFonts w:cs="Times New Roman"/>
        </w:rPr>
      </w:pPr>
    </w:p>
    <w:p w14:paraId="61C1E572" w14:textId="77777777" w:rsidR="00236E6D" w:rsidRPr="00BB6824" w:rsidRDefault="00236E6D" w:rsidP="00562BA2">
      <w:pPr>
        <w:jc w:val="center"/>
        <w:rPr>
          <w:rFonts w:cs="Times New Roman"/>
        </w:rPr>
      </w:pPr>
    </w:p>
    <w:p w14:paraId="668C3947" w14:textId="77777777" w:rsidR="00236E6D" w:rsidRPr="00BB6824" w:rsidRDefault="00236E6D" w:rsidP="00562BA2">
      <w:pPr>
        <w:jc w:val="center"/>
        <w:rPr>
          <w:rFonts w:cs="Times New Roman"/>
        </w:rPr>
      </w:pPr>
    </w:p>
    <w:p w14:paraId="2C7E4418" w14:textId="77777777" w:rsidR="00236E6D" w:rsidRPr="00BB6824" w:rsidRDefault="00236E6D" w:rsidP="00562BA2">
      <w:pPr>
        <w:jc w:val="center"/>
        <w:rPr>
          <w:rFonts w:cs="Times New Roman"/>
        </w:rPr>
      </w:pPr>
    </w:p>
    <w:p w14:paraId="03070465" w14:textId="77777777" w:rsidR="00236E6D" w:rsidRPr="00BB6824" w:rsidRDefault="00236E6D" w:rsidP="00562BA2">
      <w:pPr>
        <w:jc w:val="center"/>
        <w:rPr>
          <w:rFonts w:cs="Times New Roman"/>
        </w:rPr>
      </w:pPr>
    </w:p>
    <w:p w14:paraId="3F404898" w14:textId="77777777" w:rsidR="00236E6D" w:rsidRPr="00BB6824" w:rsidRDefault="00236E6D" w:rsidP="00562BA2">
      <w:pPr>
        <w:jc w:val="center"/>
        <w:rPr>
          <w:rFonts w:cs="Times New Roman"/>
        </w:rPr>
      </w:pPr>
    </w:p>
    <w:p w14:paraId="202DC803" w14:textId="77777777" w:rsidR="00236E6D" w:rsidRPr="00BB6824" w:rsidRDefault="00236E6D" w:rsidP="00562BA2">
      <w:pPr>
        <w:jc w:val="center"/>
        <w:rPr>
          <w:rFonts w:cs="Times New Roman"/>
        </w:rPr>
      </w:pPr>
    </w:p>
    <w:p w14:paraId="175EEEF0" w14:textId="77777777" w:rsidR="00236E6D" w:rsidRPr="00BB6824" w:rsidRDefault="00236E6D" w:rsidP="00562BA2">
      <w:pPr>
        <w:jc w:val="center"/>
        <w:rPr>
          <w:rFonts w:cs="Times New Roman"/>
        </w:rPr>
      </w:pPr>
    </w:p>
    <w:p w14:paraId="30012A7B" w14:textId="77777777" w:rsidR="00236E6D" w:rsidRPr="00BB6824" w:rsidRDefault="00236E6D" w:rsidP="00562BA2">
      <w:pPr>
        <w:jc w:val="center"/>
        <w:rPr>
          <w:rFonts w:cs="Times New Roman"/>
        </w:rPr>
      </w:pPr>
    </w:p>
    <w:p w14:paraId="37C77A7D" w14:textId="77777777" w:rsidR="00236E6D" w:rsidRPr="00BB6824" w:rsidRDefault="00236E6D" w:rsidP="00562BA2">
      <w:pPr>
        <w:jc w:val="center"/>
        <w:rPr>
          <w:rFonts w:cs="Times New Roman"/>
        </w:rPr>
      </w:pPr>
    </w:p>
    <w:p w14:paraId="7AB2E406" w14:textId="77777777" w:rsidR="00236E6D" w:rsidRPr="00BB6824" w:rsidRDefault="00236E6D" w:rsidP="00562BA2">
      <w:pPr>
        <w:jc w:val="center"/>
        <w:rPr>
          <w:rFonts w:cs="Times New Roman"/>
        </w:rPr>
      </w:pPr>
    </w:p>
    <w:p w14:paraId="3BE2B97C" w14:textId="77777777" w:rsidR="00236E6D" w:rsidRPr="00BB6824" w:rsidRDefault="00236E6D" w:rsidP="00562BA2">
      <w:pPr>
        <w:jc w:val="center"/>
        <w:rPr>
          <w:rFonts w:cs="Times New Roman"/>
        </w:rPr>
      </w:pPr>
    </w:p>
    <w:p w14:paraId="03F294E7" w14:textId="77777777" w:rsidR="00236E6D" w:rsidRPr="00BB6824" w:rsidRDefault="00236E6D" w:rsidP="00562BA2">
      <w:pPr>
        <w:jc w:val="center"/>
        <w:rPr>
          <w:rFonts w:cs="Times New Roman"/>
        </w:rPr>
      </w:pPr>
    </w:p>
    <w:p w14:paraId="0C472701" w14:textId="77777777" w:rsidR="00236E6D" w:rsidRPr="00BB6824" w:rsidRDefault="00236E6D" w:rsidP="00562BA2">
      <w:pPr>
        <w:jc w:val="center"/>
        <w:rPr>
          <w:rFonts w:cs="Times New Roman"/>
        </w:rPr>
      </w:pPr>
    </w:p>
    <w:p w14:paraId="20B016F9" w14:textId="77777777" w:rsidR="009D2AA9" w:rsidRPr="00BB6824" w:rsidRDefault="009D2AA9" w:rsidP="00562BA2">
      <w:pPr>
        <w:rPr>
          <w:rFonts w:cs="Times New Roman"/>
        </w:rPr>
      </w:pPr>
    </w:p>
    <w:p w14:paraId="1E6E1E7C" w14:textId="77777777" w:rsidR="009D2AA9" w:rsidRPr="00BB6824" w:rsidRDefault="009D2AA9" w:rsidP="00562BA2">
      <w:pPr>
        <w:rPr>
          <w:rFonts w:cs="Times New Roman"/>
        </w:rPr>
      </w:pPr>
    </w:p>
    <w:p w14:paraId="01942E3A" w14:textId="77777777" w:rsidR="009D2AA9" w:rsidRPr="00BB6824" w:rsidRDefault="009D2AA9" w:rsidP="00562BA2">
      <w:pPr>
        <w:rPr>
          <w:rFonts w:cs="Times New Roman"/>
        </w:rPr>
      </w:pPr>
    </w:p>
    <w:p w14:paraId="2CBE1CDF" w14:textId="77777777" w:rsidR="009D2AA9" w:rsidRPr="00BB6824" w:rsidRDefault="009D2AA9" w:rsidP="00562BA2">
      <w:pPr>
        <w:rPr>
          <w:rFonts w:cs="Times New Roman"/>
        </w:rPr>
      </w:pPr>
    </w:p>
    <w:p w14:paraId="68C32BDF" w14:textId="77777777" w:rsidR="00D916FA" w:rsidRDefault="00D916FA" w:rsidP="00562BA2">
      <w:pPr>
        <w:ind w:firstLine="0"/>
        <w:rPr>
          <w:rFonts w:cs="Times New Roman"/>
          <w:b/>
        </w:rPr>
      </w:pPr>
      <w:r>
        <w:rPr>
          <w:rFonts w:cs="Times New Roman"/>
          <w:b/>
        </w:rPr>
        <w:br w:type="page"/>
      </w:r>
    </w:p>
    <w:p w14:paraId="1B225704" w14:textId="1F1B77D3" w:rsidR="00236184" w:rsidRDefault="007122C3" w:rsidP="00562BA2">
      <w:pPr>
        <w:pStyle w:val="Heading2"/>
      </w:pPr>
      <w:bookmarkStart w:id="1" w:name="_Toc193614965"/>
      <w:bookmarkStart w:id="2" w:name="_Toc193641020"/>
      <w:bookmarkStart w:id="3" w:name="_Toc193641107"/>
      <w:bookmarkStart w:id="4" w:name="_Toc193641306"/>
      <w:bookmarkStart w:id="5" w:name="_Toc193668344"/>
      <w:bookmarkStart w:id="6" w:name="_Toc193694966"/>
      <w:bookmarkStart w:id="7" w:name="_Toc193697369"/>
      <w:bookmarkStart w:id="8" w:name="_Toc196202530"/>
      <w:bookmarkStart w:id="9" w:name="_Toc196203030"/>
      <w:bookmarkStart w:id="10" w:name="_Toc196256688"/>
      <w:bookmarkStart w:id="11" w:name="_Toc196256850"/>
      <w:bookmarkStart w:id="12" w:name="_Toc190158954"/>
      <w:bookmarkStart w:id="13" w:name="_Toc190263928"/>
      <w:bookmarkStart w:id="14" w:name="_Toc190263982"/>
      <w:bookmarkStart w:id="15" w:name="_Toc190328164"/>
      <w:bookmarkStart w:id="16" w:name="_Toc190671259"/>
      <w:bookmarkStart w:id="17" w:name="_Toc190671537"/>
      <w:r>
        <w:lastRenderedPageBreak/>
        <w:t>DEDICATION</w:t>
      </w:r>
      <w:bookmarkEnd w:id="1"/>
      <w:bookmarkEnd w:id="2"/>
      <w:bookmarkEnd w:id="3"/>
      <w:bookmarkEnd w:id="4"/>
      <w:bookmarkEnd w:id="5"/>
      <w:bookmarkEnd w:id="6"/>
      <w:bookmarkEnd w:id="7"/>
      <w:bookmarkEnd w:id="8"/>
      <w:bookmarkEnd w:id="9"/>
      <w:bookmarkEnd w:id="10"/>
      <w:bookmarkEnd w:id="11"/>
    </w:p>
    <w:p w14:paraId="3903CF03" w14:textId="002BB7F3" w:rsidR="002013D3" w:rsidRDefault="002013D3" w:rsidP="00562BA2">
      <w:pPr>
        <w:ind w:firstLine="0"/>
        <w:jc w:val="center"/>
      </w:pPr>
      <w:r>
        <w:t xml:space="preserve">To my father, for inspiring my love of science, </w:t>
      </w:r>
    </w:p>
    <w:p w14:paraId="702E7804" w14:textId="16A26905" w:rsidR="00F55DC1" w:rsidRDefault="002013D3" w:rsidP="00562BA2">
      <w:pPr>
        <w:ind w:firstLine="0"/>
        <w:jc w:val="center"/>
      </w:pPr>
      <w:r>
        <w:t>and to my mother, for being my biggest cheerleader and my best friend.</w:t>
      </w:r>
      <w:r w:rsidR="00F55DC1">
        <w:br w:type="page"/>
      </w:r>
    </w:p>
    <w:p w14:paraId="6B218EA9" w14:textId="6F6E292C" w:rsidR="00CD73A9" w:rsidRPr="00BB6824" w:rsidRDefault="00CD73A9" w:rsidP="00562BA2">
      <w:pPr>
        <w:pStyle w:val="Heading2"/>
      </w:pPr>
      <w:bookmarkStart w:id="18" w:name="_Toc193614966"/>
      <w:bookmarkStart w:id="19" w:name="_Toc193641021"/>
      <w:bookmarkStart w:id="20" w:name="_Toc193641108"/>
      <w:bookmarkStart w:id="21" w:name="_Toc193641307"/>
      <w:bookmarkStart w:id="22" w:name="_Toc193668345"/>
      <w:bookmarkStart w:id="23" w:name="_Toc193694967"/>
      <w:bookmarkStart w:id="24" w:name="_Toc193697370"/>
      <w:bookmarkStart w:id="25" w:name="_Toc196202531"/>
      <w:bookmarkStart w:id="26" w:name="_Toc196203031"/>
      <w:bookmarkStart w:id="27" w:name="_Toc196256689"/>
      <w:bookmarkStart w:id="28" w:name="_Toc196256851"/>
      <w:r w:rsidRPr="00BB6824">
        <w:lastRenderedPageBreak/>
        <w:t>ACKNOWLEDGEMENTS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71AFE25F" w14:textId="2AB05CE8" w:rsidR="00D85D66" w:rsidRDefault="00D85D66" w:rsidP="00562BA2">
      <w:r>
        <w:t xml:space="preserve"> It takes a village to </w:t>
      </w:r>
      <w:r w:rsidR="00236184">
        <w:t>raise a PhD</w:t>
      </w:r>
      <w:r>
        <w:t>, and to adequately thank everyone who deserves it would fill an entire dissertation</w:t>
      </w:r>
      <w:r w:rsidR="00236184">
        <w:t xml:space="preserve"> of its own</w:t>
      </w:r>
      <w:r>
        <w:t xml:space="preserve">. </w:t>
      </w:r>
    </w:p>
    <w:p w14:paraId="6A5C89B3" w14:textId="08C4EA80" w:rsidR="007D6D04" w:rsidRDefault="00D85D66" w:rsidP="00562BA2">
      <w:r>
        <w:t xml:space="preserve">First and foremost, I am eternally grateful to </w:t>
      </w:r>
      <w:r w:rsidR="007D6D04">
        <w:t xml:space="preserve">Dr </w:t>
      </w:r>
      <w:r>
        <w:t>Jill Mikucki for taking me into her lab and giving me the freedom to follow my passions. She has supported me through six years of personal and professional growth, freezer dives, power outages, destroyed sample shipments</w:t>
      </w:r>
      <w:r w:rsidR="007C1751">
        <w:t xml:space="preserve">, and long nights of sample processing. Through it all, she has believed in me and pushed me and inspired in me a deep love of Antarctic microbiology that </w:t>
      </w:r>
      <w:r w:rsidR="007D6D04">
        <w:t>borders</w:t>
      </w:r>
      <w:r w:rsidR="007C1751">
        <w:t xml:space="preserve"> on obsession. </w:t>
      </w:r>
      <w:r>
        <w:t xml:space="preserve">I could not have asked for a more dedicated, compassionate, intentional, </w:t>
      </w:r>
      <w:r w:rsidR="007C1751">
        <w:t xml:space="preserve">encouraging, </w:t>
      </w:r>
      <w:r>
        <w:t>resourceful, generous, or witty mentor for my PhD, and I am looking forward to many years of collaboration as I move into the next phase of my career.</w:t>
      </w:r>
    </w:p>
    <w:p w14:paraId="016ACFAD" w14:textId="7C69ABBD" w:rsidR="00E567D0" w:rsidRDefault="007D6D04" w:rsidP="00562BA2">
      <w:r>
        <w:t>I have been mentored by so many amazing scientists throughout my journey. I am grateful to my committee, Drs Buchan, Fozo, Schaeffer, and formerly Lebeis, for your thoughtful feedback and thorough interrogation of my ideas. Every conversation has steered me to become a more well-rounded researcher and considerably strengthened my work. I have had the pleasure of working with so many incredible collaborators and coauthors, all of whom have been instrumental in the building of this body of work. In particular, I have to thank my collaborators at Smith College. Dr Lesley-Ann Giddings has been a second PI to me since my first semester of grad school</w:t>
      </w:r>
      <w:r w:rsidR="00373157">
        <w:t xml:space="preserve">. Her brilliance has shaped every one of my projects and her invaluable insights opened my eyes to the incredible world of bacterial natural products. She opened her lab to me and entrusted me with mentoring her undergraduate students at Smith, and has provided hours of both scientific and career advice. I hope someday to be half the teacher-scholar that she is. Dr. Robert Samples taught me to respect and distrust the beast that is the mass spectrometer, </w:t>
      </w:r>
      <w:r w:rsidR="00E567D0">
        <w:t>and his patience in answering my many, many naïve metabolite questions has been so appreciated.</w:t>
      </w:r>
    </w:p>
    <w:p w14:paraId="610EEE6A" w14:textId="45E4EB01" w:rsidR="00E567D0" w:rsidRDefault="00E567D0" w:rsidP="00562BA2">
      <w:r>
        <w:t xml:space="preserve">My lab has been a second family to me here in Knoxville, and I am so grateful for hours and hours of selfless assistance and complete silliness. Specifically, I want to thank </w:t>
      </w:r>
      <w:r>
        <w:lastRenderedPageBreak/>
        <w:t xml:space="preserve">Dr Caleb Schuler, Abigail Jarratt, Kristen Holbrook, Jared Clance, Will Wallentine, Olivia Vinnes, and Ashley Hanna for helping me through the last six years both in and out of the lab. </w:t>
      </w:r>
      <w:r w:rsidR="006F7CED">
        <w:t>I could not have done this without my</w:t>
      </w:r>
      <w:r>
        <w:t xml:space="preserve"> friends in the micro department, especially Drs Gwen Stark and Liz Denison</w:t>
      </w:r>
      <w:r w:rsidR="006F7CED">
        <w:t>, for helping me celebrate the good days and find perspective on the worst days. I am forever indebted to both my in state and out of state friends, particularly Dr Malia Schram, Sofia Gotch, and Lindley Hunt, for keeping me sane and giving me an outlet during even the most stressful times. I am so thankful for their love, support, and willingness to find time for our adventures together.</w:t>
      </w:r>
    </w:p>
    <w:p w14:paraId="65F34161" w14:textId="37393830" w:rsidR="006F7CED" w:rsidRDefault="006F7CED" w:rsidP="00562BA2">
      <w:r>
        <w:t xml:space="preserve">Finally, my family deserves a more eloquent thank you than I know how to write. </w:t>
      </w:r>
      <w:r w:rsidR="005F3360">
        <w:t xml:space="preserve">My dad started me on my science journey when I could barely talk and showed me how to find beauty in the world around us. I am so thankful he was able to see me start my PhD, and I know that he would be so proud of me for finishing it. My mom has been there for me through thick and thin and has been an endless source of love and support, even though we live three time zones apart. I absolutely would not have made it this far without her. </w:t>
      </w:r>
    </w:p>
    <w:p w14:paraId="5FB22BB3" w14:textId="77777777" w:rsidR="00E567D0" w:rsidRDefault="00E567D0" w:rsidP="00562BA2">
      <w:pPr>
        <w:ind w:firstLine="0"/>
      </w:pPr>
      <w:r>
        <w:br w:type="page"/>
      </w:r>
    </w:p>
    <w:p w14:paraId="16B7EE3A" w14:textId="2DE9E1A3" w:rsidR="00236E6D" w:rsidRPr="00BB6824" w:rsidRDefault="00236E6D" w:rsidP="00562BA2">
      <w:pPr>
        <w:pStyle w:val="Heading2"/>
      </w:pPr>
      <w:bookmarkStart w:id="29" w:name="_Toc190158955"/>
      <w:bookmarkStart w:id="30" w:name="_Toc190263929"/>
      <w:bookmarkStart w:id="31" w:name="_Toc190263983"/>
      <w:bookmarkStart w:id="32" w:name="_Toc190328165"/>
      <w:bookmarkStart w:id="33" w:name="_Toc190671260"/>
      <w:bookmarkStart w:id="34" w:name="_Toc190671538"/>
      <w:bookmarkStart w:id="35" w:name="_Toc193614967"/>
      <w:bookmarkStart w:id="36" w:name="_Toc193641022"/>
      <w:bookmarkStart w:id="37" w:name="_Toc193641109"/>
      <w:bookmarkStart w:id="38" w:name="_Toc193641308"/>
      <w:bookmarkStart w:id="39" w:name="_Toc193668346"/>
      <w:bookmarkStart w:id="40" w:name="_Toc193694968"/>
      <w:bookmarkStart w:id="41" w:name="_Toc193697371"/>
      <w:bookmarkStart w:id="42" w:name="_Toc196202532"/>
      <w:bookmarkStart w:id="43" w:name="_Toc196203032"/>
      <w:bookmarkStart w:id="44" w:name="_Toc196256690"/>
      <w:bookmarkStart w:id="45" w:name="_Toc196256852"/>
      <w:r w:rsidRPr="00BB6824">
        <w:lastRenderedPageBreak/>
        <w:t>ABSTRACT</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0E23074E" w14:textId="025F775B" w:rsidR="00163DBE" w:rsidRPr="00783DAB" w:rsidRDefault="00163DBE" w:rsidP="00163DBE">
      <w:bookmarkStart w:id="46" w:name="_Hlk195261305"/>
      <w:r>
        <w:t xml:space="preserve">Cryosphere microorganisms can provide fundamental insights into individual and community response to a changing climate, and how we may detect past or present life on other planets. The polar desert of the McMurdo Dry Valleys (MDV), the largest ice-free region in Antarctica, supports microbially-dominated ecosystems that experience extremes of temperature, salinity, nutrient availability, and solar radiation. A changing Antarctic climate leads to alteration of these natural gradients, thus, studying how organisms respond to changing stressors can inform predictions of future impacts to ecosystems. </w:t>
      </w:r>
      <w:r w:rsidRPr="00B368DA">
        <w:t xml:space="preserve">This dissertation elucidates how MDV microorganisms </w:t>
      </w:r>
      <w:r>
        <w:t>interact with their</w:t>
      </w:r>
      <w:r w:rsidRPr="00B368DA">
        <w:t xml:space="preserve"> environment through culture-based and multi-omics techniques performed on both environmental materials and bacterial isolates.</w:t>
      </w:r>
      <w:r>
        <w:t xml:space="preserve"> We describe the ecophysiology of a red pigmented strain of </w:t>
      </w:r>
      <w:r>
        <w:rPr>
          <w:i/>
          <w:iCs/>
        </w:rPr>
        <w:t xml:space="preserve">Massilia frigida </w:t>
      </w:r>
      <w:r>
        <w:t xml:space="preserve">(strain DJPM01) isolated from a microbial mat. Through genomic analyses, adaptations to cold and saline environments, and biosynthesis genes for the pigment prodigiosin were identified. The synthesis of prodigiosin was confirmed using mass spectrometry, and breakdown of this pigment was observed when DJPM01 cultures were incubated under ultraviolet light, a relevant stressor for polar bacteria. To investigate the impact of salinity on whole communities and individual species, we leveraged samples from a natural salinity gradient in MDV soils that forms from permafrost melt. Environmental soil DNA was sequenced to examine differences in community structure and potential correlations with salinity. We then identified changes in transcription and metabolite production in a potentially novel </w:t>
      </w:r>
      <w:r>
        <w:rPr>
          <w:i/>
          <w:iCs/>
        </w:rPr>
        <w:t xml:space="preserve">Gillisia </w:t>
      </w:r>
      <w:r>
        <w:t xml:space="preserve">sp., isolated from this soil gradient, under elevated salt concentrations. A </w:t>
      </w:r>
      <w:r>
        <w:rPr>
          <w:i/>
          <w:iCs/>
        </w:rPr>
        <w:t xml:space="preserve">Shewanella </w:t>
      </w:r>
      <w:r>
        <w:t xml:space="preserve">sp. BF02_Schw, isolated from a Mars analog feature known as Blood Falls, was used to describe biosignatures produced during iron reduction, a plausible metabolic strategy for life on early Earth and Mars. Employing instrumentation relevant to both </w:t>
      </w:r>
      <w:r>
        <w:rPr>
          <w:i/>
          <w:iCs/>
        </w:rPr>
        <w:t xml:space="preserve">in situ </w:t>
      </w:r>
      <w:r>
        <w:t xml:space="preserve">and sample return Mars missions, we identified mineral and molecular biosignatures produced under high iron concentration and confirmed the biogenicity of these signatures via transcriptomics. Collectively, this dissertation describes specific ways that MDV microorganisms interact with their environment that provide insight into the impact of </w:t>
      </w:r>
      <w:r>
        <w:lastRenderedPageBreak/>
        <w:t>climatic change on Antarctic communities and inform strategies for the detection of life</w:t>
      </w:r>
      <w:bookmarkEnd w:id="46"/>
      <w:r>
        <w:t xml:space="preserve"> on other planets.</w:t>
      </w:r>
    </w:p>
    <w:p w14:paraId="45C2912C" w14:textId="71FCE67C" w:rsidR="00D85D66" w:rsidRPr="00783DAB" w:rsidRDefault="00D85D66" w:rsidP="00562BA2"/>
    <w:p w14:paraId="4B1CAFBF" w14:textId="3E866AF8" w:rsidR="003F7FED" w:rsidRPr="00BB6824" w:rsidRDefault="009C755C" w:rsidP="00562BA2">
      <w:pPr>
        <w:ind w:firstLine="0"/>
        <w:rPr>
          <w:rFonts w:cs="Times New Roman"/>
          <w:b/>
          <w:bCs/>
        </w:rPr>
      </w:pPr>
      <w:r w:rsidRPr="00BB6824">
        <w:rPr>
          <w:rFonts w:cs="Times New Roman"/>
          <w:b/>
          <w:bCs/>
        </w:rPr>
        <w:br w:type="page"/>
      </w:r>
    </w:p>
    <w:bookmarkStart w:id="47" w:name="_Toc196256853" w:displacedByCustomXml="next"/>
    <w:bookmarkStart w:id="48" w:name="_Toc196256691" w:displacedByCustomXml="next"/>
    <w:bookmarkStart w:id="49" w:name="_Toc193694969" w:displacedByCustomXml="next"/>
    <w:bookmarkStart w:id="50" w:name="_Toc193641309" w:displacedByCustomXml="next"/>
    <w:bookmarkStart w:id="51" w:name="_Toc193641110" w:displacedByCustomXml="next"/>
    <w:bookmarkStart w:id="52" w:name="_Toc193641023" w:displacedByCustomXml="next"/>
    <w:bookmarkStart w:id="53" w:name="_Toc193614968" w:displacedByCustomXml="next"/>
    <w:bookmarkStart w:id="54" w:name="_Toc193668347" w:displacedByCustomXml="next"/>
    <w:bookmarkStart w:id="55" w:name="_Toc193697372" w:displacedByCustomXml="next"/>
    <w:bookmarkStart w:id="56" w:name="_Toc196202533" w:displacedByCustomXml="next"/>
    <w:bookmarkStart w:id="57" w:name="_Toc196203033" w:displacedByCustomXml="next"/>
    <w:sdt>
      <w:sdtPr>
        <w:rPr>
          <w:rFonts w:cs="Times New Roman"/>
          <w:b w:val="0"/>
          <w:bCs w:val="0"/>
          <w:iCs w:val="0"/>
          <w:caps/>
          <w:szCs w:val="24"/>
        </w:rPr>
        <w:id w:val="607165129"/>
        <w:docPartObj>
          <w:docPartGallery w:val="Table of Contents"/>
          <w:docPartUnique/>
        </w:docPartObj>
      </w:sdtPr>
      <w:sdtEndPr>
        <w:rPr>
          <w:caps w:val="0"/>
          <w:noProof/>
        </w:rPr>
      </w:sdtEndPr>
      <w:sdtContent>
        <w:p w14:paraId="70C74DAA" w14:textId="77777777" w:rsidR="00DA61D8" w:rsidRPr="00DA61D8" w:rsidRDefault="00605623" w:rsidP="00DA61D8">
          <w:pPr>
            <w:pStyle w:val="Heading2"/>
            <w:spacing w:before="0" w:after="0"/>
            <w:rPr>
              <w:rFonts w:cs="Times New Roman"/>
              <w:noProof/>
              <w:szCs w:val="24"/>
            </w:rPr>
          </w:pPr>
          <w:r w:rsidRPr="00DA61D8">
            <w:rPr>
              <w:rStyle w:val="Heading1Char"/>
              <w:b/>
              <w:bCs/>
              <w:caps w:val="0"/>
              <w:szCs w:val="24"/>
            </w:rPr>
            <w:t xml:space="preserve">TABLE OF </w:t>
          </w:r>
          <w:r w:rsidRPr="00DA61D8">
            <w:rPr>
              <w:rStyle w:val="Heading1Char"/>
              <w:b/>
              <w:bCs/>
              <w:caps w:val="0"/>
              <w:color w:val="auto"/>
              <w:szCs w:val="24"/>
            </w:rPr>
            <w:t>CONTENTS</w:t>
          </w:r>
          <w:bookmarkEnd w:id="57"/>
          <w:bookmarkEnd w:id="56"/>
          <w:bookmarkEnd w:id="55"/>
          <w:bookmarkEnd w:id="54"/>
          <w:bookmarkEnd w:id="53"/>
          <w:bookmarkEnd w:id="52"/>
          <w:bookmarkEnd w:id="51"/>
          <w:bookmarkEnd w:id="50"/>
          <w:bookmarkEnd w:id="49"/>
          <w:bookmarkEnd w:id="48"/>
          <w:bookmarkEnd w:id="47"/>
          <w:r w:rsidR="00E91931" w:rsidRPr="00DA61D8">
            <w:rPr>
              <w:rFonts w:cs="Times New Roman"/>
              <w:caps/>
              <w:szCs w:val="24"/>
            </w:rPr>
            <w:fldChar w:fldCharType="begin"/>
          </w:r>
          <w:r w:rsidR="00E91931" w:rsidRPr="00DA61D8">
            <w:rPr>
              <w:rFonts w:cs="Times New Roman"/>
              <w:szCs w:val="24"/>
            </w:rPr>
            <w:instrText xml:space="preserve"> TOC \o "1-3" \h \z \u </w:instrText>
          </w:r>
          <w:r w:rsidR="00E91931" w:rsidRPr="00DA61D8">
            <w:rPr>
              <w:rFonts w:cs="Times New Roman"/>
              <w:caps/>
              <w:szCs w:val="24"/>
            </w:rPr>
            <w:fldChar w:fldCharType="separate"/>
          </w:r>
        </w:p>
        <w:p w14:paraId="4E0EE831" w14:textId="30EECB2C" w:rsidR="00DA61D8" w:rsidRPr="00DA61D8" w:rsidRDefault="00DA61D8" w:rsidP="00DA61D8">
          <w:pPr>
            <w:pStyle w:val="TOC1"/>
            <w:rPr>
              <w:rFonts w:eastAsiaTheme="minorEastAsia"/>
              <w:kern w:val="2"/>
              <w14:ligatures w14:val="standardContextual"/>
            </w:rPr>
          </w:pPr>
          <w:hyperlink w:anchor="_Toc196256856" w:history="1">
            <w:r w:rsidRPr="00DA61D8">
              <w:rPr>
                <w:rStyle w:val="Hyperlink"/>
                <w:rFonts w:ascii="Times New Roman" w:hAnsi="Times New Roman"/>
              </w:rPr>
              <w:t>CHAPTER ONE: INTRODUCTION</w:t>
            </w:r>
            <w:r w:rsidRPr="00DA61D8">
              <w:rPr>
                <w:webHidden/>
              </w:rPr>
              <w:tab/>
            </w:r>
            <w:r w:rsidRPr="00DA61D8">
              <w:rPr>
                <w:webHidden/>
              </w:rPr>
              <w:fldChar w:fldCharType="begin"/>
            </w:r>
            <w:r w:rsidRPr="00DA61D8">
              <w:rPr>
                <w:webHidden/>
              </w:rPr>
              <w:instrText xml:space="preserve"> PAGEREF _Toc196256856 \h </w:instrText>
            </w:r>
            <w:r w:rsidRPr="00DA61D8">
              <w:rPr>
                <w:webHidden/>
              </w:rPr>
            </w:r>
            <w:r w:rsidRPr="00DA61D8">
              <w:rPr>
                <w:webHidden/>
              </w:rPr>
              <w:fldChar w:fldCharType="separate"/>
            </w:r>
            <w:r w:rsidR="0025018F">
              <w:rPr>
                <w:webHidden/>
              </w:rPr>
              <w:t>1</w:t>
            </w:r>
            <w:r w:rsidRPr="00DA61D8">
              <w:rPr>
                <w:webHidden/>
              </w:rPr>
              <w:fldChar w:fldCharType="end"/>
            </w:r>
          </w:hyperlink>
        </w:p>
        <w:p w14:paraId="2CEE839B" w14:textId="2F5D3863" w:rsidR="00DA61D8" w:rsidRPr="00DA61D8" w:rsidRDefault="00DA61D8" w:rsidP="00DA61D8">
          <w:pPr>
            <w:pStyle w:val="TOC2"/>
            <w:rPr>
              <w:rFonts w:eastAsiaTheme="minorEastAsia" w:cs="Times New Roman"/>
              <w:noProof/>
              <w:kern w:val="2"/>
              <w14:ligatures w14:val="standardContextual"/>
            </w:rPr>
          </w:pPr>
          <w:hyperlink w:anchor="_Toc196256857" w:history="1">
            <w:r w:rsidRPr="00DA61D8">
              <w:rPr>
                <w:rStyle w:val="Hyperlink"/>
                <w:rFonts w:ascii="Times New Roman" w:hAnsi="Times New Roman" w:cs="Times New Roman"/>
                <w:noProof/>
              </w:rPr>
              <w:t>The cryosphere and microbial communities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_Toc196256857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2</w:t>
            </w:r>
            <w:r w:rsidRPr="00DA61D8">
              <w:rPr>
                <w:rFonts w:cs="Times New Roman"/>
                <w:noProof/>
                <w:webHidden/>
              </w:rPr>
              <w:fldChar w:fldCharType="end"/>
            </w:r>
          </w:hyperlink>
        </w:p>
        <w:p w14:paraId="553BA90C" w14:textId="5997CCED" w:rsidR="00DA61D8" w:rsidRPr="00DA61D8" w:rsidRDefault="00DA61D8" w:rsidP="00DA61D8">
          <w:pPr>
            <w:pStyle w:val="TOC2"/>
            <w:rPr>
              <w:rFonts w:eastAsiaTheme="minorEastAsia" w:cs="Times New Roman"/>
              <w:noProof/>
              <w:kern w:val="2"/>
              <w14:ligatures w14:val="standardContextual"/>
            </w:rPr>
          </w:pPr>
          <w:hyperlink w:anchor="_Toc196256858" w:history="1">
            <w:r w:rsidRPr="00DA61D8">
              <w:rPr>
                <w:rStyle w:val="Hyperlink"/>
                <w:rFonts w:ascii="Times New Roman" w:hAnsi="Times New Roman" w:cs="Times New Roman"/>
                <w:noProof/>
              </w:rPr>
              <w:t>The McMurdo Dry Valleys (MDV)</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_Toc196256858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2</w:t>
            </w:r>
            <w:r w:rsidRPr="00DA61D8">
              <w:rPr>
                <w:rFonts w:cs="Times New Roman"/>
                <w:noProof/>
                <w:webHidden/>
              </w:rPr>
              <w:fldChar w:fldCharType="end"/>
            </w:r>
          </w:hyperlink>
        </w:p>
        <w:p w14:paraId="6CD12618" w14:textId="0CC91C89" w:rsidR="00DA61D8" w:rsidRPr="00DA61D8" w:rsidRDefault="00DA61D8" w:rsidP="00DA61D8">
          <w:pPr>
            <w:pStyle w:val="TOC2"/>
            <w:rPr>
              <w:rFonts w:eastAsiaTheme="minorEastAsia" w:cs="Times New Roman"/>
              <w:noProof/>
              <w:kern w:val="2"/>
              <w14:ligatures w14:val="standardContextual"/>
            </w:rPr>
          </w:pPr>
          <w:hyperlink w:anchor="_Toc196256859" w:history="1">
            <w:r w:rsidRPr="00DA61D8">
              <w:rPr>
                <w:rStyle w:val="Hyperlink"/>
                <w:rFonts w:ascii="Times New Roman" w:hAnsi="Times New Roman" w:cs="Times New Roman"/>
                <w:noProof/>
              </w:rPr>
              <w:t>Microbial adaptations for survival in the MDV</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_Toc196256859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5</w:t>
            </w:r>
            <w:r w:rsidRPr="00DA61D8">
              <w:rPr>
                <w:rFonts w:cs="Times New Roman"/>
                <w:noProof/>
                <w:webHidden/>
              </w:rPr>
              <w:fldChar w:fldCharType="end"/>
            </w:r>
          </w:hyperlink>
        </w:p>
        <w:p w14:paraId="2EAF66C6" w14:textId="13C0A12E" w:rsidR="00DA61D8" w:rsidRPr="00DA61D8" w:rsidRDefault="00DA61D8" w:rsidP="00DA61D8">
          <w:pPr>
            <w:pStyle w:val="TOC2"/>
            <w:rPr>
              <w:rFonts w:eastAsiaTheme="minorEastAsia" w:cs="Times New Roman"/>
              <w:noProof/>
              <w:kern w:val="2"/>
              <w14:ligatures w14:val="standardContextual"/>
            </w:rPr>
          </w:pPr>
          <w:hyperlink w:anchor="_Toc196256860" w:history="1">
            <w:r w:rsidRPr="00DA61D8">
              <w:rPr>
                <w:rStyle w:val="Hyperlink"/>
                <w:rFonts w:ascii="Times New Roman" w:hAnsi="Times New Roman" w:cs="Times New Roman"/>
                <w:noProof/>
              </w:rPr>
              <w:t>Environmental change in the MDV</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_Toc196256860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w:t>
            </w:r>
            <w:r w:rsidRPr="00DA61D8">
              <w:rPr>
                <w:rFonts w:cs="Times New Roman"/>
                <w:noProof/>
                <w:webHidden/>
              </w:rPr>
              <w:fldChar w:fldCharType="end"/>
            </w:r>
          </w:hyperlink>
        </w:p>
        <w:p w14:paraId="1A067DBE" w14:textId="283485F7" w:rsidR="00DA61D8" w:rsidRPr="00DA61D8" w:rsidRDefault="00DA61D8" w:rsidP="00DA61D8">
          <w:pPr>
            <w:pStyle w:val="TOC2"/>
            <w:rPr>
              <w:rFonts w:eastAsiaTheme="minorEastAsia" w:cs="Times New Roman"/>
              <w:noProof/>
              <w:kern w:val="2"/>
              <w14:ligatures w14:val="standardContextual"/>
            </w:rPr>
          </w:pPr>
          <w:hyperlink w:anchor="_Toc196256861" w:history="1">
            <w:r w:rsidRPr="00DA61D8">
              <w:rPr>
                <w:rStyle w:val="Hyperlink"/>
                <w:rFonts w:ascii="Times New Roman" w:hAnsi="Times New Roman" w:cs="Times New Roman"/>
                <w:noProof/>
              </w:rPr>
              <w:t>Terrestrial extremes and the search for life</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_Toc196256861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9</w:t>
            </w:r>
            <w:r w:rsidRPr="00DA61D8">
              <w:rPr>
                <w:rFonts w:cs="Times New Roman"/>
                <w:noProof/>
                <w:webHidden/>
              </w:rPr>
              <w:fldChar w:fldCharType="end"/>
            </w:r>
          </w:hyperlink>
        </w:p>
        <w:p w14:paraId="0612A444" w14:textId="51E6848D" w:rsidR="00DA61D8" w:rsidRPr="00DA61D8" w:rsidRDefault="00DA61D8" w:rsidP="00DA61D8">
          <w:pPr>
            <w:pStyle w:val="TOC2"/>
            <w:rPr>
              <w:rFonts w:eastAsiaTheme="minorEastAsia" w:cs="Times New Roman"/>
              <w:noProof/>
              <w:kern w:val="2"/>
              <w14:ligatures w14:val="standardContextual"/>
            </w:rPr>
          </w:pPr>
          <w:hyperlink w:anchor="_Toc196256862" w:history="1">
            <w:r w:rsidRPr="00DA61D8">
              <w:rPr>
                <w:rStyle w:val="Hyperlink"/>
                <w:rFonts w:ascii="Times New Roman" w:hAnsi="Times New Roman" w:cs="Times New Roman"/>
                <w:noProof/>
              </w:rPr>
              <w:t>Summary of dissertation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_Toc196256862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11</w:t>
            </w:r>
            <w:r w:rsidRPr="00DA61D8">
              <w:rPr>
                <w:rFonts w:cs="Times New Roman"/>
                <w:noProof/>
                <w:webHidden/>
              </w:rPr>
              <w:fldChar w:fldCharType="end"/>
            </w:r>
          </w:hyperlink>
        </w:p>
        <w:p w14:paraId="143467B3" w14:textId="044123B1" w:rsidR="00DA61D8" w:rsidRPr="00DA61D8" w:rsidRDefault="00DA61D8" w:rsidP="00DA61D8">
          <w:pPr>
            <w:pStyle w:val="TOC2"/>
            <w:rPr>
              <w:rFonts w:eastAsiaTheme="minorEastAsia" w:cs="Times New Roman"/>
              <w:noProof/>
              <w:kern w:val="2"/>
              <w14:ligatures w14:val="standardContextual"/>
            </w:rPr>
          </w:pPr>
          <w:hyperlink w:anchor="_Toc196256863" w:history="1">
            <w:r w:rsidRPr="00DA61D8">
              <w:rPr>
                <w:rStyle w:val="Hyperlink"/>
                <w:rFonts w:ascii="Times New Roman" w:hAnsi="Times New Roman" w:cs="Times New Roman"/>
                <w:noProof/>
              </w:rPr>
              <w:t>References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_Toc196256863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12</w:t>
            </w:r>
            <w:r w:rsidRPr="00DA61D8">
              <w:rPr>
                <w:rFonts w:cs="Times New Roman"/>
                <w:noProof/>
                <w:webHidden/>
              </w:rPr>
              <w:fldChar w:fldCharType="end"/>
            </w:r>
          </w:hyperlink>
        </w:p>
        <w:p w14:paraId="397AEAD6" w14:textId="09B49815" w:rsidR="00DA61D8" w:rsidRPr="00DA61D8" w:rsidRDefault="00DA61D8" w:rsidP="00DA61D8">
          <w:pPr>
            <w:pStyle w:val="TOC1"/>
            <w:rPr>
              <w:rFonts w:eastAsiaTheme="minorEastAsia"/>
              <w:kern w:val="2"/>
              <w14:ligatures w14:val="standardContextual"/>
            </w:rPr>
          </w:pPr>
          <w:hyperlink w:anchor="_Toc196256864" w:history="1">
            <w:r w:rsidRPr="00DA61D8">
              <w:rPr>
                <w:rStyle w:val="Hyperlink"/>
                <w:rFonts w:ascii="Times New Roman" w:hAnsi="Times New Roman"/>
              </w:rPr>
              <w:t xml:space="preserve">CHAPTER TWO: GENOMIC AND PHENOTYPIC CHARACTERIZATION OF A RED-PIGMENTED STRAIN OF </w:t>
            </w:r>
            <w:r w:rsidRPr="00DA61D8">
              <w:rPr>
                <w:rStyle w:val="Hyperlink"/>
                <w:rFonts w:ascii="Times New Roman" w:hAnsi="Times New Roman"/>
                <w:i/>
                <w:iCs/>
              </w:rPr>
              <w:t>MASSILIA FRIGIDA</w:t>
            </w:r>
            <w:r w:rsidRPr="00DA61D8">
              <w:rPr>
                <w:rStyle w:val="Hyperlink"/>
                <w:rFonts w:ascii="Times New Roman" w:hAnsi="Times New Roman"/>
              </w:rPr>
              <w:t xml:space="preserve"> ISOLATED FROM AN ANTARCTIC MICROBIAL MAT</w:t>
            </w:r>
            <w:r w:rsidRPr="00DA61D8">
              <w:rPr>
                <w:webHidden/>
              </w:rPr>
              <w:tab/>
            </w:r>
            <w:r w:rsidRPr="00DA61D8">
              <w:rPr>
                <w:webHidden/>
              </w:rPr>
              <w:fldChar w:fldCharType="begin"/>
            </w:r>
            <w:r w:rsidRPr="00DA61D8">
              <w:rPr>
                <w:webHidden/>
              </w:rPr>
              <w:instrText xml:space="preserve"> PAGEREF _Toc196256864 \h </w:instrText>
            </w:r>
            <w:r w:rsidRPr="00DA61D8">
              <w:rPr>
                <w:webHidden/>
              </w:rPr>
            </w:r>
            <w:r w:rsidRPr="00DA61D8">
              <w:rPr>
                <w:webHidden/>
              </w:rPr>
              <w:fldChar w:fldCharType="separate"/>
            </w:r>
            <w:r w:rsidR="0025018F">
              <w:rPr>
                <w:webHidden/>
              </w:rPr>
              <w:t>26</w:t>
            </w:r>
            <w:r w:rsidRPr="00DA61D8">
              <w:rPr>
                <w:webHidden/>
              </w:rPr>
              <w:fldChar w:fldCharType="end"/>
            </w:r>
          </w:hyperlink>
        </w:p>
        <w:p w14:paraId="3B8FDF0C" w14:textId="7659C050" w:rsidR="00DA61D8" w:rsidRPr="00DA61D8" w:rsidRDefault="00DA61D8" w:rsidP="00DA61D8">
          <w:pPr>
            <w:pStyle w:val="TOC2"/>
            <w:rPr>
              <w:rFonts w:eastAsiaTheme="minorEastAsia" w:cs="Times New Roman"/>
              <w:noProof/>
              <w:kern w:val="2"/>
              <w14:ligatures w14:val="standardContextual"/>
            </w:rPr>
          </w:pPr>
          <w:hyperlink w:anchor="_Toc196256865" w:history="1">
            <w:r w:rsidRPr="00DA61D8">
              <w:rPr>
                <w:rStyle w:val="Hyperlink"/>
                <w:rFonts w:ascii="Times New Roman" w:hAnsi="Times New Roman" w:cs="Times New Roman"/>
                <w:noProof/>
              </w:rPr>
              <w:t>Publication Note</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_Toc196256865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27</w:t>
            </w:r>
            <w:r w:rsidRPr="00DA61D8">
              <w:rPr>
                <w:rFonts w:cs="Times New Roman"/>
                <w:noProof/>
                <w:webHidden/>
              </w:rPr>
              <w:fldChar w:fldCharType="end"/>
            </w:r>
          </w:hyperlink>
        </w:p>
        <w:p w14:paraId="196C97E5" w14:textId="0466A094" w:rsidR="00DA61D8" w:rsidRPr="00DA61D8" w:rsidRDefault="00DA61D8" w:rsidP="00DA61D8">
          <w:pPr>
            <w:pStyle w:val="TOC2"/>
            <w:rPr>
              <w:rFonts w:eastAsiaTheme="minorEastAsia" w:cs="Times New Roman"/>
              <w:noProof/>
              <w:kern w:val="2"/>
              <w14:ligatures w14:val="standardContextual"/>
            </w:rPr>
          </w:pPr>
          <w:hyperlink w:anchor="_Toc196256866" w:history="1">
            <w:r w:rsidRPr="00DA61D8">
              <w:rPr>
                <w:rStyle w:val="Hyperlink"/>
                <w:rFonts w:ascii="Times New Roman" w:hAnsi="Times New Roman" w:cs="Times New Roman"/>
                <w:noProof/>
              </w:rPr>
              <w:t>Abstract</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_Toc196256866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27</w:t>
            </w:r>
            <w:r w:rsidRPr="00DA61D8">
              <w:rPr>
                <w:rFonts w:cs="Times New Roman"/>
                <w:noProof/>
                <w:webHidden/>
              </w:rPr>
              <w:fldChar w:fldCharType="end"/>
            </w:r>
          </w:hyperlink>
        </w:p>
        <w:p w14:paraId="760BD912" w14:textId="0E1C718E" w:rsidR="00DA61D8" w:rsidRPr="00DA61D8" w:rsidRDefault="00DA61D8" w:rsidP="00DA61D8">
          <w:pPr>
            <w:pStyle w:val="TOC2"/>
            <w:rPr>
              <w:rFonts w:eastAsiaTheme="minorEastAsia" w:cs="Times New Roman"/>
              <w:noProof/>
              <w:kern w:val="2"/>
              <w14:ligatures w14:val="standardContextual"/>
            </w:rPr>
          </w:pPr>
          <w:hyperlink w:anchor="_Toc196256867" w:history="1">
            <w:r w:rsidRPr="00DA61D8">
              <w:rPr>
                <w:rStyle w:val="Hyperlink"/>
                <w:rFonts w:ascii="Times New Roman" w:hAnsi="Times New Roman" w:cs="Times New Roman"/>
                <w:noProof/>
              </w:rPr>
              <w:t>Introduction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_Toc196256867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28</w:t>
            </w:r>
            <w:r w:rsidRPr="00DA61D8">
              <w:rPr>
                <w:rFonts w:cs="Times New Roman"/>
                <w:noProof/>
                <w:webHidden/>
              </w:rPr>
              <w:fldChar w:fldCharType="end"/>
            </w:r>
          </w:hyperlink>
        </w:p>
        <w:p w14:paraId="3F93802D" w14:textId="70A5EF4D" w:rsidR="00DA61D8" w:rsidRPr="00DA61D8" w:rsidRDefault="00DA61D8" w:rsidP="00DA61D8">
          <w:pPr>
            <w:pStyle w:val="TOC2"/>
            <w:rPr>
              <w:rFonts w:eastAsiaTheme="minorEastAsia" w:cs="Times New Roman"/>
              <w:noProof/>
              <w:kern w:val="2"/>
              <w14:ligatures w14:val="standardContextual"/>
            </w:rPr>
          </w:pPr>
          <w:hyperlink w:anchor="_Toc196256868" w:history="1">
            <w:r w:rsidRPr="00DA61D8">
              <w:rPr>
                <w:rStyle w:val="Hyperlink"/>
                <w:rFonts w:ascii="Times New Roman" w:hAnsi="Times New Roman" w:cs="Times New Roman"/>
                <w:noProof/>
              </w:rPr>
              <w:t>Materials and Methods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_Toc196256868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31</w:t>
            </w:r>
            <w:r w:rsidRPr="00DA61D8">
              <w:rPr>
                <w:rFonts w:cs="Times New Roman"/>
                <w:noProof/>
                <w:webHidden/>
              </w:rPr>
              <w:fldChar w:fldCharType="end"/>
            </w:r>
          </w:hyperlink>
        </w:p>
        <w:p w14:paraId="18A902E9" w14:textId="7DCFBE26" w:rsidR="00DA61D8" w:rsidRPr="00DA61D8" w:rsidRDefault="00DA61D8" w:rsidP="00DA61D8">
          <w:pPr>
            <w:pStyle w:val="TOC3"/>
            <w:rPr>
              <w:rFonts w:eastAsiaTheme="minorEastAsia" w:cs="Times New Roman"/>
              <w:noProof/>
              <w:kern w:val="2"/>
              <w14:ligatures w14:val="standardContextual"/>
            </w:rPr>
          </w:pPr>
          <w:hyperlink w:anchor="_Toc196256869" w:history="1">
            <w:r w:rsidRPr="00DA61D8">
              <w:rPr>
                <w:rStyle w:val="Hyperlink"/>
                <w:rFonts w:ascii="Times New Roman" w:hAnsi="Times New Roman" w:cs="Times New Roman"/>
                <w:noProof/>
              </w:rPr>
              <w:t>Site description and sample collection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_Toc196256869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31</w:t>
            </w:r>
            <w:r w:rsidRPr="00DA61D8">
              <w:rPr>
                <w:rFonts w:cs="Times New Roman"/>
                <w:noProof/>
                <w:webHidden/>
              </w:rPr>
              <w:fldChar w:fldCharType="end"/>
            </w:r>
          </w:hyperlink>
        </w:p>
        <w:p w14:paraId="26E15FD7" w14:textId="0C6421CF" w:rsidR="00DA61D8" w:rsidRPr="00DA61D8" w:rsidRDefault="00DA61D8" w:rsidP="00DA61D8">
          <w:pPr>
            <w:pStyle w:val="TOC3"/>
            <w:rPr>
              <w:rFonts w:eastAsiaTheme="minorEastAsia" w:cs="Times New Roman"/>
              <w:noProof/>
              <w:kern w:val="2"/>
              <w14:ligatures w14:val="standardContextual"/>
            </w:rPr>
          </w:pPr>
          <w:hyperlink w:anchor="_Toc196256870" w:history="1">
            <w:r w:rsidRPr="00DA61D8">
              <w:rPr>
                <w:rStyle w:val="Hyperlink"/>
                <w:rFonts w:ascii="Times New Roman" w:hAnsi="Times New Roman" w:cs="Times New Roman"/>
                <w:noProof/>
              </w:rPr>
              <w:t>Isolation and incubation conditions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_Toc196256870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31</w:t>
            </w:r>
            <w:r w:rsidRPr="00DA61D8">
              <w:rPr>
                <w:rFonts w:cs="Times New Roman"/>
                <w:noProof/>
                <w:webHidden/>
              </w:rPr>
              <w:fldChar w:fldCharType="end"/>
            </w:r>
          </w:hyperlink>
        </w:p>
        <w:p w14:paraId="2F26819D" w14:textId="6D950FE7" w:rsidR="00DA61D8" w:rsidRPr="00DA61D8" w:rsidRDefault="00DA61D8" w:rsidP="00DA61D8">
          <w:pPr>
            <w:pStyle w:val="TOC3"/>
            <w:rPr>
              <w:rFonts w:eastAsiaTheme="minorEastAsia" w:cs="Times New Roman"/>
              <w:noProof/>
              <w:kern w:val="2"/>
              <w14:ligatures w14:val="standardContextual"/>
            </w:rPr>
          </w:pPr>
          <w:hyperlink w:anchor="_Toc196256871" w:history="1">
            <w:r w:rsidRPr="00DA61D8">
              <w:rPr>
                <w:rStyle w:val="Hyperlink"/>
                <w:rFonts w:ascii="Times New Roman" w:hAnsi="Times New Roman" w:cs="Times New Roman"/>
                <w:noProof/>
              </w:rPr>
              <w:t>Phylogenetic analysis and whole genome comparison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_Toc196256871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32</w:t>
            </w:r>
            <w:r w:rsidRPr="00DA61D8">
              <w:rPr>
                <w:rFonts w:cs="Times New Roman"/>
                <w:noProof/>
                <w:webHidden/>
              </w:rPr>
              <w:fldChar w:fldCharType="end"/>
            </w:r>
          </w:hyperlink>
        </w:p>
        <w:p w14:paraId="73473AF3" w14:textId="12043B2C" w:rsidR="00DA61D8" w:rsidRPr="00DA61D8" w:rsidRDefault="00DA61D8" w:rsidP="00DA61D8">
          <w:pPr>
            <w:pStyle w:val="TOC3"/>
            <w:rPr>
              <w:rFonts w:eastAsiaTheme="minorEastAsia" w:cs="Times New Roman"/>
              <w:noProof/>
              <w:kern w:val="2"/>
              <w14:ligatures w14:val="standardContextual"/>
            </w:rPr>
          </w:pPr>
          <w:hyperlink w:anchor="_Toc196256872" w:history="1">
            <w:r w:rsidRPr="00DA61D8">
              <w:rPr>
                <w:rStyle w:val="Hyperlink"/>
                <w:rFonts w:ascii="Times New Roman" w:hAnsi="Times New Roman" w:cs="Times New Roman"/>
                <w:noProof/>
              </w:rPr>
              <w:t>Genome sequencing, assembly, and annotation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_Toc196256872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33</w:t>
            </w:r>
            <w:r w:rsidRPr="00DA61D8">
              <w:rPr>
                <w:rFonts w:cs="Times New Roman"/>
                <w:noProof/>
                <w:webHidden/>
              </w:rPr>
              <w:fldChar w:fldCharType="end"/>
            </w:r>
          </w:hyperlink>
        </w:p>
        <w:p w14:paraId="0EAD7118" w14:textId="1565312E" w:rsidR="00DA61D8" w:rsidRPr="00DA61D8" w:rsidRDefault="00DA61D8" w:rsidP="00DA61D8">
          <w:pPr>
            <w:pStyle w:val="TOC3"/>
            <w:rPr>
              <w:rFonts w:eastAsiaTheme="minorEastAsia" w:cs="Times New Roman"/>
              <w:noProof/>
              <w:kern w:val="2"/>
              <w14:ligatures w14:val="standardContextual"/>
            </w:rPr>
          </w:pPr>
          <w:hyperlink w:anchor="_Toc196256873" w:history="1">
            <w:r w:rsidRPr="00DA61D8">
              <w:rPr>
                <w:rStyle w:val="Hyperlink"/>
                <w:rFonts w:ascii="Times New Roman" w:hAnsi="Times New Roman" w:cs="Times New Roman"/>
                <w:noProof/>
              </w:rPr>
              <w:t>Biomass irradiation and extraction of pigments produced under UV light</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_Toc196256873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34</w:t>
            </w:r>
            <w:r w:rsidRPr="00DA61D8">
              <w:rPr>
                <w:rFonts w:cs="Times New Roman"/>
                <w:noProof/>
                <w:webHidden/>
              </w:rPr>
              <w:fldChar w:fldCharType="end"/>
            </w:r>
          </w:hyperlink>
        </w:p>
        <w:p w14:paraId="2ED86017" w14:textId="51210766" w:rsidR="00DA61D8" w:rsidRPr="00DA61D8" w:rsidRDefault="00DA61D8" w:rsidP="00DA61D8">
          <w:pPr>
            <w:pStyle w:val="TOC3"/>
            <w:rPr>
              <w:rFonts w:eastAsiaTheme="minorEastAsia" w:cs="Times New Roman"/>
              <w:noProof/>
              <w:kern w:val="2"/>
              <w14:ligatures w14:val="standardContextual"/>
            </w:rPr>
          </w:pPr>
          <w:hyperlink w:anchor="_Toc196256874" w:history="1">
            <w:r w:rsidRPr="00DA61D8">
              <w:rPr>
                <w:rStyle w:val="Hyperlink"/>
                <w:rFonts w:ascii="Times New Roman" w:hAnsi="Times New Roman" w:cs="Times New Roman"/>
                <w:noProof/>
              </w:rPr>
              <w:t>LC/MS analyses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_Toc196256874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34</w:t>
            </w:r>
            <w:r w:rsidRPr="00DA61D8">
              <w:rPr>
                <w:rFonts w:cs="Times New Roman"/>
                <w:noProof/>
                <w:webHidden/>
              </w:rPr>
              <w:fldChar w:fldCharType="end"/>
            </w:r>
          </w:hyperlink>
        </w:p>
        <w:p w14:paraId="3DEB18F0" w14:textId="3CBAF873" w:rsidR="00DA61D8" w:rsidRPr="00DA61D8" w:rsidRDefault="00DA61D8" w:rsidP="00DA61D8">
          <w:pPr>
            <w:pStyle w:val="TOC3"/>
            <w:rPr>
              <w:rFonts w:eastAsiaTheme="minorEastAsia" w:cs="Times New Roman"/>
              <w:noProof/>
              <w:kern w:val="2"/>
              <w14:ligatures w14:val="standardContextual"/>
            </w:rPr>
          </w:pPr>
          <w:hyperlink w:anchor="_Toc196256875" w:history="1">
            <w:r w:rsidRPr="00DA61D8">
              <w:rPr>
                <w:rStyle w:val="Hyperlink"/>
                <w:rFonts w:ascii="Times New Roman" w:hAnsi="Times New Roman" w:cs="Times New Roman"/>
                <w:noProof/>
              </w:rPr>
              <w:t>Metabolomics data processing, filtering, and statistical analyses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_Toc196256875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35</w:t>
            </w:r>
            <w:r w:rsidRPr="00DA61D8">
              <w:rPr>
                <w:rFonts w:cs="Times New Roman"/>
                <w:noProof/>
                <w:webHidden/>
              </w:rPr>
              <w:fldChar w:fldCharType="end"/>
            </w:r>
          </w:hyperlink>
        </w:p>
        <w:p w14:paraId="7F288D12" w14:textId="75B8C96A" w:rsidR="00DA61D8" w:rsidRPr="00DA61D8" w:rsidRDefault="00DA61D8" w:rsidP="00DA61D8">
          <w:pPr>
            <w:pStyle w:val="TOC2"/>
            <w:rPr>
              <w:rFonts w:eastAsiaTheme="minorEastAsia" w:cs="Times New Roman"/>
              <w:noProof/>
              <w:kern w:val="2"/>
              <w14:ligatures w14:val="standardContextual"/>
            </w:rPr>
          </w:pPr>
          <w:hyperlink w:anchor="_Toc196256876" w:history="1">
            <w:r w:rsidRPr="00DA61D8">
              <w:rPr>
                <w:rStyle w:val="Hyperlink"/>
                <w:rFonts w:ascii="Times New Roman" w:hAnsi="Times New Roman" w:cs="Times New Roman"/>
                <w:noProof/>
              </w:rPr>
              <w:t>Results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_Toc196256876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36</w:t>
            </w:r>
            <w:r w:rsidRPr="00DA61D8">
              <w:rPr>
                <w:rFonts w:cs="Times New Roman"/>
                <w:noProof/>
                <w:webHidden/>
              </w:rPr>
              <w:fldChar w:fldCharType="end"/>
            </w:r>
          </w:hyperlink>
        </w:p>
        <w:p w14:paraId="51B8DC3B" w14:textId="113CFFB3" w:rsidR="00DA61D8" w:rsidRPr="00DA61D8" w:rsidRDefault="00DA61D8" w:rsidP="00DA61D8">
          <w:pPr>
            <w:pStyle w:val="TOC3"/>
            <w:rPr>
              <w:rFonts w:eastAsiaTheme="minorEastAsia" w:cs="Times New Roman"/>
              <w:noProof/>
              <w:kern w:val="2"/>
              <w14:ligatures w14:val="standardContextual"/>
            </w:rPr>
          </w:pPr>
          <w:hyperlink w:anchor="_Toc196256877" w:history="1">
            <w:r w:rsidRPr="00DA61D8">
              <w:rPr>
                <w:rStyle w:val="Hyperlink"/>
                <w:rFonts w:ascii="Times New Roman" w:hAnsi="Times New Roman" w:cs="Times New Roman"/>
                <w:noProof/>
              </w:rPr>
              <w:t>Sample collection and isolation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_Toc196256877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36</w:t>
            </w:r>
            <w:r w:rsidRPr="00DA61D8">
              <w:rPr>
                <w:rFonts w:cs="Times New Roman"/>
                <w:noProof/>
                <w:webHidden/>
              </w:rPr>
              <w:fldChar w:fldCharType="end"/>
            </w:r>
          </w:hyperlink>
        </w:p>
        <w:p w14:paraId="3BE5A477" w14:textId="144521FB" w:rsidR="00DA61D8" w:rsidRPr="00DA61D8" w:rsidRDefault="00DA61D8" w:rsidP="00DA61D8">
          <w:pPr>
            <w:pStyle w:val="TOC3"/>
            <w:rPr>
              <w:rFonts w:eastAsiaTheme="minorEastAsia" w:cs="Times New Roman"/>
              <w:noProof/>
              <w:kern w:val="2"/>
              <w14:ligatures w14:val="standardContextual"/>
            </w:rPr>
          </w:pPr>
          <w:hyperlink w:anchor="_Toc196256878" w:history="1">
            <w:r w:rsidRPr="00DA61D8">
              <w:rPr>
                <w:rStyle w:val="Hyperlink"/>
                <w:rFonts w:ascii="Times New Roman" w:hAnsi="Times New Roman" w:cs="Times New Roman"/>
                <w:noProof/>
              </w:rPr>
              <w:t>Characterization and growth</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_Toc196256878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36</w:t>
            </w:r>
            <w:r w:rsidRPr="00DA61D8">
              <w:rPr>
                <w:rFonts w:cs="Times New Roman"/>
                <w:noProof/>
                <w:webHidden/>
              </w:rPr>
              <w:fldChar w:fldCharType="end"/>
            </w:r>
          </w:hyperlink>
        </w:p>
        <w:p w14:paraId="73E34BAF" w14:textId="76CC4647" w:rsidR="00DA61D8" w:rsidRPr="00DA61D8" w:rsidRDefault="00DA61D8" w:rsidP="00DA61D8">
          <w:pPr>
            <w:pStyle w:val="TOC3"/>
            <w:rPr>
              <w:rFonts w:eastAsiaTheme="minorEastAsia" w:cs="Times New Roman"/>
              <w:noProof/>
              <w:kern w:val="2"/>
              <w14:ligatures w14:val="standardContextual"/>
            </w:rPr>
          </w:pPr>
          <w:hyperlink w:anchor="_Toc196256879" w:history="1">
            <w:r w:rsidRPr="00DA61D8">
              <w:rPr>
                <w:rStyle w:val="Hyperlink"/>
                <w:rFonts w:ascii="Times New Roman" w:hAnsi="Times New Roman" w:cs="Times New Roman"/>
                <w:noProof/>
              </w:rPr>
              <w:t>Phylogenetic analysis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_Toc196256879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36</w:t>
            </w:r>
            <w:r w:rsidRPr="00DA61D8">
              <w:rPr>
                <w:rFonts w:cs="Times New Roman"/>
                <w:noProof/>
                <w:webHidden/>
              </w:rPr>
              <w:fldChar w:fldCharType="end"/>
            </w:r>
          </w:hyperlink>
        </w:p>
        <w:p w14:paraId="71DB6C56" w14:textId="238FB5C7" w:rsidR="00DA61D8" w:rsidRPr="00DA61D8" w:rsidRDefault="00DA61D8" w:rsidP="00DA61D8">
          <w:pPr>
            <w:pStyle w:val="TOC3"/>
            <w:rPr>
              <w:rFonts w:eastAsiaTheme="minorEastAsia" w:cs="Times New Roman"/>
              <w:noProof/>
              <w:kern w:val="2"/>
              <w14:ligatures w14:val="standardContextual"/>
            </w:rPr>
          </w:pPr>
          <w:hyperlink w:anchor="_Toc196256880" w:history="1">
            <w:r w:rsidRPr="00DA61D8">
              <w:rPr>
                <w:rStyle w:val="Hyperlink"/>
                <w:rFonts w:ascii="Times New Roman" w:hAnsi="Times New Roman" w:cs="Times New Roman"/>
                <w:noProof/>
              </w:rPr>
              <w:t>Genomic analyses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_Toc196256880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37</w:t>
            </w:r>
            <w:r w:rsidRPr="00DA61D8">
              <w:rPr>
                <w:rFonts w:cs="Times New Roman"/>
                <w:noProof/>
                <w:webHidden/>
              </w:rPr>
              <w:fldChar w:fldCharType="end"/>
            </w:r>
          </w:hyperlink>
        </w:p>
        <w:p w14:paraId="09D81183" w14:textId="1B0E8D99" w:rsidR="00DA61D8" w:rsidRPr="00DA61D8" w:rsidRDefault="00DA61D8" w:rsidP="00DA61D8">
          <w:pPr>
            <w:pStyle w:val="TOC3"/>
            <w:rPr>
              <w:rFonts w:eastAsiaTheme="minorEastAsia" w:cs="Times New Roman"/>
              <w:noProof/>
              <w:kern w:val="2"/>
              <w14:ligatures w14:val="standardContextual"/>
            </w:rPr>
          </w:pPr>
          <w:hyperlink w:anchor="_Toc196256881" w:history="1">
            <w:r w:rsidRPr="00DA61D8">
              <w:rPr>
                <w:rStyle w:val="Hyperlink"/>
                <w:rFonts w:ascii="Times New Roman" w:hAnsi="Times New Roman" w:cs="Times New Roman"/>
                <w:noProof/>
              </w:rPr>
              <w:t>Pigment extraction for UV-Vis analysis.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_Toc196256881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41</w:t>
            </w:r>
            <w:r w:rsidRPr="00DA61D8">
              <w:rPr>
                <w:rFonts w:cs="Times New Roman"/>
                <w:noProof/>
                <w:webHidden/>
              </w:rPr>
              <w:fldChar w:fldCharType="end"/>
            </w:r>
          </w:hyperlink>
        </w:p>
        <w:p w14:paraId="41248237" w14:textId="3C6D856A" w:rsidR="00DA61D8" w:rsidRPr="00DA61D8" w:rsidRDefault="00DA61D8" w:rsidP="00DA61D8">
          <w:pPr>
            <w:pStyle w:val="TOC3"/>
            <w:rPr>
              <w:rFonts w:eastAsiaTheme="minorEastAsia" w:cs="Times New Roman"/>
              <w:noProof/>
              <w:kern w:val="2"/>
              <w14:ligatures w14:val="standardContextual"/>
            </w:rPr>
          </w:pPr>
          <w:hyperlink w:anchor="_Toc196256882" w:history="1">
            <w:r w:rsidRPr="00DA61D8">
              <w:rPr>
                <w:rStyle w:val="Hyperlink"/>
                <w:rFonts w:ascii="Times New Roman" w:hAnsi="Times New Roman" w:cs="Times New Roman"/>
                <w:noProof/>
              </w:rPr>
              <w:t>Confirmation of prodigiosin in strain DJPM01</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_Toc196256882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41</w:t>
            </w:r>
            <w:r w:rsidRPr="00DA61D8">
              <w:rPr>
                <w:rFonts w:cs="Times New Roman"/>
                <w:noProof/>
                <w:webHidden/>
              </w:rPr>
              <w:fldChar w:fldCharType="end"/>
            </w:r>
          </w:hyperlink>
        </w:p>
        <w:p w14:paraId="30A45797" w14:textId="74239902" w:rsidR="00DA61D8" w:rsidRPr="00DA61D8" w:rsidRDefault="00DA61D8" w:rsidP="00DA61D8">
          <w:pPr>
            <w:pStyle w:val="TOC3"/>
            <w:ind w:left="720" w:firstLine="0"/>
            <w:rPr>
              <w:rFonts w:eastAsiaTheme="minorEastAsia" w:cs="Times New Roman"/>
              <w:noProof/>
              <w:kern w:val="2"/>
              <w14:ligatures w14:val="standardContextual"/>
            </w:rPr>
          </w:pPr>
          <w:hyperlink w:anchor="_Toc196256883" w:history="1">
            <w:r w:rsidRPr="00DA61D8">
              <w:rPr>
                <w:rStyle w:val="Hyperlink"/>
                <w:rFonts w:ascii="Times New Roman" w:hAnsi="Times New Roman" w:cs="Times New Roman"/>
                <w:noProof/>
              </w:rPr>
              <w:t>Effects of UV light on the production of prodigiosin and other secondary metabolites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_Toc196256883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41</w:t>
            </w:r>
            <w:r w:rsidRPr="00DA61D8">
              <w:rPr>
                <w:rFonts w:cs="Times New Roman"/>
                <w:noProof/>
                <w:webHidden/>
              </w:rPr>
              <w:fldChar w:fldCharType="end"/>
            </w:r>
          </w:hyperlink>
        </w:p>
        <w:p w14:paraId="2BC10D01" w14:textId="05091258" w:rsidR="00DA61D8" w:rsidRPr="00DA61D8" w:rsidRDefault="00DA61D8" w:rsidP="00DA61D8">
          <w:pPr>
            <w:pStyle w:val="TOC2"/>
            <w:rPr>
              <w:rFonts w:eastAsiaTheme="minorEastAsia" w:cs="Times New Roman"/>
              <w:noProof/>
              <w:kern w:val="2"/>
              <w14:ligatures w14:val="standardContextual"/>
            </w:rPr>
          </w:pPr>
          <w:hyperlink w:anchor="_Toc196256884" w:history="1">
            <w:r w:rsidRPr="00DA61D8">
              <w:rPr>
                <w:rStyle w:val="Hyperlink"/>
                <w:rFonts w:ascii="Times New Roman" w:hAnsi="Times New Roman" w:cs="Times New Roman"/>
                <w:noProof/>
              </w:rPr>
              <w:t>Discussion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_Toc196256884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42</w:t>
            </w:r>
            <w:r w:rsidRPr="00DA61D8">
              <w:rPr>
                <w:rFonts w:cs="Times New Roman"/>
                <w:noProof/>
                <w:webHidden/>
              </w:rPr>
              <w:fldChar w:fldCharType="end"/>
            </w:r>
          </w:hyperlink>
        </w:p>
        <w:p w14:paraId="281CAE57" w14:textId="4F645DC6" w:rsidR="00DA61D8" w:rsidRPr="00DA61D8" w:rsidRDefault="00DA61D8" w:rsidP="00DA61D8">
          <w:pPr>
            <w:pStyle w:val="TOC3"/>
            <w:rPr>
              <w:rFonts w:eastAsiaTheme="minorEastAsia" w:cs="Times New Roman"/>
              <w:noProof/>
              <w:kern w:val="2"/>
              <w14:ligatures w14:val="standardContextual"/>
            </w:rPr>
          </w:pPr>
          <w:hyperlink w:anchor="_Toc196256885" w:history="1">
            <w:r w:rsidRPr="00DA61D8">
              <w:rPr>
                <w:rStyle w:val="Hyperlink"/>
                <w:rFonts w:ascii="Times New Roman" w:hAnsi="Times New Roman" w:cs="Times New Roman"/>
                <w:noProof/>
              </w:rPr>
              <w:t>Phylogeny and ecophysiology of an Antarctic Massilia strain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_Toc196256885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43</w:t>
            </w:r>
            <w:r w:rsidRPr="00DA61D8">
              <w:rPr>
                <w:rFonts w:cs="Times New Roman"/>
                <w:noProof/>
                <w:webHidden/>
              </w:rPr>
              <w:fldChar w:fldCharType="end"/>
            </w:r>
          </w:hyperlink>
        </w:p>
        <w:p w14:paraId="6F590450" w14:textId="57758B7E" w:rsidR="00DA61D8" w:rsidRPr="00DA61D8" w:rsidRDefault="00DA61D8" w:rsidP="00DA61D8">
          <w:pPr>
            <w:pStyle w:val="TOC3"/>
            <w:rPr>
              <w:rFonts w:eastAsiaTheme="minorEastAsia" w:cs="Times New Roman"/>
              <w:noProof/>
              <w:kern w:val="2"/>
              <w14:ligatures w14:val="standardContextual"/>
            </w:rPr>
          </w:pPr>
          <w:hyperlink w:anchor="_Toc196256886" w:history="1">
            <w:r w:rsidRPr="00DA61D8">
              <w:rPr>
                <w:rStyle w:val="Hyperlink"/>
                <w:rFonts w:ascii="Times New Roman" w:hAnsi="Times New Roman" w:cs="Times New Roman"/>
                <w:noProof/>
              </w:rPr>
              <w:t>Genomic adaptations to life in an Antarctic microbial mat</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_Toc196256886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44</w:t>
            </w:r>
            <w:r w:rsidRPr="00DA61D8">
              <w:rPr>
                <w:rFonts w:cs="Times New Roman"/>
                <w:noProof/>
                <w:webHidden/>
              </w:rPr>
              <w:fldChar w:fldCharType="end"/>
            </w:r>
          </w:hyperlink>
        </w:p>
        <w:p w14:paraId="4507608E" w14:textId="4D882109" w:rsidR="00DA61D8" w:rsidRPr="00DA61D8" w:rsidRDefault="00DA61D8" w:rsidP="00DA61D8">
          <w:pPr>
            <w:pStyle w:val="TOC3"/>
            <w:rPr>
              <w:rFonts w:eastAsiaTheme="minorEastAsia" w:cs="Times New Roman"/>
              <w:noProof/>
              <w:kern w:val="2"/>
              <w14:ligatures w14:val="standardContextual"/>
            </w:rPr>
          </w:pPr>
          <w:hyperlink w:anchor="_Toc196256887" w:history="1">
            <w:r w:rsidRPr="00DA61D8">
              <w:rPr>
                <w:rStyle w:val="Hyperlink"/>
                <w:rFonts w:ascii="Times New Roman" w:hAnsi="Times New Roman" w:cs="Times New Roman"/>
                <w:noProof/>
              </w:rPr>
              <w:t>Prodigiosin, a molecule involved in environmental adaptation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_Toc196256887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46</w:t>
            </w:r>
            <w:r w:rsidRPr="00DA61D8">
              <w:rPr>
                <w:rFonts w:cs="Times New Roman"/>
                <w:noProof/>
                <w:webHidden/>
              </w:rPr>
              <w:fldChar w:fldCharType="end"/>
            </w:r>
          </w:hyperlink>
        </w:p>
        <w:p w14:paraId="47100C37" w14:textId="5CC8980E" w:rsidR="00DA61D8" w:rsidRPr="00DA61D8" w:rsidRDefault="00DA61D8" w:rsidP="00DA61D8">
          <w:pPr>
            <w:pStyle w:val="TOC2"/>
            <w:rPr>
              <w:rFonts w:eastAsiaTheme="minorEastAsia" w:cs="Times New Roman"/>
              <w:noProof/>
              <w:kern w:val="2"/>
              <w14:ligatures w14:val="standardContextual"/>
            </w:rPr>
          </w:pPr>
          <w:hyperlink w:anchor="_Toc196256888" w:history="1">
            <w:r w:rsidRPr="00DA61D8">
              <w:rPr>
                <w:rStyle w:val="Hyperlink"/>
                <w:rFonts w:ascii="Times New Roman" w:hAnsi="Times New Roman" w:cs="Times New Roman"/>
                <w:noProof/>
              </w:rPr>
              <w:t>Data availability statement</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_Toc196256888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48</w:t>
            </w:r>
            <w:r w:rsidRPr="00DA61D8">
              <w:rPr>
                <w:rFonts w:cs="Times New Roman"/>
                <w:noProof/>
                <w:webHidden/>
              </w:rPr>
              <w:fldChar w:fldCharType="end"/>
            </w:r>
          </w:hyperlink>
        </w:p>
        <w:p w14:paraId="4DB171A5" w14:textId="3DCDD0E7" w:rsidR="00DA61D8" w:rsidRPr="00DA61D8" w:rsidRDefault="00DA61D8" w:rsidP="00DA61D8">
          <w:pPr>
            <w:pStyle w:val="TOC2"/>
            <w:rPr>
              <w:rFonts w:eastAsiaTheme="minorEastAsia" w:cs="Times New Roman"/>
              <w:noProof/>
              <w:kern w:val="2"/>
              <w14:ligatures w14:val="standardContextual"/>
            </w:rPr>
          </w:pPr>
          <w:hyperlink w:anchor="_Toc196256889" w:history="1">
            <w:r w:rsidRPr="00DA61D8">
              <w:rPr>
                <w:rStyle w:val="Hyperlink"/>
                <w:rFonts w:ascii="Times New Roman" w:hAnsi="Times New Roman" w:cs="Times New Roman"/>
                <w:noProof/>
              </w:rPr>
              <w:t>Funding</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_Toc196256889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48</w:t>
            </w:r>
            <w:r w:rsidRPr="00DA61D8">
              <w:rPr>
                <w:rFonts w:cs="Times New Roman"/>
                <w:noProof/>
                <w:webHidden/>
              </w:rPr>
              <w:fldChar w:fldCharType="end"/>
            </w:r>
          </w:hyperlink>
        </w:p>
        <w:p w14:paraId="2B61B4B7" w14:textId="0C20029D" w:rsidR="00DA61D8" w:rsidRPr="00DA61D8" w:rsidRDefault="00DA61D8" w:rsidP="00DA61D8">
          <w:pPr>
            <w:pStyle w:val="TOC2"/>
            <w:rPr>
              <w:rFonts w:eastAsiaTheme="minorEastAsia" w:cs="Times New Roman"/>
              <w:noProof/>
              <w:kern w:val="2"/>
              <w14:ligatures w14:val="standardContextual"/>
            </w:rPr>
          </w:pPr>
          <w:hyperlink w:anchor="_Toc196256890" w:history="1">
            <w:r w:rsidRPr="00DA61D8">
              <w:rPr>
                <w:rStyle w:val="Hyperlink"/>
                <w:rFonts w:ascii="Times New Roman" w:hAnsi="Times New Roman" w:cs="Times New Roman"/>
                <w:noProof/>
              </w:rPr>
              <w:t>Acknowledgments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_Toc196256890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49</w:t>
            </w:r>
            <w:r w:rsidRPr="00DA61D8">
              <w:rPr>
                <w:rFonts w:cs="Times New Roman"/>
                <w:noProof/>
                <w:webHidden/>
              </w:rPr>
              <w:fldChar w:fldCharType="end"/>
            </w:r>
          </w:hyperlink>
        </w:p>
        <w:p w14:paraId="5E5E87ED" w14:textId="789FB83D" w:rsidR="00DA61D8" w:rsidRPr="00DA61D8" w:rsidRDefault="00DA61D8" w:rsidP="00DA61D8">
          <w:pPr>
            <w:pStyle w:val="TOC2"/>
            <w:rPr>
              <w:rFonts w:eastAsiaTheme="minorEastAsia" w:cs="Times New Roman"/>
              <w:noProof/>
              <w:kern w:val="2"/>
              <w14:ligatures w14:val="standardContextual"/>
            </w:rPr>
          </w:pPr>
          <w:hyperlink w:anchor="_Toc196256891" w:history="1">
            <w:r w:rsidRPr="00DA61D8">
              <w:rPr>
                <w:rStyle w:val="Hyperlink"/>
                <w:rFonts w:ascii="Times New Roman" w:hAnsi="Times New Roman" w:cs="Times New Roman"/>
                <w:noProof/>
              </w:rPr>
              <w:t>References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_Toc196256891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50</w:t>
            </w:r>
            <w:r w:rsidRPr="00DA61D8">
              <w:rPr>
                <w:rFonts w:cs="Times New Roman"/>
                <w:noProof/>
                <w:webHidden/>
              </w:rPr>
              <w:fldChar w:fldCharType="end"/>
            </w:r>
          </w:hyperlink>
        </w:p>
        <w:p w14:paraId="6B9178D2" w14:textId="3DF97924" w:rsidR="00DA61D8" w:rsidRPr="00DA61D8" w:rsidRDefault="00DA61D8" w:rsidP="00DA61D8">
          <w:pPr>
            <w:pStyle w:val="TOC2"/>
            <w:rPr>
              <w:rFonts w:eastAsiaTheme="minorEastAsia" w:cs="Times New Roman"/>
              <w:noProof/>
              <w:kern w:val="2"/>
              <w14:ligatures w14:val="standardContextual"/>
            </w:rPr>
          </w:pPr>
          <w:hyperlink w:anchor="_Toc196256892" w:history="1">
            <w:r w:rsidRPr="00DA61D8">
              <w:rPr>
                <w:rStyle w:val="Hyperlink"/>
                <w:rFonts w:ascii="Times New Roman" w:hAnsi="Times New Roman" w:cs="Times New Roman"/>
                <w:noProof/>
              </w:rPr>
              <w:t xml:space="preserve"> Appendix: Figures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_Toc196256892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68</w:t>
            </w:r>
            <w:r w:rsidRPr="00DA61D8">
              <w:rPr>
                <w:rFonts w:cs="Times New Roman"/>
                <w:noProof/>
                <w:webHidden/>
              </w:rPr>
              <w:fldChar w:fldCharType="end"/>
            </w:r>
          </w:hyperlink>
        </w:p>
        <w:p w14:paraId="46D4F571" w14:textId="61569C09" w:rsidR="00DA61D8" w:rsidRPr="00DA61D8" w:rsidRDefault="00DA61D8" w:rsidP="00DA61D8">
          <w:pPr>
            <w:pStyle w:val="TOC1"/>
            <w:rPr>
              <w:rFonts w:eastAsiaTheme="minorEastAsia"/>
              <w:kern w:val="2"/>
              <w14:ligatures w14:val="standardContextual"/>
            </w:rPr>
          </w:pPr>
          <w:hyperlink w:anchor="_Toc196256893" w:history="1">
            <w:r w:rsidRPr="00DA61D8">
              <w:rPr>
                <w:rStyle w:val="Hyperlink"/>
                <w:rFonts w:ascii="Times New Roman" w:hAnsi="Times New Roman"/>
              </w:rPr>
              <w:t>CHAPTER THREE: COMMUNITY ADAPTATION AND RESPONSE OF AN ECOLOGICALLY-RELEVANT POLAR DESERT BACTERIUM TO SUBTLE CHANGES IN SALINITY</w:t>
            </w:r>
            <w:r w:rsidRPr="00DA61D8">
              <w:rPr>
                <w:webHidden/>
              </w:rPr>
              <w:tab/>
            </w:r>
            <w:r w:rsidRPr="00DA61D8">
              <w:rPr>
                <w:webHidden/>
              </w:rPr>
              <w:fldChar w:fldCharType="begin"/>
            </w:r>
            <w:r w:rsidRPr="00DA61D8">
              <w:rPr>
                <w:webHidden/>
              </w:rPr>
              <w:instrText xml:space="preserve"> PAGEREF _Toc196256893 \h </w:instrText>
            </w:r>
            <w:r w:rsidRPr="00DA61D8">
              <w:rPr>
                <w:webHidden/>
              </w:rPr>
            </w:r>
            <w:r w:rsidRPr="00DA61D8">
              <w:rPr>
                <w:webHidden/>
              </w:rPr>
              <w:fldChar w:fldCharType="separate"/>
            </w:r>
            <w:r w:rsidR="0025018F">
              <w:rPr>
                <w:webHidden/>
              </w:rPr>
              <w:t>77</w:t>
            </w:r>
            <w:r w:rsidRPr="00DA61D8">
              <w:rPr>
                <w:webHidden/>
              </w:rPr>
              <w:fldChar w:fldCharType="end"/>
            </w:r>
          </w:hyperlink>
        </w:p>
        <w:p w14:paraId="72D8D247" w14:textId="34F8CDEA" w:rsidR="00DA61D8" w:rsidRPr="00DA61D8" w:rsidRDefault="00DA61D8" w:rsidP="00DA61D8">
          <w:pPr>
            <w:pStyle w:val="TOC2"/>
            <w:rPr>
              <w:rFonts w:eastAsiaTheme="minorEastAsia" w:cs="Times New Roman"/>
              <w:noProof/>
              <w:kern w:val="2"/>
              <w14:ligatures w14:val="standardContextual"/>
            </w:rPr>
          </w:pPr>
          <w:hyperlink w:anchor="_Toc196256894" w:history="1">
            <w:r w:rsidRPr="00DA61D8">
              <w:rPr>
                <w:rStyle w:val="Hyperlink"/>
                <w:rFonts w:ascii="Times New Roman" w:hAnsi="Times New Roman" w:cs="Times New Roman"/>
                <w:noProof/>
              </w:rPr>
              <w:t>Publication Note</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_Toc196256894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78</w:t>
            </w:r>
            <w:r w:rsidRPr="00DA61D8">
              <w:rPr>
                <w:rFonts w:cs="Times New Roman"/>
                <w:noProof/>
                <w:webHidden/>
              </w:rPr>
              <w:fldChar w:fldCharType="end"/>
            </w:r>
          </w:hyperlink>
        </w:p>
        <w:p w14:paraId="0307F305" w14:textId="5956DCDD" w:rsidR="00DA61D8" w:rsidRPr="00DA61D8" w:rsidRDefault="00DA61D8" w:rsidP="00DA61D8">
          <w:pPr>
            <w:pStyle w:val="TOC2"/>
            <w:rPr>
              <w:rFonts w:eastAsiaTheme="minorEastAsia" w:cs="Times New Roman"/>
              <w:noProof/>
              <w:kern w:val="2"/>
              <w14:ligatures w14:val="standardContextual"/>
            </w:rPr>
          </w:pPr>
          <w:hyperlink w:anchor="_Toc196256895" w:history="1">
            <w:r w:rsidRPr="00DA61D8">
              <w:rPr>
                <w:rStyle w:val="Hyperlink"/>
                <w:rFonts w:ascii="Times New Roman" w:hAnsi="Times New Roman" w:cs="Times New Roman"/>
                <w:noProof/>
              </w:rPr>
              <w:t>Abstract</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_Toc196256895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78</w:t>
            </w:r>
            <w:r w:rsidRPr="00DA61D8">
              <w:rPr>
                <w:rFonts w:cs="Times New Roman"/>
                <w:noProof/>
                <w:webHidden/>
              </w:rPr>
              <w:fldChar w:fldCharType="end"/>
            </w:r>
          </w:hyperlink>
        </w:p>
        <w:p w14:paraId="6302B8CB" w14:textId="5C9E61FE" w:rsidR="00DA61D8" w:rsidRPr="00DA61D8" w:rsidRDefault="00DA61D8" w:rsidP="00DA61D8">
          <w:pPr>
            <w:pStyle w:val="TOC2"/>
            <w:rPr>
              <w:rFonts w:eastAsiaTheme="minorEastAsia" w:cs="Times New Roman"/>
              <w:noProof/>
              <w:kern w:val="2"/>
              <w14:ligatures w14:val="standardContextual"/>
            </w:rPr>
          </w:pPr>
          <w:hyperlink w:anchor="_Toc196256896" w:history="1">
            <w:r w:rsidRPr="00DA61D8">
              <w:rPr>
                <w:rStyle w:val="Hyperlink"/>
                <w:rFonts w:ascii="Times New Roman" w:hAnsi="Times New Roman" w:cs="Times New Roman"/>
                <w:noProof/>
              </w:rPr>
              <w:t>Introduction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_Toc196256896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79</w:t>
            </w:r>
            <w:r w:rsidRPr="00DA61D8">
              <w:rPr>
                <w:rFonts w:cs="Times New Roman"/>
                <w:noProof/>
                <w:webHidden/>
              </w:rPr>
              <w:fldChar w:fldCharType="end"/>
            </w:r>
          </w:hyperlink>
        </w:p>
        <w:p w14:paraId="7A782381" w14:textId="7CD48EF1" w:rsidR="00DA61D8" w:rsidRPr="00DA61D8" w:rsidRDefault="00DA61D8" w:rsidP="00DA61D8">
          <w:pPr>
            <w:pStyle w:val="TOC2"/>
            <w:rPr>
              <w:rFonts w:eastAsiaTheme="minorEastAsia" w:cs="Times New Roman"/>
              <w:noProof/>
              <w:kern w:val="2"/>
              <w14:ligatures w14:val="standardContextual"/>
            </w:rPr>
          </w:pPr>
          <w:hyperlink w:anchor="_Toc196256897" w:history="1">
            <w:r w:rsidRPr="00DA61D8">
              <w:rPr>
                <w:rStyle w:val="Hyperlink"/>
                <w:rFonts w:ascii="Times New Roman" w:hAnsi="Times New Roman" w:cs="Times New Roman"/>
                <w:noProof/>
              </w:rPr>
              <w:t>Materials and Methods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_Toc196256897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81</w:t>
            </w:r>
            <w:r w:rsidRPr="00DA61D8">
              <w:rPr>
                <w:rFonts w:cs="Times New Roman"/>
                <w:noProof/>
                <w:webHidden/>
              </w:rPr>
              <w:fldChar w:fldCharType="end"/>
            </w:r>
          </w:hyperlink>
        </w:p>
        <w:p w14:paraId="6DF701F3" w14:textId="59DB8A5C" w:rsidR="00DA61D8" w:rsidRPr="00DA61D8" w:rsidRDefault="00DA61D8" w:rsidP="00DA61D8">
          <w:pPr>
            <w:pStyle w:val="TOC3"/>
            <w:rPr>
              <w:rFonts w:eastAsiaTheme="minorEastAsia" w:cs="Times New Roman"/>
              <w:noProof/>
              <w:kern w:val="2"/>
              <w14:ligatures w14:val="standardContextual"/>
            </w:rPr>
          </w:pPr>
          <w:hyperlink w:anchor="_Toc196256898" w:history="1">
            <w:r w:rsidRPr="00DA61D8">
              <w:rPr>
                <w:rStyle w:val="Hyperlink"/>
                <w:rFonts w:ascii="Times New Roman" w:hAnsi="Times New Roman" w:cs="Times New Roman"/>
                <w:noProof/>
              </w:rPr>
              <w:t>Site description and sample collection.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_Toc196256898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81</w:t>
            </w:r>
            <w:r w:rsidRPr="00DA61D8">
              <w:rPr>
                <w:rFonts w:cs="Times New Roman"/>
                <w:noProof/>
                <w:webHidden/>
              </w:rPr>
              <w:fldChar w:fldCharType="end"/>
            </w:r>
          </w:hyperlink>
        </w:p>
        <w:p w14:paraId="3812AB4F" w14:textId="1404794E" w:rsidR="00DA61D8" w:rsidRPr="00DA61D8" w:rsidRDefault="00DA61D8" w:rsidP="00DA61D8">
          <w:pPr>
            <w:pStyle w:val="TOC3"/>
            <w:rPr>
              <w:rFonts w:eastAsiaTheme="minorEastAsia" w:cs="Times New Roman"/>
              <w:noProof/>
              <w:kern w:val="2"/>
              <w14:ligatures w14:val="standardContextual"/>
            </w:rPr>
          </w:pPr>
          <w:hyperlink w:anchor="_Toc196256899" w:history="1">
            <w:r w:rsidRPr="00DA61D8">
              <w:rPr>
                <w:rStyle w:val="Hyperlink"/>
                <w:rFonts w:ascii="Times New Roman" w:hAnsi="Times New Roman" w:cs="Times New Roman"/>
                <w:noProof/>
              </w:rPr>
              <w:t>Soil geochemistry and biomass.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_Toc196256899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81</w:t>
            </w:r>
            <w:r w:rsidRPr="00DA61D8">
              <w:rPr>
                <w:rFonts w:cs="Times New Roman"/>
                <w:noProof/>
                <w:webHidden/>
              </w:rPr>
              <w:fldChar w:fldCharType="end"/>
            </w:r>
          </w:hyperlink>
        </w:p>
        <w:p w14:paraId="3F42BC0F" w14:textId="1521C4B3" w:rsidR="00DA61D8" w:rsidRPr="00DA61D8" w:rsidRDefault="00DA61D8" w:rsidP="00DA61D8">
          <w:pPr>
            <w:pStyle w:val="TOC3"/>
            <w:rPr>
              <w:rFonts w:eastAsiaTheme="minorEastAsia" w:cs="Times New Roman"/>
              <w:noProof/>
              <w:kern w:val="2"/>
              <w14:ligatures w14:val="standardContextual"/>
            </w:rPr>
          </w:pPr>
          <w:hyperlink w:anchor="_Toc196256900" w:history="1">
            <w:r w:rsidRPr="00DA61D8">
              <w:rPr>
                <w:rStyle w:val="Hyperlink"/>
                <w:rFonts w:ascii="Times New Roman" w:hAnsi="Times New Roman" w:cs="Times New Roman"/>
                <w:noProof/>
              </w:rPr>
              <w:t>Soil DNA extraction and analysis.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_Toc196256900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82</w:t>
            </w:r>
            <w:r w:rsidRPr="00DA61D8">
              <w:rPr>
                <w:rFonts w:cs="Times New Roman"/>
                <w:noProof/>
                <w:webHidden/>
              </w:rPr>
              <w:fldChar w:fldCharType="end"/>
            </w:r>
          </w:hyperlink>
        </w:p>
        <w:p w14:paraId="7E35546D" w14:textId="04604887" w:rsidR="00DA61D8" w:rsidRPr="00DA61D8" w:rsidRDefault="00DA61D8" w:rsidP="00DA61D8">
          <w:pPr>
            <w:pStyle w:val="TOC3"/>
            <w:rPr>
              <w:rFonts w:eastAsiaTheme="minorEastAsia" w:cs="Times New Roman"/>
              <w:noProof/>
              <w:kern w:val="2"/>
              <w14:ligatures w14:val="standardContextual"/>
            </w:rPr>
          </w:pPr>
          <w:hyperlink w:anchor="_Toc196256901" w:history="1">
            <w:r w:rsidRPr="00DA61D8">
              <w:rPr>
                <w:rStyle w:val="Hyperlink"/>
                <w:rFonts w:ascii="Times New Roman" w:hAnsi="Times New Roman" w:cs="Times New Roman"/>
                <w:noProof/>
              </w:rPr>
              <w:t>Isolation and genomic analyses of strain FRX26.</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_Toc196256901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83</w:t>
            </w:r>
            <w:r w:rsidRPr="00DA61D8">
              <w:rPr>
                <w:rFonts w:cs="Times New Roman"/>
                <w:noProof/>
                <w:webHidden/>
              </w:rPr>
              <w:fldChar w:fldCharType="end"/>
            </w:r>
          </w:hyperlink>
        </w:p>
        <w:p w14:paraId="5EF4D6A7" w14:textId="31EBA2D6" w:rsidR="00DA61D8" w:rsidRPr="00DA61D8" w:rsidRDefault="00DA61D8" w:rsidP="00DA61D8">
          <w:pPr>
            <w:pStyle w:val="TOC3"/>
            <w:rPr>
              <w:rFonts w:eastAsiaTheme="minorEastAsia" w:cs="Times New Roman"/>
              <w:noProof/>
              <w:kern w:val="2"/>
              <w14:ligatures w14:val="standardContextual"/>
            </w:rPr>
          </w:pPr>
          <w:hyperlink w:anchor="_Toc196256902" w:history="1">
            <w:r w:rsidRPr="00DA61D8">
              <w:rPr>
                <w:rStyle w:val="Hyperlink"/>
                <w:rFonts w:ascii="Times New Roman" w:hAnsi="Times New Roman" w:cs="Times New Roman"/>
                <w:noProof/>
              </w:rPr>
              <w:t>Salt challenge experiment.</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_Toc196256902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84</w:t>
            </w:r>
            <w:r w:rsidRPr="00DA61D8">
              <w:rPr>
                <w:rFonts w:cs="Times New Roman"/>
                <w:noProof/>
                <w:webHidden/>
              </w:rPr>
              <w:fldChar w:fldCharType="end"/>
            </w:r>
          </w:hyperlink>
        </w:p>
        <w:p w14:paraId="71DBA4A6" w14:textId="42216DA1" w:rsidR="00DA61D8" w:rsidRPr="00DA61D8" w:rsidRDefault="00DA61D8" w:rsidP="00DA61D8">
          <w:pPr>
            <w:pStyle w:val="TOC3"/>
            <w:rPr>
              <w:rFonts w:eastAsiaTheme="minorEastAsia" w:cs="Times New Roman"/>
              <w:noProof/>
              <w:kern w:val="2"/>
              <w14:ligatures w14:val="standardContextual"/>
            </w:rPr>
          </w:pPr>
          <w:hyperlink w:anchor="_Toc196256903" w:history="1">
            <w:r w:rsidRPr="00DA61D8">
              <w:rPr>
                <w:rStyle w:val="Hyperlink"/>
                <w:rFonts w:ascii="Times New Roman" w:hAnsi="Times New Roman" w:cs="Times New Roman"/>
                <w:noProof/>
              </w:rPr>
              <w:t>Metabolite extraction and analysis.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_Toc196256903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84</w:t>
            </w:r>
            <w:r w:rsidRPr="00DA61D8">
              <w:rPr>
                <w:rFonts w:cs="Times New Roman"/>
                <w:noProof/>
                <w:webHidden/>
              </w:rPr>
              <w:fldChar w:fldCharType="end"/>
            </w:r>
          </w:hyperlink>
        </w:p>
        <w:p w14:paraId="1248684C" w14:textId="7FA3328B" w:rsidR="00DA61D8" w:rsidRPr="00DA61D8" w:rsidRDefault="00DA61D8" w:rsidP="00DA61D8">
          <w:pPr>
            <w:pStyle w:val="TOC3"/>
            <w:rPr>
              <w:rFonts w:eastAsiaTheme="minorEastAsia" w:cs="Times New Roman"/>
              <w:noProof/>
              <w:kern w:val="2"/>
              <w14:ligatures w14:val="standardContextual"/>
            </w:rPr>
          </w:pPr>
          <w:hyperlink w:anchor="_Toc196256904" w:history="1">
            <w:r w:rsidRPr="00DA61D8">
              <w:rPr>
                <w:rStyle w:val="Hyperlink"/>
                <w:rFonts w:ascii="Times New Roman" w:hAnsi="Times New Roman" w:cs="Times New Roman"/>
                <w:noProof/>
              </w:rPr>
              <w:t>RNA extraction and analysis.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_Toc196256904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85</w:t>
            </w:r>
            <w:r w:rsidRPr="00DA61D8">
              <w:rPr>
                <w:rFonts w:cs="Times New Roman"/>
                <w:noProof/>
                <w:webHidden/>
              </w:rPr>
              <w:fldChar w:fldCharType="end"/>
            </w:r>
          </w:hyperlink>
        </w:p>
        <w:p w14:paraId="7ED5E5FA" w14:textId="00D1874A" w:rsidR="00DA61D8" w:rsidRPr="00DA61D8" w:rsidRDefault="00DA61D8" w:rsidP="00DA61D8">
          <w:pPr>
            <w:pStyle w:val="TOC2"/>
            <w:rPr>
              <w:rFonts w:eastAsiaTheme="minorEastAsia" w:cs="Times New Roman"/>
              <w:noProof/>
              <w:kern w:val="2"/>
              <w14:ligatures w14:val="standardContextual"/>
            </w:rPr>
          </w:pPr>
          <w:hyperlink w:anchor="_Toc196256905" w:history="1">
            <w:r w:rsidRPr="00DA61D8">
              <w:rPr>
                <w:rStyle w:val="Hyperlink"/>
                <w:rFonts w:ascii="Times New Roman" w:hAnsi="Times New Roman" w:cs="Times New Roman"/>
                <w:noProof/>
              </w:rPr>
              <w:t>Results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_Toc196256905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86</w:t>
            </w:r>
            <w:r w:rsidRPr="00DA61D8">
              <w:rPr>
                <w:rFonts w:cs="Times New Roman"/>
                <w:noProof/>
                <w:webHidden/>
              </w:rPr>
              <w:fldChar w:fldCharType="end"/>
            </w:r>
          </w:hyperlink>
        </w:p>
        <w:p w14:paraId="6EE494C3" w14:textId="3A487949" w:rsidR="00DA61D8" w:rsidRPr="00DA61D8" w:rsidRDefault="00DA61D8" w:rsidP="00DA61D8">
          <w:pPr>
            <w:pStyle w:val="TOC3"/>
            <w:rPr>
              <w:rFonts w:eastAsiaTheme="minorEastAsia" w:cs="Times New Roman"/>
              <w:noProof/>
              <w:kern w:val="2"/>
              <w14:ligatures w14:val="standardContextual"/>
            </w:rPr>
          </w:pPr>
          <w:hyperlink w:anchor="_Toc196256906" w:history="1">
            <w:r w:rsidRPr="00DA61D8">
              <w:rPr>
                <w:rStyle w:val="Hyperlink"/>
                <w:rFonts w:ascii="Times New Roman" w:hAnsi="Times New Roman" w:cs="Times New Roman"/>
                <w:noProof/>
              </w:rPr>
              <w:t>Geochemistry and biomass.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_Toc196256906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86</w:t>
            </w:r>
            <w:r w:rsidRPr="00DA61D8">
              <w:rPr>
                <w:rFonts w:cs="Times New Roman"/>
                <w:noProof/>
                <w:webHidden/>
              </w:rPr>
              <w:fldChar w:fldCharType="end"/>
            </w:r>
          </w:hyperlink>
        </w:p>
        <w:p w14:paraId="522C013D" w14:textId="0A8452B4" w:rsidR="00DA61D8" w:rsidRPr="00DA61D8" w:rsidRDefault="00DA61D8" w:rsidP="00DA61D8">
          <w:pPr>
            <w:pStyle w:val="TOC3"/>
            <w:rPr>
              <w:rFonts w:eastAsiaTheme="minorEastAsia" w:cs="Times New Roman"/>
              <w:noProof/>
              <w:kern w:val="2"/>
              <w14:ligatures w14:val="standardContextual"/>
            </w:rPr>
          </w:pPr>
          <w:hyperlink w:anchor="_Toc196256907" w:history="1">
            <w:r w:rsidRPr="00DA61D8">
              <w:rPr>
                <w:rStyle w:val="Hyperlink"/>
                <w:rFonts w:ascii="Times New Roman" w:hAnsi="Times New Roman" w:cs="Times New Roman"/>
                <w:noProof/>
              </w:rPr>
              <w:t>Community structure and genomic potential.</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_Toc196256907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86</w:t>
            </w:r>
            <w:r w:rsidRPr="00DA61D8">
              <w:rPr>
                <w:rFonts w:cs="Times New Roman"/>
                <w:noProof/>
                <w:webHidden/>
              </w:rPr>
              <w:fldChar w:fldCharType="end"/>
            </w:r>
          </w:hyperlink>
        </w:p>
        <w:p w14:paraId="7D38597F" w14:textId="5374FD54" w:rsidR="00DA61D8" w:rsidRPr="00DA61D8" w:rsidRDefault="00DA61D8" w:rsidP="00DA61D8">
          <w:pPr>
            <w:pStyle w:val="TOC3"/>
            <w:rPr>
              <w:rFonts w:eastAsiaTheme="minorEastAsia" w:cs="Times New Roman"/>
              <w:noProof/>
              <w:kern w:val="2"/>
              <w14:ligatures w14:val="standardContextual"/>
            </w:rPr>
          </w:pPr>
          <w:hyperlink w:anchor="_Toc196256908" w:history="1">
            <w:r w:rsidRPr="00DA61D8">
              <w:rPr>
                <w:rStyle w:val="Hyperlink"/>
                <w:rFonts w:ascii="Times New Roman" w:hAnsi="Times New Roman" w:cs="Times New Roman"/>
                <w:noProof/>
              </w:rPr>
              <w:t>Isolation and taxonomic placement of Gillisia sp. FRX26.</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_Toc196256908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87</w:t>
            </w:r>
            <w:r w:rsidRPr="00DA61D8">
              <w:rPr>
                <w:rFonts w:cs="Times New Roman"/>
                <w:noProof/>
                <w:webHidden/>
              </w:rPr>
              <w:fldChar w:fldCharType="end"/>
            </w:r>
          </w:hyperlink>
        </w:p>
        <w:p w14:paraId="75CE6341" w14:textId="7277816F" w:rsidR="00DA61D8" w:rsidRPr="00DA61D8" w:rsidRDefault="00DA61D8" w:rsidP="00DA61D8">
          <w:pPr>
            <w:pStyle w:val="TOC3"/>
            <w:rPr>
              <w:rFonts w:eastAsiaTheme="minorEastAsia" w:cs="Times New Roman"/>
              <w:noProof/>
              <w:kern w:val="2"/>
              <w14:ligatures w14:val="standardContextual"/>
            </w:rPr>
          </w:pPr>
          <w:hyperlink w:anchor="_Toc196256909" w:history="1">
            <w:r w:rsidRPr="00DA61D8">
              <w:rPr>
                <w:rStyle w:val="Hyperlink"/>
                <w:rFonts w:ascii="Times New Roman" w:hAnsi="Times New Roman" w:cs="Times New Roman"/>
                <w:noProof/>
              </w:rPr>
              <w:t>Genomic analysis of strain FRX26.</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_Toc196256909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88</w:t>
            </w:r>
            <w:r w:rsidRPr="00DA61D8">
              <w:rPr>
                <w:rFonts w:cs="Times New Roman"/>
                <w:noProof/>
                <w:webHidden/>
              </w:rPr>
              <w:fldChar w:fldCharType="end"/>
            </w:r>
          </w:hyperlink>
        </w:p>
        <w:p w14:paraId="09C2BA37" w14:textId="60D85D9B" w:rsidR="00DA61D8" w:rsidRPr="00DA61D8" w:rsidRDefault="00DA61D8" w:rsidP="00DA61D8">
          <w:pPr>
            <w:pStyle w:val="TOC3"/>
            <w:rPr>
              <w:rFonts w:eastAsiaTheme="minorEastAsia" w:cs="Times New Roman"/>
              <w:noProof/>
              <w:kern w:val="2"/>
              <w14:ligatures w14:val="standardContextual"/>
            </w:rPr>
          </w:pPr>
          <w:hyperlink w:anchor="_Toc196256910" w:history="1">
            <w:r w:rsidRPr="00DA61D8">
              <w:rPr>
                <w:rStyle w:val="Hyperlink"/>
                <w:rFonts w:ascii="Times New Roman" w:hAnsi="Times New Roman" w:cs="Times New Roman"/>
                <w:noProof/>
              </w:rPr>
              <w:t>Metabolic and transcriptomic response to subtle increase in salt concentration.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_Toc196256910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90</w:t>
            </w:r>
            <w:r w:rsidRPr="00DA61D8">
              <w:rPr>
                <w:rFonts w:cs="Times New Roman"/>
                <w:noProof/>
                <w:webHidden/>
              </w:rPr>
              <w:fldChar w:fldCharType="end"/>
            </w:r>
          </w:hyperlink>
        </w:p>
        <w:p w14:paraId="0E6E7E5D" w14:textId="20381B77" w:rsidR="00DA61D8" w:rsidRPr="00DA61D8" w:rsidRDefault="00DA61D8" w:rsidP="00DA61D8">
          <w:pPr>
            <w:pStyle w:val="TOC2"/>
            <w:rPr>
              <w:rFonts w:eastAsiaTheme="minorEastAsia" w:cs="Times New Roman"/>
              <w:noProof/>
              <w:kern w:val="2"/>
              <w14:ligatures w14:val="standardContextual"/>
            </w:rPr>
          </w:pPr>
          <w:hyperlink w:anchor="_Toc196256911" w:history="1">
            <w:r w:rsidRPr="00DA61D8">
              <w:rPr>
                <w:rStyle w:val="Hyperlink"/>
                <w:rFonts w:ascii="Times New Roman" w:hAnsi="Times New Roman" w:cs="Times New Roman"/>
                <w:noProof/>
              </w:rPr>
              <w:t>Discussion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_Toc196256911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91</w:t>
            </w:r>
            <w:r w:rsidRPr="00DA61D8">
              <w:rPr>
                <w:rFonts w:cs="Times New Roman"/>
                <w:noProof/>
                <w:webHidden/>
              </w:rPr>
              <w:fldChar w:fldCharType="end"/>
            </w:r>
          </w:hyperlink>
        </w:p>
        <w:p w14:paraId="3FF279F8" w14:textId="6D51E590" w:rsidR="00DA61D8" w:rsidRPr="00DA61D8" w:rsidRDefault="00DA61D8" w:rsidP="00DA61D8">
          <w:pPr>
            <w:pStyle w:val="TOC3"/>
            <w:rPr>
              <w:rFonts w:eastAsiaTheme="minorEastAsia" w:cs="Times New Roman"/>
              <w:noProof/>
              <w:kern w:val="2"/>
              <w14:ligatures w14:val="standardContextual"/>
            </w:rPr>
          </w:pPr>
          <w:hyperlink w:anchor="_Toc196256912" w:history="1">
            <w:r w:rsidRPr="00DA61D8">
              <w:rPr>
                <w:rStyle w:val="Hyperlink"/>
                <w:rFonts w:ascii="Times New Roman" w:hAnsi="Times New Roman" w:cs="Times New Roman"/>
                <w:noProof/>
              </w:rPr>
              <w:t>Microbiology of an Antarctic meltwater seep.</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_Toc196256912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91</w:t>
            </w:r>
            <w:r w:rsidRPr="00DA61D8">
              <w:rPr>
                <w:rFonts w:cs="Times New Roman"/>
                <w:noProof/>
                <w:webHidden/>
              </w:rPr>
              <w:fldChar w:fldCharType="end"/>
            </w:r>
          </w:hyperlink>
        </w:p>
        <w:p w14:paraId="543E042C" w14:textId="5542CB69" w:rsidR="00DA61D8" w:rsidRPr="00DA61D8" w:rsidRDefault="00DA61D8" w:rsidP="00DA61D8">
          <w:pPr>
            <w:pStyle w:val="TOC3"/>
            <w:rPr>
              <w:rFonts w:eastAsiaTheme="minorEastAsia" w:cs="Times New Roman"/>
              <w:noProof/>
              <w:kern w:val="2"/>
              <w14:ligatures w14:val="standardContextual"/>
            </w:rPr>
          </w:pPr>
          <w:hyperlink w:anchor="_Toc196256913" w:history="1">
            <w:r w:rsidRPr="00DA61D8">
              <w:rPr>
                <w:rStyle w:val="Hyperlink"/>
                <w:rFonts w:ascii="Times New Roman" w:hAnsi="Times New Roman" w:cs="Times New Roman"/>
                <w:noProof/>
              </w:rPr>
              <w:t>Adaptations to dynamic conditions in polar desert soils.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_Toc196256913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93</w:t>
            </w:r>
            <w:r w:rsidRPr="00DA61D8">
              <w:rPr>
                <w:rFonts w:cs="Times New Roman"/>
                <w:noProof/>
                <w:webHidden/>
              </w:rPr>
              <w:fldChar w:fldCharType="end"/>
            </w:r>
          </w:hyperlink>
        </w:p>
        <w:p w14:paraId="6A32E718" w14:textId="77A4CC98" w:rsidR="00DA61D8" w:rsidRPr="00DA61D8" w:rsidRDefault="00DA61D8" w:rsidP="00DA61D8">
          <w:pPr>
            <w:pStyle w:val="TOC3"/>
            <w:rPr>
              <w:rFonts w:eastAsiaTheme="minorEastAsia" w:cs="Times New Roman"/>
              <w:noProof/>
              <w:kern w:val="2"/>
              <w14:ligatures w14:val="standardContextual"/>
            </w:rPr>
          </w:pPr>
          <w:hyperlink w:anchor="_Toc196256914" w:history="1">
            <w:r w:rsidRPr="00DA61D8">
              <w:rPr>
                <w:rStyle w:val="Hyperlink"/>
                <w:rFonts w:ascii="Times New Roman" w:hAnsi="Times New Roman" w:cs="Times New Roman"/>
                <w:noProof/>
              </w:rPr>
              <w:t>Distribution and adaptations of a potentially novel Gillisia sp., strain FRX26.</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_Toc196256914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94</w:t>
            </w:r>
            <w:r w:rsidRPr="00DA61D8">
              <w:rPr>
                <w:rFonts w:cs="Times New Roman"/>
                <w:noProof/>
                <w:webHidden/>
              </w:rPr>
              <w:fldChar w:fldCharType="end"/>
            </w:r>
          </w:hyperlink>
        </w:p>
        <w:p w14:paraId="3DD87F20" w14:textId="21E79F0B" w:rsidR="00DA61D8" w:rsidRPr="00DA61D8" w:rsidRDefault="00DA61D8" w:rsidP="00DA61D8">
          <w:pPr>
            <w:pStyle w:val="TOC3"/>
            <w:rPr>
              <w:rFonts w:eastAsiaTheme="minorEastAsia" w:cs="Times New Roman"/>
              <w:noProof/>
              <w:kern w:val="2"/>
              <w14:ligatures w14:val="standardContextual"/>
            </w:rPr>
          </w:pPr>
          <w:hyperlink w:anchor="_Toc196256915" w:history="1">
            <w:r w:rsidRPr="00DA61D8">
              <w:rPr>
                <w:rStyle w:val="Hyperlink"/>
                <w:rFonts w:ascii="Times New Roman" w:hAnsi="Times New Roman" w:cs="Times New Roman"/>
                <w:noProof/>
              </w:rPr>
              <w:t>Response of an ecologically-relevant bacterium to subtle changes in salinity.</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_Toc196256915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96</w:t>
            </w:r>
            <w:r w:rsidRPr="00DA61D8">
              <w:rPr>
                <w:rFonts w:cs="Times New Roman"/>
                <w:noProof/>
                <w:webHidden/>
              </w:rPr>
              <w:fldChar w:fldCharType="end"/>
            </w:r>
          </w:hyperlink>
        </w:p>
        <w:p w14:paraId="3591CEAF" w14:textId="7B7BD47C" w:rsidR="00DA61D8" w:rsidRPr="00DA61D8" w:rsidRDefault="00DA61D8" w:rsidP="00DA61D8">
          <w:pPr>
            <w:pStyle w:val="TOC2"/>
            <w:rPr>
              <w:rFonts w:eastAsiaTheme="minorEastAsia" w:cs="Times New Roman"/>
              <w:noProof/>
              <w:kern w:val="2"/>
              <w14:ligatures w14:val="standardContextual"/>
            </w:rPr>
          </w:pPr>
          <w:hyperlink w:anchor="_Toc196256916" w:history="1">
            <w:r w:rsidRPr="00DA61D8">
              <w:rPr>
                <w:rStyle w:val="Hyperlink"/>
                <w:rFonts w:ascii="Times New Roman" w:hAnsi="Times New Roman" w:cs="Times New Roman"/>
                <w:noProof/>
              </w:rPr>
              <w:t>Conclusion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_Toc196256916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98</w:t>
            </w:r>
            <w:r w:rsidRPr="00DA61D8">
              <w:rPr>
                <w:rFonts w:cs="Times New Roman"/>
                <w:noProof/>
                <w:webHidden/>
              </w:rPr>
              <w:fldChar w:fldCharType="end"/>
            </w:r>
          </w:hyperlink>
        </w:p>
        <w:p w14:paraId="35B2E42B" w14:textId="578599D1" w:rsidR="00DA61D8" w:rsidRPr="00DA61D8" w:rsidRDefault="00DA61D8" w:rsidP="00DA61D8">
          <w:pPr>
            <w:pStyle w:val="TOC2"/>
            <w:rPr>
              <w:rFonts w:eastAsiaTheme="minorEastAsia" w:cs="Times New Roman"/>
              <w:noProof/>
              <w:kern w:val="2"/>
              <w14:ligatures w14:val="standardContextual"/>
            </w:rPr>
          </w:pPr>
          <w:hyperlink w:anchor="_Toc196256917" w:history="1">
            <w:r w:rsidRPr="00DA61D8">
              <w:rPr>
                <w:rStyle w:val="Hyperlink"/>
                <w:rFonts w:ascii="Times New Roman" w:hAnsi="Times New Roman" w:cs="Times New Roman"/>
                <w:noProof/>
              </w:rPr>
              <w:t>References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_Toc196256917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99</w:t>
            </w:r>
            <w:r w:rsidRPr="00DA61D8">
              <w:rPr>
                <w:rFonts w:cs="Times New Roman"/>
                <w:noProof/>
                <w:webHidden/>
              </w:rPr>
              <w:fldChar w:fldCharType="end"/>
            </w:r>
          </w:hyperlink>
        </w:p>
        <w:p w14:paraId="2AE8223C" w14:textId="4202E447" w:rsidR="00DA61D8" w:rsidRPr="00DA61D8" w:rsidRDefault="00DA61D8" w:rsidP="00DA61D8">
          <w:pPr>
            <w:pStyle w:val="TOC2"/>
            <w:rPr>
              <w:rFonts w:eastAsiaTheme="minorEastAsia" w:cs="Times New Roman"/>
              <w:noProof/>
              <w:kern w:val="2"/>
              <w14:ligatures w14:val="standardContextual"/>
            </w:rPr>
          </w:pPr>
          <w:hyperlink w:anchor="_Toc196256918" w:history="1">
            <w:r w:rsidRPr="00DA61D8">
              <w:rPr>
                <w:rStyle w:val="Hyperlink"/>
                <w:rFonts w:ascii="Times New Roman" w:hAnsi="Times New Roman" w:cs="Times New Roman"/>
                <w:noProof/>
              </w:rPr>
              <w:t>Appendix: Tables and Figures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_Toc196256918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114</w:t>
            </w:r>
            <w:r w:rsidRPr="00DA61D8">
              <w:rPr>
                <w:rFonts w:cs="Times New Roman"/>
                <w:noProof/>
                <w:webHidden/>
              </w:rPr>
              <w:fldChar w:fldCharType="end"/>
            </w:r>
          </w:hyperlink>
        </w:p>
        <w:p w14:paraId="26761EC1" w14:textId="50D052DD" w:rsidR="00DA61D8" w:rsidRPr="00DA61D8" w:rsidRDefault="00DA61D8" w:rsidP="00DA61D8">
          <w:pPr>
            <w:pStyle w:val="TOC1"/>
            <w:rPr>
              <w:rFonts w:eastAsiaTheme="minorEastAsia"/>
              <w:kern w:val="2"/>
              <w14:ligatures w14:val="standardContextual"/>
            </w:rPr>
          </w:pPr>
          <w:hyperlink w:anchor="_Toc196256919" w:history="1">
            <w:r w:rsidRPr="00DA61D8">
              <w:rPr>
                <w:rStyle w:val="Hyperlink"/>
                <w:rFonts w:ascii="Times New Roman" w:hAnsi="Times New Roman"/>
              </w:rPr>
              <w:t xml:space="preserve">CHAPTER FOUR: MULTI-TECHNIQUE CHARACTERIZATION OF IRON REDUCTION BY AN ANTARCTIC </w:t>
            </w:r>
            <w:r w:rsidRPr="00DA61D8">
              <w:rPr>
                <w:rStyle w:val="Hyperlink"/>
                <w:rFonts w:ascii="Times New Roman" w:hAnsi="Times New Roman"/>
                <w:i/>
                <w:iCs/>
              </w:rPr>
              <w:t>SHEWANELLA</w:t>
            </w:r>
            <w:r w:rsidRPr="00DA61D8">
              <w:rPr>
                <w:rStyle w:val="Hyperlink"/>
                <w:rFonts w:ascii="Times New Roman" w:hAnsi="Times New Roman"/>
              </w:rPr>
              <w:t>: AN ANALOG SYSTEM FOR PUTATIVE MARTIAN BIOSIGNATURE IDENTIFICATION</w:t>
            </w:r>
            <w:r w:rsidRPr="00DA61D8">
              <w:rPr>
                <w:webHidden/>
              </w:rPr>
              <w:tab/>
            </w:r>
            <w:r w:rsidRPr="00DA61D8">
              <w:rPr>
                <w:webHidden/>
              </w:rPr>
              <w:fldChar w:fldCharType="begin"/>
            </w:r>
            <w:r w:rsidRPr="00DA61D8">
              <w:rPr>
                <w:webHidden/>
              </w:rPr>
              <w:instrText xml:space="preserve"> PAGEREF _Toc196256919 \h </w:instrText>
            </w:r>
            <w:r w:rsidRPr="00DA61D8">
              <w:rPr>
                <w:webHidden/>
              </w:rPr>
            </w:r>
            <w:r w:rsidRPr="00DA61D8">
              <w:rPr>
                <w:webHidden/>
              </w:rPr>
              <w:fldChar w:fldCharType="separate"/>
            </w:r>
            <w:r w:rsidR="0025018F">
              <w:rPr>
                <w:webHidden/>
              </w:rPr>
              <w:t>141</w:t>
            </w:r>
            <w:r w:rsidRPr="00DA61D8">
              <w:rPr>
                <w:webHidden/>
              </w:rPr>
              <w:fldChar w:fldCharType="end"/>
            </w:r>
          </w:hyperlink>
        </w:p>
        <w:p w14:paraId="1C86AC7B" w14:textId="101A71F8" w:rsidR="00DA61D8" w:rsidRPr="00DA61D8" w:rsidRDefault="00DA61D8" w:rsidP="00DA61D8">
          <w:pPr>
            <w:pStyle w:val="TOC2"/>
            <w:rPr>
              <w:rFonts w:eastAsiaTheme="minorEastAsia" w:cs="Times New Roman"/>
              <w:noProof/>
              <w:kern w:val="2"/>
              <w14:ligatures w14:val="standardContextual"/>
            </w:rPr>
          </w:pPr>
          <w:hyperlink w:anchor="_Toc196256920" w:history="1">
            <w:r w:rsidRPr="00DA61D8">
              <w:rPr>
                <w:rStyle w:val="Hyperlink"/>
                <w:rFonts w:ascii="Times New Roman" w:hAnsi="Times New Roman" w:cs="Times New Roman"/>
                <w:noProof/>
              </w:rPr>
              <w:t>Publication Note</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_Toc196256920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142</w:t>
            </w:r>
            <w:r w:rsidRPr="00DA61D8">
              <w:rPr>
                <w:rFonts w:cs="Times New Roman"/>
                <w:noProof/>
                <w:webHidden/>
              </w:rPr>
              <w:fldChar w:fldCharType="end"/>
            </w:r>
          </w:hyperlink>
        </w:p>
        <w:p w14:paraId="7593A067" w14:textId="6631CAA5" w:rsidR="00DA61D8" w:rsidRPr="00DA61D8" w:rsidRDefault="00DA61D8" w:rsidP="00DA61D8">
          <w:pPr>
            <w:pStyle w:val="TOC2"/>
            <w:rPr>
              <w:rFonts w:eastAsiaTheme="minorEastAsia" w:cs="Times New Roman"/>
              <w:noProof/>
              <w:kern w:val="2"/>
              <w14:ligatures w14:val="standardContextual"/>
            </w:rPr>
          </w:pPr>
          <w:hyperlink w:anchor="_Toc196256921" w:history="1">
            <w:r w:rsidRPr="00DA61D8">
              <w:rPr>
                <w:rStyle w:val="Hyperlink"/>
                <w:rFonts w:ascii="Times New Roman" w:hAnsi="Times New Roman" w:cs="Times New Roman"/>
                <w:noProof/>
              </w:rPr>
              <w:t>Abstract</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_Toc196256921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142</w:t>
            </w:r>
            <w:r w:rsidRPr="00DA61D8">
              <w:rPr>
                <w:rFonts w:cs="Times New Roman"/>
                <w:noProof/>
                <w:webHidden/>
              </w:rPr>
              <w:fldChar w:fldCharType="end"/>
            </w:r>
          </w:hyperlink>
        </w:p>
        <w:p w14:paraId="3B7D98B0" w14:textId="02F35651" w:rsidR="00DA61D8" w:rsidRPr="00DA61D8" w:rsidRDefault="00DA61D8" w:rsidP="00DA61D8">
          <w:pPr>
            <w:pStyle w:val="TOC3"/>
            <w:rPr>
              <w:rFonts w:eastAsiaTheme="minorEastAsia" w:cs="Times New Roman"/>
              <w:noProof/>
              <w:kern w:val="2"/>
              <w14:ligatures w14:val="standardContextual"/>
            </w:rPr>
          </w:pPr>
          <w:hyperlink w:anchor="_Toc196256922" w:history="1">
            <w:r w:rsidRPr="00DA61D8">
              <w:rPr>
                <w:rStyle w:val="Hyperlink"/>
                <w:rFonts w:ascii="Times New Roman" w:hAnsi="Times New Roman" w:cs="Times New Roman"/>
                <w:noProof/>
              </w:rPr>
              <w:t>Importance</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_Toc196256922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143</w:t>
            </w:r>
            <w:r w:rsidRPr="00DA61D8">
              <w:rPr>
                <w:rFonts w:cs="Times New Roman"/>
                <w:noProof/>
                <w:webHidden/>
              </w:rPr>
              <w:fldChar w:fldCharType="end"/>
            </w:r>
          </w:hyperlink>
        </w:p>
        <w:p w14:paraId="5C5768C9" w14:textId="37D2D2CE" w:rsidR="00DA61D8" w:rsidRPr="00DA61D8" w:rsidRDefault="00DA61D8" w:rsidP="00DA61D8">
          <w:pPr>
            <w:pStyle w:val="TOC2"/>
            <w:rPr>
              <w:rFonts w:eastAsiaTheme="minorEastAsia" w:cs="Times New Roman"/>
              <w:noProof/>
              <w:kern w:val="2"/>
              <w14:ligatures w14:val="standardContextual"/>
            </w:rPr>
          </w:pPr>
          <w:hyperlink w:anchor="_Toc196256923" w:history="1">
            <w:r w:rsidRPr="00DA61D8">
              <w:rPr>
                <w:rStyle w:val="Hyperlink"/>
                <w:rFonts w:ascii="Times New Roman" w:hAnsi="Times New Roman" w:cs="Times New Roman"/>
                <w:noProof/>
              </w:rPr>
              <w:t>Introduction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_Toc196256923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143</w:t>
            </w:r>
            <w:r w:rsidRPr="00DA61D8">
              <w:rPr>
                <w:rFonts w:cs="Times New Roman"/>
                <w:noProof/>
                <w:webHidden/>
              </w:rPr>
              <w:fldChar w:fldCharType="end"/>
            </w:r>
          </w:hyperlink>
        </w:p>
        <w:p w14:paraId="205BC07C" w14:textId="6BF7FF93" w:rsidR="00DA61D8" w:rsidRPr="00DA61D8" w:rsidRDefault="00DA61D8" w:rsidP="00DA61D8">
          <w:pPr>
            <w:pStyle w:val="TOC2"/>
            <w:rPr>
              <w:rFonts w:eastAsiaTheme="minorEastAsia" w:cs="Times New Roman"/>
              <w:noProof/>
              <w:kern w:val="2"/>
              <w14:ligatures w14:val="standardContextual"/>
            </w:rPr>
          </w:pPr>
          <w:hyperlink w:anchor="_Toc196256924" w:history="1">
            <w:r w:rsidRPr="00DA61D8">
              <w:rPr>
                <w:rStyle w:val="Hyperlink"/>
                <w:rFonts w:ascii="Times New Roman" w:hAnsi="Times New Roman" w:cs="Times New Roman"/>
                <w:noProof/>
              </w:rPr>
              <w:t>Materials and methods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_Toc196256924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147</w:t>
            </w:r>
            <w:r w:rsidRPr="00DA61D8">
              <w:rPr>
                <w:rFonts w:cs="Times New Roman"/>
                <w:noProof/>
                <w:webHidden/>
              </w:rPr>
              <w:fldChar w:fldCharType="end"/>
            </w:r>
          </w:hyperlink>
        </w:p>
        <w:p w14:paraId="7AF42A3D" w14:textId="7DD4881C" w:rsidR="00DA61D8" w:rsidRPr="00DA61D8" w:rsidRDefault="00DA61D8" w:rsidP="00DA61D8">
          <w:pPr>
            <w:pStyle w:val="TOC3"/>
            <w:rPr>
              <w:rFonts w:eastAsiaTheme="minorEastAsia" w:cs="Times New Roman"/>
              <w:noProof/>
              <w:kern w:val="2"/>
              <w14:ligatures w14:val="standardContextual"/>
            </w:rPr>
          </w:pPr>
          <w:hyperlink w:anchor="_Toc196256925" w:history="1">
            <w:r w:rsidRPr="00DA61D8">
              <w:rPr>
                <w:rStyle w:val="Hyperlink"/>
                <w:rFonts w:ascii="Times New Roman" w:hAnsi="Times New Roman" w:cs="Times New Roman"/>
                <w:noProof/>
              </w:rPr>
              <w:t>Culture Conditions.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_Toc196256925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147</w:t>
            </w:r>
            <w:r w:rsidRPr="00DA61D8">
              <w:rPr>
                <w:rFonts w:cs="Times New Roman"/>
                <w:noProof/>
                <w:webHidden/>
              </w:rPr>
              <w:fldChar w:fldCharType="end"/>
            </w:r>
          </w:hyperlink>
        </w:p>
        <w:p w14:paraId="04055429" w14:textId="37A147EC" w:rsidR="00DA61D8" w:rsidRPr="00DA61D8" w:rsidRDefault="00DA61D8" w:rsidP="00DA61D8">
          <w:pPr>
            <w:pStyle w:val="TOC3"/>
            <w:rPr>
              <w:rFonts w:eastAsiaTheme="minorEastAsia" w:cs="Times New Roman"/>
              <w:noProof/>
              <w:kern w:val="2"/>
              <w14:ligatures w14:val="standardContextual"/>
            </w:rPr>
          </w:pPr>
          <w:hyperlink w:anchor="_Toc196256926" w:history="1">
            <w:r w:rsidRPr="00DA61D8">
              <w:rPr>
                <w:rStyle w:val="Hyperlink"/>
                <w:rFonts w:ascii="Times New Roman" w:hAnsi="Times New Roman" w:cs="Times New Roman"/>
                <w:noProof/>
              </w:rPr>
              <w:t>Colorimetric Iron Concentration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_Toc196256926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148</w:t>
            </w:r>
            <w:r w:rsidRPr="00DA61D8">
              <w:rPr>
                <w:rFonts w:cs="Times New Roman"/>
                <w:noProof/>
                <w:webHidden/>
              </w:rPr>
              <w:fldChar w:fldCharType="end"/>
            </w:r>
          </w:hyperlink>
        </w:p>
        <w:p w14:paraId="5B7A4EE2" w14:textId="62E080D2" w:rsidR="00DA61D8" w:rsidRPr="00DA61D8" w:rsidRDefault="00DA61D8" w:rsidP="00DA61D8">
          <w:pPr>
            <w:pStyle w:val="TOC3"/>
            <w:rPr>
              <w:rFonts w:eastAsiaTheme="minorEastAsia" w:cs="Times New Roman"/>
              <w:noProof/>
              <w:kern w:val="2"/>
              <w14:ligatures w14:val="standardContextual"/>
            </w:rPr>
          </w:pPr>
          <w:hyperlink w:anchor="_Toc196256927" w:history="1">
            <w:r w:rsidRPr="00DA61D8">
              <w:rPr>
                <w:rStyle w:val="Hyperlink"/>
                <w:rFonts w:ascii="Times New Roman" w:hAnsi="Times New Roman" w:cs="Times New Roman"/>
                <w:noProof/>
              </w:rPr>
              <w:t>Mineralogy</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_Toc196256927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149</w:t>
            </w:r>
            <w:r w:rsidRPr="00DA61D8">
              <w:rPr>
                <w:rFonts w:cs="Times New Roman"/>
                <w:noProof/>
                <w:webHidden/>
              </w:rPr>
              <w:fldChar w:fldCharType="end"/>
            </w:r>
          </w:hyperlink>
        </w:p>
        <w:p w14:paraId="7E311175" w14:textId="25C953D1" w:rsidR="00DA61D8" w:rsidRPr="00DA61D8" w:rsidRDefault="00DA61D8" w:rsidP="00DA61D8">
          <w:pPr>
            <w:pStyle w:val="TOC3"/>
            <w:rPr>
              <w:rFonts w:eastAsiaTheme="minorEastAsia" w:cs="Times New Roman"/>
              <w:noProof/>
              <w:kern w:val="2"/>
              <w14:ligatures w14:val="standardContextual"/>
            </w:rPr>
          </w:pPr>
          <w:hyperlink w:anchor="_Toc196256928" w:history="1">
            <w:r w:rsidRPr="00DA61D8">
              <w:rPr>
                <w:rStyle w:val="Hyperlink"/>
                <w:rFonts w:ascii="Times New Roman" w:hAnsi="Times New Roman" w:cs="Times New Roman"/>
                <w:noProof/>
              </w:rPr>
              <w:t>RNA Extraction and Sequencing</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_Toc196256928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151</w:t>
            </w:r>
            <w:r w:rsidRPr="00DA61D8">
              <w:rPr>
                <w:rFonts w:cs="Times New Roman"/>
                <w:noProof/>
                <w:webHidden/>
              </w:rPr>
              <w:fldChar w:fldCharType="end"/>
            </w:r>
          </w:hyperlink>
        </w:p>
        <w:p w14:paraId="3B77C225" w14:textId="51BA0A54" w:rsidR="00DA61D8" w:rsidRPr="00DA61D8" w:rsidRDefault="00DA61D8" w:rsidP="00DA61D8">
          <w:pPr>
            <w:pStyle w:val="TOC3"/>
            <w:rPr>
              <w:rFonts w:eastAsiaTheme="minorEastAsia" w:cs="Times New Roman"/>
              <w:noProof/>
              <w:kern w:val="2"/>
              <w14:ligatures w14:val="standardContextual"/>
            </w:rPr>
          </w:pPr>
          <w:hyperlink w:anchor="_Toc196256929" w:history="1">
            <w:r w:rsidRPr="00DA61D8">
              <w:rPr>
                <w:rStyle w:val="Hyperlink"/>
                <w:rFonts w:ascii="Times New Roman" w:hAnsi="Times New Roman" w:cs="Times New Roman"/>
                <w:noProof/>
              </w:rPr>
              <w:t>DNA and RNA Sequence Analysis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_Toc196256929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151</w:t>
            </w:r>
            <w:r w:rsidRPr="00DA61D8">
              <w:rPr>
                <w:rFonts w:cs="Times New Roman"/>
                <w:noProof/>
                <w:webHidden/>
              </w:rPr>
              <w:fldChar w:fldCharType="end"/>
            </w:r>
          </w:hyperlink>
        </w:p>
        <w:p w14:paraId="7C5FDD07" w14:textId="74FEA68C" w:rsidR="00DA61D8" w:rsidRPr="00DA61D8" w:rsidRDefault="00DA61D8" w:rsidP="00DA61D8">
          <w:pPr>
            <w:pStyle w:val="TOC3"/>
            <w:rPr>
              <w:rFonts w:eastAsiaTheme="minorEastAsia" w:cs="Times New Roman"/>
              <w:noProof/>
              <w:kern w:val="2"/>
              <w14:ligatures w14:val="standardContextual"/>
            </w:rPr>
          </w:pPr>
          <w:hyperlink w:anchor="_Toc196256930" w:history="1">
            <w:r w:rsidRPr="00DA61D8">
              <w:rPr>
                <w:rStyle w:val="Hyperlink"/>
                <w:rFonts w:ascii="Times New Roman" w:hAnsi="Times New Roman" w:cs="Times New Roman"/>
                <w:noProof/>
              </w:rPr>
              <w:t>Soluble Metabolites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_Toc196256930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152</w:t>
            </w:r>
            <w:r w:rsidRPr="00DA61D8">
              <w:rPr>
                <w:rFonts w:cs="Times New Roman"/>
                <w:noProof/>
                <w:webHidden/>
              </w:rPr>
              <w:fldChar w:fldCharType="end"/>
            </w:r>
          </w:hyperlink>
        </w:p>
        <w:p w14:paraId="04AF62B6" w14:textId="4CADAFA9" w:rsidR="00DA61D8" w:rsidRPr="00DA61D8" w:rsidRDefault="00DA61D8" w:rsidP="00DA61D8">
          <w:pPr>
            <w:pStyle w:val="TOC3"/>
            <w:rPr>
              <w:rFonts w:eastAsiaTheme="minorEastAsia" w:cs="Times New Roman"/>
              <w:noProof/>
              <w:kern w:val="2"/>
              <w14:ligatures w14:val="standardContextual"/>
            </w:rPr>
          </w:pPr>
          <w:hyperlink w:anchor="_Toc196256931" w:history="1">
            <w:r w:rsidRPr="00DA61D8">
              <w:rPr>
                <w:rStyle w:val="Hyperlink"/>
                <w:rFonts w:ascii="Times New Roman" w:hAnsi="Times New Roman" w:cs="Times New Roman"/>
                <w:noProof/>
              </w:rPr>
              <w:t>Volatile Organic Compounds (VOCs)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_Toc196256931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153</w:t>
            </w:r>
            <w:r w:rsidRPr="00DA61D8">
              <w:rPr>
                <w:rFonts w:cs="Times New Roman"/>
                <w:noProof/>
                <w:webHidden/>
              </w:rPr>
              <w:fldChar w:fldCharType="end"/>
            </w:r>
          </w:hyperlink>
        </w:p>
        <w:p w14:paraId="576A9BAF" w14:textId="03254A2D" w:rsidR="00DA61D8" w:rsidRPr="00DA61D8" w:rsidRDefault="00DA61D8" w:rsidP="00DA61D8">
          <w:pPr>
            <w:pStyle w:val="TOC2"/>
            <w:rPr>
              <w:rFonts w:eastAsiaTheme="minorEastAsia" w:cs="Times New Roman"/>
              <w:noProof/>
              <w:kern w:val="2"/>
              <w14:ligatures w14:val="standardContextual"/>
            </w:rPr>
          </w:pPr>
          <w:hyperlink w:anchor="_Toc196256932" w:history="1">
            <w:r w:rsidRPr="00DA61D8">
              <w:rPr>
                <w:rStyle w:val="Hyperlink"/>
                <w:rFonts w:ascii="Times New Roman" w:hAnsi="Times New Roman" w:cs="Times New Roman"/>
                <w:noProof/>
              </w:rPr>
              <w:t>Results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_Toc196256932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154</w:t>
            </w:r>
            <w:r w:rsidRPr="00DA61D8">
              <w:rPr>
                <w:rFonts w:cs="Times New Roman"/>
                <w:noProof/>
                <w:webHidden/>
              </w:rPr>
              <w:fldChar w:fldCharType="end"/>
            </w:r>
          </w:hyperlink>
        </w:p>
        <w:p w14:paraId="2FE371ED" w14:textId="393DE07A" w:rsidR="00DA61D8" w:rsidRPr="00DA61D8" w:rsidRDefault="00DA61D8" w:rsidP="00DA61D8">
          <w:pPr>
            <w:pStyle w:val="TOC3"/>
            <w:rPr>
              <w:rFonts w:eastAsiaTheme="minorEastAsia" w:cs="Times New Roman"/>
              <w:noProof/>
              <w:kern w:val="2"/>
              <w14:ligatures w14:val="standardContextual"/>
            </w:rPr>
          </w:pPr>
          <w:hyperlink w:anchor="_Toc196256933" w:history="1">
            <w:r w:rsidRPr="00DA61D8">
              <w:rPr>
                <w:rStyle w:val="Hyperlink"/>
                <w:rFonts w:ascii="Times New Roman" w:hAnsi="Times New Roman" w:cs="Times New Roman"/>
                <w:noProof/>
              </w:rPr>
              <w:t>Evidence of Bacterial Growth.</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_Toc196256933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154</w:t>
            </w:r>
            <w:r w:rsidRPr="00DA61D8">
              <w:rPr>
                <w:rFonts w:cs="Times New Roman"/>
                <w:noProof/>
                <w:webHidden/>
              </w:rPr>
              <w:fldChar w:fldCharType="end"/>
            </w:r>
          </w:hyperlink>
        </w:p>
        <w:p w14:paraId="43965369" w14:textId="25C8DB4E" w:rsidR="00DA61D8" w:rsidRPr="00DA61D8" w:rsidRDefault="00DA61D8" w:rsidP="00DA61D8">
          <w:pPr>
            <w:pStyle w:val="TOC3"/>
            <w:rPr>
              <w:rFonts w:eastAsiaTheme="minorEastAsia" w:cs="Times New Roman"/>
              <w:noProof/>
              <w:kern w:val="2"/>
              <w14:ligatures w14:val="standardContextual"/>
            </w:rPr>
          </w:pPr>
          <w:hyperlink w:anchor="_Toc196256934" w:history="1">
            <w:r w:rsidRPr="00DA61D8">
              <w:rPr>
                <w:rStyle w:val="Hyperlink"/>
                <w:rFonts w:ascii="Times New Roman" w:hAnsi="Times New Roman" w:cs="Times New Roman"/>
                <w:noProof/>
              </w:rPr>
              <w:t>Mineral Transformations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_Toc196256934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155</w:t>
            </w:r>
            <w:r w:rsidRPr="00DA61D8">
              <w:rPr>
                <w:rFonts w:cs="Times New Roman"/>
                <w:noProof/>
                <w:webHidden/>
              </w:rPr>
              <w:fldChar w:fldCharType="end"/>
            </w:r>
          </w:hyperlink>
        </w:p>
        <w:p w14:paraId="790AB377" w14:textId="0604493A" w:rsidR="00DA61D8" w:rsidRPr="00DA61D8" w:rsidRDefault="00DA61D8" w:rsidP="00DA61D8">
          <w:pPr>
            <w:pStyle w:val="TOC3"/>
            <w:rPr>
              <w:rFonts w:eastAsiaTheme="minorEastAsia" w:cs="Times New Roman"/>
              <w:noProof/>
              <w:kern w:val="2"/>
              <w14:ligatures w14:val="standardContextual"/>
            </w:rPr>
          </w:pPr>
          <w:hyperlink w:anchor="_Toc196256935" w:history="1">
            <w:r w:rsidRPr="00DA61D8">
              <w:rPr>
                <w:rStyle w:val="Hyperlink"/>
                <w:rFonts w:ascii="Times New Roman" w:hAnsi="Times New Roman" w:cs="Times New Roman"/>
                <w:noProof/>
              </w:rPr>
              <w:t>Transcriptional Changes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_Toc196256935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157</w:t>
            </w:r>
            <w:r w:rsidRPr="00DA61D8">
              <w:rPr>
                <w:rFonts w:cs="Times New Roman"/>
                <w:noProof/>
                <w:webHidden/>
              </w:rPr>
              <w:fldChar w:fldCharType="end"/>
            </w:r>
          </w:hyperlink>
        </w:p>
        <w:p w14:paraId="2A93D1A5" w14:textId="277BC9A4" w:rsidR="00DA61D8" w:rsidRPr="00DA61D8" w:rsidRDefault="00DA61D8" w:rsidP="00DA61D8">
          <w:pPr>
            <w:pStyle w:val="TOC3"/>
            <w:rPr>
              <w:rFonts w:eastAsiaTheme="minorEastAsia" w:cs="Times New Roman"/>
              <w:noProof/>
              <w:kern w:val="2"/>
              <w14:ligatures w14:val="standardContextual"/>
            </w:rPr>
          </w:pPr>
          <w:hyperlink w:anchor="_Toc196256936" w:history="1">
            <w:r w:rsidRPr="00DA61D8">
              <w:rPr>
                <w:rStyle w:val="Hyperlink"/>
                <w:rFonts w:ascii="Times New Roman" w:hAnsi="Times New Roman" w:cs="Times New Roman"/>
                <w:noProof/>
              </w:rPr>
              <w:t>Soluble Metabolites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_Toc196256936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158</w:t>
            </w:r>
            <w:r w:rsidRPr="00DA61D8">
              <w:rPr>
                <w:rFonts w:cs="Times New Roman"/>
                <w:noProof/>
                <w:webHidden/>
              </w:rPr>
              <w:fldChar w:fldCharType="end"/>
            </w:r>
          </w:hyperlink>
        </w:p>
        <w:p w14:paraId="03DE72B3" w14:textId="72B5DFDA" w:rsidR="00DA61D8" w:rsidRPr="00DA61D8" w:rsidRDefault="00DA61D8" w:rsidP="00DA61D8">
          <w:pPr>
            <w:pStyle w:val="TOC3"/>
            <w:rPr>
              <w:rFonts w:eastAsiaTheme="minorEastAsia" w:cs="Times New Roman"/>
              <w:noProof/>
              <w:kern w:val="2"/>
              <w14:ligatures w14:val="standardContextual"/>
            </w:rPr>
          </w:pPr>
          <w:hyperlink w:anchor="_Toc196256937" w:history="1">
            <w:r w:rsidRPr="00DA61D8">
              <w:rPr>
                <w:rStyle w:val="Hyperlink"/>
                <w:rFonts w:ascii="Times New Roman" w:hAnsi="Times New Roman" w:cs="Times New Roman"/>
                <w:noProof/>
              </w:rPr>
              <w:t>Volatile Metabolites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_Toc196256937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159</w:t>
            </w:r>
            <w:r w:rsidRPr="00DA61D8">
              <w:rPr>
                <w:rFonts w:cs="Times New Roman"/>
                <w:noProof/>
                <w:webHidden/>
              </w:rPr>
              <w:fldChar w:fldCharType="end"/>
            </w:r>
          </w:hyperlink>
        </w:p>
        <w:p w14:paraId="07E2E2A5" w14:textId="74A75C2F" w:rsidR="00DA61D8" w:rsidRPr="00DA61D8" w:rsidRDefault="00DA61D8" w:rsidP="00DA61D8">
          <w:pPr>
            <w:pStyle w:val="TOC2"/>
            <w:rPr>
              <w:rFonts w:eastAsiaTheme="minorEastAsia" w:cs="Times New Roman"/>
              <w:noProof/>
              <w:kern w:val="2"/>
              <w14:ligatures w14:val="standardContextual"/>
            </w:rPr>
          </w:pPr>
          <w:hyperlink w:anchor="_Toc196256938" w:history="1">
            <w:r w:rsidRPr="00DA61D8">
              <w:rPr>
                <w:rStyle w:val="Hyperlink"/>
                <w:rFonts w:ascii="Times New Roman" w:hAnsi="Times New Roman" w:cs="Times New Roman"/>
                <w:noProof/>
              </w:rPr>
              <w:t>Discussion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_Toc196256938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160</w:t>
            </w:r>
            <w:r w:rsidRPr="00DA61D8">
              <w:rPr>
                <w:rFonts w:cs="Times New Roman"/>
                <w:noProof/>
                <w:webHidden/>
              </w:rPr>
              <w:fldChar w:fldCharType="end"/>
            </w:r>
          </w:hyperlink>
        </w:p>
        <w:p w14:paraId="261D8E76" w14:textId="737D81D4" w:rsidR="00DA61D8" w:rsidRPr="00DA61D8" w:rsidRDefault="00DA61D8" w:rsidP="00DA61D8">
          <w:pPr>
            <w:pStyle w:val="TOC3"/>
            <w:rPr>
              <w:rFonts w:eastAsiaTheme="minorEastAsia" w:cs="Times New Roman"/>
              <w:noProof/>
              <w:kern w:val="2"/>
              <w14:ligatures w14:val="standardContextual"/>
            </w:rPr>
          </w:pPr>
          <w:hyperlink w:anchor="_Toc196256939" w:history="1">
            <w:r w:rsidRPr="00DA61D8">
              <w:rPr>
                <w:rStyle w:val="Hyperlink"/>
                <w:rFonts w:ascii="Times New Roman" w:hAnsi="Times New Roman" w:cs="Times New Roman"/>
                <w:noProof/>
              </w:rPr>
              <w:t>Biogenic Fe reduction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_Toc196256939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160</w:t>
            </w:r>
            <w:r w:rsidRPr="00DA61D8">
              <w:rPr>
                <w:rFonts w:cs="Times New Roman"/>
                <w:noProof/>
                <w:webHidden/>
              </w:rPr>
              <w:fldChar w:fldCharType="end"/>
            </w:r>
          </w:hyperlink>
        </w:p>
        <w:p w14:paraId="56EF1963" w14:textId="5D2D0066" w:rsidR="00DA61D8" w:rsidRPr="00DA61D8" w:rsidRDefault="00DA61D8" w:rsidP="00DA61D8">
          <w:pPr>
            <w:pStyle w:val="TOC3"/>
            <w:rPr>
              <w:rFonts w:eastAsiaTheme="minorEastAsia" w:cs="Times New Roman"/>
              <w:noProof/>
              <w:kern w:val="2"/>
              <w14:ligatures w14:val="standardContextual"/>
            </w:rPr>
          </w:pPr>
          <w:hyperlink w:anchor="_Toc196256940" w:history="1">
            <w:r w:rsidRPr="00DA61D8">
              <w:rPr>
                <w:rStyle w:val="Hyperlink"/>
                <w:rFonts w:ascii="Times New Roman" w:hAnsi="Times New Roman" w:cs="Times New Roman"/>
                <w:noProof/>
              </w:rPr>
              <w:t>Riboflavin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_Toc196256940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161</w:t>
            </w:r>
            <w:r w:rsidRPr="00DA61D8">
              <w:rPr>
                <w:rFonts w:cs="Times New Roman"/>
                <w:noProof/>
                <w:webHidden/>
              </w:rPr>
              <w:fldChar w:fldCharType="end"/>
            </w:r>
          </w:hyperlink>
        </w:p>
        <w:p w14:paraId="2DADC09C" w14:textId="331A3428" w:rsidR="00DA61D8" w:rsidRPr="00DA61D8" w:rsidRDefault="00DA61D8" w:rsidP="00DA61D8">
          <w:pPr>
            <w:pStyle w:val="TOC3"/>
            <w:rPr>
              <w:rFonts w:eastAsiaTheme="minorEastAsia" w:cs="Times New Roman"/>
              <w:noProof/>
              <w:kern w:val="2"/>
              <w14:ligatures w14:val="standardContextual"/>
            </w:rPr>
          </w:pPr>
          <w:hyperlink w:anchor="_Toc196256941" w:history="1">
            <w:r w:rsidRPr="00DA61D8">
              <w:rPr>
                <w:rStyle w:val="Hyperlink"/>
                <w:rFonts w:ascii="Times New Roman" w:hAnsi="Times New Roman" w:cs="Times New Roman"/>
                <w:noProof/>
              </w:rPr>
              <w:t>Porphyrins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_Toc196256941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163</w:t>
            </w:r>
            <w:r w:rsidRPr="00DA61D8">
              <w:rPr>
                <w:rFonts w:cs="Times New Roman"/>
                <w:noProof/>
                <w:webHidden/>
              </w:rPr>
              <w:fldChar w:fldCharType="end"/>
            </w:r>
          </w:hyperlink>
        </w:p>
        <w:p w14:paraId="7DC2EBBF" w14:textId="5EF08D32" w:rsidR="00DA61D8" w:rsidRPr="00DA61D8" w:rsidRDefault="00DA61D8" w:rsidP="00DA61D8">
          <w:pPr>
            <w:pStyle w:val="TOC3"/>
            <w:rPr>
              <w:rFonts w:eastAsiaTheme="minorEastAsia" w:cs="Times New Roman"/>
              <w:noProof/>
              <w:kern w:val="2"/>
              <w14:ligatures w14:val="standardContextual"/>
            </w:rPr>
          </w:pPr>
          <w:hyperlink w:anchor="_Toc196256942" w:history="1">
            <w:r w:rsidRPr="00DA61D8">
              <w:rPr>
                <w:rStyle w:val="Hyperlink"/>
                <w:rFonts w:ascii="Times New Roman" w:hAnsi="Times New Roman" w:cs="Times New Roman"/>
                <w:noProof/>
              </w:rPr>
              <w:t>Thiosulfate</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_Toc196256942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164</w:t>
            </w:r>
            <w:r w:rsidRPr="00DA61D8">
              <w:rPr>
                <w:rFonts w:cs="Times New Roman"/>
                <w:noProof/>
                <w:webHidden/>
              </w:rPr>
              <w:fldChar w:fldCharType="end"/>
            </w:r>
          </w:hyperlink>
        </w:p>
        <w:p w14:paraId="39DAFEBD" w14:textId="77F1A4FD" w:rsidR="00DA61D8" w:rsidRPr="00DA61D8" w:rsidRDefault="00DA61D8" w:rsidP="00DA61D8">
          <w:pPr>
            <w:pStyle w:val="TOC3"/>
            <w:rPr>
              <w:rFonts w:eastAsiaTheme="minorEastAsia" w:cs="Times New Roman"/>
              <w:noProof/>
              <w:kern w:val="2"/>
              <w14:ligatures w14:val="standardContextual"/>
            </w:rPr>
          </w:pPr>
          <w:hyperlink w:anchor="_Toc196256943" w:history="1">
            <w:r w:rsidRPr="00DA61D8">
              <w:rPr>
                <w:rStyle w:val="Hyperlink"/>
                <w:rFonts w:ascii="Times New Roman" w:hAnsi="Times New Roman" w:cs="Times New Roman"/>
                <w:noProof/>
              </w:rPr>
              <w:t>DMS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_Toc196256943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164</w:t>
            </w:r>
            <w:r w:rsidRPr="00DA61D8">
              <w:rPr>
                <w:rFonts w:cs="Times New Roman"/>
                <w:noProof/>
                <w:webHidden/>
              </w:rPr>
              <w:fldChar w:fldCharType="end"/>
            </w:r>
          </w:hyperlink>
        </w:p>
        <w:p w14:paraId="216B7859" w14:textId="4DB977EE" w:rsidR="00DA61D8" w:rsidRPr="00DA61D8" w:rsidRDefault="00DA61D8" w:rsidP="00DA61D8">
          <w:pPr>
            <w:pStyle w:val="TOC3"/>
            <w:rPr>
              <w:rFonts w:eastAsiaTheme="minorEastAsia" w:cs="Times New Roman"/>
              <w:noProof/>
              <w:kern w:val="2"/>
              <w14:ligatures w14:val="standardContextual"/>
            </w:rPr>
          </w:pPr>
          <w:hyperlink w:anchor="_Toc196256944" w:history="1">
            <w:r w:rsidRPr="00DA61D8">
              <w:rPr>
                <w:rStyle w:val="Hyperlink"/>
                <w:rFonts w:ascii="Times New Roman" w:hAnsi="Times New Roman" w:cs="Times New Roman"/>
                <w:noProof/>
              </w:rPr>
              <w:t>Halogenated compounds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_Toc196256944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166</w:t>
            </w:r>
            <w:r w:rsidRPr="00DA61D8">
              <w:rPr>
                <w:rFonts w:cs="Times New Roman"/>
                <w:noProof/>
                <w:webHidden/>
              </w:rPr>
              <w:fldChar w:fldCharType="end"/>
            </w:r>
          </w:hyperlink>
        </w:p>
        <w:p w14:paraId="32F4A016" w14:textId="0B496B68" w:rsidR="00DA61D8" w:rsidRPr="00DA61D8" w:rsidRDefault="00DA61D8" w:rsidP="00DA61D8">
          <w:pPr>
            <w:pStyle w:val="TOC2"/>
            <w:rPr>
              <w:rFonts w:eastAsiaTheme="minorEastAsia" w:cs="Times New Roman"/>
              <w:noProof/>
              <w:kern w:val="2"/>
              <w14:ligatures w14:val="standardContextual"/>
            </w:rPr>
          </w:pPr>
          <w:hyperlink w:anchor="_Toc196256945" w:history="1">
            <w:r w:rsidRPr="00DA61D8">
              <w:rPr>
                <w:rStyle w:val="Hyperlink"/>
                <w:rFonts w:ascii="Times New Roman" w:hAnsi="Times New Roman" w:cs="Times New Roman"/>
                <w:noProof/>
              </w:rPr>
              <w:t>Conclusion</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_Toc196256945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167</w:t>
            </w:r>
            <w:r w:rsidRPr="00DA61D8">
              <w:rPr>
                <w:rFonts w:cs="Times New Roman"/>
                <w:noProof/>
                <w:webHidden/>
              </w:rPr>
              <w:fldChar w:fldCharType="end"/>
            </w:r>
          </w:hyperlink>
        </w:p>
        <w:p w14:paraId="6DAE36D8" w14:textId="34355EA4" w:rsidR="00DA61D8" w:rsidRPr="00DA61D8" w:rsidRDefault="00DA61D8" w:rsidP="00DA61D8">
          <w:pPr>
            <w:pStyle w:val="TOC3"/>
            <w:rPr>
              <w:rFonts w:eastAsiaTheme="minorEastAsia" w:cs="Times New Roman"/>
              <w:noProof/>
              <w:kern w:val="2"/>
              <w14:ligatures w14:val="standardContextual"/>
            </w:rPr>
          </w:pPr>
          <w:hyperlink w:anchor="_Toc196256946" w:history="1">
            <w:r w:rsidRPr="00DA61D8">
              <w:rPr>
                <w:rStyle w:val="Hyperlink"/>
                <w:rFonts w:ascii="Times New Roman" w:hAnsi="Times New Roman" w:cs="Times New Roman"/>
                <w:noProof/>
              </w:rPr>
              <w:t>Data availability</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_Toc196256946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168</w:t>
            </w:r>
            <w:r w:rsidRPr="00DA61D8">
              <w:rPr>
                <w:rFonts w:cs="Times New Roman"/>
                <w:noProof/>
                <w:webHidden/>
              </w:rPr>
              <w:fldChar w:fldCharType="end"/>
            </w:r>
          </w:hyperlink>
        </w:p>
        <w:p w14:paraId="4F7AE7EA" w14:textId="7F6AB1FF" w:rsidR="00DA61D8" w:rsidRPr="00DA61D8" w:rsidRDefault="00DA61D8" w:rsidP="00DA61D8">
          <w:pPr>
            <w:pStyle w:val="TOC3"/>
            <w:rPr>
              <w:rFonts w:eastAsiaTheme="minorEastAsia" w:cs="Times New Roman"/>
              <w:noProof/>
              <w:kern w:val="2"/>
              <w14:ligatures w14:val="standardContextual"/>
            </w:rPr>
          </w:pPr>
          <w:hyperlink w:anchor="_Toc196256947" w:history="1">
            <w:r w:rsidRPr="00DA61D8">
              <w:rPr>
                <w:rStyle w:val="Hyperlink"/>
                <w:rFonts w:ascii="Times New Roman" w:hAnsi="Times New Roman" w:cs="Times New Roman"/>
                <w:noProof/>
              </w:rPr>
              <w:t>Acknowledgements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_Toc196256947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168</w:t>
            </w:r>
            <w:r w:rsidRPr="00DA61D8">
              <w:rPr>
                <w:rFonts w:cs="Times New Roman"/>
                <w:noProof/>
                <w:webHidden/>
              </w:rPr>
              <w:fldChar w:fldCharType="end"/>
            </w:r>
          </w:hyperlink>
        </w:p>
        <w:p w14:paraId="391FE821" w14:textId="7E7D1ECE" w:rsidR="00DA61D8" w:rsidRPr="00DA61D8" w:rsidRDefault="00DA61D8" w:rsidP="00DA61D8">
          <w:pPr>
            <w:pStyle w:val="TOC2"/>
            <w:rPr>
              <w:rFonts w:eastAsiaTheme="minorEastAsia" w:cs="Times New Roman"/>
              <w:noProof/>
              <w:kern w:val="2"/>
              <w14:ligatures w14:val="standardContextual"/>
            </w:rPr>
          </w:pPr>
          <w:hyperlink w:anchor="_Toc196256948" w:history="1">
            <w:r w:rsidRPr="00DA61D8">
              <w:rPr>
                <w:rStyle w:val="Hyperlink"/>
                <w:rFonts w:ascii="Times New Roman" w:hAnsi="Times New Roman" w:cs="Times New Roman"/>
                <w:noProof/>
              </w:rPr>
              <w:t>References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_Toc196256948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169</w:t>
            </w:r>
            <w:r w:rsidRPr="00DA61D8">
              <w:rPr>
                <w:rFonts w:cs="Times New Roman"/>
                <w:noProof/>
                <w:webHidden/>
              </w:rPr>
              <w:fldChar w:fldCharType="end"/>
            </w:r>
          </w:hyperlink>
        </w:p>
        <w:p w14:paraId="181917F3" w14:textId="2492BFE6" w:rsidR="00DA61D8" w:rsidRPr="00DA61D8" w:rsidRDefault="00DA61D8" w:rsidP="00DA61D8">
          <w:pPr>
            <w:pStyle w:val="TOC2"/>
            <w:rPr>
              <w:rFonts w:eastAsiaTheme="minorEastAsia" w:cs="Times New Roman"/>
              <w:noProof/>
              <w:kern w:val="2"/>
              <w14:ligatures w14:val="standardContextual"/>
            </w:rPr>
          </w:pPr>
          <w:hyperlink w:anchor="_Toc196256949" w:history="1">
            <w:r w:rsidRPr="00DA61D8">
              <w:rPr>
                <w:rStyle w:val="Hyperlink"/>
                <w:rFonts w:ascii="Times New Roman" w:hAnsi="Times New Roman" w:cs="Times New Roman"/>
                <w:noProof/>
              </w:rPr>
              <w:t>Appendix: Tables and Figures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_Toc196256949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185</w:t>
            </w:r>
            <w:r w:rsidRPr="00DA61D8">
              <w:rPr>
                <w:rFonts w:cs="Times New Roman"/>
                <w:noProof/>
                <w:webHidden/>
              </w:rPr>
              <w:fldChar w:fldCharType="end"/>
            </w:r>
          </w:hyperlink>
        </w:p>
        <w:p w14:paraId="15B89694" w14:textId="77919BB0" w:rsidR="00DA61D8" w:rsidRPr="00DA61D8" w:rsidRDefault="00DA61D8" w:rsidP="00DA61D8">
          <w:pPr>
            <w:pStyle w:val="TOC1"/>
            <w:rPr>
              <w:rFonts w:eastAsiaTheme="minorEastAsia"/>
              <w:kern w:val="2"/>
              <w14:ligatures w14:val="standardContextual"/>
            </w:rPr>
          </w:pPr>
          <w:hyperlink w:anchor="_Toc196256950" w:history="1">
            <w:r w:rsidRPr="00DA61D8">
              <w:rPr>
                <w:rStyle w:val="Hyperlink"/>
                <w:rFonts w:ascii="Times New Roman" w:hAnsi="Times New Roman"/>
              </w:rPr>
              <w:t>CHAPTER FIVE: CONCLUSION</w:t>
            </w:r>
            <w:r w:rsidRPr="00DA61D8">
              <w:rPr>
                <w:webHidden/>
              </w:rPr>
              <w:tab/>
            </w:r>
            <w:r w:rsidRPr="00DA61D8">
              <w:rPr>
                <w:webHidden/>
              </w:rPr>
              <w:fldChar w:fldCharType="begin"/>
            </w:r>
            <w:r w:rsidRPr="00DA61D8">
              <w:rPr>
                <w:webHidden/>
              </w:rPr>
              <w:instrText xml:space="preserve"> PAGEREF _Toc196256950 \h </w:instrText>
            </w:r>
            <w:r w:rsidRPr="00DA61D8">
              <w:rPr>
                <w:webHidden/>
              </w:rPr>
            </w:r>
            <w:r w:rsidRPr="00DA61D8">
              <w:rPr>
                <w:webHidden/>
              </w:rPr>
              <w:fldChar w:fldCharType="separate"/>
            </w:r>
            <w:r w:rsidR="0025018F">
              <w:rPr>
                <w:webHidden/>
              </w:rPr>
              <w:t>191</w:t>
            </w:r>
            <w:r w:rsidRPr="00DA61D8">
              <w:rPr>
                <w:webHidden/>
              </w:rPr>
              <w:fldChar w:fldCharType="end"/>
            </w:r>
          </w:hyperlink>
        </w:p>
        <w:p w14:paraId="65756250" w14:textId="0588654C" w:rsidR="00DA61D8" w:rsidRPr="00DA61D8" w:rsidRDefault="00DA61D8" w:rsidP="00DA61D8">
          <w:pPr>
            <w:pStyle w:val="TOC2"/>
            <w:rPr>
              <w:rFonts w:eastAsiaTheme="minorEastAsia" w:cs="Times New Roman"/>
              <w:noProof/>
              <w:kern w:val="2"/>
              <w14:ligatures w14:val="standardContextual"/>
            </w:rPr>
          </w:pPr>
          <w:hyperlink w:anchor="_Toc196256951" w:history="1">
            <w:r w:rsidRPr="00DA61D8">
              <w:rPr>
                <w:rStyle w:val="Hyperlink"/>
                <w:rFonts w:ascii="Times New Roman" w:hAnsi="Times New Roman" w:cs="Times New Roman"/>
                <w:noProof/>
              </w:rPr>
              <w:t>References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_Toc196256951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197</w:t>
            </w:r>
            <w:r w:rsidRPr="00DA61D8">
              <w:rPr>
                <w:rFonts w:cs="Times New Roman"/>
                <w:noProof/>
                <w:webHidden/>
              </w:rPr>
              <w:fldChar w:fldCharType="end"/>
            </w:r>
          </w:hyperlink>
        </w:p>
        <w:p w14:paraId="634979E4" w14:textId="3C6A4334" w:rsidR="00DA61D8" w:rsidRPr="00DA61D8" w:rsidRDefault="00C53499" w:rsidP="00DA61D8">
          <w:pPr>
            <w:pStyle w:val="TOC1"/>
            <w:rPr>
              <w:rFonts w:eastAsiaTheme="minorEastAsia"/>
              <w:kern w:val="2"/>
              <w14:ligatures w14:val="standardContextual"/>
            </w:rPr>
          </w:pPr>
          <w:r>
            <w:t xml:space="preserve">APPENDIX: </w:t>
          </w:r>
          <w:hyperlink w:anchor="_Toc196256952" w:history="1">
            <w:r w:rsidR="00DA61D8" w:rsidRPr="00DA61D8">
              <w:rPr>
                <w:rStyle w:val="Hyperlink"/>
                <w:rFonts w:ascii="Times New Roman" w:hAnsi="Times New Roman"/>
              </w:rPr>
              <w:t>SUPPLEMENTARY MATERIALS</w:t>
            </w:r>
            <w:r w:rsidR="00DA61D8" w:rsidRPr="00DA61D8">
              <w:rPr>
                <w:webHidden/>
              </w:rPr>
              <w:tab/>
            </w:r>
            <w:r w:rsidR="00DA61D8" w:rsidRPr="00DA61D8">
              <w:rPr>
                <w:webHidden/>
              </w:rPr>
              <w:fldChar w:fldCharType="begin"/>
            </w:r>
            <w:r w:rsidR="00DA61D8" w:rsidRPr="00DA61D8">
              <w:rPr>
                <w:webHidden/>
              </w:rPr>
              <w:instrText xml:space="preserve"> PAGEREF _Toc196256952 \h </w:instrText>
            </w:r>
            <w:r w:rsidR="00DA61D8" w:rsidRPr="00DA61D8">
              <w:rPr>
                <w:webHidden/>
              </w:rPr>
            </w:r>
            <w:r w:rsidR="00DA61D8" w:rsidRPr="00DA61D8">
              <w:rPr>
                <w:webHidden/>
              </w:rPr>
              <w:fldChar w:fldCharType="separate"/>
            </w:r>
            <w:r w:rsidR="0025018F">
              <w:rPr>
                <w:webHidden/>
              </w:rPr>
              <w:t>202</w:t>
            </w:r>
            <w:r w:rsidR="00DA61D8" w:rsidRPr="00DA61D8">
              <w:rPr>
                <w:webHidden/>
              </w:rPr>
              <w:fldChar w:fldCharType="end"/>
            </w:r>
          </w:hyperlink>
        </w:p>
        <w:p w14:paraId="14D61013" w14:textId="29A9692F" w:rsidR="00DA61D8" w:rsidRPr="00DA61D8" w:rsidRDefault="00DA61D8" w:rsidP="00DA61D8">
          <w:pPr>
            <w:pStyle w:val="TOC2"/>
            <w:rPr>
              <w:rFonts w:eastAsiaTheme="minorEastAsia" w:cs="Times New Roman"/>
              <w:noProof/>
              <w:kern w:val="2"/>
              <w14:ligatures w14:val="standardContextual"/>
            </w:rPr>
          </w:pPr>
          <w:hyperlink w:anchor="_Toc196256953" w:history="1">
            <w:r w:rsidRPr="00DA61D8">
              <w:rPr>
                <w:rStyle w:val="Hyperlink"/>
                <w:rFonts w:ascii="Times New Roman" w:hAnsi="Times New Roman" w:cs="Times New Roman"/>
                <w:noProof/>
              </w:rPr>
              <w:t>Chapter Two Supplementary Material</w:t>
            </w:r>
            <w:r w:rsidR="00953C9A">
              <w:rPr>
                <w:rStyle w:val="Hyperlink"/>
                <w:rFonts w:ascii="Times New Roman" w:hAnsi="Times New Roman" w:cs="Times New Roman"/>
                <w:noProof/>
              </w:rPr>
              <w:t>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_Toc196256953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203</w:t>
            </w:r>
            <w:r w:rsidRPr="00DA61D8">
              <w:rPr>
                <w:rFonts w:cs="Times New Roman"/>
                <w:noProof/>
                <w:webHidden/>
              </w:rPr>
              <w:fldChar w:fldCharType="end"/>
            </w:r>
          </w:hyperlink>
        </w:p>
        <w:p w14:paraId="7333601F" w14:textId="5FCBA5AB" w:rsidR="00DA61D8" w:rsidRPr="00DA61D8" w:rsidRDefault="00DA61D8" w:rsidP="00DA61D8">
          <w:pPr>
            <w:pStyle w:val="TOC2"/>
            <w:rPr>
              <w:rFonts w:eastAsiaTheme="minorEastAsia" w:cs="Times New Roman"/>
              <w:noProof/>
              <w:kern w:val="2"/>
              <w14:ligatures w14:val="standardContextual"/>
            </w:rPr>
          </w:pPr>
          <w:hyperlink w:anchor="_Toc196256954" w:history="1">
            <w:r w:rsidRPr="00DA61D8">
              <w:rPr>
                <w:rStyle w:val="Hyperlink"/>
                <w:rFonts w:ascii="Times New Roman" w:hAnsi="Times New Roman" w:cs="Times New Roman"/>
                <w:noProof/>
              </w:rPr>
              <w:t>Chapter Four Supplementary Material</w:t>
            </w:r>
            <w:r w:rsidR="00953C9A">
              <w:rPr>
                <w:rStyle w:val="Hyperlink"/>
                <w:rFonts w:ascii="Times New Roman" w:hAnsi="Times New Roman" w:cs="Times New Roman"/>
                <w:noProof/>
              </w:rPr>
              <w:t>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_Toc196256954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221</w:t>
            </w:r>
            <w:r w:rsidRPr="00DA61D8">
              <w:rPr>
                <w:rFonts w:cs="Times New Roman"/>
                <w:noProof/>
                <w:webHidden/>
              </w:rPr>
              <w:fldChar w:fldCharType="end"/>
            </w:r>
          </w:hyperlink>
        </w:p>
        <w:p w14:paraId="14FB8072" w14:textId="71153572" w:rsidR="00DA61D8" w:rsidRPr="00DA61D8" w:rsidRDefault="00DA61D8" w:rsidP="00DA61D8">
          <w:pPr>
            <w:pStyle w:val="TOC3"/>
            <w:rPr>
              <w:rFonts w:eastAsiaTheme="minorEastAsia" w:cs="Times New Roman"/>
              <w:noProof/>
              <w:kern w:val="2"/>
              <w14:ligatures w14:val="standardContextual"/>
            </w:rPr>
          </w:pPr>
          <w:hyperlink w:anchor="_Toc196256955" w:history="1">
            <w:r w:rsidRPr="00DA61D8">
              <w:rPr>
                <w:rStyle w:val="Hyperlink"/>
                <w:rFonts w:ascii="Times New Roman" w:hAnsi="Times New Roman" w:cs="Times New Roman"/>
                <w:noProof/>
              </w:rPr>
              <w:t>Methods and results for preliminary VOC experiments.</w:t>
            </w:r>
            <w:r w:rsidRPr="00DA61D8">
              <w:rPr>
                <w:rFonts w:cs="Times New Roman"/>
                <w:noProof/>
                <w:webHidden/>
              </w:rPr>
              <w:tab/>
            </w:r>
            <w:r w:rsidRPr="00DA61D8">
              <w:rPr>
                <w:rFonts w:cs="Times New Roman"/>
                <w:noProof/>
                <w:webHidden/>
              </w:rPr>
              <w:fldChar w:fldCharType="begin"/>
            </w:r>
            <w:r w:rsidRPr="00DA61D8">
              <w:rPr>
                <w:rFonts w:cs="Times New Roman"/>
                <w:noProof/>
                <w:webHidden/>
              </w:rPr>
              <w:instrText xml:space="preserve"> PAGEREF _Toc196256955 \h </w:instrText>
            </w:r>
            <w:r w:rsidRPr="00DA61D8">
              <w:rPr>
                <w:rFonts w:cs="Times New Roman"/>
                <w:noProof/>
                <w:webHidden/>
              </w:rPr>
            </w:r>
            <w:r w:rsidRPr="00DA61D8">
              <w:rPr>
                <w:rFonts w:cs="Times New Roman"/>
                <w:noProof/>
                <w:webHidden/>
              </w:rPr>
              <w:fldChar w:fldCharType="separate"/>
            </w:r>
            <w:r w:rsidR="0025018F">
              <w:rPr>
                <w:rFonts w:cs="Times New Roman"/>
                <w:noProof/>
                <w:webHidden/>
              </w:rPr>
              <w:t>221</w:t>
            </w:r>
            <w:r w:rsidRPr="00DA61D8">
              <w:rPr>
                <w:rFonts w:cs="Times New Roman"/>
                <w:noProof/>
                <w:webHidden/>
              </w:rPr>
              <w:fldChar w:fldCharType="end"/>
            </w:r>
          </w:hyperlink>
        </w:p>
        <w:p w14:paraId="0F7B6092" w14:textId="067DD338" w:rsidR="00DA61D8" w:rsidRPr="00DA61D8" w:rsidRDefault="00DA61D8" w:rsidP="00DA61D8">
          <w:pPr>
            <w:pStyle w:val="TOC1"/>
            <w:rPr>
              <w:rFonts w:eastAsiaTheme="minorEastAsia"/>
              <w:kern w:val="2"/>
              <w14:ligatures w14:val="standardContextual"/>
            </w:rPr>
          </w:pPr>
          <w:hyperlink w:anchor="_Toc196256956" w:history="1">
            <w:r w:rsidRPr="00DA61D8">
              <w:rPr>
                <w:rStyle w:val="Hyperlink"/>
                <w:rFonts w:ascii="Times New Roman" w:hAnsi="Times New Roman"/>
              </w:rPr>
              <w:t>VITA</w:t>
            </w:r>
            <w:r w:rsidRPr="00DA61D8">
              <w:rPr>
                <w:webHidden/>
              </w:rPr>
              <w:tab/>
            </w:r>
            <w:r w:rsidRPr="00DA61D8">
              <w:rPr>
                <w:webHidden/>
              </w:rPr>
              <w:fldChar w:fldCharType="begin"/>
            </w:r>
            <w:r w:rsidRPr="00DA61D8">
              <w:rPr>
                <w:webHidden/>
              </w:rPr>
              <w:instrText xml:space="preserve"> PAGEREF _Toc196256956 \h </w:instrText>
            </w:r>
            <w:r w:rsidRPr="00DA61D8">
              <w:rPr>
                <w:webHidden/>
              </w:rPr>
            </w:r>
            <w:r w:rsidRPr="00DA61D8">
              <w:rPr>
                <w:webHidden/>
              </w:rPr>
              <w:fldChar w:fldCharType="separate"/>
            </w:r>
            <w:r w:rsidR="0025018F">
              <w:rPr>
                <w:webHidden/>
              </w:rPr>
              <w:t>252</w:t>
            </w:r>
            <w:r w:rsidRPr="00DA61D8">
              <w:rPr>
                <w:webHidden/>
              </w:rPr>
              <w:fldChar w:fldCharType="end"/>
            </w:r>
          </w:hyperlink>
        </w:p>
        <w:p w14:paraId="24A3FE32" w14:textId="456A7677" w:rsidR="003F7FED" w:rsidRPr="00BB6824" w:rsidRDefault="00E91931" w:rsidP="00DA61D8">
          <w:pPr>
            <w:ind w:firstLine="0"/>
            <w:rPr>
              <w:rFonts w:cs="Times New Roman"/>
            </w:rPr>
          </w:pPr>
          <w:r w:rsidRPr="00DA61D8">
            <w:rPr>
              <w:rFonts w:cs="Times New Roman"/>
              <w:noProof/>
            </w:rPr>
            <w:fldChar w:fldCharType="end"/>
          </w:r>
        </w:p>
      </w:sdtContent>
    </w:sdt>
    <w:p w14:paraId="6F0C72B5" w14:textId="77777777" w:rsidR="00DA61D8" w:rsidRDefault="00DA61D8">
      <w:pPr>
        <w:spacing w:line="240" w:lineRule="auto"/>
        <w:ind w:firstLine="0"/>
        <w:rPr>
          <w:b/>
          <w:bCs/>
          <w:iCs/>
          <w:szCs w:val="28"/>
        </w:rPr>
      </w:pPr>
      <w:bookmarkStart w:id="58" w:name="_Toc190263930"/>
      <w:bookmarkStart w:id="59" w:name="_Toc190263984"/>
      <w:bookmarkStart w:id="60" w:name="_Toc190328166"/>
      <w:bookmarkStart w:id="61" w:name="_Toc190671261"/>
      <w:bookmarkStart w:id="62" w:name="_Toc190671539"/>
      <w:bookmarkStart w:id="63" w:name="_Toc193614969"/>
      <w:bookmarkStart w:id="64" w:name="_Toc193641024"/>
      <w:bookmarkStart w:id="65" w:name="_Toc193641111"/>
      <w:bookmarkStart w:id="66" w:name="_Toc193641310"/>
      <w:bookmarkStart w:id="67" w:name="_Toc193668348"/>
      <w:bookmarkStart w:id="68" w:name="_Toc193694970"/>
      <w:bookmarkStart w:id="69" w:name="_Toc193697373"/>
      <w:bookmarkStart w:id="70" w:name="_Toc196202534"/>
      <w:bookmarkStart w:id="71" w:name="_Toc196203034"/>
      <w:bookmarkStart w:id="72" w:name="_Toc196256692"/>
      <w:r>
        <w:br w:type="page"/>
      </w:r>
    </w:p>
    <w:p w14:paraId="59ADA2C4" w14:textId="58772D29" w:rsidR="00236E6D" w:rsidRPr="00586891" w:rsidRDefault="00236E6D" w:rsidP="00562BA2">
      <w:pPr>
        <w:pStyle w:val="Heading2"/>
      </w:pPr>
      <w:bookmarkStart w:id="73" w:name="_Toc196256854"/>
      <w:r w:rsidRPr="00586891">
        <w:lastRenderedPageBreak/>
        <w:t>LIST OF TABLE</w:t>
      </w:r>
      <w:r w:rsidR="00441DFB" w:rsidRPr="00586891">
        <w:t>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14:paraId="12ABEA3C" w14:textId="28F72F20" w:rsidR="003212B4" w:rsidRPr="003212B4" w:rsidRDefault="00665C7E" w:rsidP="00562BA2">
      <w:pPr>
        <w:pStyle w:val="TableofFigures"/>
        <w:tabs>
          <w:tab w:val="right" w:leader="dot" w:pos="8630"/>
        </w:tabs>
        <w:rPr>
          <w:rFonts w:eastAsiaTheme="minorEastAsia" w:cs="Times New Roman"/>
          <w:noProof/>
          <w:kern w:val="2"/>
          <w14:ligatures w14:val="standardContextual"/>
        </w:rPr>
      </w:pPr>
      <w:r w:rsidRPr="003212B4">
        <w:rPr>
          <w:rFonts w:cs="Times New Roman"/>
        </w:rPr>
        <w:fldChar w:fldCharType="begin"/>
      </w:r>
      <w:r w:rsidR="00236E6D" w:rsidRPr="003212B4">
        <w:rPr>
          <w:rFonts w:cs="Times New Roman"/>
        </w:rPr>
        <w:instrText xml:space="preserve"> TOC \h \z \c "Table" </w:instrText>
      </w:r>
      <w:r w:rsidRPr="003212B4">
        <w:rPr>
          <w:rFonts w:cs="Times New Roman"/>
        </w:rPr>
        <w:fldChar w:fldCharType="separate"/>
      </w:r>
      <w:hyperlink w:anchor="_Toc193668452" w:history="1">
        <w:r w:rsidR="003212B4" w:rsidRPr="003212B4">
          <w:rPr>
            <w:rStyle w:val="Hyperlink"/>
            <w:rFonts w:ascii="Times New Roman" w:hAnsi="Times New Roman" w:cs="Times New Roman"/>
            <w:noProof/>
          </w:rPr>
          <w:t>Table 3.1. Components of Saline Complex Medium (SCM)</w:t>
        </w:r>
        <w:r w:rsidR="003212B4" w:rsidRPr="003212B4">
          <w:rPr>
            <w:rFonts w:cs="Times New Roman"/>
            <w:noProof/>
            <w:webHidden/>
          </w:rPr>
          <w:tab/>
        </w:r>
        <w:r w:rsidR="003212B4" w:rsidRPr="003212B4">
          <w:rPr>
            <w:rFonts w:cs="Times New Roman"/>
            <w:noProof/>
            <w:webHidden/>
          </w:rPr>
          <w:fldChar w:fldCharType="begin"/>
        </w:r>
        <w:r w:rsidR="003212B4" w:rsidRPr="003212B4">
          <w:rPr>
            <w:rFonts w:cs="Times New Roman"/>
            <w:noProof/>
            <w:webHidden/>
          </w:rPr>
          <w:instrText xml:space="preserve"> PAGEREF _Toc193668452 \h </w:instrText>
        </w:r>
        <w:r w:rsidR="003212B4" w:rsidRPr="003212B4">
          <w:rPr>
            <w:rFonts w:cs="Times New Roman"/>
            <w:noProof/>
            <w:webHidden/>
          </w:rPr>
        </w:r>
        <w:r w:rsidR="003212B4" w:rsidRPr="003212B4">
          <w:rPr>
            <w:rFonts w:cs="Times New Roman"/>
            <w:noProof/>
            <w:webHidden/>
          </w:rPr>
          <w:fldChar w:fldCharType="separate"/>
        </w:r>
        <w:r w:rsidR="0025018F">
          <w:rPr>
            <w:rFonts w:cs="Times New Roman"/>
            <w:noProof/>
            <w:webHidden/>
          </w:rPr>
          <w:t>114</w:t>
        </w:r>
        <w:r w:rsidR="003212B4" w:rsidRPr="003212B4">
          <w:rPr>
            <w:rFonts w:cs="Times New Roman"/>
            <w:noProof/>
            <w:webHidden/>
          </w:rPr>
          <w:fldChar w:fldCharType="end"/>
        </w:r>
      </w:hyperlink>
    </w:p>
    <w:p w14:paraId="6845B3DF" w14:textId="46BE4D0F"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53" w:history="1">
        <w:r w:rsidRPr="003212B4">
          <w:rPr>
            <w:rStyle w:val="Hyperlink"/>
            <w:rFonts w:ascii="Times New Roman" w:hAnsi="Times New Roman" w:cs="Times New Roman"/>
            <w:noProof/>
          </w:rPr>
          <w:t>Table 3.2. Geochemistry of Fryxell Basin Seep</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_Toc193668453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115</w:t>
        </w:r>
        <w:r w:rsidRPr="003212B4">
          <w:rPr>
            <w:rFonts w:cs="Times New Roman"/>
            <w:noProof/>
            <w:webHidden/>
          </w:rPr>
          <w:fldChar w:fldCharType="end"/>
        </w:r>
      </w:hyperlink>
    </w:p>
    <w:p w14:paraId="55125511" w14:textId="4F4D3DB3"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54" w:history="1">
        <w:r w:rsidRPr="003212B4">
          <w:rPr>
            <w:rStyle w:val="Hyperlink"/>
            <w:rFonts w:ascii="Times New Roman" w:hAnsi="Times New Roman" w:cs="Times New Roman"/>
            <w:noProof/>
          </w:rPr>
          <w:t>Table 3.3. Summary of DNA extraction methods attempted on sample WB1</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_Toc193668454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116</w:t>
        </w:r>
        <w:r w:rsidRPr="003212B4">
          <w:rPr>
            <w:rFonts w:cs="Times New Roman"/>
            <w:noProof/>
            <w:webHidden/>
          </w:rPr>
          <w:fldChar w:fldCharType="end"/>
        </w:r>
      </w:hyperlink>
    </w:p>
    <w:p w14:paraId="3B564BF6" w14:textId="66FA1416"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55" w:history="1">
        <w:r w:rsidRPr="003212B4">
          <w:rPr>
            <w:rStyle w:val="Hyperlink"/>
            <w:rFonts w:ascii="Times New Roman" w:hAnsi="Times New Roman" w:cs="Times New Roman"/>
            <w:noProof/>
          </w:rPr>
          <w:t>Table 3.4. Correlations between alpha diversity and conductivity</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_Toc193668455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117</w:t>
        </w:r>
        <w:r w:rsidRPr="003212B4">
          <w:rPr>
            <w:rFonts w:cs="Times New Roman"/>
            <w:noProof/>
            <w:webHidden/>
          </w:rPr>
          <w:fldChar w:fldCharType="end"/>
        </w:r>
      </w:hyperlink>
    </w:p>
    <w:p w14:paraId="78ACED96" w14:textId="2FF36164"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56" w:history="1">
        <w:r w:rsidRPr="003212B4">
          <w:rPr>
            <w:rStyle w:val="Hyperlink"/>
            <w:rFonts w:ascii="Times New Roman" w:hAnsi="Times New Roman" w:cs="Times New Roman"/>
            <w:noProof/>
          </w:rPr>
          <w:t>Table 3.5. Summary of seep metagenomes.</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_Toc193668456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117</w:t>
        </w:r>
        <w:r w:rsidRPr="003212B4">
          <w:rPr>
            <w:rFonts w:cs="Times New Roman"/>
            <w:noProof/>
            <w:webHidden/>
          </w:rPr>
          <w:fldChar w:fldCharType="end"/>
        </w:r>
      </w:hyperlink>
    </w:p>
    <w:p w14:paraId="1D238FCD" w14:textId="78E58EE2"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57" w:history="1">
        <w:r w:rsidRPr="003212B4">
          <w:rPr>
            <w:rStyle w:val="Hyperlink"/>
            <w:rFonts w:ascii="Times New Roman" w:hAnsi="Times New Roman" w:cs="Times New Roman"/>
            <w:noProof/>
          </w:rPr>
          <w:t>Table 3.6. Strains utilized in whole-genome comparisons</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_Toc193668457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118</w:t>
        </w:r>
        <w:r w:rsidRPr="003212B4">
          <w:rPr>
            <w:rFonts w:cs="Times New Roman"/>
            <w:noProof/>
            <w:webHidden/>
          </w:rPr>
          <w:fldChar w:fldCharType="end"/>
        </w:r>
      </w:hyperlink>
    </w:p>
    <w:p w14:paraId="78506C22" w14:textId="75BC2BC7"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58" w:history="1">
        <w:r w:rsidRPr="003212B4">
          <w:rPr>
            <w:rStyle w:val="Hyperlink"/>
            <w:rFonts w:ascii="Times New Roman" w:hAnsi="Times New Roman" w:cs="Times New Roman"/>
            <w:noProof/>
          </w:rPr>
          <w:t>Table 3.7. Libraries utilized in MDV amplicon survey</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_Toc193668458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121</w:t>
        </w:r>
        <w:r w:rsidRPr="003212B4">
          <w:rPr>
            <w:rFonts w:cs="Times New Roman"/>
            <w:noProof/>
            <w:webHidden/>
          </w:rPr>
          <w:fldChar w:fldCharType="end"/>
        </w:r>
      </w:hyperlink>
    </w:p>
    <w:p w14:paraId="40514B30" w14:textId="0AF8E494"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59" w:history="1">
        <w:r w:rsidRPr="003212B4">
          <w:rPr>
            <w:rStyle w:val="Hyperlink"/>
            <w:rFonts w:ascii="Times New Roman" w:hAnsi="Times New Roman" w:cs="Times New Roman"/>
            <w:noProof/>
          </w:rPr>
          <w:t xml:space="preserve">Table 3.8. </w:t>
        </w:r>
        <w:r>
          <w:rPr>
            <w:rStyle w:val="Hyperlink"/>
            <w:rFonts w:ascii="Times New Roman" w:hAnsi="Times New Roman" w:cs="Times New Roman"/>
            <w:noProof/>
          </w:rPr>
          <w:t>Signifcantly different t</w:t>
        </w:r>
        <w:r w:rsidRPr="003212B4">
          <w:rPr>
            <w:rStyle w:val="Hyperlink"/>
            <w:rFonts w:ascii="Times New Roman" w:hAnsi="Times New Roman" w:cs="Times New Roman"/>
            <w:noProof/>
          </w:rPr>
          <w:t xml:space="preserve">ranscripts </w:t>
        </w:r>
        <w:r>
          <w:rPr>
            <w:rStyle w:val="Hyperlink"/>
            <w:rFonts w:ascii="Times New Roman" w:hAnsi="Times New Roman" w:cs="Times New Roman"/>
            <w:noProof/>
          </w:rPr>
          <w:t xml:space="preserve">in </w:t>
        </w:r>
        <w:r w:rsidRPr="003212B4">
          <w:rPr>
            <w:rStyle w:val="Hyperlink"/>
            <w:rFonts w:ascii="Times New Roman" w:hAnsi="Times New Roman" w:cs="Times New Roman"/>
            <w:noProof/>
          </w:rPr>
          <w:t>strain FRX26 cultures</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_Toc193668459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122</w:t>
        </w:r>
        <w:r w:rsidRPr="003212B4">
          <w:rPr>
            <w:rFonts w:cs="Times New Roman"/>
            <w:noProof/>
            <w:webHidden/>
          </w:rPr>
          <w:fldChar w:fldCharType="end"/>
        </w:r>
      </w:hyperlink>
    </w:p>
    <w:p w14:paraId="09BE4D94" w14:textId="18BBB35D"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60" w:history="1">
        <w:r w:rsidRPr="003212B4">
          <w:rPr>
            <w:rStyle w:val="Hyperlink"/>
            <w:rFonts w:ascii="Times New Roman" w:hAnsi="Times New Roman" w:cs="Times New Roman"/>
            <w:noProof/>
          </w:rPr>
          <w:t>Table 4.1 Summary of utilized treatments</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_Toc193668460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185</w:t>
        </w:r>
        <w:r w:rsidRPr="003212B4">
          <w:rPr>
            <w:rFonts w:cs="Times New Roman"/>
            <w:noProof/>
            <w:webHidden/>
          </w:rPr>
          <w:fldChar w:fldCharType="end"/>
        </w:r>
      </w:hyperlink>
    </w:p>
    <w:p w14:paraId="64B2D1C6" w14:textId="60A6956F"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61" w:history="1">
        <w:r w:rsidRPr="003212B4">
          <w:rPr>
            <w:rStyle w:val="Hyperlink"/>
            <w:rFonts w:ascii="Times New Roman" w:hAnsi="Times New Roman" w:cs="Times New Roman"/>
            <w:noProof/>
          </w:rPr>
          <w:t xml:space="preserve">Table 6.1 RefSeq </w:t>
        </w:r>
        <w:r w:rsidRPr="003212B4">
          <w:rPr>
            <w:rStyle w:val="Hyperlink"/>
            <w:rFonts w:ascii="Times New Roman" w:hAnsi="Times New Roman" w:cs="Times New Roman"/>
            <w:i/>
            <w:noProof/>
          </w:rPr>
          <w:t xml:space="preserve">Massilia </w:t>
        </w:r>
        <w:r w:rsidRPr="003212B4">
          <w:rPr>
            <w:rStyle w:val="Hyperlink"/>
            <w:rFonts w:ascii="Times New Roman" w:hAnsi="Times New Roman" w:cs="Times New Roman"/>
            <w:noProof/>
          </w:rPr>
          <w:t>genomes used in comparative analysis</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_Toc193668461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203</w:t>
        </w:r>
        <w:r w:rsidRPr="003212B4">
          <w:rPr>
            <w:rFonts w:cs="Times New Roman"/>
            <w:noProof/>
            <w:webHidden/>
          </w:rPr>
          <w:fldChar w:fldCharType="end"/>
        </w:r>
      </w:hyperlink>
    </w:p>
    <w:p w14:paraId="3B267CCF" w14:textId="11B11197"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62" w:history="1">
        <w:r w:rsidRPr="003212B4">
          <w:rPr>
            <w:rStyle w:val="Hyperlink"/>
            <w:rFonts w:ascii="Times New Roman" w:hAnsi="Times New Roman" w:cs="Times New Roman"/>
            <w:noProof/>
          </w:rPr>
          <w:t>Table 6.2 Summary of genomic adaptations present in DJPM01</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_Toc193668462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206</w:t>
        </w:r>
        <w:r w:rsidRPr="003212B4">
          <w:rPr>
            <w:rFonts w:cs="Times New Roman"/>
            <w:noProof/>
            <w:webHidden/>
          </w:rPr>
          <w:fldChar w:fldCharType="end"/>
        </w:r>
      </w:hyperlink>
    </w:p>
    <w:p w14:paraId="4E8EEFE8" w14:textId="638433FE"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63" w:history="1">
        <w:r w:rsidRPr="003212B4">
          <w:rPr>
            <w:rStyle w:val="Hyperlink"/>
            <w:rFonts w:ascii="Times New Roman" w:hAnsi="Times New Roman" w:cs="Times New Roman"/>
            <w:noProof/>
          </w:rPr>
          <w:t>Table 6.3 antiSMASH output for strain DJPM01</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_Toc193668463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210</w:t>
        </w:r>
        <w:r w:rsidRPr="003212B4">
          <w:rPr>
            <w:rFonts w:cs="Times New Roman"/>
            <w:noProof/>
            <w:webHidden/>
          </w:rPr>
          <w:fldChar w:fldCharType="end"/>
        </w:r>
      </w:hyperlink>
    </w:p>
    <w:p w14:paraId="5C9687E6" w14:textId="39849EF0"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64" w:history="1">
        <w:r w:rsidRPr="003212B4">
          <w:rPr>
            <w:rStyle w:val="Hyperlink"/>
            <w:rFonts w:ascii="Times New Roman" w:hAnsi="Times New Roman" w:cs="Times New Roman"/>
            <w:noProof/>
          </w:rPr>
          <w:t xml:space="preserve">Table 6.4 Summary of post hoc tests on BGC abundance in </w:t>
        </w:r>
        <w:r w:rsidRPr="003212B4">
          <w:rPr>
            <w:rStyle w:val="Hyperlink"/>
            <w:rFonts w:ascii="Times New Roman" w:hAnsi="Times New Roman" w:cs="Times New Roman"/>
            <w:i/>
            <w:iCs/>
            <w:noProof/>
          </w:rPr>
          <w:t>Massilia</w:t>
        </w:r>
        <w:r w:rsidRPr="003212B4">
          <w:rPr>
            <w:rStyle w:val="Hyperlink"/>
            <w:rFonts w:ascii="Times New Roman" w:hAnsi="Times New Roman" w:cs="Times New Roman"/>
            <w:noProof/>
          </w:rPr>
          <w:t xml:space="preserve"> genomes</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_Toc193668464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211</w:t>
        </w:r>
        <w:r w:rsidRPr="003212B4">
          <w:rPr>
            <w:rFonts w:cs="Times New Roman"/>
            <w:noProof/>
            <w:webHidden/>
          </w:rPr>
          <w:fldChar w:fldCharType="end"/>
        </w:r>
      </w:hyperlink>
    </w:p>
    <w:p w14:paraId="15E85C9F" w14:textId="653B7275"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65" w:history="1">
        <w:r w:rsidRPr="003212B4">
          <w:rPr>
            <w:rStyle w:val="Hyperlink"/>
            <w:rFonts w:ascii="Times New Roman" w:hAnsi="Times New Roman" w:cs="Times New Roman"/>
            <w:noProof/>
          </w:rPr>
          <w:t xml:space="preserve">Table 6.5 </w:t>
        </w:r>
        <w:r w:rsidR="00562BA2">
          <w:rPr>
            <w:rStyle w:val="Hyperlink"/>
            <w:rFonts w:ascii="Times New Roman" w:hAnsi="Times New Roman" w:cs="Times New Roman"/>
            <w:noProof/>
          </w:rPr>
          <w:t>P</w:t>
        </w:r>
        <w:r w:rsidRPr="003212B4">
          <w:rPr>
            <w:rStyle w:val="Hyperlink"/>
            <w:rFonts w:ascii="Times New Roman" w:hAnsi="Times New Roman" w:cs="Times New Roman"/>
            <w:noProof/>
          </w:rPr>
          <w:t>rodiginine features detected by MPACT</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_Toc193668465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212</w:t>
        </w:r>
        <w:r w:rsidRPr="003212B4">
          <w:rPr>
            <w:rFonts w:cs="Times New Roman"/>
            <w:noProof/>
            <w:webHidden/>
          </w:rPr>
          <w:fldChar w:fldCharType="end"/>
        </w:r>
      </w:hyperlink>
    </w:p>
    <w:p w14:paraId="0E35FFFB" w14:textId="758A4DAB"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66" w:history="1">
        <w:r w:rsidRPr="003212B4">
          <w:rPr>
            <w:rStyle w:val="Hyperlink"/>
            <w:rFonts w:ascii="Times New Roman" w:hAnsi="Times New Roman" w:cs="Times New Roman"/>
            <w:noProof/>
          </w:rPr>
          <w:t>Table 6.6. Mössbauer Parameters: 295K</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_Toc193668466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222</w:t>
        </w:r>
        <w:r w:rsidRPr="003212B4">
          <w:rPr>
            <w:rFonts w:cs="Times New Roman"/>
            <w:noProof/>
            <w:webHidden/>
          </w:rPr>
          <w:fldChar w:fldCharType="end"/>
        </w:r>
      </w:hyperlink>
    </w:p>
    <w:p w14:paraId="48A9E6D9" w14:textId="14198287"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67" w:history="1">
        <w:r w:rsidRPr="003212B4">
          <w:rPr>
            <w:rStyle w:val="Hyperlink"/>
            <w:rFonts w:ascii="Times New Roman" w:hAnsi="Times New Roman" w:cs="Times New Roman"/>
            <w:noProof/>
          </w:rPr>
          <w:t>Table 6.7. Mössbauer Parameters: 4K</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_Toc193668467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223</w:t>
        </w:r>
        <w:r w:rsidRPr="003212B4">
          <w:rPr>
            <w:rFonts w:cs="Times New Roman"/>
            <w:noProof/>
            <w:webHidden/>
          </w:rPr>
          <w:fldChar w:fldCharType="end"/>
        </w:r>
      </w:hyperlink>
    </w:p>
    <w:p w14:paraId="3909E22F" w14:textId="0BB8485C"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68" w:history="1">
        <w:r w:rsidRPr="003212B4">
          <w:rPr>
            <w:rStyle w:val="Hyperlink"/>
            <w:rFonts w:ascii="Times New Roman" w:hAnsi="Times New Roman" w:cs="Times New Roman"/>
            <w:noProof/>
          </w:rPr>
          <w:t>Table 6.8. Differential expression of transcripts of interest.</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_Toc193668468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224</w:t>
        </w:r>
        <w:r w:rsidRPr="003212B4">
          <w:rPr>
            <w:rFonts w:cs="Times New Roman"/>
            <w:noProof/>
            <w:webHidden/>
          </w:rPr>
          <w:fldChar w:fldCharType="end"/>
        </w:r>
      </w:hyperlink>
    </w:p>
    <w:p w14:paraId="4B36E643" w14:textId="3B14C6FD"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69" w:history="1">
        <w:r w:rsidRPr="003212B4">
          <w:rPr>
            <w:rStyle w:val="Hyperlink"/>
            <w:rFonts w:ascii="Times New Roman" w:hAnsi="Times New Roman" w:cs="Times New Roman"/>
            <w:noProof/>
          </w:rPr>
          <w:t>Table 6.9. Abundance and putative identities of VOC features</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_Toc193668469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226</w:t>
        </w:r>
        <w:r w:rsidRPr="003212B4">
          <w:rPr>
            <w:rFonts w:cs="Times New Roman"/>
            <w:noProof/>
            <w:webHidden/>
          </w:rPr>
          <w:fldChar w:fldCharType="end"/>
        </w:r>
      </w:hyperlink>
    </w:p>
    <w:p w14:paraId="142C733B" w14:textId="431C367B" w:rsidR="003212B4" w:rsidRPr="003212B4" w:rsidRDefault="003212B4" w:rsidP="00562BA2">
      <w:pPr>
        <w:pStyle w:val="TableofFigures"/>
        <w:tabs>
          <w:tab w:val="right" w:leader="dot" w:pos="8630"/>
        </w:tabs>
        <w:rPr>
          <w:rFonts w:eastAsiaTheme="minorEastAsia" w:cs="Times New Roman"/>
          <w:noProof/>
          <w:kern w:val="2"/>
          <w14:ligatures w14:val="standardContextual"/>
        </w:rPr>
      </w:pPr>
      <w:hyperlink w:anchor="_Toc193668470" w:history="1">
        <w:r w:rsidRPr="003212B4">
          <w:rPr>
            <w:rStyle w:val="Hyperlink"/>
            <w:rFonts w:ascii="Times New Roman" w:hAnsi="Times New Roman" w:cs="Times New Roman"/>
            <w:noProof/>
          </w:rPr>
          <w:t>Table 6.10. Protein Data Bank matches to BF02_Schw PrnA</w:t>
        </w:r>
        <w:r w:rsidRPr="003212B4">
          <w:rPr>
            <w:rFonts w:cs="Times New Roman"/>
            <w:noProof/>
            <w:webHidden/>
          </w:rPr>
          <w:tab/>
        </w:r>
        <w:r w:rsidRPr="003212B4">
          <w:rPr>
            <w:rFonts w:cs="Times New Roman"/>
            <w:noProof/>
            <w:webHidden/>
          </w:rPr>
          <w:fldChar w:fldCharType="begin"/>
        </w:r>
        <w:r w:rsidRPr="003212B4">
          <w:rPr>
            <w:rFonts w:cs="Times New Roman"/>
            <w:noProof/>
            <w:webHidden/>
          </w:rPr>
          <w:instrText xml:space="preserve"> PAGEREF _Toc193668470 \h </w:instrText>
        </w:r>
        <w:r w:rsidRPr="003212B4">
          <w:rPr>
            <w:rFonts w:cs="Times New Roman"/>
            <w:noProof/>
            <w:webHidden/>
          </w:rPr>
        </w:r>
        <w:r w:rsidRPr="003212B4">
          <w:rPr>
            <w:rFonts w:cs="Times New Roman"/>
            <w:noProof/>
            <w:webHidden/>
          </w:rPr>
          <w:fldChar w:fldCharType="separate"/>
        </w:r>
        <w:r w:rsidR="0025018F">
          <w:rPr>
            <w:rFonts w:cs="Times New Roman"/>
            <w:noProof/>
            <w:webHidden/>
          </w:rPr>
          <w:t>232</w:t>
        </w:r>
        <w:r w:rsidRPr="003212B4">
          <w:rPr>
            <w:rFonts w:cs="Times New Roman"/>
            <w:noProof/>
            <w:webHidden/>
          </w:rPr>
          <w:fldChar w:fldCharType="end"/>
        </w:r>
      </w:hyperlink>
    </w:p>
    <w:p w14:paraId="45A14E6A" w14:textId="084D5E93" w:rsidR="006D40FC" w:rsidRPr="003212B4" w:rsidRDefault="00665C7E" w:rsidP="00562BA2">
      <w:pPr>
        <w:pStyle w:val="TableofFigures"/>
        <w:tabs>
          <w:tab w:val="right" w:leader="dot" w:pos="8630"/>
        </w:tabs>
        <w:ind w:left="0" w:firstLine="0"/>
        <w:rPr>
          <w:rFonts w:eastAsiaTheme="minorEastAsia" w:cs="Times New Roman"/>
        </w:rPr>
      </w:pPr>
      <w:r w:rsidRPr="003212B4">
        <w:rPr>
          <w:rFonts w:cs="Times New Roman"/>
        </w:rPr>
        <w:fldChar w:fldCharType="end"/>
      </w:r>
    </w:p>
    <w:p w14:paraId="60D484F4" w14:textId="2C91A15D" w:rsidR="00236E6D" w:rsidRPr="00BB6824" w:rsidRDefault="00236E6D" w:rsidP="00562BA2">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p>
    <w:p w14:paraId="3E06B95A" w14:textId="1546BE62" w:rsidR="00236E6D" w:rsidRPr="00BB6824" w:rsidRDefault="00236E6D" w:rsidP="00562BA2">
      <w:pPr>
        <w:pStyle w:val="Heading2"/>
      </w:pPr>
      <w:r w:rsidRPr="00BB6824">
        <w:br w:type="page"/>
      </w:r>
      <w:bookmarkStart w:id="74" w:name="_Toc190263931"/>
      <w:bookmarkStart w:id="75" w:name="_Toc190263985"/>
      <w:bookmarkStart w:id="76" w:name="_Toc190328167"/>
      <w:bookmarkStart w:id="77" w:name="_Toc190671262"/>
      <w:bookmarkStart w:id="78" w:name="_Toc190671540"/>
      <w:bookmarkStart w:id="79" w:name="_Toc193614970"/>
      <w:bookmarkStart w:id="80" w:name="_Toc193641025"/>
      <w:bookmarkStart w:id="81" w:name="_Toc193641112"/>
      <w:bookmarkStart w:id="82" w:name="_Toc193641311"/>
      <w:bookmarkStart w:id="83" w:name="_Toc193668349"/>
      <w:bookmarkStart w:id="84" w:name="_Toc193694971"/>
      <w:bookmarkStart w:id="85" w:name="_Toc193697374"/>
      <w:bookmarkStart w:id="86" w:name="_Toc196202535"/>
      <w:bookmarkStart w:id="87" w:name="_Toc196203035"/>
      <w:bookmarkStart w:id="88" w:name="_Toc196256693"/>
      <w:bookmarkStart w:id="89" w:name="_Toc196256855"/>
      <w:r w:rsidRPr="00BB6824">
        <w:lastRenderedPageBreak/>
        <w:t>LIST OF FIGURES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395EB328" w14:textId="3D5A1C04" w:rsidR="001D6E31" w:rsidRPr="00560FAB" w:rsidRDefault="00665C7E" w:rsidP="00562BA2">
      <w:pPr>
        <w:pStyle w:val="TableofFigures"/>
        <w:tabs>
          <w:tab w:val="right" w:leader="dot" w:pos="8630"/>
        </w:tabs>
        <w:ind w:firstLine="0"/>
        <w:rPr>
          <w:rFonts w:eastAsiaTheme="minorEastAsia" w:cs="Times New Roman"/>
          <w:noProof/>
          <w:kern w:val="2"/>
          <w14:ligatures w14:val="standardContextual"/>
        </w:rPr>
      </w:pPr>
      <w:r w:rsidRPr="00560FAB">
        <w:rPr>
          <w:rFonts w:cs="Times New Roman"/>
          <w:color w:val="000000" w:themeColor="text1"/>
        </w:rPr>
        <w:fldChar w:fldCharType="begin"/>
      </w:r>
      <w:r w:rsidR="00304BD0" w:rsidRPr="00560FAB">
        <w:rPr>
          <w:rFonts w:cs="Times New Roman"/>
          <w:color w:val="000000" w:themeColor="text1"/>
        </w:rPr>
        <w:instrText xml:space="preserve"> TOC \h \z \c "Figure" </w:instrText>
      </w:r>
      <w:r w:rsidRPr="00560FAB">
        <w:rPr>
          <w:rFonts w:cs="Times New Roman"/>
          <w:color w:val="000000" w:themeColor="text1"/>
        </w:rPr>
        <w:fldChar w:fldCharType="separate"/>
      </w:r>
      <w:hyperlink w:anchor="_Toc193695158" w:history="1">
        <w:r w:rsidR="001D6E31" w:rsidRPr="00560FAB">
          <w:rPr>
            <w:rStyle w:val="Hyperlink"/>
            <w:rFonts w:ascii="Times New Roman" w:hAnsi="Times New Roman" w:cs="Times New Roman"/>
            <w:noProof/>
          </w:rPr>
          <w:t>Figure 1.1 McMurdo Dry Valleys, Antarctica</w:t>
        </w:r>
        <w:r w:rsidR="001D6E31" w:rsidRPr="00560FAB">
          <w:rPr>
            <w:rFonts w:cs="Times New Roman"/>
            <w:noProof/>
            <w:webHidden/>
          </w:rPr>
          <w:tab/>
        </w:r>
        <w:r w:rsidR="001D6E31" w:rsidRPr="00560FAB">
          <w:rPr>
            <w:rFonts w:cs="Times New Roman"/>
            <w:noProof/>
            <w:webHidden/>
          </w:rPr>
          <w:fldChar w:fldCharType="begin"/>
        </w:r>
        <w:r w:rsidR="001D6E31" w:rsidRPr="00560FAB">
          <w:rPr>
            <w:rFonts w:cs="Times New Roman"/>
            <w:noProof/>
            <w:webHidden/>
          </w:rPr>
          <w:instrText xml:space="preserve"> PAGEREF _Toc193695158 \h </w:instrText>
        </w:r>
        <w:r w:rsidR="001D6E31" w:rsidRPr="00560FAB">
          <w:rPr>
            <w:rFonts w:cs="Times New Roman"/>
            <w:noProof/>
            <w:webHidden/>
          </w:rPr>
        </w:r>
        <w:r w:rsidR="001D6E31" w:rsidRPr="00560FAB">
          <w:rPr>
            <w:rFonts w:cs="Times New Roman"/>
            <w:noProof/>
            <w:webHidden/>
          </w:rPr>
          <w:fldChar w:fldCharType="separate"/>
        </w:r>
        <w:r w:rsidR="0025018F">
          <w:rPr>
            <w:rFonts w:cs="Times New Roman"/>
            <w:noProof/>
            <w:webHidden/>
          </w:rPr>
          <w:t>4</w:t>
        </w:r>
        <w:r w:rsidR="001D6E31" w:rsidRPr="00560FAB">
          <w:rPr>
            <w:rFonts w:cs="Times New Roman"/>
            <w:noProof/>
            <w:webHidden/>
          </w:rPr>
          <w:fldChar w:fldCharType="end"/>
        </w:r>
      </w:hyperlink>
    </w:p>
    <w:p w14:paraId="010BD6D5" w14:textId="7120C379"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59" w:history="1">
        <w:r w:rsidRPr="00560FAB">
          <w:rPr>
            <w:rStyle w:val="Hyperlink"/>
            <w:rFonts w:ascii="Times New Roman" w:hAnsi="Times New Roman" w:cs="Times New Roman"/>
            <w:noProof/>
          </w:rPr>
          <w:t>Figure 2.1. The Don Juan Pond (DJP) microbial mat</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_Toc193695159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68</w:t>
        </w:r>
        <w:r w:rsidRPr="00560FAB">
          <w:rPr>
            <w:rFonts w:cs="Times New Roman"/>
            <w:noProof/>
            <w:webHidden/>
          </w:rPr>
          <w:fldChar w:fldCharType="end"/>
        </w:r>
      </w:hyperlink>
    </w:p>
    <w:p w14:paraId="3E3D5FED" w14:textId="4592BD8A"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60" w:history="1">
        <w:r w:rsidRPr="00560FAB">
          <w:rPr>
            <w:rStyle w:val="Hyperlink"/>
            <w:rFonts w:ascii="Times New Roman" w:hAnsi="Times New Roman" w:cs="Times New Roman"/>
            <w:noProof/>
          </w:rPr>
          <w:t>Figure 2.2 Morphology of strain DJPM01</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_Toc193695160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69</w:t>
        </w:r>
        <w:r w:rsidRPr="00560FAB">
          <w:rPr>
            <w:rFonts w:cs="Times New Roman"/>
            <w:noProof/>
            <w:webHidden/>
          </w:rPr>
          <w:fldChar w:fldCharType="end"/>
        </w:r>
      </w:hyperlink>
    </w:p>
    <w:p w14:paraId="5395E9EE" w14:textId="4842D001"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61" w:history="1">
        <w:r w:rsidRPr="00560FAB">
          <w:rPr>
            <w:rStyle w:val="Hyperlink"/>
            <w:rFonts w:ascii="Times New Roman" w:hAnsi="Times New Roman" w:cs="Times New Roman"/>
            <w:noProof/>
          </w:rPr>
          <w:t>Figure 2.3 Multiple-gene tree of Oxalobacteraceae family members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_Toc193695161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70</w:t>
        </w:r>
        <w:r w:rsidRPr="00560FAB">
          <w:rPr>
            <w:rFonts w:cs="Times New Roman"/>
            <w:noProof/>
            <w:webHidden/>
          </w:rPr>
          <w:fldChar w:fldCharType="end"/>
        </w:r>
      </w:hyperlink>
    </w:p>
    <w:p w14:paraId="393C24CE" w14:textId="4024110A"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62" w:history="1">
        <w:r w:rsidRPr="00560FAB">
          <w:rPr>
            <w:rStyle w:val="Hyperlink"/>
            <w:rFonts w:ascii="Times New Roman" w:hAnsi="Times New Roman" w:cs="Times New Roman"/>
            <w:noProof/>
          </w:rPr>
          <w:t>Figure 2.4 Gene map for strain DJPM01.</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_Toc193695162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71</w:t>
        </w:r>
        <w:r w:rsidRPr="00560FAB">
          <w:rPr>
            <w:rFonts w:cs="Times New Roman"/>
            <w:noProof/>
            <w:webHidden/>
          </w:rPr>
          <w:fldChar w:fldCharType="end"/>
        </w:r>
      </w:hyperlink>
    </w:p>
    <w:p w14:paraId="535CC867" w14:textId="44423021"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63" w:history="1">
        <w:r w:rsidRPr="00560FAB">
          <w:rPr>
            <w:rStyle w:val="Hyperlink"/>
            <w:rFonts w:ascii="Times New Roman" w:hAnsi="Times New Roman" w:cs="Times New Roman"/>
            <w:noProof/>
          </w:rPr>
          <w:t xml:space="preserve">Figure 2.5 Annotated secondary metabolite BGCs in </w:t>
        </w:r>
        <w:r w:rsidRPr="00560FAB">
          <w:rPr>
            <w:rStyle w:val="Hyperlink"/>
            <w:rFonts w:ascii="Times New Roman" w:hAnsi="Times New Roman" w:cs="Times New Roman"/>
            <w:i/>
            <w:noProof/>
          </w:rPr>
          <w:t>Massilia</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_Toc193695163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72</w:t>
        </w:r>
        <w:r w:rsidRPr="00560FAB">
          <w:rPr>
            <w:rFonts w:cs="Times New Roman"/>
            <w:noProof/>
            <w:webHidden/>
          </w:rPr>
          <w:fldChar w:fldCharType="end"/>
        </w:r>
      </w:hyperlink>
    </w:p>
    <w:p w14:paraId="298101E5" w14:textId="62ED13B7"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64" w:history="1">
        <w:r w:rsidRPr="00560FAB">
          <w:rPr>
            <w:rStyle w:val="Hyperlink"/>
            <w:rFonts w:ascii="Times New Roman" w:hAnsi="Times New Roman" w:cs="Times New Roman"/>
            <w:noProof/>
          </w:rPr>
          <w:t>Figure 2.6 Detection of prodigiosin</w:t>
        </w:r>
        <w:r w:rsidR="00560FAB" w:rsidRPr="00560FAB">
          <w:rPr>
            <w:rStyle w:val="Hyperlink"/>
            <w:rFonts w:ascii="Times New Roman" w:hAnsi="Times New Roman" w:cs="Times New Roman"/>
            <w:noProof/>
          </w:rPr>
          <w:t xml:space="preserve"> </w:t>
        </w:r>
        <w:r w:rsidRPr="00560FAB">
          <w:rPr>
            <w:rStyle w:val="Hyperlink"/>
            <w:rFonts w:ascii="Times New Roman" w:hAnsi="Times New Roman" w:cs="Times New Roman"/>
            <w:noProof/>
          </w:rPr>
          <w:t>in strain DJPM01 extracts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_Toc193695164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73</w:t>
        </w:r>
        <w:r w:rsidRPr="00560FAB">
          <w:rPr>
            <w:rFonts w:cs="Times New Roman"/>
            <w:noProof/>
            <w:webHidden/>
          </w:rPr>
          <w:fldChar w:fldCharType="end"/>
        </w:r>
      </w:hyperlink>
    </w:p>
    <w:p w14:paraId="553265F0" w14:textId="2857BCE0"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65" w:history="1">
        <w:r w:rsidRPr="00560FAB">
          <w:rPr>
            <w:rStyle w:val="Hyperlink"/>
            <w:rFonts w:ascii="Times New Roman" w:hAnsi="Times New Roman" w:cs="Times New Roman"/>
            <w:noProof/>
          </w:rPr>
          <w:t>Figure 2.7 Differential features observed under UV treatment</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_Toc193695165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75</w:t>
        </w:r>
        <w:r w:rsidRPr="00560FAB">
          <w:rPr>
            <w:rFonts w:cs="Times New Roman"/>
            <w:noProof/>
            <w:webHidden/>
          </w:rPr>
          <w:fldChar w:fldCharType="end"/>
        </w:r>
      </w:hyperlink>
    </w:p>
    <w:p w14:paraId="097D876D" w14:textId="6AD4494B"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66" w:history="1">
        <w:r w:rsidRPr="00560FAB">
          <w:rPr>
            <w:rStyle w:val="Hyperlink"/>
            <w:rFonts w:ascii="Times New Roman" w:hAnsi="Times New Roman" w:cs="Times New Roman"/>
            <w:noProof/>
          </w:rPr>
          <w:t>Figure 2.8 Mass defect plot showing hypothesized prodiginines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_Toc193695166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76</w:t>
        </w:r>
        <w:r w:rsidRPr="00560FAB">
          <w:rPr>
            <w:rFonts w:cs="Times New Roman"/>
            <w:noProof/>
            <w:webHidden/>
          </w:rPr>
          <w:fldChar w:fldCharType="end"/>
        </w:r>
      </w:hyperlink>
    </w:p>
    <w:p w14:paraId="2FC10EE8" w14:textId="5AE8DF10"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67" w:history="1">
        <w:r w:rsidRPr="00560FAB">
          <w:rPr>
            <w:rStyle w:val="Hyperlink"/>
            <w:rFonts w:ascii="Times New Roman" w:hAnsi="Times New Roman" w:cs="Times New Roman"/>
            <w:noProof/>
          </w:rPr>
          <w:t>Figure 3.1. Location and geochemistry of Fryxell basin meltwater seeps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_Toc193695167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126</w:t>
        </w:r>
        <w:r w:rsidRPr="00560FAB">
          <w:rPr>
            <w:rFonts w:cs="Times New Roman"/>
            <w:noProof/>
            <w:webHidden/>
          </w:rPr>
          <w:fldChar w:fldCharType="end"/>
        </w:r>
      </w:hyperlink>
    </w:p>
    <w:p w14:paraId="1C659780" w14:textId="64C980E6"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68" w:history="1">
        <w:r w:rsidRPr="00560FAB">
          <w:rPr>
            <w:rStyle w:val="Hyperlink"/>
            <w:rFonts w:ascii="Times New Roman" w:hAnsi="Times New Roman" w:cs="Times New Roman"/>
            <w:noProof/>
          </w:rPr>
          <w:t>Figure 3.2. Community composition of wet and dry soil profiles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_Toc193695168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127</w:t>
        </w:r>
        <w:r w:rsidRPr="00560FAB">
          <w:rPr>
            <w:rFonts w:cs="Times New Roman"/>
            <w:noProof/>
            <w:webHidden/>
          </w:rPr>
          <w:fldChar w:fldCharType="end"/>
        </w:r>
      </w:hyperlink>
    </w:p>
    <w:p w14:paraId="0071CC57" w14:textId="5C9DE7F4"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69" w:history="1">
        <w:r w:rsidRPr="00560FAB">
          <w:rPr>
            <w:rStyle w:val="Hyperlink"/>
            <w:rFonts w:ascii="Times New Roman" w:hAnsi="Times New Roman" w:cs="Times New Roman"/>
            <w:noProof/>
          </w:rPr>
          <w:t>Figure 3.3. Diversity metrics of wet and dry soil profiles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_Toc193695169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128</w:t>
        </w:r>
        <w:r w:rsidRPr="00560FAB">
          <w:rPr>
            <w:rFonts w:cs="Times New Roman"/>
            <w:noProof/>
            <w:webHidden/>
          </w:rPr>
          <w:fldChar w:fldCharType="end"/>
        </w:r>
      </w:hyperlink>
    </w:p>
    <w:p w14:paraId="28B8D9FB" w14:textId="4F341AB1"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70" w:history="1">
        <w:r w:rsidRPr="00560FAB">
          <w:rPr>
            <w:rStyle w:val="Hyperlink"/>
            <w:rFonts w:ascii="Times New Roman" w:hAnsi="Times New Roman" w:cs="Times New Roman"/>
            <w:noProof/>
          </w:rPr>
          <w:t>Figure 3.4. Predicted genes associated with salt tolerance in seep metagenomes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_Toc193695170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129</w:t>
        </w:r>
        <w:r w:rsidRPr="00560FAB">
          <w:rPr>
            <w:rFonts w:cs="Times New Roman"/>
            <w:noProof/>
            <w:webHidden/>
          </w:rPr>
          <w:fldChar w:fldCharType="end"/>
        </w:r>
      </w:hyperlink>
    </w:p>
    <w:p w14:paraId="568F4AC0" w14:textId="49319442"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71" w:history="1">
        <w:r w:rsidRPr="00560FAB">
          <w:rPr>
            <w:rStyle w:val="Hyperlink"/>
            <w:rFonts w:ascii="Times New Roman" w:hAnsi="Times New Roman" w:cs="Times New Roman"/>
            <w:noProof/>
          </w:rPr>
          <w:t xml:space="preserve">Figure 3.5. Taxonomic placement of strain FRX26 within the </w:t>
        </w:r>
        <w:r w:rsidRPr="00560FAB">
          <w:rPr>
            <w:rStyle w:val="Hyperlink"/>
            <w:rFonts w:ascii="Times New Roman" w:hAnsi="Times New Roman" w:cs="Times New Roman"/>
            <w:i/>
            <w:noProof/>
          </w:rPr>
          <w:t xml:space="preserve">Gillisia </w:t>
        </w:r>
        <w:r w:rsidRPr="00560FAB">
          <w:rPr>
            <w:rStyle w:val="Hyperlink"/>
            <w:rFonts w:ascii="Times New Roman" w:hAnsi="Times New Roman" w:cs="Times New Roman"/>
            <w:noProof/>
          </w:rPr>
          <w:t>genus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_Toc193695171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130</w:t>
        </w:r>
        <w:r w:rsidRPr="00560FAB">
          <w:rPr>
            <w:rFonts w:cs="Times New Roman"/>
            <w:noProof/>
            <w:webHidden/>
          </w:rPr>
          <w:fldChar w:fldCharType="end"/>
        </w:r>
      </w:hyperlink>
    </w:p>
    <w:p w14:paraId="5233818D" w14:textId="302CB17A"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72" w:history="1">
        <w:r w:rsidRPr="00560FAB">
          <w:rPr>
            <w:rStyle w:val="Hyperlink"/>
            <w:rFonts w:ascii="Times New Roman" w:hAnsi="Times New Roman" w:cs="Times New Roman"/>
            <w:noProof/>
          </w:rPr>
          <w:t>Figure 3.6. Relative abundance of</w:t>
        </w:r>
        <w:r w:rsidR="00560FAB" w:rsidRPr="00560FAB">
          <w:rPr>
            <w:rStyle w:val="Hyperlink"/>
            <w:rFonts w:ascii="Times New Roman" w:hAnsi="Times New Roman" w:cs="Times New Roman"/>
            <w:noProof/>
          </w:rPr>
          <w:t xml:space="preserve"> </w:t>
        </w:r>
        <w:r w:rsidRPr="00560FAB">
          <w:rPr>
            <w:rStyle w:val="Hyperlink"/>
            <w:rFonts w:ascii="Times New Roman" w:hAnsi="Times New Roman" w:cs="Times New Roman"/>
            <w:noProof/>
          </w:rPr>
          <w:t>FRX26 in Wright and Taylor Valley.</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_Toc193695172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131</w:t>
        </w:r>
        <w:r w:rsidRPr="00560FAB">
          <w:rPr>
            <w:rFonts w:cs="Times New Roman"/>
            <w:noProof/>
            <w:webHidden/>
          </w:rPr>
          <w:fldChar w:fldCharType="end"/>
        </w:r>
      </w:hyperlink>
    </w:p>
    <w:p w14:paraId="1CFDDFA2" w14:textId="3C26F106"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73" w:history="1">
        <w:r w:rsidRPr="00560FAB">
          <w:rPr>
            <w:rStyle w:val="Hyperlink"/>
            <w:rFonts w:ascii="Times New Roman" w:hAnsi="Times New Roman" w:cs="Times New Roman"/>
            <w:noProof/>
          </w:rPr>
          <w:t xml:space="preserve">Figure 3.7 Functional categories of </w:t>
        </w:r>
        <w:r w:rsidR="00560FAB" w:rsidRPr="00560FAB">
          <w:rPr>
            <w:rStyle w:val="Hyperlink"/>
            <w:rFonts w:ascii="Times New Roman" w:hAnsi="Times New Roman" w:cs="Times New Roman"/>
            <w:noProof/>
          </w:rPr>
          <w:t>FRX26</w:t>
        </w:r>
        <w:r w:rsidRPr="00560FAB">
          <w:rPr>
            <w:rStyle w:val="Hyperlink"/>
            <w:rFonts w:ascii="Times New Roman" w:hAnsi="Times New Roman" w:cs="Times New Roman"/>
            <w:noProof/>
          </w:rPr>
          <w:t xml:space="preserve"> genes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_Toc193695173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132</w:t>
        </w:r>
        <w:r w:rsidRPr="00560FAB">
          <w:rPr>
            <w:rFonts w:cs="Times New Roman"/>
            <w:noProof/>
            <w:webHidden/>
          </w:rPr>
          <w:fldChar w:fldCharType="end"/>
        </w:r>
      </w:hyperlink>
    </w:p>
    <w:p w14:paraId="5279026C" w14:textId="1A0D0E07"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74" w:history="1">
        <w:r w:rsidRPr="00560FAB">
          <w:rPr>
            <w:rStyle w:val="Hyperlink"/>
            <w:rFonts w:ascii="Times New Roman" w:hAnsi="Times New Roman" w:cs="Times New Roman"/>
            <w:noProof/>
          </w:rPr>
          <w:t>Figure 3.8. Presence of salt response</w:t>
        </w:r>
        <w:r w:rsidR="00560FAB" w:rsidRPr="00560FAB">
          <w:rPr>
            <w:rStyle w:val="Hyperlink"/>
            <w:rFonts w:ascii="Times New Roman" w:hAnsi="Times New Roman" w:cs="Times New Roman"/>
            <w:noProof/>
          </w:rPr>
          <w:t xml:space="preserve"> genes</w:t>
        </w:r>
        <w:r w:rsidRPr="00560FAB">
          <w:rPr>
            <w:rStyle w:val="Hyperlink"/>
            <w:rFonts w:ascii="Times New Roman" w:hAnsi="Times New Roman" w:cs="Times New Roman"/>
            <w:noProof/>
          </w:rPr>
          <w:t xml:space="preserve"> in </w:t>
        </w:r>
        <w:r w:rsidRPr="00560FAB">
          <w:rPr>
            <w:rStyle w:val="Hyperlink"/>
            <w:rFonts w:ascii="Times New Roman" w:hAnsi="Times New Roman" w:cs="Times New Roman"/>
            <w:i/>
            <w:noProof/>
          </w:rPr>
          <w:t xml:space="preserve">Gillisia </w:t>
        </w:r>
        <w:r w:rsidRPr="00560FAB">
          <w:rPr>
            <w:rStyle w:val="Hyperlink"/>
            <w:rFonts w:ascii="Times New Roman" w:hAnsi="Times New Roman" w:cs="Times New Roman"/>
            <w:noProof/>
          </w:rPr>
          <w:t>genomes.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_Toc193695174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133</w:t>
        </w:r>
        <w:r w:rsidRPr="00560FAB">
          <w:rPr>
            <w:rFonts w:cs="Times New Roman"/>
            <w:noProof/>
            <w:webHidden/>
          </w:rPr>
          <w:fldChar w:fldCharType="end"/>
        </w:r>
      </w:hyperlink>
    </w:p>
    <w:p w14:paraId="075EC866" w14:textId="15793346"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75" w:history="1">
        <w:r w:rsidRPr="00560FAB">
          <w:rPr>
            <w:rStyle w:val="Hyperlink"/>
            <w:rFonts w:ascii="Times New Roman" w:hAnsi="Times New Roman" w:cs="Times New Roman"/>
            <w:noProof/>
          </w:rPr>
          <w:t>Figure 3.9. Comparison of</w:t>
        </w:r>
        <w:r w:rsidR="00560FAB" w:rsidRPr="00560FAB">
          <w:rPr>
            <w:rStyle w:val="Hyperlink"/>
            <w:rFonts w:ascii="Times New Roman" w:hAnsi="Times New Roman" w:cs="Times New Roman"/>
            <w:noProof/>
          </w:rPr>
          <w:t xml:space="preserve"> </w:t>
        </w:r>
        <w:r w:rsidR="00560FAB" w:rsidRPr="00560FAB">
          <w:rPr>
            <w:rStyle w:val="Hyperlink"/>
            <w:rFonts w:ascii="Times New Roman" w:hAnsi="Times New Roman" w:cs="Times New Roman"/>
            <w:i/>
            <w:iCs/>
            <w:noProof/>
          </w:rPr>
          <w:t>Gillisa</w:t>
        </w:r>
        <w:r w:rsidRPr="00560FAB">
          <w:rPr>
            <w:rStyle w:val="Hyperlink"/>
            <w:rFonts w:ascii="Times New Roman" w:hAnsi="Times New Roman" w:cs="Times New Roman"/>
            <w:noProof/>
          </w:rPr>
          <w:t xml:space="preserve"> type III PKS gene cluster</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_Toc193695175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134</w:t>
        </w:r>
        <w:r w:rsidRPr="00560FAB">
          <w:rPr>
            <w:rFonts w:cs="Times New Roman"/>
            <w:noProof/>
            <w:webHidden/>
          </w:rPr>
          <w:fldChar w:fldCharType="end"/>
        </w:r>
      </w:hyperlink>
    </w:p>
    <w:p w14:paraId="5A3A9864" w14:textId="1785ADF4"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76" w:history="1">
        <w:r w:rsidRPr="00560FAB">
          <w:rPr>
            <w:rStyle w:val="Hyperlink"/>
            <w:rFonts w:ascii="Times New Roman" w:hAnsi="Times New Roman" w:cs="Times New Roman"/>
            <w:noProof/>
          </w:rPr>
          <w:t xml:space="preserve">Figure 3.10. Growth of </w:t>
        </w:r>
        <w:r w:rsidRPr="00560FAB">
          <w:rPr>
            <w:rStyle w:val="Hyperlink"/>
            <w:rFonts w:ascii="Times New Roman" w:hAnsi="Times New Roman" w:cs="Times New Roman"/>
            <w:i/>
            <w:noProof/>
          </w:rPr>
          <w:t xml:space="preserve">Gillisia </w:t>
        </w:r>
        <w:r w:rsidRPr="00560FAB">
          <w:rPr>
            <w:rStyle w:val="Hyperlink"/>
            <w:rFonts w:ascii="Times New Roman" w:hAnsi="Times New Roman" w:cs="Times New Roman"/>
            <w:noProof/>
          </w:rPr>
          <w:t>sp. FRX26</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_Toc193695176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135</w:t>
        </w:r>
        <w:r w:rsidRPr="00560FAB">
          <w:rPr>
            <w:rFonts w:cs="Times New Roman"/>
            <w:noProof/>
            <w:webHidden/>
          </w:rPr>
          <w:fldChar w:fldCharType="end"/>
        </w:r>
      </w:hyperlink>
    </w:p>
    <w:p w14:paraId="14F51C08" w14:textId="07CAFBF0"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77" w:history="1">
        <w:r w:rsidRPr="00560FAB">
          <w:rPr>
            <w:rStyle w:val="Hyperlink"/>
            <w:rFonts w:ascii="Times New Roman" w:hAnsi="Times New Roman" w:cs="Times New Roman"/>
            <w:noProof/>
          </w:rPr>
          <w:t>Figure 3.11. Heatmap of features passing all filters in FRX26 cultures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_Toc193695177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136</w:t>
        </w:r>
        <w:r w:rsidRPr="00560FAB">
          <w:rPr>
            <w:rFonts w:cs="Times New Roman"/>
            <w:noProof/>
            <w:webHidden/>
          </w:rPr>
          <w:fldChar w:fldCharType="end"/>
        </w:r>
      </w:hyperlink>
    </w:p>
    <w:p w14:paraId="1A41215F" w14:textId="3741D8F0"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78" w:history="1">
        <w:r w:rsidRPr="00560FAB">
          <w:rPr>
            <w:rStyle w:val="Hyperlink"/>
            <w:rFonts w:ascii="Times New Roman" w:hAnsi="Times New Roman" w:cs="Times New Roman"/>
            <w:noProof/>
          </w:rPr>
          <w:t xml:space="preserve">Figure 3.12. NMDS plot of </w:t>
        </w:r>
        <w:r w:rsidRPr="00560FAB">
          <w:rPr>
            <w:rStyle w:val="Hyperlink"/>
            <w:rFonts w:ascii="Times New Roman" w:hAnsi="Times New Roman" w:cs="Times New Roman"/>
            <w:i/>
            <w:noProof/>
          </w:rPr>
          <w:t>Gillisia</w:t>
        </w:r>
        <w:r w:rsidRPr="00560FAB">
          <w:rPr>
            <w:rStyle w:val="Hyperlink"/>
            <w:rFonts w:ascii="Times New Roman" w:hAnsi="Times New Roman" w:cs="Times New Roman"/>
            <w:noProof/>
          </w:rPr>
          <w:t xml:space="preserve"> sp. FRX26 metabolite profiles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_Toc193695178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137</w:t>
        </w:r>
        <w:r w:rsidRPr="00560FAB">
          <w:rPr>
            <w:rFonts w:cs="Times New Roman"/>
            <w:noProof/>
            <w:webHidden/>
          </w:rPr>
          <w:fldChar w:fldCharType="end"/>
        </w:r>
      </w:hyperlink>
    </w:p>
    <w:p w14:paraId="4FA9F168" w14:textId="0CEAB6D3"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79" w:history="1">
        <w:r w:rsidRPr="00560FAB">
          <w:rPr>
            <w:rStyle w:val="Hyperlink"/>
            <w:rFonts w:ascii="Times New Roman" w:hAnsi="Times New Roman" w:cs="Times New Roman"/>
            <w:noProof/>
          </w:rPr>
          <w:t>Figure 3.13. Volcano plot of differentially abundant metabolite</w:t>
        </w:r>
        <w:r w:rsidR="00560FAB" w:rsidRPr="00560FAB">
          <w:rPr>
            <w:rStyle w:val="Hyperlink"/>
            <w:rFonts w:ascii="Times New Roman" w:hAnsi="Times New Roman" w:cs="Times New Roman"/>
            <w:noProof/>
          </w:rPr>
          <w:t>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_Toc193695179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138</w:t>
        </w:r>
        <w:r w:rsidRPr="00560FAB">
          <w:rPr>
            <w:rFonts w:cs="Times New Roman"/>
            <w:noProof/>
            <w:webHidden/>
          </w:rPr>
          <w:fldChar w:fldCharType="end"/>
        </w:r>
      </w:hyperlink>
    </w:p>
    <w:p w14:paraId="459F0FF4" w14:textId="668E13CD"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80" w:history="1">
        <w:r w:rsidRPr="00560FAB">
          <w:rPr>
            <w:rStyle w:val="Hyperlink"/>
            <w:rFonts w:ascii="Times New Roman" w:hAnsi="Times New Roman" w:cs="Times New Roman"/>
            <w:noProof/>
          </w:rPr>
          <w:t>Figure 3.14. Example fragmentation patterns for features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_Toc193695180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139</w:t>
        </w:r>
        <w:r w:rsidRPr="00560FAB">
          <w:rPr>
            <w:rFonts w:cs="Times New Roman"/>
            <w:noProof/>
            <w:webHidden/>
          </w:rPr>
          <w:fldChar w:fldCharType="end"/>
        </w:r>
      </w:hyperlink>
    </w:p>
    <w:p w14:paraId="0233D012" w14:textId="20D13B29"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81" w:history="1">
        <w:r w:rsidRPr="00560FAB">
          <w:rPr>
            <w:rStyle w:val="Hyperlink"/>
            <w:rFonts w:ascii="Times New Roman" w:hAnsi="Times New Roman" w:cs="Times New Roman"/>
            <w:noProof/>
          </w:rPr>
          <w:t xml:space="preserve">Figure 3.15. Volcano plot of </w:t>
        </w:r>
        <w:r w:rsidRPr="00560FAB">
          <w:rPr>
            <w:rStyle w:val="Hyperlink"/>
            <w:rFonts w:ascii="Times New Roman" w:hAnsi="Times New Roman" w:cs="Times New Roman"/>
            <w:i/>
            <w:noProof/>
          </w:rPr>
          <w:t xml:space="preserve">Gillisia </w:t>
        </w:r>
        <w:r w:rsidRPr="00560FAB">
          <w:rPr>
            <w:rStyle w:val="Hyperlink"/>
            <w:rFonts w:ascii="Times New Roman" w:hAnsi="Times New Roman" w:cs="Times New Roman"/>
            <w:noProof/>
          </w:rPr>
          <w:t>sp. FRX26 transcripts.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_Toc193695181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140</w:t>
        </w:r>
        <w:r w:rsidRPr="00560FAB">
          <w:rPr>
            <w:rFonts w:cs="Times New Roman"/>
            <w:noProof/>
            <w:webHidden/>
          </w:rPr>
          <w:fldChar w:fldCharType="end"/>
        </w:r>
      </w:hyperlink>
    </w:p>
    <w:p w14:paraId="18C20082" w14:textId="1FE31E2C"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82" w:history="1">
        <w:r w:rsidRPr="00560FAB">
          <w:rPr>
            <w:rStyle w:val="Hyperlink"/>
            <w:rFonts w:ascii="Times New Roman" w:hAnsi="Times New Roman" w:cs="Times New Roman"/>
            <w:noProof/>
          </w:rPr>
          <w:t>Figure 4.1. Summary of mineralogical changes during incubation</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_Toc193695182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186</w:t>
        </w:r>
        <w:r w:rsidRPr="00560FAB">
          <w:rPr>
            <w:rFonts w:cs="Times New Roman"/>
            <w:noProof/>
            <w:webHidden/>
          </w:rPr>
          <w:fldChar w:fldCharType="end"/>
        </w:r>
      </w:hyperlink>
    </w:p>
    <w:p w14:paraId="659A3705" w14:textId="3DC3A416"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83" w:history="1">
        <w:r w:rsidRPr="00560FAB">
          <w:rPr>
            <w:rStyle w:val="Hyperlink"/>
            <w:rFonts w:ascii="Times New Roman" w:hAnsi="Times New Roman" w:cs="Times New Roman"/>
            <w:noProof/>
          </w:rPr>
          <w:t xml:space="preserve">Figure 4.2. Identification of mineralogy </w:t>
        </w:r>
        <w:r w:rsidR="00560FAB" w:rsidRPr="00560FAB">
          <w:rPr>
            <w:rStyle w:val="Hyperlink"/>
            <w:rFonts w:ascii="Times New Roman" w:hAnsi="Times New Roman" w:cs="Times New Roman"/>
            <w:noProof/>
          </w:rPr>
          <w:t>via TEM</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_Toc193695183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187</w:t>
        </w:r>
        <w:r w:rsidRPr="00560FAB">
          <w:rPr>
            <w:rFonts w:cs="Times New Roman"/>
            <w:noProof/>
            <w:webHidden/>
          </w:rPr>
          <w:fldChar w:fldCharType="end"/>
        </w:r>
      </w:hyperlink>
    </w:p>
    <w:p w14:paraId="683DA9B5" w14:textId="3E2AE456"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84" w:history="1">
        <w:r w:rsidRPr="00560FAB">
          <w:rPr>
            <w:rStyle w:val="Hyperlink"/>
            <w:rFonts w:ascii="Times New Roman" w:hAnsi="Times New Roman" w:cs="Times New Roman"/>
            <w:noProof/>
          </w:rPr>
          <w:t xml:space="preserve">Figure 4.3 Abundance of </w:t>
        </w:r>
        <w:r w:rsidR="00560FAB" w:rsidRPr="00560FAB">
          <w:rPr>
            <w:rStyle w:val="Hyperlink"/>
            <w:rFonts w:ascii="Times New Roman" w:hAnsi="Times New Roman" w:cs="Times New Roman"/>
            <w:noProof/>
          </w:rPr>
          <w:t xml:space="preserve">BF02_Schw </w:t>
        </w:r>
        <w:r w:rsidRPr="00560FAB">
          <w:rPr>
            <w:rStyle w:val="Hyperlink"/>
            <w:rFonts w:ascii="Times New Roman" w:hAnsi="Times New Roman" w:cs="Times New Roman"/>
            <w:noProof/>
          </w:rPr>
          <w:t>transcripts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_Toc193695184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188</w:t>
        </w:r>
        <w:r w:rsidRPr="00560FAB">
          <w:rPr>
            <w:rFonts w:cs="Times New Roman"/>
            <w:noProof/>
            <w:webHidden/>
          </w:rPr>
          <w:fldChar w:fldCharType="end"/>
        </w:r>
      </w:hyperlink>
    </w:p>
    <w:p w14:paraId="20A47E5D" w14:textId="43E4701B"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85" w:history="1">
        <w:r w:rsidRPr="00560FAB">
          <w:rPr>
            <w:rStyle w:val="Hyperlink"/>
            <w:rFonts w:ascii="Times New Roman" w:hAnsi="Times New Roman" w:cs="Times New Roman"/>
            <w:noProof/>
          </w:rPr>
          <w:t>Figure 4.4 Differential abundance of riboflavin detected via UHPLC-MS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_Toc193695185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189</w:t>
        </w:r>
        <w:r w:rsidRPr="00560FAB">
          <w:rPr>
            <w:rFonts w:cs="Times New Roman"/>
            <w:noProof/>
            <w:webHidden/>
          </w:rPr>
          <w:fldChar w:fldCharType="end"/>
        </w:r>
      </w:hyperlink>
    </w:p>
    <w:p w14:paraId="6190880E" w14:textId="3C643370"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86" w:history="1">
        <w:r w:rsidRPr="00560FAB">
          <w:rPr>
            <w:rStyle w:val="Hyperlink"/>
            <w:rFonts w:ascii="Times New Roman" w:hAnsi="Times New Roman" w:cs="Times New Roman"/>
            <w:noProof/>
          </w:rPr>
          <w:t>Figure 4.5 VOCs detected in microcosm headspace</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_Toc193695186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190</w:t>
        </w:r>
        <w:r w:rsidRPr="00560FAB">
          <w:rPr>
            <w:rFonts w:cs="Times New Roman"/>
            <w:noProof/>
            <w:webHidden/>
          </w:rPr>
          <w:fldChar w:fldCharType="end"/>
        </w:r>
      </w:hyperlink>
    </w:p>
    <w:p w14:paraId="00C06BDD" w14:textId="1D88C85D"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87" w:history="1">
        <w:r w:rsidRPr="00560FAB">
          <w:rPr>
            <w:rStyle w:val="Hyperlink"/>
            <w:rFonts w:ascii="Times New Roman" w:hAnsi="Times New Roman" w:cs="Times New Roman"/>
            <w:noProof/>
          </w:rPr>
          <w:t>Figure 6.1 Output spectrum of UV-A light</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_Toc193695187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213</w:t>
        </w:r>
        <w:r w:rsidRPr="00560FAB">
          <w:rPr>
            <w:rFonts w:cs="Times New Roman"/>
            <w:noProof/>
            <w:webHidden/>
          </w:rPr>
          <w:fldChar w:fldCharType="end"/>
        </w:r>
      </w:hyperlink>
    </w:p>
    <w:p w14:paraId="70F6AA8A" w14:textId="1A39B477"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88" w:history="1">
        <w:r w:rsidRPr="00560FAB">
          <w:rPr>
            <w:rStyle w:val="Hyperlink"/>
            <w:rFonts w:ascii="Times New Roman" w:hAnsi="Times New Roman" w:cs="Times New Roman"/>
            <w:noProof/>
          </w:rPr>
          <w:t>Figure 6.2 Effect of temperature on DJPM01</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_Toc193695188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214</w:t>
        </w:r>
        <w:r w:rsidRPr="00560FAB">
          <w:rPr>
            <w:rFonts w:cs="Times New Roman"/>
            <w:noProof/>
            <w:webHidden/>
          </w:rPr>
          <w:fldChar w:fldCharType="end"/>
        </w:r>
      </w:hyperlink>
    </w:p>
    <w:p w14:paraId="41F9653F" w14:textId="50061F99"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89" w:history="1">
        <w:r w:rsidRPr="00560FAB">
          <w:rPr>
            <w:rStyle w:val="Hyperlink"/>
            <w:rFonts w:ascii="Times New Roman" w:hAnsi="Times New Roman" w:cs="Times New Roman"/>
            <w:noProof/>
          </w:rPr>
          <w:t xml:space="preserve">Figure 6.3 </w:t>
        </w:r>
        <w:r w:rsidR="00560FAB" w:rsidRPr="00560FAB">
          <w:rPr>
            <w:rStyle w:val="Hyperlink"/>
            <w:rFonts w:ascii="Times New Roman" w:hAnsi="Times New Roman" w:cs="Times New Roman"/>
            <w:noProof/>
          </w:rPr>
          <w:t>Oxalobacteraceae 16S rRNA gene phylogenetic tree</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_Toc193695189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215</w:t>
        </w:r>
        <w:r w:rsidRPr="00560FAB">
          <w:rPr>
            <w:rFonts w:cs="Times New Roman"/>
            <w:noProof/>
            <w:webHidden/>
          </w:rPr>
          <w:fldChar w:fldCharType="end"/>
        </w:r>
      </w:hyperlink>
    </w:p>
    <w:p w14:paraId="17AE03AC" w14:textId="2FCB2C10"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90" w:history="1">
        <w:r w:rsidRPr="00560FAB">
          <w:rPr>
            <w:rStyle w:val="Hyperlink"/>
            <w:rFonts w:ascii="Times New Roman" w:hAnsi="Times New Roman" w:cs="Times New Roman"/>
            <w:noProof/>
          </w:rPr>
          <w:t>Figure 6.4 Proposed DJPM01 gladiofungin BGC</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_Toc193695190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216</w:t>
        </w:r>
        <w:r w:rsidRPr="00560FAB">
          <w:rPr>
            <w:rFonts w:cs="Times New Roman"/>
            <w:noProof/>
            <w:webHidden/>
          </w:rPr>
          <w:fldChar w:fldCharType="end"/>
        </w:r>
      </w:hyperlink>
    </w:p>
    <w:p w14:paraId="09CF928A" w14:textId="1E5133A7"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91" w:history="1">
        <w:r w:rsidRPr="00560FAB">
          <w:rPr>
            <w:rStyle w:val="Hyperlink"/>
            <w:rFonts w:ascii="Times New Roman" w:hAnsi="Times New Roman" w:cs="Times New Roman"/>
            <w:noProof/>
          </w:rPr>
          <w:t xml:space="preserve">Figure 6.5 Prodigiosin gene comparisons between </w:t>
        </w:r>
        <w:r w:rsidRPr="00560FAB">
          <w:rPr>
            <w:rStyle w:val="Hyperlink"/>
            <w:rFonts w:ascii="Times New Roman" w:hAnsi="Times New Roman" w:cs="Times New Roman"/>
            <w:i/>
            <w:noProof/>
          </w:rPr>
          <w:t>Massilia</w:t>
        </w:r>
        <w:r w:rsidRPr="00560FAB">
          <w:rPr>
            <w:rStyle w:val="Hyperlink"/>
            <w:rFonts w:ascii="Times New Roman" w:hAnsi="Times New Roman" w:cs="Times New Roman"/>
            <w:noProof/>
          </w:rPr>
          <w:t xml:space="preserve"> strains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_Toc193695191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217</w:t>
        </w:r>
        <w:r w:rsidRPr="00560FAB">
          <w:rPr>
            <w:rFonts w:cs="Times New Roman"/>
            <w:noProof/>
            <w:webHidden/>
          </w:rPr>
          <w:fldChar w:fldCharType="end"/>
        </w:r>
      </w:hyperlink>
    </w:p>
    <w:p w14:paraId="7B355C52" w14:textId="50D26140"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92" w:history="1">
        <w:r w:rsidRPr="00560FAB">
          <w:rPr>
            <w:rStyle w:val="Hyperlink"/>
            <w:rFonts w:ascii="Times New Roman" w:hAnsi="Times New Roman" w:cs="Times New Roman"/>
            <w:noProof/>
          </w:rPr>
          <w:t>Figure 6.6 Absorbance spectrum of extracted pigment from DJPM01</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_Toc193695192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218</w:t>
        </w:r>
        <w:r w:rsidRPr="00560FAB">
          <w:rPr>
            <w:rFonts w:cs="Times New Roman"/>
            <w:noProof/>
            <w:webHidden/>
          </w:rPr>
          <w:fldChar w:fldCharType="end"/>
        </w:r>
      </w:hyperlink>
    </w:p>
    <w:p w14:paraId="4923ABBA" w14:textId="551C1073"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93" w:history="1">
        <w:r w:rsidRPr="00560FAB">
          <w:rPr>
            <w:rStyle w:val="Hyperlink"/>
            <w:rFonts w:ascii="Times New Roman" w:hAnsi="Times New Roman" w:cs="Times New Roman"/>
            <w:noProof/>
          </w:rPr>
          <w:t>Figure 6.7. Statistically significant differences between samples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_Toc193695193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219</w:t>
        </w:r>
        <w:r w:rsidRPr="00560FAB">
          <w:rPr>
            <w:rFonts w:cs="Times New Roman"/>
            <w:noProof/>
            <w:webHidden/>
          </w:rPr>
          <w:fldChar w:fldCharType="end"/>
        </w:r>
      </w:hyperlink>
    </w:p>
    <w:p w14:paraId="787FD4CF" w14:textId="3A92ED5D"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94" w:history="1">
        <w:r w:rsidRPr="00560FAB">
          <w:rPr>
            <w:rStyle w:val="Hyperlink"/>
            <w:rFonts w:ascii="Times New Roman" w:hAnsi="Times New Roman" w:cs="Times New Roman"/>
            <w:noProof/>
          </w:rPr>
          <w:t>Figure 6.8 UV Photolysis of prodigiosin standard</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_Toc193695194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220</w:t>
        </w:r>
        <w:r w:rsidRPr="00560FAB">
          <w:rPr>
            <w:rFonts w:cs="Times New Roman"/>
            <w:noProof/>
            <w:webHidden/>
          </w:rPr>
          <w:fldChar w:fldCharType="end"/>
        </w:r>
      </w:hyperlink>
    </w:p>
    <w:p w14:paraId="5B140C06" w14:textId="72F0AF36"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95" w:history="1">
        <w:r w:rsidRPr="00560FAB">
          <w:rPr>
            <w:rStyle w:val="Hyperlink"/>
            <w:rFonts w:ascii="Times New Roman" w:hAnsi="Times New Roman" w:cs="Times New Roman"/>
            <w:noProof/>
          </w:rPr>
          <w:t>Figure 6.9. Increase in CFUs following two and eight weeks of incubation</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_Toc193695195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235</w:t>
        </w:r>
        <w:r w:rsidRPr="00560FAB">
          <w:rPr>
            <w:rFonts w:cs="Times New Roman"/>
            <w:noProof/>
            <w:webHidden/>
          </w:rPr>
          <w:fldChar w:fldCharType="end"/>
        </w:r>
      </w:hyperlink>
    </w:p>
    <w:p w14:paraId="2B1E21B7" w14:textId="2151DF20"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96" w:history="1">
        <w:r w:rsidRPr="00560FAB">
          <w:rPr>
            <w:rStyle w:val="Hyperlink"/>
            <w:rFonts w:ascii="Times New Roman" w:hAnsi="Times New Roman" w:cs="Times New Roman"/>
            <w:noProof/>
          </w:rPr>
          <w:t>Figure 6.10. Visual transformation of insoluble in Fe</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_Toc193695196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236</w:t>
        </w:r>
        <w:r w:rsidRPr="00560FAB">
          <w:rPr>
            <w:rFonts w:cs="Times New Roman"/>
            <w:noProof/>
            <w:webHidden/>
          </w:rPr>
          <w:fldChar w:fldCharType="end"/>
        </w:r>
      </w:hyperlink>
    </w:p>
    <w:p w14:paraId="3E0033A9" w14:textId="1C0DF692"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97" w:history="1">
        <w:r w:rsidRPr="00560FAB">
          <w:rPr>
            <w:rStyle w:val="Hyperlink"/>
            <w:rFonts w:ascii="Times New Roman" w:hAnsi="Times New Roman" w:cs="Times New Roman"/>
            <w:noProof/>
          </w:rPr>
          <w:t xml:space="preserve">Figure 6.11. </w:t>
        </w:r>
        <w:r w:rsidR="00560FAB" w:rsidRPr="00560FAB">
          <w:rPr>
            <w:rStyle w:val="Hyperlink"/>
            <w:rFonts w:ascii="Times New Roman" w:hAnsi="Times New Roman" w:cs="Times New Roman"/>
            <w:noProof/>
          </w:rPr>
          <w:t>Colorometric quantification of Fe reduction</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_Toc193695197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237</w:t>
        </w:r>
        <w:r w:rsidRPr="00560FAB">
          <w:rPr>
            <w:rFonts w:cs="Times New Roman"/>
            <w:noProof/>
            <w:webHidden/>
          </w:rPr>
          <w:fldChar w:fldCharType="end"/>
        </w:r>
      </w:hyperlink>
    </w:p>
    <w:p w14:paraId="28CAAD7E" w14:textId="52E05029"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98" w:history="1">
        <w:r w:rsidRPr="00560FAB">
          <w:rPr>
            <w:rStyle w:val="Hyperlink"/>
            <w:rFonts w:ascii="Times New Roman" w:hAnsi="Times New Roman" w:cs="Times New Roman"/>
            <w:noProof/>
          </w:rPr>
          <w:t>Figure 6.12 XRD spectra collected for all treatments.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_Toc193695198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238</w:t>
        </w:r>
        <w:r w:rsidRPr="00560FAB">
          <w:rPr>
            <w:rFonts w:cs="Times New Roman"/>
            <w:noProof/>
            <w:webHidden/>
          </w:rPr>
          <w:fldChar w:fldCharType="end"/>
        </w:r>
      </w:hyperlink>
    </w:p>
    <w:p w14:paraId="026E7F1D" w14:textId="2EAFB0F1"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199" w:history="1">
        <w:r w:rsidRPr="00560FAB">
          <w:rPr>
            <w:rStyle w:val="Hyperlink"/>
            <w:rFonts w:ascii="Times New Roman" w:hAnsi="Times New Roman" w:cs="Times New Roman"/>
            <w:noProof/>
          </w:rPr>
          <w:t>Figure 6.13. FTIR spectra of eight-week treatments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_Toc193695199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239</w:t>
        </w:r>
        <w:r w:rsidRPr="00560FAB">
          <w:rPr>
            <w:rFonts w:cs="Times New Roman"/>
            <w:noProof/>
            <w:webHidden/>
          </w:rPr>
          <w:fldChar w:fldCharType="end"/>
        </w:r>
      </w:hyperlink>
    </w:p>
    <w:p w14:paraId="640F21D2" w14:textId="4CF83657"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200" w:history="1">
        <w:r w:rsidRPr="00560FAB">
          <w:rPr>
            <w:rStyle w:val="Hyperlink"/>
            <w:rFonts w:ascii="Times New Roman" w:hAnsi="Times New Roman" w:cs="Times New Roman"/>
            <w:noProof/>
          </w:rPr>
          <w:t>Figure 6.14. FTIR spectra of two- and eight-week treatments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_Toc193695200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240</w:t>
        </w:r>
        <w:r w:rsidRPr="00560FAB">
          <w:rPr>
            <w:rFonts w:cs="Times New Roman"/>
            <w:noProof/>
            <w:webHidden/>
          </w:rPr>
          <w:fldChar w:fldCharType="end"/>
        </w:r>
      </w:hyperlink>
    </w:p>
    <w:p w14:paraId="33916E87" w14:textId="66796B28"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201" w:history="1">
        <w:r w:rsidRPr="00560FAB">
          <w:rPr>
            <w:rStyle w:val="Hyperlink"/>
            <w:rFonts w:ascii="Times New Roman" w:hAnsi="Times New Roman" w:cs="Times New Roman"/>
            <w:noProof/>
          </w:rPr>
          <w:t>Figure 6.15. VNIR spectra of two-week incubations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_Toc193695201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241</w:t>
        </w:r>
        <w:r w:rsidRPr="00560FAB">
          <w:rPr>
            <w:rFonts w:cs="Times New Roman"/>
            <w:noProof/>
            <w:webHidden/>
          </w:rPr>
          <w:fldChar w:fldCharType="end"/>
        </w:r>
      </w:hyperlink>
    </w:p>
    <w:p w14:paraId="6D49F779" w14:textId="56430887"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202" w:history="1">
        <w:r w:rsidRPr="00560FAB">
          <w:rPr>
            <w:rStyle w:val="Hyperlink"/>
            <w:rFonts w:ascii="Times New Roman" w:hAnsi="Times New Roman" w:cs="Times New Roman"/>
            <w:noProof/>
          </w:rPr>
          <w:t>Figure 6.16. Raman spectra of Fh treatments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_Toc193695202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242</w:t>
        </w:r>
        <w:r w:rsidRPr="00560FAB">
          <w:rPr>
            <w:rFonts w:cs="Times New Roman"/>
            <w:noProof/>
            <w:webHidden/>
          </w:rPr>
          <w:fldChar w:fldCharType="end"/>
        </w:r>
      </w:hyperlink>
    </w:p>
    <w:p w14:paraId="49A7D345" w14:textId="08BEFCE7"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203" w:history="1">
        <w:r w:rsidRPr="00560FAB">
          <w:rPr>
            <w:rStyle w:val="Hyperlink"/>
            <w:rFonts w:ascii="Times New Roman" w:hAnsi="Times New Roman" w:cs="Times New Roman"/>
            <w:noProof/>
          </w:rPr>
          <w:t>Figure 6.17. Mössbauer spectra for Fh treatments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_Toc193695203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243</w:t>
        </w:r>
        <w:r w:rsidRPr="00560FAB">
          <w:rPr>
            <w:rFonts w:cs="Times New Roman"/>
            <w:noProof/>
            <w:webHidden/>
          </w:rPr>
          <w:fldChar w:fldCharType="end"/>
        </w:r>
      </w:hyperlink>
    </w:p>
    <w:p w14:paraId="4660D0B6" w14:textId="5698D156"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204" w:history="1">
        <w:r w:rsidRPr="00560FAB">
          <w:rPr>
            <w:rStyle w:val="Hyperlink"/>
            <w:rFonts w:ascii="Times New Roman" w:hAnsi="Times New Roman" w:cs="Times New Roman"/>
            <w:noProof/>
          </w:rPr>
          <w:t>Figure 6.18. TEM images of a BF02_Schw cell associated with Fe oxides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_Toc193695204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244</w:t>
        </w:r>
        <w:r w:rsidRPr="00560FAB">
          <w:rPr>
            <w:rFonts w:cs="Times New Roman"/>
            <w:noProof/>
            <w:webHidden/>
          </w:rPr>
          <w:fldChar w:fldCharType="end"/>
        </w:r>
      </w:hyperlink>
    </w:p>
    <w:p w14:paraId="0B33BD5F" w14:textId="0341AB8B"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205" w:history="1">
        <w:r w:rsidRPr="00560FAB">
          <w:rPr>
            <w:rStyle w:val="Hyperlink"/>
            <w:rFonts w:ascii="Times New Roman" w:hAnsi="Times New Roman" w:cs="Times New Roman"/>
            <w:noProof/>
          </w:rPr>
          <w:t>Figure 6.19. TEM image of akaganéite laths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_Toc193695205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245</w:t>
        </w:r>
        <w:r w:rsidRPr="00560FAB">
          <w:rPr>
            <w:rFonts w:cs="Times New Roman"/>
            <w:noProof/>
            <w:webHidden/>
          </w:rPr>
          <w:fldChar w:fldCharType="end"/>
        </w:r>
      </w:hyperlink>
    </w:p>
    <w:p w14:paraId="5AF4A486" w14:textId="66F60C26"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206" w:history="1">
        <w:r w:rsidRPr="00560FAB">
          <w:rPr>
            <w:rStyle w:val="Hyperlink"/>
            <w:rFonts w:ascii="Times New Roman" w:hAnsi="Times New Roman" w:cs="Times New Roman"/>
            <w:noProof/>
          </w:rPr>
          <w:t>Figure 6.20. Biosynthesis pathways for DIR-relevant compounds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_Toc193695206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246</w:t>
        </w:r>
        <w:r w:rsidRPr="00560FAB">
          <w:rPr>
            <w:rFonts w:cs="Times New Roman"/>
            <w:noProof/>
            <w:webHidden/>
          </w:rPr>
          <w:fldChar w:fldCharType="end"/>
        </w:r>
      </w:hyperlink>
    </w:p>
    <w:p w14:paraId="76589FAA" w14:textId="4AFBE9E1"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207" w:history="1">
        <w:r w:rsidRPr="00560FAB">
          <w:rPr>
            <w:rStyle w:val="Hyperlink"/>
            <w:rFonts w:ascii="Times New Roman" w:hAnsi="Times New Roman" w:cs="Times New Roman"/>
            <w:noProof/>
          </w:rPr>
          <w:t>Figure 6.21. Hierarchical clustering analysis of LC-MS feature</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_Toc193695207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247</w:t>
        </w:r>
        <w:r w:rsidRPr="00560FAB">
          <w:rPr>
            <w:rFonts w:cs="Times New Roman"/>
            <w:noProof/>
            <w:webHidden/>
          </w:rPr>
          <w:fldChar w:fldCharType="end"/>
        </w:r>
      </w:hyperlink>
    </w:p>
    <w:p w14:paraId="40F227AE" w14:textId="0F6E2FB8"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208" w:history="1">
        <w:r w:rsidRPr="00560FAB">
          <w:rPr>
            <w:rStyle w:val="Hyperlink"/>
            <w:rFonts w:ascii="Times New Roman" w:hAnsi="Times New Roman" w:cs="Times New Roman"/>
            <w:noProof/>
          </w:rPr>
          <w:t>Figure 6.22. Reduction of D</w:t>
        </w:r>
        <w:r w:rsidRPr="00560FAB">
          <w:rPr>
            <w:rStyle w:val="Hyperlink"/>
            <w:rFonts w:ascii="Times New Roman" w:hAnsi="Times New Roman" w:cs="Times New Roman"/>
            <w:noProof/>
            <w:vertAlign w:val="subscript"/>
          </w:rPr>
          <w:t>6</w:t>
        </w:r>
        <w:r w:rsidRPr="00560FAB">
          <w:rPr>
            <w:rStyle w:val="Hyperlink"/>
            <w:rFonts w:ascii="Times New Roman" w:hAnsi="Times New Roman" w:cs="Times New Roman"/>
            <w:noProof/>
          </w:rPr>
          <w:t>-DMSO by BF02_Schw</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_Toc193695208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248</w:t>
        </w:r>
        <w:r w:rsidRPr="00560FAB">
          <w:rPr>
            <w:rFonts w:cs="Times New Roman"/>
            <w:noProof/>
            <w:webHidden/>
          </w:rPr>
          <w:fldChar w:fldCharType="end"/>
        </w:r>
      </w:hyperlink>
    </w:p>
    <w:p w14:paraId="24E91FD8" w14:textId="2ED8C58B"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209" w:history="1">
        <w:r w:rsidRPr="00560FAB">
          <w:rPr>
            <w:rStyle w:val="Hyperlink"/>
            <w:rFonts w:ascii="Times New Roman" w:hAnsi="Times New Roman" w:cs="Times New Roman"/>
            <w:noProof/>
          </w:rPr>
          <w:t>Figure 6.23. Putative halogenated compounds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_Toc193695209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249</w:t>
        </w:r>
        <w:r w:rsidRPr="00560FAB">
          <w:rPr>
            <w:rFonts w:cs="Times New Roman"/>
            <w:noProof/>
            <w:webHidden/>
          </w:rPr>
          <w:fldChar w:fldCharType="end"/>
        </w:r>
      </w:hyperlink>
    </w:p>
    <w:p w14:paraId="1E776EF2" w14:textId="51315E7E" w:rsidR="001D6E31" w:rsidRPr="00560FAB" w:rsidRDefault="001D6E31" w:rsidP="00562BA2">
      <w:pPr>
        <w:pStyle w:val="TableofFigures"/>
        <w:tabs>
          <w:tab w:val="right" w:leader="dot" w:pos="8630"/>
        </w:tabs>
        <w:ind w:firstLine="0"/>
        <w:rPr>
          <w:rFonts w:eastAsiaTheme="minorEastAsia" w:cs="Times New Roman"/>
          <w:noProof/>
          <w:kern w:val="2"/>
          <w14:ligatures w14:val="standardContextual"/>
        </w:rPr>
      </w:pPr>
      <w:hyperlink w:anchor="_Toc193695210" w:history="1">
        <w:r w:rsidRPr="00560FAB">
          <w:rPr>
            <w:rStyle w:val="Hyperlink"/>
            <w:rFonts w:ascii="Times New Roman" w:hAnsi="Times New Roman" w:cs="Times New Roman"/>
            <w:noProof/>
          </w:rPr>
          <w:t>Figure 6.24. Sequence alignment of putative BF02_Schw halogenases</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_Toc193695210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250</w:t>
        </w:r>
        <w:r w:rsidRPr="00560FAB">
          <w:rPr>
            <w:rFonts w:cs="Times New Roman"/>
            <w:noProof/>
            <w:webHidden/>
          </w:rPr>
          <w:fldChar w:fldCharType="end"/>
        </w:r>
      </w:hyperlink>
    </w:p>
    <w:p w14:paraId="66E80CB5" w14:textId="329B4653" w:rsidR="001D6E31" w:rsidRPr="00560FAB" w:rsidRDefault="001D6E31" w:rsidP="00562BA2">
      <w:pPr>
        <w:pStyle w:val="TableofFigures"/>
        <w:tabs>
          <w:tab w:val="right" w:leader="dot" w:pos="8630"/>
        </w:tabs>
        <w:ind w:firstLine="0"/>
        <w:rPr>
          <w:rFonts w:asciiTheme="minorHAnsi" w:eastAsiaTheme="minorEastAsia" w:hAnsiTheme="minorHAnsi" w:cstheme="minorBidi"/>
          <w:noProof/>
          <w:kern w:val="2"/>
          <w14:ligatures w14:val="standardContextual"/>
        </w:rPr>
      </w:pPr>
      <w:hyperlink w:anchor="_Toc193695211" w:history="1">
        <w:r w:rsidRPr="00560FAB">
          <w:rPr>
            <w:rStyle w:val="Hyperlink"/>
            <w:rFonts w:ascii="Times New Roman" w:hAnsi="Times New Roman" w:cs="Times New Roman"/>
            <w:noProof/>
          </w:rPr>
          <w:t>Figure 6.25. Predicted structure of BF02_Schw PrnA.</w:t>
        </w:r>
        <w:r w:rsidRPr="00560FAB">
          <w:rPr>
            <w:rFonts w:cs="Times New Roman"/>
            <w:noProof/>
            <w:webHidden/>
          </w:rPr>
          <w:tab/>
        </w:r>
        <w:r w:rsidRPr="00560FAB">
          <w:rPr>
            <w:rFonts w:cs="Times New Roman"/>
            <w:noProof/>
            <w:webHidden/>
          </w:rPr>
          <w:fldChar w:fldCharType="begin"/>
        </w:r>
        <w:r w:rsidRPr="00560FAB">
          <w:rPr>
            <w:rFonts w:cs="Times New Roman"/>
            <w:noProof/>
            <w:webHidden/>
          </w:rPr>
          <w:instrText xml:space="preserve"> PAGEREF _Toc193695211 \h </w:instrText>
        </w:r>
        <w:r w:rsidRPr="00560FAB">
          <w:rPr>
            <w:rFonts w:cs="Times New Roman"/>
            <w:noProof/>
            <w:webHidden/>
          </w:rPr>
        </w:r>
        <w:r w:rsidRPr="00560FAB">
          <w:rPr>
            <w:rFonts w:cs="Times New Roman"/>
            <w:noProof/>
            <w:webHidden/>
          </w:rPr>
          <w:fldChar w:fldCharType="separate"/>
        </w:r>
        <w:r w:rsidR="0025018F">
          <w:rPr>
            <w:rFonts w:cs="Times New Roman"/>
            <w:noProof/>
            <w:webHidden/>
          </w:rPr>
          <w:t>251</w:t>
        </w:r>
        <w:r w:rsidRPr="00560FAB">
          <w:rPr>
            <w:rFonts w:cs="Times New Roman"/>
            <w:noProof/>
            <w:webHidden/>
          </w:rPr>
          <w:fldChar w:fldCharType="end"/>
        </w:r>
      </w:hyperlink>
    </w:p>
    <w:p w14:paraId="77E95C63" w14:textId="6F3C70F0" w:rsidR="00D529E6" w:rsidRDefault="00665C7E" w:rsidP="00562BA2">
      <w:pPr>
        <w:numPr>
          <w:ilvl w:val="12"/>
          <w:numId w:val="0"/>
        </w:numPr>
        <w:sectPr w:rsidR="00D529E6" w:rsidSect="00954AAF">
          <w:pgSz w:w="12240" w:h="15840" w:code="1"/>
          <w:pgMar w:top="1440" w:right="1800" w:bottom="1872" w:left="1800" w:header="720" w:footer="1440" w:gutter="0"/>
          <w:pgNumType w:fmt="lowerRoman" w:start="2"/>
          <w:cols w:space="720"/>
          <w:noEndnote/>
          <w:docGrid w:linePitch="360"/>
        </w:sectPr>
      </w:pPr>
      <w:r w:rsidRPr="00560FAB">
        <w:rPr>
          <w:rFonts w:cs="Times New Roman"/>
          <w:color w:val="000000" w:themeColor="text1"/>
        </w:rPr>
        <w:fldChar w:fldCharType="end"/>
      </w:r>
      <w:bookmarkStart w:id="90" w:name="_Toc420995891"/>
      <w:bookmarkStart w:id="91" w:name="_Toc422997478"/>
      <w:bookmarkStart w:id="92" w:name="_Toc427156461"/>
    </w:p>
    <w:p w14:paraId="37A8D644" w14:textId="2EC4BFD0" w:rsidR="00221913" w:rsidRDefault="001A14AF" w:rsidP="008420A0">
      <w:pPr>
        <w:pStyle w:val="Heading1"/>
      </w:pPr>
      <w:bookmarkStart w:id="93" w:name="_Toc196256856"/>
      <w:r>
        <w:lastRenderedPageBreak/>
        <w:t xml:space="preserve">CHAPTER ONE </w:t>
      </w:r>
      <w:r w:rsidR="00DF6B2C" w:rsidRPr="00BB6824">
        <w:t>INTRODUCTION</w:t>
      </w:r>
      <w:bookmarkEnd w:id="90"/>
      <w:bookmarkEnd w:id="91"/>
      <w:bookmarkEnd w:id="92"/>
      <w:bookmarkEnd w:id="93"/>
    </w:p>
    <w:p w14:paraId="5220CB65" w14:textId="77777777" w:rsidR="00196ABD" w:rsidRDefault="00196ABD" w:rsidP="00562BA2">
      <w:pPr>
        <w:ind w:firstLine="0"/>
        <w:rPr>
          <w:b/>
          <w:bCs/>
          <w:iCs/>
          <w:szCs w:val="28"/>
        </w:rPr>
      </w:pPr>
      <w:r>
        <w:br w:type="page"/>
      </w:r>
    </w:p>
    <w:p w14:paraId="1881941C" w14:textId="28E12B8B" w:rsidR="00196ABD" w:rsidRPr="00FD4A24" w:rsidRDefault="00196ABD" w:rsidP="00562BA2">
      <w:pPr>
        <w:pStyle w:val="Heading2"/>
      </w:pPr>
      <w:bookmarkStart w:id="94" w:name="_Toc196256857"/>
      <w:r>
        <w:lastRenderedPageBreak/>
        <w:t>The cryosphere</w:t>
      </w:r>
      <w:r w:rsidR="00425F72">
        <w:t xml:space="preserve"> and microbial communities</w:t>
      </w:r>
      <w:bookmarkEnd w:id="94"/>
    </w:p>
    <w:p w14:paraId="71A7DC83" w14:textId="4B9B340A" w:rsidR="00163DBE" w:rsidRDefault="00B8170A" w:rsidP="00DA61D8">
      <w:r>
        <w:t xml:space="preserve">Earth’s </w:t>
      </w:r>
      <w:r w:rsidR="00425F72">
        <w:t xml:space="preserve">cryosphere, areas of the planet where water exists in a liquid form, is composed of </w:t>
      </w:r>
      <w:r w:rsidR="00163DBE">
        <w:t>permafrost</w:t>
      </w:r>
      <w:r w:rsidR="00425F72">
        <w:t>,</w:t>
      </w:r>
      <w:r w:rsidR="00163DBE">
        <w:t xml:space="preserve"> glaciers, ice sheets, and sea ice. Icy regions remain one of the least studied biomes on Earth and can be leveraged to answer broad ecological questions</w:t>
      </w:r>
      <w:r w:rsidR="00DA61D8">
        <w:t xml:space="preserve"> due to the absence of large plants and animals and the susceptibility of these regions to climate change </w:t>
      </w:r>
      <w:r w:rsidR="00163DBE">
        <w:t xml:space="preserve">(Shu and Huang, 2022). Organisms from permanently cold environments have unique adaptations that include the production of biomolecules that can be utilized for pharmaceutical or industrial applications </w:t>
      </w:r>
      <w:r w:rsidR="00163DBE" w:rsidRPr="00605828">
        <w:t>(</w:t>
      </w:r>
      <w:r w:rsidR="00163DBE" w:rsidRPr="00173169">
        <w:t>Giddings and Newman, 2015)</w:t>
      </w:r>
      <w:r w:rsidR="00163DBE" w:rsidRPr="00605828">
        <w:t>.</w:t>
      </w:r>
      <w:r w:rsidR="00163DBE">
        <w:t xml:space="preserve"> However, much remains unknown about the diversity, function, and </w:t>
      </w:r>
      <w:r w:rsidR="00425F72">
        <w:t xml:space="preserve">extent </w:t>
      </w:r>
      <w:r w:rsidR="00163DBE">
        <w:t>of cryosphere micro</w:t>
      </w:r>
      <w:r w:rsidR="00425F72">
        <w:t>bial communities</w:t>
      </w:r>
      <w:r w:rsidR="00163DBE">
        <w:t xml:space="preserve"> </w:t>
      </w:r>
      <w:r w:rsidR="00163DBE" w:rsidRPr="00ED1C9A">
        <w:t>(</w:t>
      </w:r>
      <w:r w:rsidR="00D5525D">
        <w:t xml:space="preserve">Boetius et al., 2015; </w:t>
      </w:r>
      <w:r w:rsidR="00163DBE" w:rsidRPr="00ED1C9A">
        <w:t>NAESM, 2024)</w:t>
      </w:r>
      <w:r w:rsidR="00163DBE">
        <w:t xml:space="preserve">. In the context of a rapidly changing environment, the study of these communities is </w:t>
      </w:r>
      <w:r>
        <w:t>urgently</w:t>
      </w:r>
      <w:r w:rsidR="00163DBE">
        <w:t xml:space="preserve"> needed to understand disruption of ecological functions and the threat to biodiversity in the cryosphere </w:t>
      </w:r>
      <w:r w:rsidR="00163DBE" w:rsidRPr="00045868">
        <w:t>(Kennicutt et al., 2014, 2019; Margesin and Collins, 2019; Chown et al., 2022</w:t>
      </w:r>
      <w:r>
        <w:t>; IPCC, 2022</w:t>
      </w:r>
      <w:r w:rsidR="00163DBE" w:rsidRPr="00045868">
        <w:t>)</w:t>
      </w:r>
      <w:r w:rsidR="00163DBE">
        <w:t>.</w:t>
      </w:r>
    </w:p>
    <w:p w14:paraId="1D1E22B4" w14:textId="17A4FC6B" w:rsidR="00163DBE" w:rsidRDefault="00196ABD" w:rsidP="00163DBE">
      <w:r>
        <w:t xml:space="preserve">In addition to providing insight into terrestrial biology, the cryosphere provides an unparalleled opportunity to investigate adaptative strategies and ground-truth instrumentation relevant to the search for life on other planets. Astrobiological targets of interest in our solar system, such as Mars and ice-covered ocean worlds, </w:t>
      </w:r>
      <w:r w:rsidR="006B35F7">
        <w:t xml:space="preserve">host </w:t>
      </w:r>
      <w:r>
        <w:t xml:space="preserve">possible biological niches shaped by low temperatures, high salinity, </w:t>
      </w:r>
      <w:r w:rsidR="006B35F7">
        <w:t>aridity</w:t>
      </w:r>
      <w:r>
        <w:t xml:space="preserve">, and UV-radiation </w:t>
      </w:r>
      <w:r w:rsidRPr="00766DE9">
        <w:t>(Davila and Schulze-Makuch, 2016; Hand et al., 2020)</w:t>
      </w:r>
      <w:r>
        <w:t>.</w:t>
      </w:r>
      <w:r w:rsidRPr="00237330">
        <w:t xml:space="preserve"> </w:t>
      </w:r>
      <w:r>
        <w:t xml:space="preserve">Terrestrial analog features (i.e., locales on Earth with specific similarities to possible niche spaces beyond Earth) provide crucial insight into the limits for life as we know it, while being considerably more accessible that even our closest planetary neighbors </w:t>
      </w:r>
      <w:r w:rsidRPr="00167FB3">
        <w:t>(Cassaro et al., 2021)</w:t>
      </w:r>
      <w:r>
        <w:t xml:space="preserve">. Thus, investigation of microbial processes and interactions in </w:t>
      </w:r>
      <w:r w:rsidR="006B35F7">
        <w:t>cryosphere environments, such as the Antarctic polar desert</w:t>
      </w:r>
      <w:r>
        <w:t>, further</w:t>
      </w:r>
      <w:r w:rsidR="006B35F7">
        <w:t>s</w:t>
      </w:r>
      <w:r>
        <w:t xml:space="preserve"> our understanding of community resilience to climatic change and </w:t>
      </w:r>
      <w:r w:rsidR="006B35F7">
        <w:t xml:space="preserve">the possibility of life </w:t>
      </w:r>
      <w:r>
        <w:t xml:space="preserve">on other planets. </w:t>
      </w:r>
    </w:p>
    <w:p w14:paraId="4E93FC5E" w14:textId="44F8F00E" w:rsidR="00196ABD" w:rsidRPr="00F2668D" w:rsidRDefault="00196ABD" w:rsidP="00163DBE">
      <w:pPr>
        <w:pStyle w:val="Heading2"/>
      </w:pPr>
      <w:bookmarkStart w:id="95" w:name="_Toc196256858"/>
      <w:r w:rsidRPr="00F2668D">
        <w:t>The McMurdo Dry Valleys (MDV)</w:t>
      </w:r>
      <w:bookmarkEnd w:id="95"/>
    </w:p>
    <w:p w14:paraId="1E458727" w14:textId="44446A7C" w:rsidR="00196ABD" w:rsidRPr="00DA5755" w:rsidRDefault="00196ABD" w:rsidP="00562BA2">
      <w:pPr>
        <w:pStyle w:val="ListParagraph"/>
      </w:pPr>
      <w:r>
        <w:t>The McMurdo Dry Valleys (MDV) of Antarctica (</w:t>
      </w:r>
      <w:r w:rsidRPr="00555DBF">
        <w:t>77–78°S</w:t>
      </w:r>
      <w:r>
        <w:t>,</w:t>
      </w:r>
      <w:r w:rsidRPr="00555DBF">
        <w:t xml:space="preserve"> 160–164°E</w:t>
      </w:r>
      <w:r>
        <w:t xml:space="preserve">) are the largest </w:t>
      </w:r>
      <w:r w:rsidR="006B35F7">
        <w:t>ice-free</w:t>
      </w:r>
      <w:r>
        <w:t xml:space="preserve"> region of the continent </w:t>
      </w:r>
      <w:r w:rsidRPr="00DA5755">
        <w:t>(Lee et al., 2017)</w:t>
      </w:r>
      <w:r>
        <w:t xml:space="preserve">, and </w:t>
      </w:r>
      <w:r w:rsidR="006B35F7">
        <w:t xml:space="preserve">are </w:t>
      </w:r>
      <w:r>
        <w:t xml:space="preserve">the coldest and driest </w:t>
      </w:r>
      <w:r>
        <w:lastRenderedPageBreak/>
        <w:t>desert on the planet (</w:t>
      </w:r>
      <w:r w:rsidRPr="00EB1136">
        <w:rPr>
          <w:b/>
          <w:bCs/>
        </w:rPr>
        <w:t>Figure 1</w:t>
      </w:r>
      <w:r w:rsidR="00F13F6D" w:rsidRPr="00EB1136">
        <w:rPr>
          <w:b/>
          <w:bCs/>
        </w:rPr>
        <w:t>.</w:t>
      </w:r>
      <w:r w:rsidR="00777B0F" w:rsidRPr="00EB1136">
        <w:rPr>
          <w:b/>
          <w:bCs/>
        </w:rPr>
        <w:t>1</w:t>
      </w:r>
      <w:r>
        <w:t>). The MDV span approximately 4800 km</w:t>
      </w:r>
      <w:r w:rsidRPr="00EB1136">
        <w:rPr>
          <w:vertAlign w:val="superscript"/>
        </w:rPr>
        <w:t>2</w:t>
      </w:r>
      <w:r>
        <w:t xml:space="preserve"> </w:t>
      </w:r>
      <w:r w:rsidRPr="00DA5755">
        <w:t>(</w:t>
      </w:r>
      <w:r>
        <w:t xml:space="preserve">ice-free regions; </w:t>
      </w:r>
      <w:r w:rsidRPr="00DA5755">
        <w:t>Levy, 2013)</w:t>
      </w:r>
      <w:r>
        <w:t xml:space="preserve">, and </w:t>
      </w:r>
      <w:r w:rsidR="009F6B5B">
        <w:t xml:space="preserve">were formed by millennia of glacial and lacustrine processes </w:t>
      </w:r>
      <w:r w:rsidR="00AF0273">
        <w:t>(Fountian et al., 1999)</w:t>
      </w:r>
      <w:r>
        <w:t xml:space="preserve">. The MDV receive less than 50 mm of precipitation annually, almost exclusively in the form of snowfall, which frequently sublimates before melting </w:t>
      </w:r>
      <w:r w:rsidRPr="006967D2">
        <w:t>(Fountain et al., 2009)</w:t>
      </w:r>
      <w:r>
        <w:t xml:space="preserve">. Annual temperature regimes are used to divide the MDV into three regions: Coastal Thaw Zone (mean summer temperature ≥ -5 °C), the Intermediate Mixed Zone (mean summer temperature -10 to -5 °C), and the Stable Upland Zone (mean summer temperature &lt; -10 °C; </w:t>
      </w:r>
      <w:r w:rsidRPr="006A63B0">
        <w:t>(Marchant and Head, 2007; Fountain et al., 2014)</w:t>
      </w:r>
      <w:r>
        <w:t>. Areas within the Coastal Thaw Zone, which reaches tens of km inland along the valley floors, are characterized by a seasonally thawing soil active layer, glacial melt streams, and include several large, ice-covered lakes. Permafrost within the Coastal Thaw Zone is near surface (</w:t>
      </w:r>
      <w:r w:rsidR="00EB1136">
        <w:t>10-60</w:t>
      </w:r>
      <w:r>
        <w:t xml:space="preserve"> cm) and ice cemented</w:t>
      </w:r>
      <w:r w:rsidR="00EB1136">
        <w:t>, thus</w:t>
      </w:r>
      <w:r>
        <w:t xml:space="preserve"> can contribute to elevated soil moisture through wicking processes </w:t>
      </w:r>
      <w:r w:rsidRPr="00D0197C">
        <w:t>(Bockheim et al., 2007, 2008; Ball et al., 2011</w:t>
      </w:r>
      <w:r w:rsidR="00EB1136">
        <w:t>, Levy et al., 2011</w:t>
      </w:r>
      <w:r w:rsidRPr="00D0197C">
        <w:t>)</w:t>
      </w:r>
      <w:r>
        <w:t>. The MDV</w:t>
      </w:r>
      <w:r w:rsidR="00EB1136">
        <w:t xml:space="preserve"> </w:t>
      </w:r>
      <w:r>
        <w:t xml:space="preserve">are also the site of </w:t>
      </w:r>
      <w:r w:rsidR="00EB1136">
        <w:t>extensive</w:t>
      </w:r>
      <w:r>
        <w:t xml:space="preserve"> monitoring efforts</w:t>
      </w:r>
      <w:r w:rsidR="00F13F6D">
        <w:t xml:space="preserve"> though a </w:t>
      </w:r>
      <w:r w:rsidR="00163DBE">
        <w:t xml:space="preserve">National Science Foundation funded </w:t>
      </w:r>
      <w:r w:rsidR="00F13F6D">
        <w:t>Long</w:t>
      </w:r>
      <w:r w:rsidR="00FF0518">
        <w:t xml:space="preserve"> </w:t>
      </w:r>
      <w:r>
        <w:t xml:space="preserve">Term Ecological Research program </w:t>
      </w:r>
      <w:r w:rsidRPr="008C298A">
        <w:t>(Gooseff et al., 2017; Barrett et al., 2024)</w:t>
      </w:r>
      <w:r>
        <w:t>.</w:t>
      </w:r>
    </w:p>
    <w:p w14:paraId="2C17F83A" w14:textId="1E6ED528" w:rsidR="002241D4" w:rsidRDefault="00EB1136" w:rsidP="00562BA2">
      <w:r>
        <w:t>T</w:t>
      </w:r>
      <w:r w:rsidR="00196ABD">
        <w:t>he MDV contai</w:t>
      </w:r>
      <w:r w:rsidR="00184064">
        <w:t>n</w:t>
      </w:r>
      <w:r w:rsidR="00196ABD">
        <w:t xml:space="preserve"> diverse microbial communities </w:t>
      </w:r>
      <w:r w:rsidR="00196ABD" w:rsidRPr="00720269">
        <w:t>(Cary et al., 2010)</w:t>
      </w:r>
      <w:r w:rsidR="00196ABD">
        <w:t xml:space="preserve"> and are a natural laboratory for studying ecological principles </w:t>
      </w:r>
      <w:r w:rsidR="00196ABD" w:rsidRPr="00720269">
        <w:t>(Monteiro</w:t>
      </w:r>
      <w:r w:rsidR="00184064">
        <w:t xml:space="preserve"> et al.</w:t>
      </w:r>
      <w:r w:rsidR="00196ABD" w:rsidRPr="00720269">
        <w:t>, 2022)</w:t>
      </w:r>
      <w:r w:rsidR="00196ABD">
        <w:t>. Food webs within the MDV are microbially dominated and lack both vertebrates and vascular plants. Photosynthetic primary production</w:t>
      </w:r>
      <w:r w:rsidR="002241D4">
        <w:t xml:space="preserve"> largely</w:t>
      </w:r>
      <w:r w:rsidR="00196ABD">
        <w:t xml:space="preserve"> occurs in cyanobacterial mats in stream channels </w:t>
      </w:r>
      <w:r w:rsidR="00196ABD" w:rsidRPr="006335CC">
        <w:t>(McKnight et al., 1999; Power et al., 2020)</w:t>
      </w:r>
      <w:r w:rsidR="002241D4">
        <w:t>,</w:t>
      </w:r>
      <w:r w:rsidR="00196ABD">
        <w:t xml:space="preserve"> within the lakes </w:t>
      </w:r>
      <w:r w:rsidR="00196ABD" w:rsidRPr="006335CC">
        <w:t>(Takacs and Priscu, 1998; Zhang et al., 2015)</w:t>
      </w:r>
      <w:r w:rsidR="00196ABD">
        <w:t xml:space="preserve">, </w:t>
      </w:r>
      <w:r w:rsidR="002241D4">
        <w:t>and</w:t>
      </w:r>
      <w:r w:rsidR="00196ABD">
        <w:t xml:space="preserve"> in soil biocrusts </w:t>
      </w:r>
      <w:r w:rsidR="00196ABD" w:rsidRPr="00172A79">
        <w:t>(Power et al., 2024)</w:t>
      </w:r>
      <w:r w:rsidR="00196ABD">
        <w:t xml:space="preserve">. </w:t>
      </w:r>
      <w:r w:rsidR="002241D4">
        <w:t>Soil b</w:t>
      </w:r>
      <w:r w:rsidR="00196ABD">
        <w:t>acterial heterotrophs are grazed</w:t>
      </w:r>
      <w:r w:rsidR="00AF0273">
        <w:t xml:space="preserve"> upon</w:t>
      </w:r>
      <w:r w:rsidR="00196ABD">
        <w:t xml:space="preserve"> by bactivorous nematodes (largely </w:t>
      </w:r>
      <w:r w:rsidR="00196ABD">
        <w:rPr>
          <w:i/>
          <w:iCs/>
        </w:rPr>
        <w:t xml:space="preserve">Scottnema lindsayae </w:t>
      </w:r>
      <w:r w:rsidR="00196ABD">
        <w:t xml:space="preserve">and </w:t>
      </w:r>
      <w:r w:rsidR="00196ABD">
        <w:rPr>
          <w:i/>
          <w:iCs/>
        </w:rPr>
        <w:t xml:space="preserve">Plectus </w:t>
      </w:r>
      <w:r w:rsidR="00196ABD">
        <w:t xml:space="preserve">spp.), tardigrades, and rotifers </w:t>
      </w:r>
      <w:r w:rsidR="00196ABD" w:rsidRPr="00172A79">
        <w:t>(Adams et al., 2006)</w:t>
      </w:r>
      <w:r w:rsidR="00196ABD">
        <w:t xml:space="preserve">, which in turn are preyed upon by “apex predator” </w:t>
      </w:r>
      <w:r w:rsidR="00196ABD">
        <w:rPr>
          <w:i/>
          <w:iCs/>
        </w:rPr>
        <w:t xml:space="preserve">Eudorylaimus </w:t>
      </w:r>
      <w:r w:rsidR="00196ABD">
        <w:t xml:space="preserve">nematodes </w:t>
      </w:r>
      <w:r w:rsidR="00196ABD" w:rsidRPr="00172A79">
        <w:t>(Shaw et al., 2018)</w:t>
      </w:r>
      <w:r w:rsidR="00196ABD">
        <w:t xml:space="preserve">. Fungi </w:t>
      </w:r>
      <w:r w:rsidR="00196ABD" w:rsidRPr="006335CC">
        <w:t>(Dreesens et al., 2014)</w:t>
      </w:r>
      <w:r w:rsidR="00196ABD">
        <w:t xml:space="preserve">, viruses </w:t>
      </w:r>
      <w:r w:rsidR="00196ABD" w:rsidRPr="006335CC">
        <w:t>(Robinson et al., 2024)</w:t>
      </w:r>
      <w:r w:rsidR="00196ABD">
        <w:t xml:space="preserve">, and a low abundance of archaea </w:t>
      </w:r>
    </w:p>
    <w:p w14:paraId="0A62C336" w14:textId="68A2DF1D" w:rsidR="002241D4" w:rsidRDefault="002241D4" w:rsidP="002241D4">
      <w:pPr>
        <w:keepNext/>
        <w:spacing w:line="240" w:lineRule="auto"/>
        <w:ind w:firstLine="0"/>
        <w:jc w:val="center"/>
      </w:pPr>
      <w:r>
        <w:br w:type="page"/>
      </w:r>
      <w:r w:rsidR="006C3F0E">
        <w:rPr>
          <w:noProof/>
        </w:rPr>
        <w:lastRenderedPageBreak/>
        <w:drawing>
          <wp:inline distT="0" distB="0" distL="0" distR="0" wp14:anchorId="2FF12C93" wp14:editId="1DD8991A">
            <wp:extent cx="3640409" cy="6364182"/>
            <wp:effectExtent l="0" t="0" r="0" b="0"/>
            <wp:docPr id="38061520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5524" cy="6373124"/>
                    </a:xfrm>
                    <a:prstGeom prst="rect">
                      <a:avLst/>
                    </a:prstGeom>
                    <a:noFill/>
                  </pic:spPr>
                </pic:pic>
              </a:graphicData>
            </a:graphic>
          </wp:inline>
        </w:drawing>
      </w:r>
    </w:p>
    <w:p w14:paraId="09E7B02F" w14:textId="1D6278B7" w:rsidR="002241D4" w:rsidRPr="00F13F6D" w:rsidRDefault="002241D4" w:rsidP="002241D4">
      <w:pPr>
        <w:pStyle w:val="Caption"/>
        <w:rPr>
          <w:b w:val="0"/>
          <w:bCs w:val="0"/>
          <w:color w:val="auto"/>
        </w:rPr>
      </w:pPr>
      <w:bookmarkStart w:id="96" w:name="_Toc193695158"/>
      <w:r>
        <w:t xml:space="preserve">Figure </w:t>
      </w:r>
      <w:fldSimple w:instr=" STYLEREF 1 \s ">
        <w:r>
          <w:rPr>
            <w:noProof/>
          </w:rPr>
          <w:t>1</w:t>
        </w:r>
      </w:fldSimple>
      <w:r>
        <w:t>.</w:t>
      </w:r>
      <w:fldSimple w:instr=" SEQ Figure \* ARABIC \s 1 ">
        <w:r>
          <w:rPr>
            <w:noProof/>
          </w:rPr>
          <w:t>1</w:t>
        </w:r>
      </w:fldSimple>
      <w:r>
        <w:t xml:space="preserve"> </w:t>
      </w:r>
      <w:r w:rsidRPr="00096207">
        <w:t>McMurdo Dry Valleys, Antarctica</w:t>
      </w:r>
      <w:r w:rsidRPr="00196ABD">
        <w:t xml:space="preserve">. </w:t>
      </w:r>
      <w:r w:rsidRPr="00F13F6D">
        <w:rPr>
          <w:b w:val="0"/>
          <w:bCs w:val="0"/>
        </w:rPr>
        <w:t>(a) Distribution of the ice free regions of Antarctica, with the location of the MDV boxed.</w:t>
      </w:r>
      <w:r w:rsidR="006C3F0E">
        <w:rPr>
          <w:b w:val="0"/>
          <w:bCs w:val="0"/>
        </w:rPr>
        <w:t xml:space="preserve"> </w:t>
      </w:r>
      <w:r w:rsidR="006C3F0E" w:rsidRPr="006C3F0E">
        <w:rPr>
          <w:b w:val="0"/>
          <w:bCs w:val="0"/>
          <w:i/>
          <w:iCs w:val="0"/>
        </w:rPr>
        <w:t>Figure adapted from NASA.</w:t>
      </w:r>
      <w:r w:rsidRPr="00F13F6D">
        <w:rPr>
          <w:b w:val="0"/>
          <w:bCs w:val="0"/>
        </w:rPr>
        <w:t xml:space="preserve"> (b) Satellite image of the MDV, indicating relevant field sites. Blood Falls (Chapter Four) and the Fryxell Basin (Chapter Three) are both within Taylor</w:t>
      </w:r>
      <w:r w:rsidRPr="00595F84">
        <w:t xml:space="preserve"> </w:t>
      </w:r>
      <w:r w:rsidRPr="00F13F6D">
        <w:rPr>
          <w:b w:val="0"/>
          <w:bCs w:val="0"/>
        </w:rPr>
        <w:t>Valley, and Don Juan Pond (Chapter Two) is within Wright Valley.</w:t>
      </w:r>
      <w:r w:rsidRPr="00F13F6D">
        <w:rPr>
          <w:b w:val="0"/>
          <w:bCs w:val="0"/>
          <w:color w:val="auto"/>
        </w:rPr>
        <w:t xml:space="preserve"> </w:t>
      </w:r>
      <w:r w:rsidRPr="00F13F6D">
        <w:rPr>
          <w:b w:val="0"/>
          <w:bCs w:val="0"/>
          <w:i/>
          <w:color w:val="auto"/>
        </w:rPr>
        <w:t>Image credit: NASA</w:t>
      </w:r>
      <w:r w:rsidRPr="00F13F6D">
        <w:rPr>
          <w:b w:val="0"/>
          <w:bCs w:val="0"/>
          <w:color w:val="auto"/>
        </w:rPr>
        <w:t>.</w:t>
      </w:r>
      <w:bookmarkEnd w:id="96"/>
    </w:p>
    <w:p w14:paraId="7BE487C6" w14:textId="185EAC14" w:rsidR="002241D4" w:rsidRDefault="002241D4">
      <w:pPr>
        <w:spacing w:line="240" w:lineRule="auto"/>
        <w:ind w:firstLine="0"/>
      </w:pPr>
    </w:p>
    <w:p w14:paraId="5433003B" w14:textId="58D2206C" w:rsidR="002120D8" w:rsidRDefault="00196ABD" w:rsidP="001A14AF">
      <w:pPr>
        <w:ind w:firstLine="0"/>
      </w:pPr>
      <w:r w:rsidRPr="006335CC">
        <w:lastRenderedPageBreak/>
        <w:t>(Richter et al., 2014)</w:t>
      </w:r>
      <w:r>
        <w:t xml:space="preserve"> are present throughout the MDV, though have received considerably less attention over the decades. Community assembly within the MDV is believed to be largely shaped by abiotic factors; for example, local variations in moisture, salinity, and pH </w:t>
      </w:r>
      <w:r w:rsidR="00184064">
        <w:t xml:space="preserve">have been posited as the major drivers of soil community structure </w:t>
      </w:r>
      <w:r w:rsidRPr="00180A21">
        <w:t>(Hogg et al., 2006; Lee et al., 2012; Feeser et al., 2018; Bottos et al., 2020)</w:t>
      </w:r>
      <w:r>
        <w:t xml:space="preserve">. </w:t>
      </w:r>
      <w:r w:rsidR="00184064">
        <w:t xml:space="preserve">Abiotic </w:t>
      </w:r>
      <w:r>
        <w:t xml:space="preserve">factors are heterogeneously distributed </w:t>
      </w:r>
      <w:r w:rsidR="00184064">
        <w:t>in gradients at</w:t>
      </w:r>
      <w:r>
        <w:t xml:space="preserve"> both local and regional scale</w:t>
      </w:r>
      <w:r w:rsidR="00184064">
        <w:t>s</w:t>
      </w:r>
      <w:r>
        <w:t xml:space="preserve">, in part due to the unique geophysical legacy of MDV soils </w:t>
      </w:r>
      <w:r w:rsidRPr="005D7DB2">
        <w:t>(Bockheim, 2002)</w:t>
      </w:r>
      <w:r>
        <w:t xml:space="preserve">. </w:t>
      </w:r>
      <w:r w:rsidR="00184064">
        <w:t>These n</w:t>
      </w:r>
      <w:r>
        <w:t>aturally</w:t>
      </w:r>
      <w:r w:rsidR="00184064">
        <w:t xml:space="preserve"> </w:t>
      </w:r>
      <w:r>
        <w:t xml:space="preserve">occurring gradients can thus be exploited to understand the impact of specific abiotic factors on microbial community structure and function in a </w:t>
      </w:r>
      <w:r w:rsidR="00184064">
        <w:t>trophically-simple ecosystem</w:t>
      </w:r>
      <w:r>
        <w:t>.</w:t>
      </w:r>
    </w:p>
    <w:p w14:paraId="1AFB57DE" w14:textId="77777777" w:rsidR="002120D8" w:rsidRDefault="002120D8" w:rsidP="001A14AF">
      <w:pPr>
        <w:pStyle w:val="Heading2"/>
        <w:spacing w:before="0" w:after="0"/>
      </w:pPr>
      <w:bookmarkStart w:id="97" w:name="_Toc196256859"/>
      <w:r w:rsidRPr="00F2668D">
        <w:t>Microbial adaptations for survival in the MDV</w:t>
      </w:r>
      <w:bookmarkEnd w:id="97"/>
    </w:p>
    <w:p w14:paraId="37669EAA" w14:textId="2F4DA1C8" w:rsidR="002120D8" w:rsidRPr="00184064" w:rsidRDefault="002120D8" w:rsidP="001A14AF">
      <w:r>
        <w:t xml:space="preserve">Microbial life in the MDV is subjected to a wide array of extreme conditions. Soil temperatures can range from a summer maximum 25 °C to a winter minimum of -60 °C </w:t>
      </w:r>
      <w:r w:rsidRPr="006967D2">
        <w:t>(Obryk et al., 2020)</w:t>
      </w:r>
      <w:r>
        <w:t xml:space="preserve">. The MDV receive 24 hours of daylight during the austral summer and are thus exposed to large quantities of UV radiation </w:t>
      </w:r>
      <w:r w:rsidRPr="006967D2">
        <w:t>(Obryk et al., 2018)</w:t>
      </w:r>
      <w:r>
        <w:t xml:space="preserve">, while experiencing 24 hours of darkness during the winter “dormant” season. Soil moisture can range from saturation to &lt; 1% gravimetric water content, leading to desiccation stress on resident organisms </w:t>
      </w:r>
      <w:r w:rsidRPr="00720269">
        <w:t>(Treonis et al., 2000; Salvatore et al., 2023)</w:t>
      </w:r>
      <w:r>
        <w:t xml:space="preserve">. Soil water is most visibly sourced from the melting of glaciers and snow patches </w:t>
      </w:r>
      <w:r w:rsidRPr="006A6503">
        <w:t>(Gooseff et al., 2011)</w:t>
      </w:r>
      <w:r>
        <w:t xml:space="preserve">, though soil moisture is also influenced by the melt of shallow permafrost </w:t>
      </w:r>
      <w:r w:rsidRPr="006A6503">
        <w:t>(Ball et al., 2011; Ball and Virginia, 2012)</w:t>
      </w:r>
      <w:r>
        <w:t xml:space="preserve">, deliquescence by soil salts </w:t>
      </w:r>
      <w:r w:rsidRPr="006A6503">
        <w:t>(Levy et al., 2011; Gough et al., 2017)</w:t>
      </w:r>
      <w:r>
        <w:t xml:space="preserve">, and the minimal precipitation </w:t>
      </w:r>
      <w:r w:rsidRPr="006A6503">
        <w:t>(Fountain et al., 2009)</w:t>
      </w:r>
      <w:r>
        <w:t xml:space="preserve">. Additionally, extensive groundwater has been identified within the MDV, though hydrological connectivity remains poorly constrained </w:t>
      </w:r>
      <w:r w:rsidRPr="006A6503">
        <w:t>(Mikucki et al., 2015; Dugan et al., 2022)</w:t>
      </w:r>
      <w:r>
        <w:t xml:space="preserve">. Salinity can range from freshwater equivalent to hypersaline, </w:t>
      </w:r>
      <w:r w:rsidR="00064B77">
        <w:t xml:space="preserve">including the </w:t>
      </w:r>
      <w:r>
        <w:t xml:space="preserve">notable extreme </w:t>
      </w:r>
      <w:r w:rsidR="00064B77">
        <w:t>of</w:t>
      </w:r>
      <w:r>
        <w:t xml:space="preserve"> Don Juan Pond (DJP) located in Wright Valley. DJP is a CaCl</w:t>
      </w:r>
      <w:r>
        <w:rPr>
          <w:vertAlign w:val="subscript"/>
        </w:rPr>
        <w:t>2</w:t>
      </w:r>
      <w:r>
        <w:t>-dominated pond that can reach ~ 40% (g g</w:t>
      </w:r>
      <w:r>
        <w:rPr>
          <w:vertAlign w:val="superscript"/>
        </w:rPr>
        <w:t>-1</w:t>
      </w:r>
      <w:r>
        <w:t xml:space="preserve">) salinity, depending on water level </w:t>
      </w:r>
      <w:r w:rsidRPr="00EC4EC4">
        <w:t>(Dickson et al., 2013; Toner et al., 2017)</w:t>
      </w:r>
      <w:r>
        <w:t xml:space="preserve">, and yet hosts a </w:t>
      </w:r>
      <w:r w:rsidR="00064B77">
        <w:t xml:space="preserve">viable bacterial </w:t>
      </w:r>
      <w:r>
        <w:t>community within its sediments (Miku</w:t>
      </w:r>
      <w:r w:rsidR="00163DBE">
        <w:t>c</w:t>
      </w:r>
      <w:r>
        <w:t xml:space="preserve">ki et al., </w:t>
      </w:r>
      <w:r>
        <w:rPr>
          <w:i/>
          <w:iCs/>
        </w:rPr>
        <w:t>in prep</w:t>
      </w:r>
      <w:r>
        <w:t>). The wide range</w:t>
      </w:r>
      <w:r w:rsidR="00064B77">
        <w:t xml:space="preserve"> and distribution</w:t>
      </w:r>
      <w:r>
        <w:t xml:space="preserve"> of stressors present throughout the MDV provide numerous opportunities to </w:t>
      </w:r>
      <w:r>
        <w:lastRenderedPageBreak/>
        <w:t xml:space="preserve">study both </w:t>
      </w:r>
      <w:r w:rsidR="00064B77">
        <w:t xml:space="preserve">extremophilic </w:t>
      </w:r>
      <w:r>
        <w:t xml:space="preserve">microbial adaptations </w:t>
      </w:r>
      <w:r w:rsidR="00064B77">
        <w:t xml:space="preserve">and the role of abiotic factors </w:t>
      </w:r>
      <w:r>
        <w:t>in shaping community structure and function.</w:t>
      </w:r>
    </w:p>
    <w:p w14:paraId="76E1B061" w14:textId="6D956AA0" w:rsidR="002120D8" w:rsidRDefault="00064B77" w:rsidP="00562BA2">
      <w:r>
        <w:t>Organisms capable of growth at low temperatures (i.e., p</w:t>
      </w:r>
      <w:r w:rsidR="002120D8">
        <w:t>sychrophilic and psychrotolerant organisms</w:t>
      </w:r>
      <w:r>
        <w:t>)</w:t>
      </w:r>
      <w:r w:rsidR="002120D8">
        <w:t xml:space="preserve"> possess a variety of adaptations </w:t>
      </w:r>
      <w:r>
        <w:t xml:space="preserve">to counteract the lower </w:t>
      </w:r>
      <w:r w:rsidR="002120D8">
        <w:t xml:space="preserve">metabolic rates, membrane fluidity, and protein flexibility </w:t>
      </w:r>
      <w:r>
        <w:t xml:space="preserve">associated with decreased temperatures </w:t>
      </w:r>
      <w:r w:rsidR="002120D8" w:rsidRPr="005D0BD4">
        <w:t>(De Maayer et al., 2014)</w:t>
      </w:r>
      <w:r w:rsidR="002120D8">
        <w:t>. The membranes of cold</w:t>
      </w:r>
      <w:r>
        <w:t>-</w:t>
      </w:r>
      <w:r w:rsidR="002120D8">
        <w:t xml:space="preserve">adapted microorganisms tend to be enriched in branched and unsaturated fatty acids </w:t>
      </w:r>
      <w:r w:rsidR="002120D8" w:rsidRPr="00456C4C">
        <w:t>(Hassan et al., 2020)</w:t>
      </w:r>
      <w:r>
        <w:t xml:space="preserve"> and </w:t>
      </w:r>
      <w:r w:rsidR="002120D8">
        <w:t>insert</w:t>
      </w:r>
      <w:r>
        <w:t xml:space="preserve"> </w:t>
      </w:r>
      <w:r w:rsidR="002120D8">
        <w:t xml:space="preserve">specialized proteins or molecules such carotenoids to increase </w:t>
      </w:r>
      <w:r>
        <w:t xml:space="preserve">overall </w:t>
      </w:r>
      <w:r w:rsidR="002120D8">
        <w:t xml:space="preserve">membrane fluidity </w:t>
      </w:r>
      <w:r w:rsidR="002120D8" w:rsidRPr="00456C4C">
        <w:t>(Chattopadhyay and Jagannadham, 2001; Jagannadham and Chowdhury, 2012; Seel et al., 2020)</w:t>
      </w:r>
      <w:r w:rsidR="002120D8">
        <w:t xml:space="preserve">. Synthesized proteins </w:t>
      </w:r>
      <w:r>
        <w:t>often</w:t>
      </w:r>
      <w:r w:rsidR="002120D8">
        <w:t xml:space="preserve"> have fewer salt bridges and proline residues compared to</w:t>
      </w:r>
      <w:r>
        <w:t xml:space="preserve"> the</w:t>
      </w:r>
      <w:r w:rsidR="002120D8">
        <w:t xml:space="preserve"> proteins </w:t>
      </w:r>
      <w:r>
        <w:t>of mesophiles</w:t>
      </w:r>
      <w:r w:rsidR="00376565">
        <w:t xml:space="preserve"> which</w:t>
      </w:r>
      <w:r w:rsidR="002120D8">
        <w:t xml:space="preserve"> decrease the energy required for conformational changes </w:t>
      </w:r>
      <w:r w:rsidR="002120D8" w:rsidRPr="00913AD2">
        <w:t>(Metpally and Reddy, 2009)</w:t>
      </w:r>
      <w:r w:rsidR="002120D8">
        <w:t xml:space="preserve">. The genomes of cold-adapted organisms also tend to have </w:t>
      </w:r>
      <w:r w:rsidR="00ED18E0">
        <w:t>higher</w:t>
      </w:r>
      <w:r w:rsidR="002120D8">
        <w:t xml:space="preserve"> cop</w:t>
      </w:r>
      <w:r w:rsidR="00ED18E0">
        <w:t>y numbers</w:t>
      </w:r>
      <w:r w:rsidR="002120D8">
        <w:t xml:space="preserve"> of genes associated with translation and protein folding compared to mesophilic relatives </w:t>
      </w:r>
      <w:r w:rsidR="002120D8" w:rsidRPr="00913AD2">
        <w:t>(De Maayer et al., 2014)</w:t>
      </w:r>
      <w:r w:rsidR="002120D8">
        <w:t xml:space="preserve">. Additionally, subzero temperatures can lead to the formation of ice crystals inside of the cell, leading to lysis. To counteract freezing, some psychrophiles can utilize a combination of ice active proteins, which lower the eutectic temperature inside the cell to prevent internal freezing, and ice nucleation proteins, which </w:t>
      </w:r>
      <w:r w:rsidR="00376565">
        <w:t>control</w:t>
      </w:r>
      <w:r w:rsidR="002120D8">
        <w:t xml:space="preserve"> the formation of smaller, less hazardous ice crystals outside of the cell </w:t>
      </w:r>
      <w:r w:rsidR="002120D8" w:rsidRPr="00456C4C">
        <w:t>(Kawahara et al., 2004)</w:t>
      </w:r>
      <w:r w:rsidR="002120D8">
        <w:t>.</w:t>
      </w:r>
    </w:p>
    <w:p w14:paraId="4B386429" w14:textId="167BBE13" w:rsidR="002120D8" w:rsidRPr="00E931C3" w:rsidRDefault="00163DBE" w:rsidP="00562BA2">
      <w:r>
        <w:t>F</w:t>
      </w:r>
      <w:r w:rsidR="002120D8">
        <w:t>reezing leads to the cryoconcentration of dissolved solutes</w:t>
      </w:r>
      <w:r w:rsidR="00376565">
        <w:t>,</w:t>
      </w:r>
      <w:r>
        <w:t xml:space="preserve"> thus</w:t>
      </w:r>
      <w:r w:rsidR="002120D8">
        <w:t xml:space="preserve"> many psychrophilic organisms also are adapted to salt stress </w:t>
      </w:r>
      <w:r w:rsidR="002120D8" w:rsidRPr="00FF2F53">
        <w:t>(Wilson et al., 2012)</w:t>
      </w:r>
      <w:r w:rsidR="002120D8">
        <w:t xml:space="preserve">. </w:t>
      </w:r>
      <w:r w:rsidR="00376565">
        <w:t>S</w:t>
      </w:r>
      <w:r w:rsidR="002120D8">
        <w:t xml:space="preserve">alts reverse the positive turgor pressor on a cell, which is required </w:t>
      </w:r>
      <w:r w:rsidR="00344EF3">
        <w:t>by</w:t>
      </w:r>
      <w:r w:rsidR="002120D8">
        <w:t xml:space="preserve"> almost all known microorganisms for cell expansion </w:t>
      </w:r>
      <w:r w:rsidR="002120D8" w:rsidRPr="0065635C">
        <w:t>(Kempf and Bremer, 1998; Gunde-Cimerman et al., 2018)</w:t>
      </w:r>
      <w:r w:rsidR="002120D8">
        <w:t xml:space="preserve">. Halophilic adaptations can generally be sorted into either “salt-in” </w:t>
      </w:r>
      <w:r w:rsidR="00344EF3">
        <w:t>or</w:t>
      </w:r>
      <w:r w:rsidR="002120D8">
        <w:t xml:space="preserve"> “compatible solute” strategies, depending on the </w:t>
      </w:r>
      <w:r w:rsidR="00ED18E0">
        <w:t xml:space="preserve">dominant </w:t>
      </w:r>
      <w:r w:rsidR="002120D8">
        <w:t xml:space="preserve">mechanism of restoring osmotic balance </w:t>
      </w:r>
      <w:r w:rsidR="002120D8" w:rsidRPr="0065635C">
        <w:t>(Oren, 2008)</w:t>
      </w:r>
      <w:r w:rsidR="002120D8">
        <w:t>. S</w:t>
      </w:r>
      <w:r w:rsidR="002120D8" w:rsidRPr="00BC3D51">
        <w:t>alt-in organisms rely on ion pumps</w:t>
      </w:r>
      <w:r w:rsidR="002120D8">
        <w:t xml:space="preserve"> (largely K</w:t>
      </w:r>
      <w:r w:rsidR="002120D8" w:rsidRPr="000237C3">
        <w:rPr>
          <w:vertAlign w:val="superscript"/>
        </w:rPr>
        <w:t>+</w:t>
      </w:r>
      <w:r w:rsidR="002120D8">
        <w:t xml:space="preserve"> and Cl</w:t>
      </w:r>
      <w:r w:rsidR="002120D8" w:rsidRPr="000237C3">
        <w:rPr>
          <w:vertAlign w:val="superscript"/>
        </w:rPr>
        <w:t>-</w:t>
      </w:r>
      <w:r w:rsidR="002120D8">
        <w:t xml:space="preserve">), </w:t>
      </w:r>
      <w:r w:rsidR="002120D8" w:rsidRPr="00BC3D51">
        <w:t>to match their internal salt concentration with the outside concentrations of salt (DasSarma and DasSarma, 2017)</w:t>
      </w:r>
      <w:r w:rsidR="00344EF3">
        <w:t>.</w:t>
      </w:r>
      <w:r w:rsidR="002120D8" w:rsidRPr="00BC3D51">
        <w:t xml:space="preserve"> </w:t>
      </w:r>
      <w:r w:rsidR="00344EF3">
        <w:t>Additionally, the proteins of s</w:t>
      </w:r>
      <w:r w:rsidR="002120D8">
        <w:t xml:space="preserve">alt-in organisms often </w:t>
      </w:r>
      <w:r w:rsidR="00344EF3">
        <w:t>feature more</w:t>
      </w:r>
      <w:r w:rsidR="002120D8">
        <w:t xml:space="preserve"> </w:t>
      </w:r>
      <w:r w:rsidR="002120D8" w:rsidRPr="000237C3">
        <w:t>acidic</w:t>
      </w:r>
      <w:r w:rsidR="002120D8">
        <w:t xml:space="preserve"> residues and fewer hydrophobic amino acids</w:t>
      </w:r>
      <w:r w:rsidR="00950B13">
        <w:t>, and tend to</w:t>
      </w:r>
      <w:r w:rsidR="002120D8">
        <w:t xml:space="preserve"> require high </w:t>
      </w:r>
      <w:r w:rsidR="002120D8">
        <w:lastRenderedPageBreak/>
        <w:t xml:space="preserve">concentrations of salts for proper folding and function </w:t>
      </w:r>
      <w:r w:rsidR="002120D8" w:rsidRPr="000237C3">
        <w:t>(Oren, 1999)</w:t>
      </w:r>
      <w:r w:rsidR="002120D8" w:rsidRPr="00E931C3">
        <w:t>.</w:t>
      </w:r>
      <w:r w:rsidR="002120D8">
        <w:t xml:space="preserve"> O</w:t>
      </w:r>
      <w:r w:rsidR="002120D8" w:rsidRPr="00BC3D51">
        <w:t xml:space="preserve">rganisms </w:t>
      </w:r>
      <w:r w:rsidR="002120D8">
        <w:t>that rely on</w:t>
      </w:r>
      <w:r w:rsidR="00ED18E0">
        <w:t xml:space="preserve"> organic osmolytes</w:t>
      </w:r>
      <w:r w:rsidR="002120D8">
        <w:t xml:space="preserve"> </w:t>
      </w:r>
      <w:r w:rsidR="00ED18E0">
        <w:t xml:space="preserve">(i.e., compatible solutes) </w:t>
      </w:r>
      <w:r w:rsidR="002120D8" w:rsidRPr="00BC3D51">
        <w:t xml:space="preserve">will either synthesize or import neutral compounds such as glycine betaine or ectoine </w:t>
      </w:r>
      <w:r w:rsidR="002120D8">
        <w:t>to</w:t>
      </w:r>
      <w:r w:rsidR="002120D8" w:rsidRPr="00BC3D51">
        <w:t xml:space="preserve"> balance the osmotic pressure between the interior and exterior of the cell</w:t>
      </w:r>
      <w:r w:rsidR="002120D8">
        <w:t xml:space="preserve"> </w:t>
      </w:r>
      <w:r w:rsidR="002120D8" w:rsidRPr="00E931C3">
        <w:t>(Shivanand and Mugeraya, 2011)</w:t>
      </w:r>
      <w:r w:rsidR="002120D8">
        <w:t xml:space="preserve">. </w:t>
      </w:r>
    </w:p>
    <w:p w14:paraId="0A9BDE52" w14:textId="04BD907B" w:rsidR="00ED18E0" w:rsidRDefault="00950B13" w:rsidP="00562BA2">
      <w:r>
        <w:t>D</w:t>
      </w:r>
      <w:r w:rsidR="002120D8">
        <w:t xml:space="preserve">esiccation and </w:t>
      </w:r>
      <w:r>
        <w:t xml:space="preserve">UV </w:t>
      </w:r>
      <w:r w:rsidR="002120D8">
        <w:t>radiation</w:t>
      </w:r>
      <w:r>
        <w:t xml:space="preserve"> are also prominent stressors within the MDV</w:t>
      </w:r>
      <w:r w:rsidR="002120D8">
        <w:t>. Depending on the wavelength</w:t>
      </w:r>
      <w:r>
        <w:t>, the UV fraction of solar flux</w:t>
      </w:r>
      <w:r w:rsidR="002120D8">
        <w:t xml:space="preserve"> causes damage to the cell through the production of reactive oxygen species (ROS), as well as DNA damage through the formation of strand breaks and thiamine dimers </w:t>
      </w:r>
      <w:r w:rsidR="002120D8" w:rsidRPr="00D0141A">
        <w:t>(Castenholz and Garcia-Pichel, 2012)</w:t>
      </w:r>
      <w:r w:rsidR="002120D8">
        <w:t xml:space="preserve">. Several strategies exist to counteract the damaging effects of UV, including ROS-protective enzymes and the biosynthesis of specialized pigments that absorb damage from UV light. Pigments are diverse secondary metabolites that are found in numerous Antarctic bacteria and provide a wide variety of benefits to the cell </w:t>
      </w:r>
      <w:r w:rsidR="002120D8" w:rsidRPr="00355241">
        <w:t>(Marizcurrena et al., 2019)</w:t>
      </w:r>
      <w:r w:rsidR="002120D8">
        <w:t xml:space="preserve">. For example, carotenoids in Antarctic bacteria have been linked to protection from solar radiation as well as increased survival following multiple freeze-thaw cycles </w:t>
      </w:r>
      <w:r w:rsidR="002120D8" w:rsidRPr="00355241">
        <w:t>(Dieser et al., 2010)</w:t>
      </w:r>
      <w:r w:rsidR="002120D8">
        <w:t xml:space="preserve">. Microbial adaptations to desiccation have many similarities to cryo- and halotolerance, as evaporative properties increase solute concentration and therefore osmotic pressure on the cell </w:t>
      </w:r>
      <w:r w:rsidR="002120D8" w:rsidRPr="00483636">
        <w:t>(Lebre et al., 2017)</w:t>
      </w:r>
      <w:r w:rsidR="002120D8">
        <w:t xml:space="preserve">. </w:t>
      </w:r>
      <w:r>
        <w:t xml:space="preserve">In addition to </w:t>
      </w:r>
      <w:r w:rsidR="00B642EC">
        <w:t>the strategies discussed above, b</w:t>
      </w:r>
      <w:r w:rsidR="002120D8">
        <w:t xml:space="preserve">acteria also will produce extracellular polymeric substances (EPS), which can form hydrated microenvironments through hygroscopic activity </w:t>
      </w:r>
      <w:r w:rsidR="002120D8" w:rsidRPr="00520C92">
        <w:t>(Chang et al., 2007)</w:t>
      </w:r>
      <w:r w:rsidR="002120D8">
        <w:t>.</w:t>
      </w:r>
      <w:r w:rsidR="00B642EC">
        <w:t xml:space="preserve"> Other </w:t>
      </w:r>
      <w:r w:rsidR="002B41C0">
        <w:t>organisms</w:t>
      </w:r>
      <w:r w:rsidR="00B642EC">
        <w:t xml:space="preserve"> may rely on d</w:t>
      </w:r>
      <w:r w:rsidR="002120D8">
        <w:t xml:space="preserve">ormancy strategies, including the formation of spores with germination occurring under more favorable conditions </w:t>
      </w:r>
      <w:r w:rsidR="002120D8" w:rsidRPr="009E297D">
        <w:t>(Jones and Lennon, 2010; Setlow and Johnson, 2012)</w:t>
      </w:r>
      <w:r w:rsidR="002120D8">
        <w:t xml:space="preserve">. </w:t>
      </w:r>
    </w:p>
    <w:p w14:paraId="4D675A87" w14:textId="3FED8CA9" w:rsidR="002120D8" w:rsidRPr="00355241" w:rsidRDefault="00ED18E0" w:rsidP="00562BA2">
      <w:r>
        <w:t>T</w:t>
      </w:r>
      <w:r w:rsidR="002120D8">
        <w:t xml:space="preserve">he MDV climate is presumed to have been relatively stable over possibly millions of years </w:t>
      </w:r>
      <w:r w:rsidR="002120D8" w:rsidRPr="00CF5088">
        <w:t>(Marchant and Head, 2007)</w:t>
      </w:r>
      <w:r>
        <w:t>, thus evolutionary pressure</w:t>
      </w:r>
      <w:r w:rsidR="004F2777">
        <w:t xml:space="preserve">s and useful adaptations to extreme conditions have likely remained fairly consistent within microbial communities. </w:t>
      </w:r>
      <w:r>
        <w:t>However</w:t>
      </w:r>
      <w:r w:rsidR="002120D8">
        <w:t xml:space="preserve">, </w:t>
      </w:r>
      <w:r w:rsidR="00B642EC">
        <w:t>environmental change</w:t>
      </w:r>
      <w:r w:rsidR="002120D8">
        <w:t xml:space="preserve"> in the MDV may lead to novel conditions and therefore unseen combinations of organisms, with unknown impacts of ecosystem function </w:t>
      </w:r>
      <w:r w:rsidR="002120D8" w:rsidRPr="00D0197C">
        <w:t>(Williams and Jackson, 2007; Fountain et al., 2014; Lee et al., 2022)</w:t>
      </w:r>
      <w:r w:rsidR="002120D8">
        <w:t>.</w:t>
      </w:r>
    </w:p>
    <w:p w14:paraId="26404CD2" w14:textId="77777777" w:rsidR="00FF0518" w:rsidRDefault="00FF0518" w:rsidP="00562BA2">
      <w:pPr>
        <w:pStyle w:val="Heading2"/>
      </w:pPr>
      <w:bookmarkStart w:id="98" w:name="_Toc196256860"/>
      <w:r w:rsidRPr="00F2668D">
        <w:lastRenderedPageBreak/>
        <w:t>Environmental change in the MDV</w:t>
      </w:r>
      <w:bookmarkEnd w:id="98"/>
    </w:p>
    <w:p w14:paraId="6BBE4275" w14:textId="0C7078A0" w:rsidR="00205444" w:rsidRDefault="00205444" w:rsidP="00562BA2">
      <w:bookmarkStart w:id="99" w:name="_Hlk195617410"/>
      <w:r>
        <w:t xml:space="preserve">The Antarctic region is experiencing unprecedented warming, especially over </w:t>
      </w:r>
      <w:r w:rsidR="002B41C0" w:rsidRPr="00B8170A">
        <w:t>W</w:t>
      </w:r>
      <w:r w:rsidRPr="00B8170A">
        <w:t>est</w:t>
      </w:r>
      <w:r>
        <w:t xml:space="preserve"> Antarctic</w:t>
      </w:r>
      <w:r w:rsidR="004F2777">
        <w:t>a</w:t>
      </w:r>
      <w:r>
        <w:t xml:space="preserve"> </w:t>
      </w:r>
      <w:r w:rsidRPr="005B3D4B">
        <w:rPr>
          <w:rFonts w:cs="Times New Roman"/>
        </w:rPr>
        <w:t>(Nicolas and Bromwich, 2014)</w:t>
      </w:r>
      <w:r>
        <w:t xml:space="preserve">. In addition to the climatic </w:t>
      </w:r>
      <w:r w:rsidR="004F2777">
        <w:t>influence</w:t>
      </w:r>
      <w:r>
        <w:t xml:space="preserve"> of </w:t>
      </w:r>
      <w:r w:rsidR="004F2777">
        <w:t>both the East and West Antarctic I</w:t>
      </w:r>
      <w:r>
        <w:t xml:space="preserve">ce </w:t>
      </w:r>
      <w:r w:rsidR="004F2777">
        <w:t>S</w:t>
      </w:r>
      <w:r>
        <w:t xml:space="preserve">heets, the coastal location of the MDV means they are influenced by sea ice and Southern Ocean dynamics, as well </w:t>
      </w:r>
      <w:r w:rsidRPr="005B3D4B">
        <w:rPr>
          <w:rFonts w:cs="Times New Roman"/>
        </w:rPr>
        <w:t>(Fountain et al., 2014)</w:t>
      </w:r>
      <w:r>
        <w:t xml:space="preserve">. Thus, </w:t>
      </w:r>
      <w:r w:rsidR="004F2777">
        <w:t xml:space="preserve">manifestations of climate change </w:t>
      </w:r>
      <w:r>
        <w:t xml:space="preserve">in the MDV </w:t>
      </w:r>
      <w:r w:rsidR="004F2777">
        <w:t xml:space="preserve">are often complex and only observable through long term monitoring, such as the </w:t>
      </w:r>
      <w:r>
        <w:t xml:space="preserve">subtle alteration </w:t>
      </w:r>
      <w:r w:rsidR="004F2777">
        <w:t>of</w:t>
      </w:r>
      <w:r>
        <w:t xml:space="preserve"> abiotic</w:t>
      </w:r>
      <w:r w:rsidR="004F2777">
        <w:t xml:space="preserve"> gradients</w:t>
      </w:r>
      <w:r>
        <w:t xml:space="preserve">. </w:t>
      </w:r>
      <w:r w:rsidR="004F2777">
        <w:t>T</w:t>
      </w:r>
      <w:r>
        <w:t xml:space="preserve">he distribution of solutes within soils are dependent on local hydrology, as salts, nutrients, and organics are mobilized as a consequence of the melting of glacier ice, snow, and permafrost </w:t>
      </w:r>
      <w:r w:rsidRPr="005B3D4B">
        <w:rPr>
          <w:rFonts w:cs="Times New Roman"/>
        </w:rPr>
        <w:t>(Foreman et al., 2004; Ball et al., 2011)</w:t>
      </w:r>
      <w:r>
        <w:t xml:space="preserve">. </w:t>
      </w:r>
      <w:r w:rsidR="002B41C0">
        <w:t>W</w:t>
      </w:r>
      <w:r>
        <w:t xml:space="preserve">etted soil margins of glacier melt streams tend to have lower salt concentrations compared to the surrounding dry soils, as solutes within hyporheic zones have been leached from the soils and transported downstream to terminal basins, such as the ice-covered lakes </w:t>
      </w:r>
      <w:r w:rsidRPr="005B3D4B">
        <w:rPr>
          <w:rFonts w:cs="Times New Roman"/>
        </w:rPr>
        <w:t>(Northcott et al., 2009)</w:t>
      </w:r>
      <w:r>
        <w:t xml:space="preserve">. Contrastingly, the melting of near surface permafrost leads to wicking processes and thus the movement of salts to the surface, where they are deposited and concentrated by evaporation </w:t>
      </w:r>
      <w:r w:rsidRPr="005B3D4B">
        <w:rPr>
          <w:rFonts w:cs="Times New Roman"/>
        </w:rPr>
        <w:t>(Ball et al., 2011; Ball and Virginia, 2012)</w:t>
      </w:r>
      <w:r>
        <w:t>.</w:t>
      </w:r>
      <w:r w:rsidR="004F2777">
        <w:t xml:space="preserve"> While notable trends in air temperature have not been observed (Obryk et al., 2020), soil temperature monitoring stations have recorded significant decreases in winter freezing degree days (sum of days with average daily temperature below freezing) in the winter and significant increases in summer thawing degree days (sum of days with average daily temperature above freezing),</w:t>
      </w:r>
      <w:r w:rsidR="00A171BF">
        <w:t xml:space="preserve"> leading to an increase in permafrost melt</w:t>
      </w:r>
      <w:r w:rsidR="004F2777">
        <w:t xml:space="preserve"> </w:t>
      </w:r>
      <w:r w:rsidR="004F2777" w:rsidRPr="004B08FA">
        <w:t>(Fowler and Levy, 2025)</w:t>
      </w:r>
      <w:r w:rsidR="004F2777">
        <w:t xml:space="preserve">. </w:t>
      </w:r>
      <w:r w:rsidR="00A171BF">
        <w:t>T</w:t>
      </w:r>
      <w:r>
        <w:t>hus,</w:t>
      </w:r>
      <w:r w:rsidR="00A171BF">
        <w:t xml:space="preserve"> climate related changes in MDV hydrology </w:t>
      </w:r>
      <w:r>
        <w:t xml:space="preserve">can dramatically impact the distribution of salts within soils and in turn community assembly along newly formed salinity gradients. </w:t>
      </w:r>
    </w:p>
    <w:bookmarkEnd w:id="99"/>
    <w:p w14:paraId="0BCFD195" w14:textId="336E94E5" w:rsidR="00FF0518" w:rsidRPr="003C20EC" w:rsidRDefault="00EC52D2" w:rsidP="00562BA2">
      <w:r>
        <w:t>Sub</w:t>
      </w:r>
      <w:r w:rsidR="00987B9D">
        <w:t>t</w:t>
      </w:r>
      <w:r>
        <w:t xml:space="preserve">le changes within the MDV are overlaid by large scale temperature anomalies than can have long lasting </w:t>
      </w:r>
      <w:r w:rsidR="002B217F">
        <w:t xml:space="preserve">impacts </w:t>
      </w:r>
      <w:r>
        <w:t>(</w:t>
      </w:r>
      <w:r w:rsidR="002B217F">
        <w:t>i.e</w:t>
      </w:r>
      <w:r>
        <w:t xml:space="preserve">., </w:t>
      </w:r>
      <w:r w:rsidR="002B217F">
        <w:t xml:space="preserve">observable after </w:t>
      </w:r>
      <w:r>
        <w:t>10+ years</w:t>
      </w:r>
      <w:r w:rsidR="002B217F">
        <w:t>;</w:t>
      </w:r>
      <w:r>
        <w:t xml:space="preserve"> </w:t>
      </w:r>
      <w:r w:rsidR="00A171BF">
        <w:t xml:space="preserve">Fountain et al., 2014; </w:t>
      </w:r>
      <w:r w:rsidR="00A171BF" w:rsidRPr="00ED3222">
        <w:t xml:space="preserve">Gooseff </w:t>
      </w:r>
      <w:r w:rsidR="00A171BF">
        <w:t>et al., 2017</w:t>
      </w:r>
      <w:r w:rsidR="00FF0518" w:rsidRPr="00541513">
        <w:t>)</w:t>
      </w:r>
      <w:r w:rsidR="00FF0518">
        <w:t>.</w:t>
      </w:r>
      <w:r>
        <w:t xml:space="preserve"> </w:t>
      </w:r>
      <w:r w:rsidR="00987B9D">
        <w:t>For example, i</w:t>
      </w:r>
      <w:r>
        <w:t xml:space="preserve">n the 2001-2002 austral summer, unusually high air temperature and solar flux led to </w:t>
      </w:r>
      <w:r w:rsidR="00FF0518">
        <w:t>unprecedented glacial melt</w:t>
      </w:r>
      <w:r w:rsidR="00987B9D">
        <w:t xml:space="preserve">, </w:t>
      </w:r>
      <w:r w:rsidR="002B217F">
        <w:t xml:space="preserve">after </w:t>
      </w:r>
      <w:r w:rsidR="00987B9D">
        <w:t>which increases in microbial mat and soil invertebrate biomass were observed</w:t>
      </w:r>
      <w:r w:rsidR="00A171BF">
        <w:t xml:space="preserve"> over several seasons</w:t>
      </w:r>
      <w:r w:rsidR="00987B9D">
        <w:t xml:space="preserve"> following an initial lag</w:t>
      </w:r>
      <w:r w:rsidR="00FF0518">
        <w:t xml:space="preserve"> </w:t>
      </w:r>
      <w:r w:rsidR="00FF0518" w:rsidRPr="00ED3222">
        <w:t>(Gooseff et al., 2017)</w:t>
      </w:r>
      <w:r w:rsidR="00987B9D">
        <w:t>.</w:t>
      </w:r>
      <w:r w:rsidR="00FF0518">
        <w:t xml:space="preserve"> </w:t>
      </w:r>
      <w:r w:rsidR="00987B9D">
        <w:t>In March 2022, an o</w:t>
      </w:r>
      <w:r w:rsidR="00FF0518">
        <w:t xml:space="preserve">ff-season “weather </w:t>
      </w:r>
      <w:r w:rsidR="00FF0518">
        <w:lastRenderedPageBreak/>
        <w:t xml:space="preserve">whiplash” event </w:t>
      </w:r>
      <w:r w:rsidR="00987B9D">
        <w:t xml:space="preserve">saw </w:t>
      </w:r>
      <w:r w:rsidR="00FF0518">
        <w:t>daily temperatures 30 °C above seasonal average le</w:t>
      </w:r>
      <w:r w:rsidR="002B41C0">
        <w:t>a</w:t>
      </w:r>
      <w:r w:rsidR="00FF0518">
        <w:t>d</w:t>
      </w:r>
      <w:r w:rsidR="002B41C0">
        <w:t>ing</w:t>
      </w:r>
      <w:r w:rsidR="00FF0518">
        <w:t xml:space="preserve"> to stream reactivation </w:t>
      </w:r>
      <w:r w:rsidR="00FF0518" w:rsidRPr="00ED3222">
        <w:t>(Barrett et al.,</w:t>
      </w:r>
      <w:r w:rsidR="00987B9D">
        <w:t xml:space="preserve"> 2024).</w:t>
      </w:r>
      <w:r w:rsidR="00FF0518" w:rsidRPr="00ED3222">
        <w:t xml:space="preserve"> </w:t>
      </w:r>
      <w:r w:rsidR="00FF0518">
        <w:t xml:space="preserve">Multispectral satellite imaging of areas impacted by the 2022 weather anomaly showed increased photosynthetic activity during the event (as normalized differential vegetation index), and sampling during the following season identified increases in both invertebrate diversity and mortality of the dominant soil nematode, </w:t>
      </w:r>
      <w:r w:rsidR="00987B9D">
        <w:rPr>
          <w:i/>
          <w:iCs/>
        </w:rPr>
        <w:t xml:space="preserve">S. </w:t>
      </w:r>
      <w:r w:rsidR="00FF0518">
        <w:rPr>
          <w:i/>
          <w:iCs/>
        </w:rPr>
        <w:t>lindsayae</w:t>
      </w:r>
      <w:r w:rsidR="00FF0518">
        <w:t xml:space="preserve"> </w:t>
      </w:r>
      <w:r w:rsidR="00FF0518" w:rsidRPr="00747492">
        <w:t>(Barrett et al., 2024)</w:t>
      </w:r>
      <w:r w:rsidR="00FF0518">
        <w:t xml:space="preserve">. In an ecosystem strongly shaped by abiotic factors </w:t>
      </w:r>
      <w:r w:rsidR="00FF0518" w:rsidRPr="00747492">
        <w:t>(Andriuzzi et al., 2018; Bottos et al., 2020)</w:t>
      </w:r>
      <w:r w:rsidR="00FF0518">
        <w:t>, even temporary climatic and hydrological shifts can lead to large impacts in the resident communities.</w:t>
      </w:r>
    </w:p>
    <w:p w14:paraId="3EA80AEF" w14:textId="67B8BE03" w:rsidR="00FF0518" w:rsidRPr="00CC1080" w:rsidRDefault="00646BA6" w:rsidP="001A14AF">
      <w:r>
        <w:t>F</w:t>
      </w:r>
      <w:r w:rsidR="00FF0518">
        <w:t xml:space="preserve">ield and laboratory studies have sought to understand the impact of environmental perturbation on MDV soil communities. Microbial communities show rapid response to the addition of </w:t>
      </w:r>
      <w:r w:rsidR="00E113BE">
        <w:t xml:space="preserve">exogenous </w:t>
      </w:r>
      <w:r w:rsidR="00FF0518">
        <w:t xml:space="preserve">water and nutrients, leading to transcriptional changes </w:t>
      </w:r>
      <w:r w:rsidR="00FF0518" w:rsidRPr="006973BE">
        <w:t>(Buelow et al., 2016)</w:t>
      </w:r>
      <w:r w:rsidR="00FF0518">
        <w:t xml:space="preserve">, increases in </w:t>
      </w:r>
      <w:r w:rsidR="00E113BE">
        <w:t xml:space="preserve">community respiration </w:t>
      </w:r>
      <w:r w:rsidR="00FF0518" w:rsidRPr="006973BE">
        <w:t>(McKnight et al., 2007; Aanderud et al., 2018; Ball et al., 2018; Niederberger et al., 2019)</w:t>
      </w:r>
      <w:r w:rsidR="00FF0518">
        <w:t xml:space="preserve">, and large alterations in bacterial community structure </w:t>
      </w:r>
      <w:r w:rsidR="00FF0518" w:rsidRPr="0079703B">
        <w:t>(Van Horn et al., 2014; Aanderud et al., 2018; Niederberger et al., 2019)</w:t>
      </w:r>
      <w:r w:rsidR="00FF0518">
        <w:t>. Similarly, l</w:t>
      </w:r>
      <w:r w:rsidR="00FF0518" w:rsidRPr="0079703B">
        <w:t>aboratory incubations of whole communities</w:t>
      </w:r>
      <w:r w:rsidR="00FF0518">
        <w:t xml:space="preserve"> </w:t>
      </w:r>
      <w:r w:rsidR="00FF0518" w:rsidRPr="0079703B">
        <w:t>have been utilized to measure the impact of</w:t>
      </w:r>
      <w:r w:rsidR="00FF0518">
        <w:t xml:space="preserve"> water and nutrient amendments </w:t>
      </w:r>
      <w:r w:rsidR="00FF0518" w:rsidRPr="0079703B">
        <w:t>on soil respiration rates</w:t>
      </w:r>
      <w:r w:rsidR="00FF0518">
        <w:t xml:space="preserve"> </w:t>
      </w:r>
      <w:r w:rsidR="00FF0518" w:rsidRPr="0079703B">
        <w:t>(Barrett et al., 2006)</w:t>
      </w:r>
      <w:r w:rsidR="00FF0518">
        <w:t xml:space="preserve"> and microbial community structure and abundance </w:t>
      </w:r>
      <w:r w:rsidR="00FF0518" w:rsidRPr="0079703B">
        <w:t>(Knox et al., 2017; Shaw and Wall, 2019; Monteiro et al., 2023)</w:t>
      </w:r>
      <w:r w:rsidR="00FF0518">
        <w:t xml:space="preserve">. Together, these studies have identified potential impacts of environmental change on MDV communities, though </w:t>
      </w:r>
      <w:r>
        <w:t xml:space="preserve">the diversity of responses by individual microorganisms, especially to subtle manifestations of change, </w:t>
      </w:r>
      <w:r w:rsidR="00FF0518">
        <w:t>requires further investigation.</w:t>
      </w:r>
    </w:p>
    <w:p w14:paraId="1A5E8C27" w14:textId="77777777" w:rsidR="00196ABD" w:rsidRDefault="00196ABD" w:rsidP="001A14AF">
      <w:pPr>
        <w:pStyle w:val="Heading2"/>
        <w:spacing w:before="0" w:after="0"/>
      </w:pPr>
      <w:bookmarkStart w:id="100" w:name="_Toc196256861"/>
      <w:r>
        <w:t>Terrestrial extremes and the search for life</w:t>
      </w:r>
      <w:bookmarkEnd w:id="100"/>
    </w:p>
    <w:p w14:paraId="38336FE3" w14:textId="1EB96B78" w:rsidR="00196ABD" w:rsidRPr="00B246BA" w:rsidRDefault="00196ABD" w:rsidP="001A14AF">
      <w:r>
        <w:t>The MDV have long been used</w:t>
      </w:r>
      <w:r w:rsidR="00B642EC">
        <w:t xml:space="preserve"> as</w:t>
      </w:r>
      <w:r>
        <w:t xml:space="preserve"> </w:t>
      </w:r>
      <w:r w:rsidR="00B642EC">
        <w:t xml:space="preserve">an </w:t>
      </w:r>
      <w:r>
        <w:t xml:space="preserve">analog feature for Mars, due to the similarity of its climate and geomorphology </w:t>
      </w:r>
      <w:r w:rsidRPr="00766DE9">
        <w:t>(Cameron et al., 1976; Doran et al., 2010; Salvatore and Levy, 2021)</w:t>
      </w:r>
      <w:r>
        <w:t xml:space="preserve">. Results from the Mars </w:t>
      </w:r>
      <w:r w:rsidRPr="009067FB">
        <w:rPr>
          <w:i/>
          <w:iCs/>
        </w:rPr>
        <w:t>Viking</w:t>
      </w:r>
      <w:r>
        <w:t xml:space="preserve"> landers were specifically compared </w:t>
      </w:r>
      <w:r w:rsidR="00EE0200">
        <w:t xml:space="preserve">to </w:t>
      </w:r>
      <w:r>
        <w:t xml:space="preserve">soils collected from the MDV (Wheeler Valley) due to similarities in predicted climatic and edaphic conditions </w:t>
      </w:r>
      <w:r w:rsidRPr="006D1827">
        <w:t>(Cameron et al., 1970; Biemann et al., 1977)</w:t>
      </w:r>
      <w:r>
        <w:t xml:space="preserve">, and University Valley was utilized as an analog site for testing the prototype Mars Icebreaker Drill </w:t>
      </w:r>
      <w:r w:rsidRPr="004E1052">
        <w:t>(Zacny et al., 2013)</w:t>
      </w:r>
      <w:r>
        <w:t xml:space="preserve">. </w:t>
      </w:r>
      <w:r w:rsidR="00EE0200">
        <w:t>S</w:t>
      </w:r>
      <w:r>
        <w:t xml:space="preserve">urface morphology and minerology of possible lacustrine deposits </w:t>
      </w:r>
      <w:r w:rsidR="00EE0200">
        <w:lastRenderedPageBreak/>
        <w:t xml:space="preserve">on Mars suggest the presence of </w:t>
      </w:r>
      <w:r>
        <w:t xml:space="preserve">paleolakes in the Noachian and Hesperian, and </w:t>
      </w:r>
      <w:r w:rsidR="00EE0200">
        <w:t xml:space="preserve">potentially lasting </w:t>
      </w:r>
      <w:r>
        <w:t xml:space="preserve">into the Amazonian </w:t>
      </w:r>
      <w:r w:rsidRPr="00E666F4">
        <w:t>(Wordsworth, 2016; Michalski et al., 2022)</w:t>
      </w:r>
      <w:r>
        <w:t>. These ancient lakes likely bore several similarities to the modern ice-covered lakes of the MDV and thus provide</w:t>
      </w:r>
      <w:r w:rsidR="00EE0200">
        <w:t>d</w:t>
      </w:r>
      <w:r>
        <w:t xml:space="preserve"> a suitable habitat for early Martian life </w:t>
      </w:r>
      <w:r w:rsidRPr="00E666F4">
        <w:t>(Mikucki et al., 2010)</w:t>
      </w:r>
      <w:r>
        <w:t xml:space="preserve">. Evaporation of surface water, including of Martian paleolakes, leads to the concentration of dissolved salts, which in turn lowers the freezing point of liquid water. </w:t>
      </w:r>
      <w:r w:rsidR="00EE0200">
        <w:t>C</w:t>
      </w:r>
      <w:r>
        <w:t>oncentrated MDV brines, including</w:t>
      </w:r>
      <w:r w:rsidR="002B41C0">
        <w:t xml:space="preserve"> that of</w:t>
      </w:r>
      <w:r>
        <w:t xml:space="preserve"> DJP, provide an analog to investigate possible microbial oasis on the surface of Mars </w:t>
      </w:r>
      <w:r w:rsidRPr="004E1052">
        <w:t>(Mikucki et al., 2010; Davila and Schulze-Makuch, 2016)</w:t>
      </w:r>
      <w:r>
        <w:t xml:space="preserve">. Beyond Mars, MDV analog features can inform missions to ocean worlds such as Europa and Enceladus, which harbor liquid water oceans covered by icy shell </w:t>
      </w:r>
      <w:r w:rsidRPr="00C670BE">
        <w:t>(Hand et al., 2020)</w:t>
      </w:r>
      <w:r>
        <w:t xml:space="preserve">. For example, Blood Falls, as one of the few known locales where subsurface brine and associated biology is transported from the subsurface to the surface </w:t>
      </w:r>
      <w:r w:rsidRPr="00350B56">
        <w:t>(Badgeley et al., 2017)</w:t>
      </w:r>
      <w:r>
        <w:t xml:space="preserve">, </w:t>
      </w:r>
      <w:r w:rsidRPr="00B246BA">
        <w:t xml:space="preserve">provides a useful analog feature for the study of the plumes detected on Enceladus and Europa (Hansen et al., 2006; Arnold et al., 2019). As such, studies within the MDV can provide </w:t>
      </w:r>
      <w:r w:rsidR="00EE0200">
        <w:t xml:space="preserve">insight </w:t>
      </w:r>
      <w:r w:rsidRPr="00B246BA">
        <w:t>into not only into life at the extremes of our own world, but the possibility of life on other worlds, as well.</w:t>
      </w:r>
    </w:p>
    <w:p w14:paraId="28582864" w14:textId="2F746220" w:rsidR="00196ABD" w:rsidRDefault="002B41C0" w:rsidP="001A14AF">
      <w:r>
        <w:t>Beyond</w:t>
      </w:r>
      <w:r w:rsidR="00196ABD" w:rsidRPr="00B246BA">
        <w:t xml:space="preserve"> analog features, microorganisms isolated from extreme environments </w:t>
      </w:r>
      <w:r>
        <w:t xml:space="preserve">also </w:t>
      </w:r>
      <w:r w:rsidR="00EE0200">
        <w:t>inform studies of</w:t>
      </w:r>
      <w:r w:rsidR="00196ABD" w:rsidRPr="00B246BA">
        <w:t xml:space="preserve"> adaptations required to survive on other planets (Abbott and Pearce, 2020). A psychro-halophile, </w:t>
      </w:r>
      <w:r w:rsidR="00196ABD" w:rsidRPr="00B246BA">
        <w:rPr>
          <w:i/>
          <w:iCs/>
        </w:rPr>
        <w:t xml:space="preserve">Planococcus halocryophilis </w:t>
      </w:r>
      <w:r w:rsidR="00196ABD" w:rsidRPr="00B246BA">
        <w:t>Or1</w:t>
      </w:r>
      <w:r w:rsidR="00196ABD">
        <w:t>,</w:t>
      </w:r>
      <w:r w:rsidR="00196ABD" w:rsidRPr="00B246BA">
        <w:t xml:space="preserve"> has been utilized by many studies to explore microbial adaptations associated with low temperatures and hypersaline conditions (Mykytczuk et al., 2013; Heinz et al., 2018, 2019). From the MDV, several strains of </w:t>
      </w:r>
      <w:r w:rsidR="00196ABD" w:rsidRPr="00B246BA">
        <w:rPr>
          <w:i/>
          <w:iCs/>
        </w:rPr>
        <w:t>Halomonas</w:t>
      </w:r>
      <w:r w:rsidR="00196ABD" w:rsidRPr="00B246BA">
        <w:t xml:space="preserve">, </w:t>
      </w:r>
      <w:r w:rsidR="00196ABD" w:rsidRPr="00B246BA">
        <w:rPr>
          <w:i/>
          <w:iCs/>
        </w:rPr>
        <w:t>Brevundimonas</w:t>
      </w:r>
      <w:r w:rsidR="00196ABD" w:rsidRPr="00B246BA">
        <w:t xml:space="preserve">, and </w:t>
      </w:r>
      <w:r w:rsidR="00196ABD" w:rsidRPr="00B246BA">
        <w:rPr>
          <w:i/>
          <w:iCs/>
        </w:rPr>
        <w:t xml:space="preserve">Rhodococcus </w:t>
      </w:r>
      <w:r w:rsidR="00196ABD" w:rsidRPr="00B246BA">
        <w:t>were isolated following Mars-relevant radiation of soils, and survival to both gamma-ray exposure and desiccation were assessed (Musilova et al., 2015). To facilitate studies of forward contamination of</w:t>
      </w:r>
      <w:r w:rsidR="00196ABD">
        <w:t xml:space="preserve"> astrobiological targets of interest, </w:t>
      </w:r>
      <w:r w:rsidR="00196ABD" w:rsidRPr="00E021B0">
        <w:t xml:space="preserve">Rettberg et al. </w:t>
      </w:r>
      <w:r w:rsidR="00196ABD">
        <w:t>(</w:t>
      </w:r>
      <w:r w:rsidR="00196ABD" w:rsidRPr="00E021B0">
        <w:t>2019)</w:t>
      </w:r>
      <w:r w:rsidR="00196ABD">
        <w:t xml:space="preserve"> proposed </w:t>
      </w:r>
      <w:r>
        <w:t>the use</w:t>
      </w:r>
      <w:r w:rsidR="00196ABD">
        <w:t xml:space="preserve"> of Antarctic micro</w:t>
      </w:r>
      <w:r>
        <w:t>organisms to study of the forward contamination of ocean worlds</w:t>
      </w:r>
      <w:r w:rsidR="00196ABD">
        <w:t xml:space="preserve">. While not identified in clean rooms, these organisms were proposed specifically due to the likelihood of adaptations to space and ocean world-relevant stressors, such as low temperatures, radiation, desiccation, and high salinity. Insights gained from these studies </w:t>
      </w:r>
      <w:r w:rsidR="00196ABD">
        <w:lastRenderedPageBreak/>
        <w:t xml:space="preserve">provide a crucial framework to how we search for life beyond our planet by defining habitable niches for life as we know it and identifying biosignatures that are detectable with astrobiological methodologies. </w:t>
      </w:r>
    </w:p>
    <w:p w14:paraId="59123E65" w14:textId="77777777" w:rsidR="00196ABD" w:rsidRDefault="00196ABD" w:rsidP="001A14AF">
      <w:pPr>
        <w:pStyle w:val="Heading2"/>
        <w:spacing w:before="0" w:after="0"/>
      </w:pPr>
      <w:bookmarkStart w:id="101" w:name="_Toc196256862"/>
      <w:r>
        <w:t>Summary of dissertation</w:t>
      </w:r>
      <w:bookmarkEnd w:id="101"/>
    </w:p>
    <w:p w14:paraId="4DAD014F" w14:textId="1C284D22" w:rsidR="0035669B" w:rsidRDefault="00196ABD" w:rsidP="001A14AF">
      <w:pPr>
        <w:rPr>
          <w:b/>
          <w:bCs/>
          <w:iCs/>
          <w:szCs w:val="28"/>
        </w:rPr>
      </w:pPr>
      <w:r>
        <w:t xml:space="preserve">This dissertation addresses how </w:t>
      </w:r>
      <w:r w:rsidR="002E0582">
        <w:t xml:space="preserve">MDV bacteria </w:t>
      </w:r>
      <w:r>
        <w:t>respond to environment</w:t>
      </w:r>
      <w:r w:rsidR="002E0582">
        <w:t>al changes</w:t>
      </w:r>
      <w:r>
        <w:t xml:space="preserve">. Specific adaptations and responses to life at the extremes are identified within MDV microbial isolates and communities. Each chapter leverages a cultured bacterial isolate to interrogate ecologically-relevant processes and activities utilizing techniques spanning multiple fields, </w:t>
      </w:r>
      <w:r w:rsidR="002E0582">
        <w:t xml:space="preserve">including </w:t>
      </w:r>
      <w:r>
        <w:t>culture-based experiments</w:t>
      </w:r>
      <w:r w:rsidR="002E0582">
        <w:t>,</w:t>
      </w:r>
      <w:r>
        <w:t xml:space="preserve"> multi-omics approaches</w:t>
      </w:r>
      <w:r w:rsidR="002E0582">
        <w:t xml:space="preserve">, and analytical </w:t>
      </w:r>
      <w:r>
        <w:t xml:space="preserve">instrumentation relevant </w:t>
      </w:r>
      <w:r w:rsidR="002E0582">
        <w:t xml:space="preserve">to </w:t>
      </w:r>
      <w:r>
        <w:t xml:space="preserve">extraterrestrial exploration. </w:t>
      </w:r>
      <w:r w:rsidRPr="005312B5">
        <w:t>Chapter Two</w:t>
      </w:r>
      <w:r>
        <w:t xml:space="preserve"> </w:t>
      </w:r>
      <w:r w:rsidR="002E0582">
        <w:t xml:space="preserve">utilizes </w:t>
      </w:r>
      <w:r>
        <w:t xml:space="preserve">a strain of </w:t>
      </w:r>
      <w:r>
        <w:rPr>
          <w:i/>
          <w:iCs/>
        </w:rPr>
        <w:t xml:space="preserve">Massilia frigida </w:t>
      </w:r>
      <w:r>
        <w:t xml:space="preserve">(strain DJPM01) </w:t>
      </w:r>
      <w:r w:rsidR="002E0582">
        <w:t>to interrogate the impact of UV radiation on bacterial pigmentation</w:t>
      </w:r>
      <w:r>
        <w:t xml:space="preserve">. The genome of strain DJPM01 is </w:t>
      </w:r>
      <w:r w:rsidR="00273892">
        <w:t xml:space="preserve">bioinformatically </w:t>
      </w:r>
      <w:r>
        <w:t xml:space="preserve">compared to genomes of globally-isolated </w:t>
      </w:r>
      <w:r>
        <w:rPr>
          <w:i/>
          <w:iCs/>
        </w:rPr>
        <w:t xml:space="preserve">Massilia </w:t>
      </w:r>
      <w:r>
        <w:t>spp., and mass spectrometry is utilized to characterize produced pigments</w:t>
      </w:r>
      <w:r w:rsidR="002E0582">
        <w:t xml:space="preserve"> with and without UV radiation</w:t>
      </w:r>
      <w:r w:rsidR="00E00E8A">
        <w:t xml:space="preserve"> exposure</w:t>
      </w:r>
      <w:r>
        <w:t xml:space="preserve">. </w:t>
      </w:r>
      <w:r w:rsidRPr="005312B5">
        <w:t>Chapter Three</w:t>
      </w:r>
      <w:r>
        <w:t xml:space="preserve"> utilizes a naturally occurring salinity and moisture gradient within the Fryxell basin to examine the role of salinity in shaping</w:t>
      </w:r>
      <w:r w:rsidR="00E00E8A">
        <w:t xml:space="preserve"> the MDV soil</w:t>
      </w:r>
      <w:r>
        <w:t xml:space="preserve"> microbial communities. Both amplicon and metagenomic sequencing are utilized to describe the environmental community, and a </w:t>
      </w:r>
      <w:r>
        <w:rPr>
          <w:i/>
          <w:iCs/>
        </w:rPr>
        <w:t xml:space="preserve">Gillisia </w:t>
      </w:r>
      <w:r w:rsidR="00EE0200">
        <w:t xml:space="preserve">sp. </w:t>
      </w:r>
      <w:r>
        <w:t xml:space="preserve">(strain FRX26) was isolated and grown at two salt concentrations to identify changes in both metabolite production and gene transcription. Finally, </w:t>
      </w:r>
      <w:r w:rsidRPr="005312B5">
        <w:t>Chapter Four</w:t>
      </w:r>
      <w:r>
        <w:t xml:space="preserve"> utilizes a strain of </w:t>
      </w:r>
      <w:r>
        <w:rPr>
          <w:i/>
          <w:iCs/>
        </w:rPr>
        <w:t xml:space="preserve">Shewanella </w:t>
      </w:r>
      <w:r>
        <w:t>previously isolated from Blood Falls</w:t>
      </w:r>
      <w:r w:rsidR="00EE0200">
        <w:t xml:space="preserve"> </w:t>
      </w:r>
      <w:r>
        <w:t>to identify soluble, volatile, and mineral biosignatures associated with dissimilatory iron reduction. Instrumentation relevant to extraterrestrial missions was used to evaluate the potential signatures and then validated with traditional molecular microbiological methods. In summary, this dissertation describes specific ecologically and astrobiologically relevant microbial adaptations and responses in the cryosphere. These chapters each highlight the utility of cultivatable environmental bacterial isolates in interrogating questions about past, present, and future ecology</w:t>
      </w:r>
      <w:r w:rsidR="00EE0200">
        <w:t xml:space="preserve"> of Earth and other planets</w:t>
      </w:r>
      <w:r>
        <w:t>.</w:t>
      </w:r>
      <w:r w:rsidR="0035669B">
        <w:br w:type="page"/>
      </w:r>
    </w:p>
    <w:p w14:paraId="493BD9FE" w14:textId="157F3F53" w:rsidR="00196ABD" w:rsidRPr="009227F8" w:rsidRDefault="00196ABD" w:rsidP="00562BA2">
      <w:pPr>
        <w:pStyle w:val="Heading2"/>
      </w:pPr>
      <w:bookmarkStart w:id="102" w:name="_Toc196256863"/>
      <w:r>
        <w:lastRenderedPageBreak/>
        <w:t>References</w:t>
      </w:r>
      <w:bookmarkEnd w:id="102"/>
    </w:p>
    <w:p w14:paraId="1826D478" w14:textId="77777777" w:rsidR="00196ABD" w:rsidRDefault="00196ABD" w:rsidP="00562BA2">
      <w:pPr>
        <w:pStyle w:val="Rerences"/>
      </w:pPr>
      <w:r>
        <w:t xml:space="preserve">Aanderud, Z. T., Saurey, S., Ball, B. A., Wall, D. H., Barrett, J. E., Muscarella, M. E., et al. (2018). Stoichiometric Shifts in Soil C:N:P Promote Bacterial Taxa Dominance, Maintain Biodiversity, and Deconstruct Community Assemblages. </w:t>
      </w:r>
      <w:r>
        <w:rPr>
          <w:i/>
          <w:iCs/>
        </w:rPr>
        <w:t>Front. Microbiol.</w:t>
      </w:r>
      <w:r>
        <w:t xml:space="preserve"> 9. doi: 10.3389/fmicb.2018.01401</w:t>
      </w:r>
    </w:p>
    <w:p w14:paraId="24B1C85A" w14:textId="77777777" w:rsidR="00196ABD" w:rsidRDefault="00196ABD" w:rsidP="00562BA2">
      <w:pPr>
        <w:pStyle w:val="Rerences"/>
      </w:pPr>
      <w:r>
        <w:t xml:space="preserve">Abbott, C., and Pearce, D. A. (2020). “Antarctic Bacteria as Astrobiological Models,” in </w:t>
      </w:r>
      <w:r>
        <w:rPr>
          <w:i/>
          <w:iCs/>
        </w:rPr>
        <w:t>Extremophiles as Astrobiological Models</w:t>
      </w:r>
      <w:r>
        <w:t>, (John Wiley &amp; Sons, Ltd), 137–159. doi: 10.1002/9781119593096.ch6</w:t>
      </w:r>
    </w:p>
    <w:p w14:paraId="535FE67B" w14:textId="77777777" w:rsidR="00196ABD" w:rsidRDefault="00196ABD" w:rsidP="00562BA2">
      <w:pPr>
        <w:pStyle w:val="Rerences"/>
      </w:pPr>
      <w:r>
        <w:t xml:space="preserve">Adams, B. J., Bardgett, R. D., Ayres, E., Wall, D. H., Aislabie, J., Bamforth, S., et al. (2006). Diversity and distribution of Victoria Land biota. </w:t>
      </w:r>
      <w:r>
        <w:rPr>
          <w:i/>
          <w:iCs/>
        </w:rPr>
        <w:t>Soil Biology and Biochemistry</w:t>
      </w:r>
      <w:r>
        <w:t xml:space="preserve"> 38, 3003–3018. doi: 10.1016/j.soilbio.2006.04.030</w:t>
      </w:r>
    </w:p>
    <w:p w14:paraId="2119E8F5" w14:textId="77777777" w:rsidR="00196ABD" w:rsidRDefault="00196ABD" w:rsidP="00562BA2">
      <w:pPr>
        <w:pStyle w:val="Rerences"/>
      </w:pPr>
      <w:r>
        <w:t xml:space="preserve">Andriuzzi, W. S., Adams, B. J., Barrett, J. E., Virginia, R. A., and Wall, D. H. (2018). Observed trends of soil fauna in the Antarctic Dry Valleys: early signs of shifts predicted under climate change. </w:t>
      </w:r>
      <w:r>
        <w:rPr>
          <w:i/>
          <w:iCs/>
        </w:rPr>
        <w:t>Ecology</w:t>
      </w:r>
      <w:r>
        <w:t xml:space="preserve"> 99, 312–321. doi: https://doi.org/10.1002/ecy.2090</w:t>
      </w:r>
    </w:p>
    <w:p w14:paraId="7A0AC489" w14:textId="77777777" w:rsidR="00196ABD" w:rsidRDefault="00196ABD" w:rsidP="00562BA2">
      <w:pPr>
        <w:pStyle w:val="Rerences"/>
      </w:pPr>
      <w:r>
        <w:t xml:space="preserve">Arnold, H., Liuzzo, L., and Simon, S. (2019). Magnetic Signatures of a Plume at Europa During the Galileo E26 Flyby. </w:t>
      </w:r>
      <w:r>
        <w:rPr>
          <w:i/>
          <w:iCs/>
        </w:rPr>
        <w:t>Geophysical Research Letters</w:t>
      </w:r>
      <w:r>
        <w:t xml:space="preserve"> 46, 1149–1157. doi: 10.1029/2018GL081544</w:t>
      </w:r>
    </w:p>
    <w:p w14:paraId="0A22AB31" w14:textId="77777777" w:rsidR="00196ABD" w:rsidRDefault="00196ABD" w:rsidP="00562BA2">
      <w:pPr>
        <w:pStyle w:val="Rerences"/>
      </w:pPr>
      <w:r>
        <w:t xml:space="preserve">Badgeley, J. A., Pettit, E. C., Carr, C. G., Tulaczyk, S., Mikucki, J. A., Lyons, W. B., et al. (2017). An englacial hydrologic system of brine within a cold glacier: Blood Falls, McMurdo Dry Valleys, Antarctica. </w:t>
      </w:r>
      <w:r>
        <w:rPr>
          <w:i/>
          <w:iCs/>
        </w:rPr>
        <w:t>J. Glaciol.</w:t>
      </w:r>
      <w:r>
        <w:t xml:space="preserve"> 63, 387–400. doi: 10.1017/jog.2017.16</w:t>
      </w:r>
    </w:p>
    <w:p w14:paraId="6F0E2E2C" w14:textId="77777777" w:rsidR="00196ABD" w:rsidRDefault="00196ABD" w:rsidP="00562BA2">
      <w:pPr>
        <w:pStyle w:val="Rerences"/>
      </w:pPr>
      <w:r>
        <w:t xml:space="preserve">Ball, B. A., Adams, B. J., Barrett, J. E., Wall, D. H., and Virginia, R. A. (2018). Soil biological responses to C, N and P fertilization in a polar desert of Antarctica. </w:t>
      </w:r>
      <w:r>
        <w:rPr>
          <w:i/>
          <w:iCs/>
        </w:rPr>
        <w:t>Soil Biology and Biochemistry</w:t>
      </w:r>
      <w:r>
        <w:t xml:space="preserve"> 122, 7–18. doi: 10.1016/j.soilbio.2018.03.025</w:t>
      </w:r>
    </w:p>
    <w:p w14:paraId="0E0E30BE" w14:textId="77777777" w:rsidR="00196ABD" w:rsidRDefault="00196ABD" w:rsidP="00562BA2">
      <w:pPr>
        <w:pStyle w:val="Rerences"/>
      </w:pPr>
      <w:r>
        <w:t xml:space="preserve">Ball, B. A., Barrett, J. E., Gooseff, M. N., Virginia, R. A., and Wall, D. H. (2011). Implications of meltwater pulse events for soil biology and biogeochemical cycling in a polar desert. </w:t>
      </w:r>
      <w:r>
        <w:rPr>
          <w:i/>
          <w:iCs/>
        </w:rPr>
        <w:t>Polar Research</w:t>
      </w:r>
      <w:r>
        <w:t xml:space="preserve"> 30, 14555. doi: 10.3402/polar.v30i0.14555</w:t>
      </w:r>
    </w:p>
    <w:p w14:paraId="5170AC15" w14:textId="77777777" w:rsidR="00196ABD" w:rsidRDefault="00196ABD" w:rsidP="00562BA2">
      <w:pPr>
        <w:pStyle w:val="Rerences"/>
      </w:pPr>
      <w:r>
        <w:lastRenderedPageBreak/>
        <w:t xml:space="preserve">Ball, B. A., and Virginia, R. A. (2012). Meltwater seep patches increase heterogeneity of soil geochemistry and therefore habitat suitability. </w:t>
      </w:r>
      <w:r>
        <w:rPr>
          <w:i/>
          <w:iCs/>
        </w:rPr>
        <w:t>Geoderma</w:t>
      </w:r>
      <w:r>
        <w:t xml:space="preserve"> 189–190, 652–660. doi: 10.1016/j.geoderma.2012.06.028</w:t>
      </w:r>
    </w:p>
    <w:p w14:paraId="6A869145" w14:textId="77777777" w:rsidR="00196ABD" w:rsidRDefault="00196ABD" w:rsidP="00562BA2">
      <w:pPr>
        <w:pStyle w:val="Rerences"/>
      </w:pPr>
      <w:r>
        <w:t xml:space="preserve">Bardgett, R. D., and Caruso, T. (2020). Soil microbial community responses to climate extremes: resistance, resilience and transitions to alternative states. </w:t>
      </w:r>
      <w:r>
        <w:rPr>
          <w:i/>
          <w:iCs/>
        </w:rPr>
        <w:t>Philosophical Transactions of the Royal Society B: Biological Sciences</w:t>
      </w:r>
      <w:r>
        <w:t xml:space="preserve"> 375, 20190112. doi: 10.1098/rstb.2019.0112</w:t>
      </w:r>
    </w:p>
    <w:p w14:paraId="477FF6A2" w14:textId="77777777" w:rsidR="00196ABD" w:rsidRDefault="00196ABD" w:rsidP="00562BA2">
      <w:pPr>
        <w:pStyle w:val="Rerences"/>
      </w:pPr>
      <w:r>
        <w:t xml:space="preserve">Barrett, J. E., Adams, B. J., Doran, P. T., Dugan, H. A., Myers, K. F., Salvatore, M. R., et al. (2024). Response of a Terrestrial Polar Ecosystem to the March 2022 Antarctic Weather Anomaly. </w:t>
      </w:r>
      <w:r>
        <w:rPr>
          <w:i/>
          <w:iCs/>
        </w:rPr>
        <w:t>Earth’s Future</w:t>
      </w:r>
      <w:r>
        <w:t xml:space="preserve"> 12, e2023EF004306. doi: 10.1029/2023EF004306</w:t>
      </w:r>
    </w:p>
    <w:p w14:paraId="13257447" w14:textId="77777777" w:rsidR="00196ABD" w:rsidRDefault="00196ABD" w:rsidP="00562BA2">
      <w:pPr>
        <w:pStyle w:val="Rerences"/>
      </w:pPr>
      <w:r>
        <w:t xml:space="preserve">Barrett, J. E., Virginia, R. A., Parsons, A. N., and Wall, D. H. (2006). Soil carbon turnover in the McMurdo Dry Valleys, Antarctica. </w:t>
      </w:r>
      <w:r>
        <w:rPr>
          <w:i/>
          <w:iCs/>
        </w:rPr>
        <w:t>Soil Biology and Biochemistry</w:t>
      </w:r>
      <w:r>
        <w:t xml:space="preserve"> 38, 3065–3082. doi: 10.1016/j.soilbio.2006.03.025</w:t>
      </w:r>
    </w:p>
    <w:p w14:paraId="1EEA8FF4" w14:textId="77777777" w:rsidR="00196ABD" w:rsidRDefault="00196ABD" w:rsidP="00562BA2">
      <w:pPr>
        <w:pStyle w:val="Rerences"/>
      </w:pPr>
      <w:r>
        <w:t xml:space="preserve">Biemann, K., Oro, J., Toulmin III, P., Orgel, L. E., Nier, A. O., Anderson, D. M., et al. (1977). The search for organic substances and inorganic volatile compounds in the surface of Mars. </w:t>
      </w:r>
      <w:r>
        <w:rPr>
          <w:i/>
          <w:iCs/>
        </w:rPr>
        <w:t>Journal of Geophysical Research (1896-1977)</w:t>
      </w:r>
      <w:r>
        <w:t xml:space="preserve"> 82, 4641–4658. doi: 10.1029/JS082i028p04641</w:t>
      </w:r>
    </w:p>
    <w:p w14:paraId="27A1340C" w14:textId="77777777" w:rsidR="00196ABD" w:rsidRDefault="00196ABD" w:rsidP="00562BA2">
      <w:pPr>
        <w:pStyle w:val="Rerences"/>
      </w:pPr>
      <w:r>
        <w:t xml:space="preserve">Bockheim, J. G. (2002). Landform and Soil Development in the McMurdo Dry Valleys, Antarctica: A Regional Synthesis. </w:t>
      </w:r>
      <w:r>
        <w:rPr>
          <w:i/>
          <w:iCs/>
        </w:rPr>
        <w:t>Arctic, Antarctic, and Alpine Research</w:t>
      </w:r>
      <w:r>
        <w:t xml:space="preserve"> 34, 308–317. doi: 10.1080/15230430.2002.12003499</w:t>
      </w:r>
    </w:p>
    <w:p w14:paraId="6E5670DF" w14:textId="77777777" w:rsidR="00196ABD" w:rsidRDefault="00196ABD" w:rsidP="00562BA2">
      <w:pPr>
        <w:pStyle w:val="Rerences"/>
      </w:pPr>
      <w:r>
        <w:t xml:space="preserve">Bockheim, J. G., Campbell, I. B., and McLeod, M. (2007). Permafrost distribution and active-layer depths in the McMurdo Dry Valleys, Antarctica. </w:t>
      </w:r>
      <w:r>
        <w:rPr>
          <w:i/>
          <w:iCs/>
        </w:rPr>
        <w:t>Permafrost and Periglacial Processes</w:t>
      </w:r>
      <w:r>
        <w:t xml:space="preserve"> 18, 217–227. doi: 10.1002/ppp.588</w:t>
      </w:r>
    </w:p>
    <w:p w14:paraId="053503EA" w14:textId="77777777" w:rsidR="00196ABD" w:rsidRDefault="00196ABD" w:rsidP="00562BA2">
      <w:pPr>
        <w:pStyle w:val="Rerences"/>
      </w:pPr>
      <w:r>
        <w:t xml:space="preserve">Bockheim, J. G., Prentice ,M. L., and and McLeod, M. (2008). Distribution of Glacial Deposits, Soils, and Permafrost in Taylor Valley, Antarctica. </w:t>
      </w:r>
      <w:r>
        <w:rPr>
          <w:i/>
          <w:iCs/>
        </w:rPr>
        <w:t>Arctic, Antarctic, and Alpine Research</w:t>
      </w:r>
      <w:r>
        <w:t xml:space="preserve"> 40, 279–286. doi: 10.1657/1523-0430(06-057)[BOCKHEIM]2.0.CO;2</w:t>
      </w:r>
    </w:p>
    <w:p w14:paraId="5DE3E6DF" w14:textId="77777777" w:rsidR="00196ABD" w:rsidRDefault="00196ABD" w:rsidP="00562BA2">
      <w:pPr>
        <w:pStyle w:val="Rerences"/>
      </w:pPr>
      <w:r>
        <w:lastRenderedPageBreak/>
        <w:t xml:space="preserve">Boetius, A., Anesio, A. M., Deming, J. W., Mikucki, J. A., and Rapp, J. Z. (2015). Microbial ecology of the cryosphere: sea ice and glacial habitats. </w:t>
      </w:r>
      <w:r>
        <w:rPr>
          <w:i/>
          <w:iCs/>
        </w:rPr>
        <w:t>Nature Reviews Microbiology</w:t>
      </w:r>
      <w:r>
        <w:t xml:space="preserve"> 13, 677–690. doi: 10.1038/nrmicro3522</w:t>
      </w:r>
    </w:p>
    <w:p w14:paraId="0B1CE211" w14:textId="77777777" w:rsidR="00196ABD" w:rsidRDefault="00196ABD" w:rsidP="00562BA2">
      <w:pPr>
        <w:pStyle w:val="Rerences"/>
      </w:pPr>
      <w:r>
        <w:t xml:space="preserve">Bottos, E. M., Laughlin, D. C., Herbold, C. W., Lee, C. K., McDonald, I. R., and Cary, S. C. (2020). Abiotic factors influence patterns of bacterial diversity and community composition in the Dry Valleys of Antarctica. </w:t>
      </w:r>
      <w:r>
        <w:rPr>
          <w:i/>
          <w:iCs/>
        </w:rPr>
        <w:t>FEMS Microbiology Ecology</w:t>
      </w:r>
      <w:r>
        <w:t xml:space="preserve"> 96, fiaa042. doi: 10.1093/femsec/fiaa042</w:t>
      </w:r>
    </w:p>
    <w:p w14:paraId="6E194C9D" w14:textId="77777777" w:rsidR="00196ABD" w:rsidRDefault="00196ABD" w:rsidP="00562BA2">
      <w:pPr>
        <w:pStyle w:val="Rerences"/>
      </w:pPr>
      <w:r>
        <w:t xml:space="preserve">Buelow, H. N., Winter, A. S., Van Horn, D. J., Barrett, J. E., Gooseff, M. N., Schwartz, E., et al. (2016). Microbial Community Responses to Increased Water and Organic Matter in the Arid Soils of the McMurdo Dry Valleys, Antarctica. </w:t>
      </w:r>
      <w:r>
        <w:rPr>
          <w:i/>
          <w:iCs/>
        </w:rPr>
        <w:t>Front. Microbiol.</w:t>
      </w:r>
      <w:r>
        <w:t xml:space="preserve"> 7. doi: 10.3389/fmicb.2016.01040</w:t>
      </w:r>
    </w:p>
    <w:p w14:paraId="5B9D03D7" w14:textId="77777777" w:rsidR="00196ABD" w:rsidRDefault="00196ABD" w:rsidP="00562BA2">
      <w:pPr>
        <w:pStyle w:val="Rerences"/>
      </w:pPr>
      <w:r>
        <w:t xml:space="preserve">Cameron, R. E., Honour, R. C., and Morelli, F. A. (1976). “Antarctic Microbiology - Preparation for Mars Life Detection, Quarantine, and Back Contamination,” in </w:t>
      </w:r>
      <w:r>
        <w:rPr>
          <w:i/>
          <w:iCs/>
        </w:rPr>
        <w:t>Extreme Environments: Mechanisms of Microbial Adaptation</w:t>
      </w:r>
      <w:r>
        <w:t>, (New York, NY: Academic Press), 57–82.</w:t>
      </w:r>
    </w:p>
    <w:p w14:paraId="31A94305" w14:textId="77777777" w:rsidR="00196ABD" w:rsidRDefault="00196ABD" w:rsidP="00562BA2">
      <w:pPr>
        <w:pStyle w:val="Rerences"/>
      </w:pPr>
      <w:r>
        <w:t xml:space="preserve">Cameron, R. E., King, J., and David, C. N. (1970). SOIL MICROBIAL ECOLOGY OF WHEELER VALLEY, ANTARCTICA. </w:t>
      </w:r>
      <w:r>
        <w:rPr>
          <w:i/>
          <w:iCs/>
        </w:rPr>
        <w:t>Soil Science</w:t>
      </w:r>
      <w:r>
        <w:t xml:space="preserve"> 109, 110.</w:t>
      </w:r>
    </w:p>
    <w:p w14:paraId="457CF095" w14:textId="77777777" w:rsidR="00196ABD" w:rsidRDefault="00196ABD" w:rsidP="00562BA2">
      <w:pPr>
        <w:pStyle w:val="Rerences"/>
      </w:pPr>
      <w:r>
        <w:t xml:space="preserve">Campen, R., Kowalski, J., Lyons, W. B., Tulaczyk, S., Dachwald, B., Pettit, E., et al. (2019). Microbial diversity of an Antarctic subglacial community and high‐resolution replicate sampling inform hydrological connectivity in a polar desert. </w:t>
      </w:r>
      <w:r>
        <w:rPr>
          <w:i/>
          <w:iCs/>
        </w:rPr>
        <w:t>Environ. Microbiol.</w:t>
      </w:r>
      <w:r>
        <w:t>, 1462-2920.14607. doi: 10.1111/1462-2920.14607</w:t>
      </w:r>
    </w:p>
    <w:p w14:paraId="65264ED5" w14:textId="77777777" w:rsidR="00196ABD" w:rsidRDefault="00196ABD" w:rsidP="00562BA2">
      <w:pPr>
        <w:pStyle w:val="Rerences"/>
      </w:pPr>
      <w:r>
        <w:t xml:space="preserve">Cary, S. C., McDonald, I. R., Barrett, J. E., and Cowan, D. A. (2010). On the rocks: the microbiology of Antarctic Dry Valley soils. </w:t>
      </w:r>
      <w:r>
        <w:rPr>
          <w:i/>
          <w:iCs/>
        </w:rPr>
        <w:t>Nature Reviews Microbiology</w:t>
      </w:r>
      <w:r>
        <w:t xml:space="preserve"> 8, 129–138. doi: 10.1038/nrmicro2281</w:t>
      </w:r>
    </w:p>
    <w:p w14:paraId="09AB1EE5" w14:textId="77777777" w:rsidR="00196ABD" w:rsidRDefault="00196ABD" w:rsidP="00562BA2">
      <w:pPr>
        <w:pStyle w:val="Rerences"/>
      </w:pPr>
      <w:r>
        <w:t xml:space="preserve">Cassaro, A., Pacelli, C., Aureli, L., Catanzaro, I., Leo, P., and Onofri, S. (2021). Antarctica as a reservoir of planetary analogue environments. </w:t>
      </w:r>
      <w:r>
        <w:rPr>
          <w:i/>
          <w:iCs/>
        </w:rPr>
        <w:t>Extremophiles</w:t>
      </w:r>
      <w:r>
        <w:t xml:space="preserve"> 25, 437–458. doi: 10.1007/s00792-021-01245-w</w:t>
      </w:r>
    </w:p>
    <w:p w14:paraId="04CCDEAF" w14:textId="77777777" w:rsidR="00196ABD" w:rsidRDefault="00196ABD" w:rsidP="00562BA2">
      <w:pPr>
        <w:pStyle w:val="Rerences"/>
      </w:pPr>
      <w:r>
        <w:lastRenderedPageBreak/>
        <w:t xml:space="preserve">Castenholz, R. W., and Garcia-Pichel, F. (2012). “Cyanobacterial Responses to UV Radiation,” in </w:t>
      </w:r>
      <w:r>
        <w:rPr>
          <w:i/>
          <w:iCs/>
        </w:rPr>
        <w:t>Ecology of Cyanobacteria II</w:t>
      </w:r>
      <w:r>
        <w:t>, ed. B. A. Whitton (Dordrecht: Springer Netherlands), 481–499. doi: 10.1007/978-94-007-3855-3_19</w:t>
      </w:r>
    </w:p>
    <w:p w14:paraId="648BDDA1" w14:textId="77777777" w:rsidR="00196ABD" w:rsidRDefault="00196ABD" w:rsidP="00562BA2">
      <w:pPr>
        <w:pStyle w:val="Rerences"/>
      </w:pPr>
      <w:r>
        <w:t xml:space="preserve">Chang, W.-S., van de Mortel, M., Nielsen, L., Nino de Guzman, G., Li, X., and Halverson, L. J. (2007). Alginate Production by </w:t>
      </w:r>
      <w:r>
        <w:rPr>
          <w:i/>
          <w:iCs/>
        </w:rPr>
        <w:t>Pseudomonas putida</w:t>
      </w:r>
      <w:r>
        <w:t xml:space="preserve"> Creates a Hydrated Microenvironment and Contributes to Biofilm Architecture and Stress Tolerance under Water-Limiting Conditions. </w:t>
      </w:r>
      <w:r>
        <w:rPr>
          <w:i/>
          <w:iCs/>
        </w:rPr>
        <w:t>Journal of Bacteriology</w:t>
      </w:r>
      <w:r>
        <w:t xml:space="preserve"> 189, 8290–8299. doi: 10.1128/jb.00727-07</w:t>
      </w:r>
    </w:p>
    <w:p w14:paraId="64C2487F" w14:textId="77777777" w:rsidR="00196ABD" w:rsidRDefault="00196ABD" w:rsidP="00562BA2">
      <w:pPr>
        <w:pStyle w:val="Rerences"/>
      </w:pPr>
      <w:r>
        <w:t xml:space="preserve">Chattopadhyay, M., and Jagannadham, M. (2001). Maintenance of membrane fluidity in Antarctic bacteria. </w:t>
      </w:r>
      <w:r>
        <w:rPr>
          <w:i/>
          <w:iCs/>
        </w:rPr>
        <w:t>Polar Biology</w:t>
      </w:r>
      <w:r>
        <w:t xml:space="preserve"> 24, 386–388. doi: 10.1007/s003000100232</w:t>
      </w:r>
    </w:p>
    <w:p w14:paraId="0C641644" w14:textId="77777777" w:rsidR="00196ABD" w:rsidRDefault="00196ABD" w:rsidP="00562BA2">
      <w:pPr>
        <w:pStyle w:val="Rerences"/>
      </w:pPr>
      <w:r>
        <w:t>Chown, S., Leihy, R., Naish, T., Brooks, C., Convey, P., Henly, B., et al. (2022). Antarctic Climate Change and the Environment: A Decadal Synopsis and Recommendations for Action. Cambridge, UK: Scientific Committee on Antarctic Research. Available at: www.scar.org</w:t>
      </w:r>
    </w:p>
    <w:p w14:paraId="76B6F848" w14:textId="77777777" w:rsidR="00196ABD" w:rsidRDefault="00196ABD" w:rsidP="00562BA2">
      <w:pPr>
        <w:pStyle w:val="Rerences"/>
      </w:pPr>
      <w:r>
        <w:t xml:space="preserve">Davila, A. F., and Schulze-Makuch, D. (2016). The Last Possible Outposts for Life on Mars. </w:t>
      </w:r>
      <w:r>
        <w:rPr>
          <w:i/>
          <w:iCs/>
        </w:rPr>
        <w:t>Astrobiology</w:t>
      </w:r>
      <w:r>
        <w:t xml:space="preserve"> 16, 159–168. doi: 10.1089/ast.2015.1380</w:t>
      </w:r>
    </w:p>
    <w:p w14:paraId="645FCA3B" w14:textId="77777777" w:rsidR="00196ABD" w:rsidRDefault="00196ABD" w:rsidP="00562BA2">
      <w:pPr>
        <w:pStyle w:val="Rerences"/>
      </w:pPr>
      <w:r>
        <w:t xml:space="preserve">De Maayer, P., Anderson, D., Cary, C., and Cowan, D. A. (2014). Some like it cold: understanding the survival strategies of psychrophiles. </w:t>
      </w:r>
      <w:r>
        <w:rPr>
          <w:i/>
          <w:iCs/>
        </w:rPr>
        <w:t>EMBO Rep</w:t>
      </w:r>
      <w:r>
        <w:t xml:space="preserve"> 15, 508–517. doi: 10.1002/embr.201338170</w:t>
      </w:r>
    </w:p>
    <w:p w14:paraId="49DE1ED0" w14:textId="77777777" w:rsidR="00196ABD" w:rsidRDefault="00196ABD" w:rsidP="00562BA2">
      <w:pPr>
        <w:pStyle w:val="Rerences"/>
      </w:pPr>
      <w:r>
        <w:t>Dickson, J. L., Head, J. W., Levy, J. S., and Marchant, D. R. (2013). Don Juan Pond, Antarctica: Near-surface CaCl</w:t>
      </w:r>
      <w:r>
        <w:rPr>
          <w:vertAlign w:val="subscript"/>
        </w:rPr>
        <w:t>2</w:t>
      </w:r>
      <w:r>
        <w:t xml:space="preserve">-brine feeding Earth’s most saline lake and implications for Mars. </w:t>
      </w:r>
      <w:r>
        <w:rPr>
          <w:i/>
          <w:iCs/>
        </w:rPr>
        <w:t>Scientific Reports</w:t>
      </w:r>
      <w:r>
        <w:t xml:space="preserve"> 3, 1166. doi: 10.1038/srep01166</w:t>
      </w:r>
    </w:p>
    <w:p w14:paraId="6950E22F" w14:textId="77777777" w:rsidR="00196ABD" w:rsidRDefault="00196ABD" w:rsidP="00562BA2">
      <w:pPr>
        <w:pStyle w:val="Rerences"/>
      </w:pPr>
      <w:r>
        <w:t xml:space="preserve">Dieser, M., Greenwood, M., and Foreman, C. M. (2010). Carotenoid Pigmentation in Antarctic Heterotrophic Bacteria as a Strategy to Withstand Environmental Stresses. </w:t>
      </w:r>
      <w:r>
        <w:rPr>
          <w:i/>
          <w:iCs/>
        </w:rPr>
        <w:t>Arctic, Antarctic, and Alpine Research</w:t>
      </w:r>
      <w:r>
        <w:t xml:space="preserve"> 42, 396–405. doi: 10.1657/1938-4246-42.4.396</w:t>
      </w:r>
    </w:p>
    <w:p w14:paraId="5F020FFF" w14:textId="77777777" w:rsidR="00196ABD" w:rsidRDefault="00196ABD" w:rsidP="00562BA2">
      <w:pPr>
        <w:pStyle w:val="Rerences"/>
      </w:pPr>
      <w:r>
        <w:t xml:space="preserve">Doran, P. T., Lyons, W. B., and McKnight, D. M. (2010). </w:t>
      </w:r>
      <w:r>
        <w:rPr>
          <w:i/>
          <w:iCs/>
        </w:rPr>
        <w:t>Life in Antarctic Deserts and other Cold Dry Environments: Astrobiological Analogs</w:t>
      </w:r>
      <w:r>
        <w:t>. Cambridge University Press.</w:t>
      </w:r>
    </w:p>
    <w:p w14:paraId="6D2C8B31" w14:textId="77777777" w:rsidR="00196ABD" w:rsidRDefault="00196ABD" w:rsidP="00562BA2">
      <w:pPr>
        <w:pStyle w:val="Rerences"/>
      </w:pPr>
      <w:r>
        <w:lastRenderedPageBreak/>
        <w:t xml:space="preserve">Dreesens, L., Lee, C., and Cary, S. (2014). The Distribution and Identity of Edaphic Fungi in the McMurdo Dry Valleys. </w:t>
      </w:r>
      <w:r>
        <w:rPr>
          <w:i/>
          <w:iCs/>
        </w:rPr>
        <w:t>Biology</w:t>
      </w:r>
      <w:r>
        <w:t xml:space="preserve"> 3, 466–483. doi: 10.3390/biology3030466</w:t>
      </w:r>
    </w:p>
    <w:p w14:paraId="60E4C3AB" w14:textId="77777777" w:rsidR="00196ABD" w:rsidRDefault="00196ABD" w:rsidP="00562BA2">
      <w:pPr>
        <w:pStyle w:val="Rerences"/>
      </w:pPr>
      <w:r>
        <w:t xml:space="preserve">Dugan, H. A., Doran, P. T., Grombacher, D., Auken, E., Bording, T., Foged, N., et al. (2022). Brief communication: The hidden labyrinth: deep groundwater in Wright Valley, Antarctica. </w:t>
      </w:r>
      <w:r>
        <w:rPr>
          <w:i/>
          <w:iCs/>
        </w:rPr>
        <w:t>The Cryosphere</w:t>
      </w:r>
      <w:r>
        <w:t xml:space="preserve"> 16, 4977–4983. doi: 10.5194/tc-16-4977-2022</w:t>
      </w:r>
    </w:p>
    <w:p w14:paraId="4333747A" w14:textId="77777777" w:rsidR="00196ABD" w:rsidRDefault="00196ABD" w:rsidP="00562BA2">
      <w:pPr>
        <w:pStyle w:val="Rerences"/>
      </w:pPr>
      <w:r>
        <w:t xml:space="preserve">Elston, D. P., and Bressler, S. L. (1981). “Magnetic Stratigraphy of DVDP Drill Cores and Late Cenozoic History of Taylor Valley, Transantarctic Mountains, Antarctica,” in </w:t>
      </w:r>
      <w:r>
        <w:rPr>
          <w:i/>
          <w:iCs/>
        </w:rPr>
        <w:t>Dry Valley Drilling Project</w:t>
      </w:r>
      <w:r>
        <w:t>, (American Geophysical Union (AGU)), 413–426. doi: 10.1029/AR033p0413</w:t>
      </w:r>
    </w:p>
    <w:p w14:paraId="280841BE" w14:textId="77777777" w:rsidR="00196ABD" w:rsidRDefault="00196ABD" w:rsidP="00562BA2">
      <w:pPr>
        <w:pStyle w:val="Rerences"/>
      </w:pPr>
      <w:r>
        <w:t xml:space="preserve">Feeser, K. L., Van Horn, D. J., Buelow, H. N., Colman, D. R., McHugh, T. A., Okie, J. G., et al. (2018). Local and Regional Scale Heterogeneity Drive Bacterial Community Diversity and Composition in a Polar Desert. </w:t>
      </w:r>
      <w:r>
        <w:rPr>
          <w:i/>
          <w:iCs/>
        </w:rPr>
        <w:t>Front. Microbiol.</w:t>
      </w:r>
      <w:r>
        <w:t xml:space="preserve"> 9. doi: 10.3389/fmicb.2018.01928</w:t>
      </w:r>
    </w:p>
    <w:p w14:paraId="6330A9DB" w14:textId="2A987DEE" w:rsidR="00205444" w:rsidRDefault="00205444" w:rsidP="00562BA2">
      <w:pPr>
        <w:pStyle w:val="Rerences"/>
      </w:pPr>
      <w:r w:rsidRPr="00205444">
        <w:t xml:space="preserve">Foreman, C. M., Wolf, C. F., and Priscu, J. C. (2004). Impact of Episodic Warming Events. </w:t>
      </w:r>
      <w:r w:rsidRPr="00173169">
        <w:rPr>
          <w:i/>
          <w:iCs/>
        </w:rPr>
        <w:t>Aquat Geochem</w:t>
      </w:r>
      <w:r w:rsidRPr="00205444">
        <w:t xml:space="preserve"> 10, 239–268. doi: 10.1007/s10498-004-2261-3</w:t>
      </w:r>
    </w:p>
    <w:p w14:paraId="5FCECC32" w14:textId="77777777" w:rsidR="00196ABD" w:rsidRDefault="00196ABD" w:rsidP="00562BA2">
      <w:pPr>
        <w:pStyle w:val="Rerences"/>
      </w:pPr>
      <w:r>
        <w:t xml:space="preserve">Fountain, A. G., Levy, J. S., Gooseff, M. N., and Van Horn, D. (2014). The McMurdo Dry Valleys: A landscape on the threshold of change. </w:t>
      </w:r>
      <w:r>
        <w:rPr>
          <w:i/>
          <w:iCs/>
        </w:rPr>
        <w:t>Geomorphology</w:t>
      </w:r>
      <w:r>
        <w:t xml:space="preserve"> 225, 25–35. doi: 10.1016/j.geomorph.2014.03.044</w:t>
      </w:r>
    </w:p>
    <w:p w14:paraId="0704FDE0" w14:textId="677E4B3A" w:rsidR="00AF0273" w:rsidRDefault="00AF0273" w:rsidP="00562BA2">
      <w:pPr>
        <w:pStyle w:val="Rerences"/>
      </w:pPr>
      <w:r w:rsidRPr="00AF0273">
        <w:t xml:space="preserve">Fountain, A. G., Lyons, W. B., Burkins, M. B., Dana, G. L., Doran, P. T., Lewis, K. J., et al. (1999). Physical Controls on the Taylor Valley Ecosystem, Antarctica. </w:t>
      </w:r>
      <w:r w:rsidRPr="00AF0273">
        <w:rPr>
          <w:i/>
          <w:iCs/>
        </w:rPr>
        <w:t>BioScience</w:t>
      </w:r>
      <w:r w:rsidRPr="00AF0273">
        <w:t xml:space="preserve"> 49, 961–971. doi: </w:t>
      </w:r>
      <w:hyperlink r:id="rId15" w:history="1">
        <w:r w:rsidRPr="00AF0273">
          <w:rPr>
            <w:rStyle w:val="Hyperlink"/>
            <w:rFonts w:ascii="Times New Roman" w:hAnsi="Times New Roman"/>
          </w:rPr>
          <w:t>10.1525/bisi.1999.49.12.961</w:t>
        </w:r>
      </w:hyperlink>
    </w:p>
    <w:p w14:paraId="1B7C8085" w14:textId="77777777" w:rsidR="00196ABD" w:rsidRDefault="00196ABD" w:rsidP="00562BA2">
      <w:pPr>
        <w:pStyle w:val="Rerences"/>
      </w:pPr>
      <w:r>
        <w:t xml:space="preserve">Fountain, A. G., Nylen, T. H., Monaghan, A., Basagic, H. J., and Bromwich, D. (2009). Snow in the McMurdo Dry Valleys, Antarctica. </w:t>
      </w:r>
      <w:r>
        <w:rPr>
          <w:i/>
          <w:iCs/>
        </w:rPr>
        <w:t>Int. J. Climatol.</w:t>
      </w:r>
      <w:r>
        <w:t>, n/a-n/a. doi: 10.1002/joc.1933</w:t>
      </w:r>
    </w:p>
    <w:p w14:paraId="125B2671" w14:textId="77777777" w:rsidR="00196ABD" w:rsidRDefault="00196ABD" w:rsidP="00562BA2">
      <w:pPr>
        <w:pStyle w:val="Rerences"/>
      </w:pPr>
      <w:r>
        <w:t xml:space="preserve">Fowler, G., and Levy, J. (2025). Winter warming of McMurdo Dry Valleys soils. </w:t>
      </w:r>
      <w:r>
        <w:rPr>
          <w:i/>
          <w:iCs/>
        </w:rPr>
        <w:t>Antarctic Science</w:t>
      </w:r>
      <w:r>
        <w:t xml:space="preserve"> 37, 49–66. doi: 10.1017/S0954102024000488</w:t>
      </w:r>
    </w:p>
    <w:p w14:paraId="0E0C1A09" w14:textId="77777777" w:rsidR="00605828" w:rsidRPr="00BB6824" w:rsidRDefault="00605828" w:rsidP="00562BA2">
      <w:pPr>
        <w:pStyle w:val="Rerences"/>
      </w:pPr>
      <w:r w:rsidRPr="00BB6824">
        <w:lastRenderedPageBreak/>
        <w:t xml:space="preserve">Giddings, L.-A., and Newman, D. J. (2015a). </w:t>
      </w:r>
      <w:r w:rsidRPr="00BB6824">
        <w:rPr>
          <w:i/>
          <w:iCs/>
        </w:rPr>
        <w:t>Bioactive Compounds from Extremophiles</w:t>
      </w:r>
      <w:r w:rsidRPr="00BB6824">
        <w:t xml:space="preserve">. Cham: Springer International Publishing. doi: </w:t>
      </w:r>
      <w:hyperlink r:id="rId16" w:history="1">
        <w:r w:rsidRPr="00BB6824">
          <w:rPr>
            <w:rStyle w:val="Hyperlink"/>
            <w:rFonts w:ascii="Times New Roman" w:hAnsi="Times New Roman"/>
          </w:rPr>
          <w:t>10.1007/978-3-319-14836-6</w:t>
        </w:r>
      </w:hyperlink>
    </w:p>
    <w:p w14:paraId="4DDE7266" w14:textId="77777777" w:rsidR="00196ABD" w:rsidRDefault="00196ABD" w:rsidP="00562BA2">
      <w:pPr>
        <w:pStyle w:val="Rerences"/>
      </w:pPr>
      <w:r>
        <w:t xml:space="preserve">Gooseff, M. N., Barrett, J. E., Adams, B. J., Doran, P. T., Fountain, A. G., Lyons, W. B., et al. (2017). Decadal ecosystem response to an anomalous melt season in a polar desert in Antarctica. </w:t>
      </w:r>
      <w:r>
        <w:rPr>
          <w:i/>
          <w:iCs/>
        </w:rPr>
        <w:t>Nat Ecol Evol</w:t>
      </w:r>
      <w:r>
        <w:t xml:space="preserve"> 1, 1334–1338. doi: 10.1038/s41559-017-0253-0</w:t>
      </w:r>
    </w:p>
    <w:p w14:paraId="69D7997B" w14:textId="77777777" w:rsidR="00196ABD" w:rsidRDefault="00196ABD" w:rsidP="00562BA2">
      <w:pPr>
        <w:pStyle w:val="Rerences"/>
      </w:pPr>
      <w:r>
        <w:t xml:space="preserve">Gooseff, M. N., McKnight, D. M., Doran, P., Fountain, A. G., and Lyons, W. B. (2011). Hydrological Connectivity of the Landscape of the McMurdo Dry Valleys, Antarctica. </w:t>
      </w:r>
      <w:r>
        <w:rPr>
          <w:i/>
          <w:iCs/>
        </w:rPr>
        <w:t>Geography Compass</w:t>
      </w:r>
      <w:r>
        <w:t xml:space="preserve"> 5, 666–681. doi: 10.1111/j.1749-8198.2011.00445.x</w:t>
      </w:r>
    </w:p>
    <w:p w14:paraId="0F27E924" w14:textId="77777777" w:rsidR="00196ABD" w:rsidRDefault="00196ABD" w:rsidP="00562BA2">
      <w:pPr>
        <w:pStyle w:val="Rerences"/>
      </w:pPr>
      <w:r>
        <w:t xml:space="preserve">Gough, R. V., Wong, J., Dickson, J. L., Levy, J. S., Head, J. W., Marchant, D. R., et al. (2017). Brine formation via deliquescence by salts found near Don Juan Pond, Antarctica: Laboratory experiments and field observational results. </w:t>
      </w:r>
      <w:r>
        <w:rPr>
          <w:i/>
          <w:iCs/>
        </w:rPr>
        <w:t>Earth and Planetary Science Letters</w:t>
      </w:r>
      <w:r>
        <w:t xml:space="preserve"> 476, 189–198. doi: 10.1016/j.epsl.2017.08.003</w:t>
      </w:r>
    </w:p>
    <w:p w14:paraId="0927BB4F" w14:textId="77777777" w:rsidR="00196ABD" w:rsidRDefault="00196ABD" w:rsidP="00562BA2">
      <w:pPr>
        <w:pStyle w:val="Rerences"/>
      </w:pPr>
      <w:r>
        <w:t xml:space="preserve">Griffiths, B. S., Bonkowski, M., Roy, J., and Ritz, K. (2001). Functional stability, substrate utilisation and biological indicators of soils following environmental impacts. </w:t>
      </w:r>
      <w:r>
        <w:rPr>
          <w:i/>
          <w:iCs/>
        </w:rPr>
        <w:t>Applied Soil Ecology</w:t>
      </w:r>
      <w:r>
        <w:t xml:space="preserve"> 16, 49–61. doi: 10.1016/S0929-1393(00)00081-0</w:t>
      </w:r>
    </w:p>
    <w:p w14:paraId="54498623" w14:textId="77777777" w:rsidR="00196ABD" w:rsidRDefault="00196ABD" w:rsidP="00562BA2">
      <w:pPr>
        <w:pStyle w:val="Rerences"/>
      </w:pPr>
      <w:r>
        <w:t xml:space="preserve">Gunde-Cimerman, N., Plemenitaš, A., and Oren, A. (2018). Strategies of adaptation of microorganisms of the three domains of life to high salt concentrations. </w:t>
      </w:r>
      <w:r>
        <w:rPr>
          <w:i/>
          <w:iCs/>
        </w:rPr>
        <w:t>FEMS Microbiology Reviews</w:t>
      </w:r>
      <w:r>
        <w:t xml:space="preserve"> 42, 353–375. doi: 10.1093/femsre/fuy009</w:t>
      </w:r>
    </w:p>
    <w:p w14:paraId="23ABCEA6" w14:textId="77777777" w:rsidR="00196ABD" w:rsidRDefault="00196ABD" w:rsidP="00562BA2">
      <w:pPr>
        <w:pStyle w:val="Rerences"/>
      </w:pPr>
      <w:r>
        <w:t xml:space="preserve">Hand, K. P., Sotin, C., Hayes, A., and Coustenis, A. (2020). On the Habitability and Future Exploration of Ocean Worlds. </w:t>
      </w:r>
      <w:r>
        <w:rPr>
          <w:i/>
          <w:iCs/>
        </w:rPr>
        <w:t>Space Sci Rev</w:t>
      </w:r>
      <w:r>
        <w:t xml:space="preserve"> 216, 95. doi: 10.1007/s11214-020-00713-7</w:t>
      </w:r>
    </w:p>
    <w:p w14:paraId="1123794B" w14:textId="77777777" w:rsidR="00196ABD" w:rsidRDefault="00196ABD" w:rsidP="00562BA2">
      <w:pPr>
        <w:pStyle w:val="Rerences"/>
      </w:pPr>
      <w:r>
        <w:t xml:space="preserve">Hansen, C. J., Esposito, L., Stewart, A. I. F., Colwell, J., Hendrix, A., Pryor, W., et al. (2006). Enceladus’ Water Vapor Plume. </w:t>
      </w:r>
      <w:r>
        <w:rPr>
          <w:i/>
          <w:iCs/>
        </w:rPr>
        <w:t>Science</w:t>
      </w:r>
      <w:r>
        <w:t xml:space="preserve"> 311, 1422–1425. doi: 10.1126/science.1121254</w:t>
      </w:r>
    </w:p>
    <w:p w14:paraId="18F0F48F" w14:textId="77777777" w:rsidR="00196ABD" w:rsidRDefault="00196ABD" w:rsidP="00562BA2">
      <w:pPr>
        <w:pStyle w:val="Rerences"/>
      </w:pPr>
      <w:r>
        <w:t xml:space="preserve">Hassan, N., Anesio, A. M., Rafiq, M., Holtvoeth, J., Bull, I., Haleem, A., et al. (2020). Temperature Driven Membrane Lipid Adaptation in Glacial Psychrophilic Bacteria. </w:t>
      </w:r>
      <w:r>
        <w:rPr>
          <w:i/>
          <w:iCs/>
        </w:rPr>
        <w:t>Front. Microbiol.</w:t>
      </w:r>
      <w:r>
        <w:t xml:space="preserve"> 11, 824. doi: 10.3389/fmicb.2020.00824</w:t>
      </w:r>
    </w:p>
    <w:p w14:paraId="6EE2E245" w14:textId="77777777" w:rsidR="00196ABD" w:rsidRDefault="00196ABD" w:rsidP="00562BA2">
      <w:pPr>
        <w:pStyle w:val="Rerences"/>
      </w:pPr>
      <w:r>
        <w:lastRenderedPageBreak/>
        <w:t xml:space="preserve">Heinz, J., Schirmack, J., Airo, A., Kounaves, S. P., and Schulze-Makuch, D. (2018). Enhanced Microbial Survivability in Subzero Brines. </w:t>
      </w:r>
      <w:r>
        <w:rPr>
          <w:i/>
          <w:iCs/>
        </w:rPr>
        <w:t>Astrobiology</w:t>
      </w:r>
      <w:r>
        <w:t xml:space="preserve"> 18, 1171–1180. doi: 10.1089/ast.2017.1805</w:t>
      </w:r>
    </w:p>
    <w:p w14:paraId="110F667B" w14:textId="77777777" w:rsidR="00196ABD" w:rsidRDefault="00196ABD" w:rsidP="00562BA2">
      <w:pPr>
        <w:pStyle w:val="Rerences"/>
      </w:pPr>
      <w:r>
        <w:t xml:space="preserve">Heinz, J., Waajen, A. C., Airo, A., Alibrandi, A., Schirmack, J., and Schulze-Makuch, D. (2019). Bacterial Growth in Chloride and Perchlorate Brines: Halotolerances and Salt Stress Responses of </w:t>
      </w:r>
      <w:r>
        <w:rPr>
          <w:i/>
          <w:iCs/>
        </w:rPr>
        <w:t>Planococcus halocryophilus</w:t>
      </w:r>
      <w:r>
        <w:t xml:space="preserve">. </w:t>
      </w:r>
      <w:r>
        <w:rPr>
          <w:i/>
          <w:iCs/>
        </w:rPr>
        <w:t>Astrobiology</w:t>
      </w:r>
      <w:r>
        <w:t xml:space="preserve"> 19, 1377–1387. doi: 10.1089/ast.2019.2069</w:t>
      </w:r>
    </w:p>
    <w:p w14:paraId="16DB4870" w14:textId="77777777" w:rsidR="00196ABD" w:rsidRDefault="00196ABD" w:rsidP="00562BA2">
      <w:pPr>
        <w:pStyle w:val="Rerences"/>
      </w:pPr>
      <w:r>
        <w:t xml:space="preserve">Hogg, I. D., Craig Cary, S., Convey, P., Newsham, K. K., O’Donnell, A. G., Adams, B. J., et al. (2006). Biotic interactions in Antarctic terrestrial ecosystems: Are they a factor? </w:t>
      </w:r>
      <w:r>
        <w:rPr>
          <w:i/>
          <w:iCs/>
        </w:rPr>
        <w:t>Soil Biology and Biochemistry</w:t>
      </w:r>
      <w:r>
        <w:t xml:space="preserve"> 38, 3035–3040. doi: 10.1016/j.soilbio.2006.04.026</w:t>
      </w:r>
    </w:p>
    <w:p w14:paraId="6730A6A3" w14:textId="77777777" w:rsidR="00196ABD" w:rsidRDefault="00196ABD" w:rsidP="00562BA2">
      <w:pPr>
        <w:pStyle w:val="Rerences"/>
      </w:pPr>
      <w:r>
        <w:t xml:space="preserve">IPCC (2022). </w:t>
      </w:r>
      <w:r>
        <w:rPr>
          <w:i/>
          <w:iCs/>
        </w:rPr>
        <w:t>The Ocean and Cryosphere in a Changing Climate: Special Report of the Intergovernmental Panel on Climate Change</w:t>
      </w:r>
      <w:r>
        <w:t>., 1st Edn. Cambridge University Press. doi: 10.1017/9781009157964</w:t>
      </w:r>
    </w:p>
    <w:p w14:paraId="5075B62C" w14:textId="77777777" w:rsidR="00196ABD" w:rsidRDefault="00196ABD" w:rsidP="00562BA2">
      <w:pPr>
        <w:pStyle w:val="Rerences"/>
      </w:pPr>
      <w:r>
        <w:t xml:space="preserve">Jagannadham, M. V., and Chowdhury, C. (2012). Differential expression of membrane proteins helps Antarctic </w:t>
      </w:r>
      <w:r>
        <w:rPr>
          <w:i/>
          <w:iCs/>
        </w:rPr>
        <w:t>Pseudomonas syringae</w:t>
      </w:r>
      <w:r>
        <w:t xml:space="preserve"> to acclimatize upon temperature variations. </w:t>
      </w:r>
      <w:r>
        <w:rPr>
          <w:i/>
          <w:iCs/>
        </w:rPr>
        <w:t>Journal of Proteomics</w:t>
      </w:r>
      <w:r>
        <w:t xml:space="preserve"> 75, 2488–2499. doi: 10.1016/j.jprot.2012.02.033</w:t>
      </w:r>
    </w:p>
    <w:p w14:paraId="4EDA9298" w14:textId="77777777" w:rsidR="00196ABD" w:rsidRDefault="00196ABD" w:rsidP="00562BA2">
      <w:pPr>
        <w:pStyle w:val="Rerences"/>
      </w:pPr>
      <w:r>
        <w:t xml:space="preserve">Jansson, J. K., and Hofmockel, K. S. (2020). Soil microbiomes and climate change. </w:t>
      </w:r>
      <w:r>
        <w:rPr>
          <w:i/>
          <w:iCs/>
        </w:rPr>
        <w:t>Nat Rev Microbiol</w:t>
      </w:r>
      <w:r>
        <w:t xml:space="preserve"> 18, 35–46. doi: 10.1038/s41579-019-0265-7</w:t>
      </w:r>
    </w:p>
    <w:p w14:paraId="3236BE8A" w14:textId="77777777" w:rsidR="00196ABD" w:rsidRDefault="00196ABD" w:rsidP="00562BA2">
      <w:pPr>
        <w:pStyle w:val="Rerences"/>
      </w:pPr>
      <w:r>
        <w:t xml:space="preserve">Jones, S. E., and Lennon, J. T. (2010). Dormancy contributes to the maintenance of microbial diversity. </w:t>
      </w:r>
      <w:r>
        <w:rPr>
          <w:i/>
          <w:iCs/>
        </w:rPr>
        <w:t>Proceedings of the National Academy of Sciences</w:t>
      </w:r>
      <w:r>
        <w:t xml:space="preserve"> 107, 5881–5886. doi: 10.1073/pnas.0912765107</w:t>
      </w:r>
    </w:p>
    <w:p w14:paraId="455671C5" w14:textId="7B228A0F" w:rsidR="00EB1136" w:rsidRDefault="00EB1136" w:rsidP="00562BA2">
      <w:pPr>
        <w:pStyle w:val="Rerences"/>
      </w:pPr>
      <w:r w:rsidRPr="00EB1136">
        <w:t xml:space="preserve">Levy, J. S., Fountain, A. G., Gooseff, M. N., Welch, K. A., and Lyons, W. B. (2011). Water tracks and permafrost in Taylor Valley, Antarctica: Extensive and shallow groundwater connectivity in a cold desert ecosystem. </w:t>
      </w:r>
      <w:r w:rsidRPr="00EB1136">
        <w:rPr>
          <w:i/>
          <w:iCs/>
        </w:rPr>
        <w:t>GSA Bulletin</w:t>
      </w:r>
      <w:r w:rsidRPr="00EB1136">
        <w:t xml:space="preserve"> 123, 2295–2311. doi: 10.1130/B30436.1</w:t>
      </w:r>
    </w:p>
    <w:p w14:paraId="79388E7E" w14:textId="77777777" w:rsidR="00196ABD" w:rsidRDefault="00196ABD" w:rsidP="00562BA2">
      <w:pPr>
        <w:pStyle w:val="Rerences"/>
      </w:pPr>
      <w:r>
        <w:t xml:space="preserve">Kawahara, H., Nakano, Y., Omiya, K., Muryoi, N., Nishikawa, J., and Obata, H. (2004). Production of two types of ice crystal-controlling proteins in Antarctic bacterium. </w:t>
      </w:r>
      <w:r>
        <w:rPr>
          <w:i/>
          <w:iCs/>
        </w:rPr>
        <w:lastRenderedPageBreak/>
        <w:t>Journal of Bioscience and Bioengineering</w:t>
      </w:r>
      <w:r>
        <w:t xml:space="preserve"> 98, 220–223. doi: 10.1016/S1389-1723(04)00271-3</w:t>
      </w:r>
    </w:p>
    <w:p w14:paraId="09BF7A3A" w14:textId="1EE52385" w:rsidR="00196ABD" w:rsidRDefault="00196ABD" w:rsidP="00562BA2">
      <w:pPr>
        <w:pStyle w:val="Rerences"/>
      </w:pPr>
      <w:r>
        <w:t xml:space="preserve">Kempf, B., and Bremer, E. (1998). Uptake and synthesis of compatible solutes as microbial stress responses to high-osmolality environments. </w:t>
      </w:r>
      <w:r>
        <w:rPr>
          <w:i/>
          <w:iCs/>
        </w:rPr>
        <w:t>Arch Microbiol</w:t>
      </w:r>
      <w:r>
        <w:t xml:space="preserve"> 170, 319–330. doi: 10.1007/s002030050649</w:t>
      </w:r>
    </w:p>
    <w:p w14:paraId="11C0BFB1" w14:textId="77777777" w:rsidR="00196ABD" w:rsidRDefault="00196ABD" w:rsidP="00562BA2">
      <w:pPr>
        <w:pStyle w:val="Rerences"/>
      </w:pPr>
      <w:r>
        <w:t xml:space="preserve">Kennicutt, M. C., Bromwich, D., Liggett, D., Njåstad, B., Peck, L., Rintoul, S. R., et al. (2019). Sustained Antarctic Research: A 21st Century Imperative. </w:t>
      </w:r>
      <w:r>
        <w:rPr>
          <w:i/>
          <w:iCs/>
        </w:rPr>
        <w:t>One Earth</w:t>
      </w:r>
      <w:r>
        <w:t xml:space="preserve"> 1, 95–113. doi: 10.1016/j.oneear.2019.08.014</w:t>
      </w:r>
    </w:p>
    <w:p w14:paraId="2A869AC1" w14:textId="77777777" w:rsidR="00196ABD" w:rsidRDefault="00196ABD" w:rsidP="00562BA2">
      <w:pPr>
        <w:pStyle w:val="Rerences"/>
      </w:pPr>
      <w:r>
        <w:t xml:space="preserve">Kennicutt, M. C., Chown, S. L., Cassano, J. J., Liggett, D., Massom, R., Peck, L. S., et al. (2014). Polar research: Six priorities for Antarctic science. </w:t>
      </w:r>
      <w:r>
        <w:rPr>
          <w:i/>
          <w:iCs/>
        </w:rPr>
        <w:t>Nature News</w:t>
      </w:r>
      <w:r>
        <w:t xml:space="preserve"> 512, 23. doi: 10.1038/512023a</w:t>
      </w:r>
    </w:p>
    <w:p w14:paraId="55506512" w14:textId="77777777" w:rsidR="00196ABD" w:rsidRDefault="00196ABD" w:rsidP="00562BA2">
      <w:pPr>
        <w:pStyle w:val="Rerences"/>
      </w:pPr>
      <w:r>
        <w:t xml:space="preserve">Knox, M. A., Andriuzzi, W. S., Buelow, H. N., Takacs-Vesbach, C., Adams, B. J., and Wall, D. H. (2017). Decoupled responses of soil bacteria and their invertebrate consumer to warming, but not freeze–thaw cycles, in the Antarctic Dry Valleys. </w:t>
      </w:r>
      <w:r>
        <w:rPr>
          <w:i/>
          <w:iCs/>
        </w:rPr>
        <w:t>Ecology Letters</w:t>
      </w:r>
      <w:r>
        <w:t xml:space="preserve"> 20, 1242–1249. doi: 10.1111/ele.12819</w:t>
      </w:r>
    </w:p>
    <w:p w14:paraId="08424E04" w14:textId="77777777" w:rsidR="00196ABD" w:rsidRDefault="00196ABD" w:rsidP="00562BA2">
      <w:pPr>
        <w:pStyle w:val="Rerences"/>
      </w:pPr>
      <w:r>
        <w:t xml:space="preserve">Lebre, P. H., De Maayer, P., and Cowan, D. A. (2017). Xerotolerant bacteria: surviving through a dry spell. </w:t>
      </w:r>
      <w:r>
        <w:rPr>
          <w:i/>
          <w:iCs/>
        </w:rPr>
        <w:t>Nat Rev Microbiol</w:t>
      </w:r>
      <w:r>
        <w:t xml:space="preserve"> 15, 285–296. doi: 10.1038/nrmicro.2017.16</w:t>
      </w:r>
    </w:p>
    <w:p w14:paraId="72B7A732" w14:textId="77777777" w:rsidR="00196ABD" w:rsidRDefault="00196ABD" w:rsidP="00562BA2">
      <w:pPr>
        <w:pStyle w:val="Rerences"/>
      </w:pPr>
      <w:r>
        <w:t xml:space="preserve">Lee, C. K., Barbier, B. A., Bottos, E. M., McDonald, I. R., and Cary, S. C. (2012). The Inter-Valley Soil Comparative Survey: the ecology of Dry Valley edaphic microbial communities. </w:t>
      </w:r>
      <w:r>
        <w:rPr>
          <w:i/>
          <w:iCs/>
        </w:rPr>
        <w:t>The ISME Journal</w:t>
      </w:r>
      <w:r>
        <w:t xml:space="preserve"> 6, 1046–1057. doi: 10.1038/ismej.2011.170</w:t>
      </w:r>
    </w:p>
    <w:p w14:paraId="0A962EC4" w14:textId="77777777" w:rsidR="00196ABD" w:rsidRDefault="00196ABD" w:rsidP="00562BA2">
      <w:pPr>
        <w:pStyle w:val="Rerences"/>
      </w:pPr>
      <w:r>
        <w:t xml:space="preserve">Lee, J. R., Raymond, B., Bracegirdle, T. J., Chadès, I., Fuller, R. A., Shaw, J. D., et al. (2017). Climate change drives expansion of Antarctic ice-free habitat. </w:t>
      </w:r>
      <w:r>
        <w:rPr>
          <w:i/>
          <w:iCs/>
        </w:rPr>
        <w:t>Nature</w:t>
      </w:r>
      <w:r>
        <w:t xml:space="preserve"> 547, 49–54. doi: 10.1038/nature22996</w:t>
      </w:r>
    </w:p>
    <w:p w14:paraId="3E8CC396" w14:textId="77777777" w:rsidR="00196ABD" w:rsidRDefault="00196ABD" w:rsidP="00562BA2">
      <w:pPr>
        <w:pStyle w:val="Rerences"/>
      </w:pPr>
      <w:r>
        <w:t xml:space="preserve">Lee, J. R., Waterman, M. J., Shaw, J. D., Bergstrom, D. M., Lynch, H. J., Wall, D. H., et al. (2022). Islands in the ice: Potential impacts of habitat transformation on Antarctic biodiversity. </w:t>
      </w:r>
      <w:r>
        <w:rPr>
          <w:i/>
          <w:iCs/>
        </w:rPr>
        <w:t>Global Change Biology</w:t>
      </w:r>
      <w:r>
        <w:t xml:space="preserve"> 28, 5865–5880. doi: 10.1111/gcb.16331</w:t>
      </w:r>
    </w:p>
    <w:p w14:paraId="393815AD" w14:textId="77777777" w:rsidR="00196ABD" w:rsidRDefault="00196ABD" w:rsidP="00562BA2">
      <w:pPr>
        <w:pStyle w:val="Rerences"/>
      </w:pPr>
      <w:r>
        <w:lastRenderedPageBreak/>
        <w:t xml:space="preserve">Levy, J. (2013). How big are the McMurdo Dry Valleys? Estimating ice-free area using Landsat image data. </w:t>
      </w:r>
      <w:r>
        <w:rPr>
          <w:i/>
          <w:iCs/>
        </w:rPr>
        <w:t>Antarctic Science</w:t>
      </w:r>
      <w:r>
        <w:t xml:space="preserve"> 25, 119–120. doi: 10.1017/S0954102012000727</w:t>
      </w:r>
    </w:p>
    <w:p w14:paraId="37A472ED" w14:textId="77777777" w:rsidR="00196ABD" w:rsidRDefault="00196ABD" w:rsidP="00562BA2">
      <w:pPr>
        <w:pStyle w:val="Rerences"/>
      </w:pPr>
      <w:r>
        <w:t xml:space="preserve">Levy, J. S., Fountain, A. G., Gooseff, M. N., Welch, K. A., and Lyons, W. B. (2011). Water tracks and permafrost in Taylor Valley, Antarctica: Extensive and shallow groundwater connectivity in a cold desert ecosystem. </w:t>
      </w:r>
      <w:r>
        <w:rPr>
          <w:i/>
          <w:iCs/>
        </w:rPr>
        <w:t>GSA Bulletin</w:t>
      </w:r>
      <w:r>
        <w:t xml:space="preserve"> 123, 2295–2311. doi: 10.1130/B30436.1</w:t>
      </w:r>
    </w:p>
    <w:p w14:paraId="3AD9C936" w14:textId="77777777" w:rsidR="00196ABD" w:rsidRDefault="00196ABD" w:rsidP="00562BA2">
      <w:pPr>
        <w:pStyle w:val="Rerences"/>
      </w:pPr>
      <w:r>
        <w:t xml:space="preserve">Marchant, D. R., and Head, J. W. (2007). Antarctic dry valleys: Microclimate zonation, variable geomorphic processes, and implications for assessing climate change on Mars. </w:t>
      </w:r>
      <w:r>
        <w:rPr>
          <w:i/>
          <w:iCs/>
        </w:rPr>
        <w:t>Icarus</w:t>
      </w:r>
      <w:r>
        <w:t xml:space="preserve"> 192, 187–222. doi: 10.1016/j.icarus.2007.06.018</w:t>
      </w:r>
    </w:p>
    <w:p w14:paraId="5008F1A9" w14:textId="77777777" w:rsidR="00196ABD" w:rsidRDefault="00196ABD" w:rsidP="00562BA2">
      <w:pPr>
        <w:pStyle w:val="Rerences"/>
      </w:pPr>
      <w:r>
        <w:t xml:space="preserve">Margesin, R., and Collins, T. (2019). Microbial ecology of the cryosphere (glacial and permafrost habitats): current knowledge. </w:t>
      </w:r>
      <w:r>
        <w:rPr>
          <w:i/>
          <w:iCs/>
        </w:rPr>
        <w:t>Appl Microbiol Biotechnol</w:t>
      </w:r>
      <w:r>
        <w:t xml:space="preserve"> 103, 2537–2549. doi: 10.1007/s00253-019-09631-3</w:t>
      </w:r>
    </w:p>
    <w:p w14:paraId="022BC075" w14:textId="77777777" w:rsidR="00196ABD" w:rsidRDefault="00196ABD" w:rsidP="00562BA2">
      <w:pPr>
        <w:pStyle w:val="Rerences"/>
      </w:pPr>
      <w:r>
        <w:t xml:space="preserve">Marizcurrena, J. J., Cerdá, M. F., Alem, D., and Castro-Sowinski, S. (2019). “Living with Pigments: The Colour Palette of Antarctic Life,” in </w:t>
      </w:r>
      <w:r>
        <w:rPr>
          <w:i/>
          <w:iCs/>
        </w:rPr>
        <w:t>The ecological role of micro-organisms in the Antarctic environment</w:t>
      </w:r>
      <w:r>
        <w:t>, ed. C. Sowinski (New York, NY: Springer Berlin Heidelberg), 65–82.</w:t>
      </w:r>
    </w:p>
    <w:p w14:paraId="6382F6BC" w14:textId="77777777" w:rsidR="00196ABD" w:rsidRDefault="00196ABD" w:rsidP="00562BA2">
      <w:pPr>
        <w:pStyle w:val="Rerences"/>
      </w:pPr>
      <w:r>
        <w:t xml:space="preserve">McKnight, D. M., Niyogi, D. K., Alger, A. S., Bomblies, A., Conovitz, P. A., and Tate, C. M. (1999). Dry Valley Streams in Antarctica: Ecosystems Waiting for Water. </w:t>
      </w:r>
      <w:r>
        <w:rPr>
          <w:i/>
          <w:iCs/>
        </w:rPr>
        <w:t>BioScience</w:t>
      </w:r>
      <w:r>
        <w:t xml:space="preserve"> 49, 985–995. doi: 10.1525/bisi.1999.49.12.985</w:t>
      </w:r>
    </w:p>
    <w:p w14:paraId="324066E9" w14:textId="77777777" w:rsidR="00196ABD" w:rsidRDefault="00196ABD" w:rsidP="00562BA2">
      <w:pPr>
        <w:pStyle w:val="Rerences"/>
      </w:pPr>
      <w:r>
        <w:t xml:space="preserve">McKnight, D. M., Tate, C. M., Andrews, E. D., Niyogi, D. K., Cozzetto, K., Welch, K., et al. (2007). Reactivation of a cryptobiotic stream ecosystem in the McMurdo Dry Valleys, Antarctica: A long-term geomorphological experiment. </w:t>
      </w:r>
      <w:r>
        <w:rPr>
          <w:i/>
          <w:iCs/>
        </w:rPr>
        <w:t>Geomorphology</w:t>
      </w:r>
      <w:r>
        <w:t xml:space="preserve"> 89, 186–204. doi: 10.1016/j.geomorph.2006.07.025</w:t>
      </w:r>
    </w:p>
    <w:p w14:paraId="2D0DC99B" w14:textId="77777777" w:rsidR="00196ABD" w:rsidRDefault="00196ABD" w:rsidP="00562BA2">
      <w:pPr>
        <w:pStyle w:val="Rerences"/>
      </w:pPr>
      <w:r>
        <w:t xml:space="preserve">Metpally, R., and Reddy, B. (2009). Comparative proteome analysis of psychrophilic versus mesophilic bacterial species: Insights into the molecular basis of cold adaptation of proteins. </w:t>
      </w:r>
      <w:r>
        <w:rPr>
          <w:i/>
          <w:iCs/>
        </w:rPr>
        <w:t>BMC Genomics</w:t>
      </w:r>
      <w:r>
        <w:t xml:space="preserve"> 10, 11. doi: 10.1186/1471-2164-10-11</w:t>
      </w:r>
    </w:p>
    <w:p w14:paraId="04FC1C4C" w14:textId="77777777" w:rsidR="00196ABD" w:rsidRDefault="00196ABD" w:rsidP="00562BA2">
      <w:pPr>
        <w:pStyle w:val="Rerences"/>
      </w:pPr>
      <w:r>
        <w:lastRenderedPageBreak/>
        <w:t xml:space="preserve">Michalski, J. R., Goudge, T. A., Crowe, S. A., Cuadros, J., Mustard, J. F., and Johnson, S. S. (2022). Geological diversity and microbiological potential of lakes on Mars. </w:t>
      </w:r>
      <w:r>
        <w:rPr>
          <w:i/>
          <w:iCs/>
        </w:rPr>
        <w:t>Nat Astron</w:t>
      </w:r>
      <w:r>
        <w:t xml:space="preserve"> 6, 1133–1141. doi: 10.1038/s41550-022-01743-7</w:t>
      </w:r>
    </w:p>
    <w:p w14:paraId="56D6530B" w14:textId="77777777" w:rsidR="00196ABD" w:rsidRDefault="00196ABD" w:rsidP="00562BA2">
      <w:pPr>
        <w:pStyle w:val="Rerences"/>
      </w:pPr>
      <w:r>
        <w:t xml:space="preserve">Mikucki, J. A., Auken, E., Tulaczyk, S., Virginia, R. A., Schamper, C., Sørensen, K. I., et al. (2015). Deep groundwater and potential subsurface habitats beneath an Antarctic dry valley. </w:t>
      </w:r>
      <w:r>
        <w:rPr>
          <w:i/>
          <w:iCs/>
        </w:rPr>
        <w:t>Nature Communications</w:t>
      </w:r>
      <w:r>
        <w:t xml:space="preserve"> 6, 6831. doi: 10.1038/ncomms7831</w:t>
      </w:r>
    </w:p>
    <w:p w14:paraId="773CB91D" w14:textId="77777777" w:rsidR="00196ABD" w:rsidRDefault="00196ABD" w:rsidP="00562BA2">
      <w:pPr>
        <w:pStyle w:val="Rerences"/>
      </w:pPr>
      <w:r>
        <w:t xml:space="preserve">Mikucki, J. A., Pearson, A., Johnston, D. T., Turchyn, A. V., Farquhar, J., Schrag, D. P., et al. (2009). A Contemporary Microbially Maintained Subglacial Ferrous “Ocean.” </w:t>
      </w:r>
      <w:r>
        <w:rPr>
          <w:i/>
          <w:iCs/>
        </w:rPr>
        <w:t>Science</w:t>
      </w:r>
      <w:r>
        <w:t xml:space="preserve"> 324, 397–400. doi: 10.1126/science.1167350</w:t>
      </w:r>
    </w:p>
    <w:p w14:paraId="6F9691DB" w14:textId="77777777" w:rsidR="00196ABD" w:rsidRDefault="00196ABD" w:rsidP="00562BA2">
      <w:pPr>
        <w:pStyle w:val="Rerences"/>
      </w:pPr>
      <w:r>
        <w:t xml:space="preserve">Mikucki, J., Lyons, W. B., Hawes, I., Lanoil, B. D., and Doran, P. T. (2010). “Saline lakes and ponds in the McMurdo Dry Valleys: ecological analogs to martian paleolake environments,” in </w:t>
      </w:r>
      <w:r>
        <w:rPr>
          <w:i/>
          <w:iCs/>
        </w:rPr>
        <w:t>Life in Antarctic Deserts and other Cold Dry Environments: Astrobiological Analogs</w:t>
      </w:r>
      <w:r>
        <w:t>, eds. P. T. Doran, W. B. Lyons, and D. M. McKnight (Cambridge, Massachusetts: Cambridge University Press), 160–194.</w:t>
      </w:r>
    </w:p>
    <w:p w14:paraId="1D21BC7C" w14:textId="44F16C3F" w:rsidR="00184064" w:rsidRDefault="00184064" w:rsidP="00562BA2">
      <w:pPr>
        <w:pStyle w:val="Rerences"/>
      </w:pPr>
      <w:r w:rsidRPr="00184064">
        <w:t xml:space="preserve">Monteiro, M. R., Marshall, A. J., Hawes, I., Lee, C. K., McDonald, I. R., and Cary, S. C. (2022). Geochemically Defined Space-for-Time Transects Successfully Capture Microbial Dynamics Along Lacustrine Chronosequences in a Polar Desert. </w:t>
      </w:r>
      <w:r w:rsidRPr="00173169">
        <w:rPr>
          <w:i/>
          <w:iCs/>
        </w:rPr>
        <w:t>Front. Microbiol</w:t>
      </w:r>
      <w:r w:rsidRPr="00184064">
        <w:t>. 12. doi: 10.3389/fmicb.2021.783767</w:t>
      </w:r>
    </w:p>
    <w:p w14:paraId="3BD7DF12" w14:textId="77777777" w:rsidR="00196ABD" w:rsidRDefault="00196ABD" w:rsidP="00562BA2">
      <w:pPr>
        <w:pStyle w:val="Rerences"/>
      </w:pPr>
      <w:r>
        <w:t xml:space="preserve">Monteiro, M. R., Marshall, A. J., Lee, C. K., McDonald, I. R., and Cary, S. C. (2023). Bringing Antarctica to the lab: a polar desert environmental chamber to study the response of Antarctic microbial communities to climate change. </w:t>
      </w:r>
      <w:r>
        <w:rPr>
          <w:i/>
          <w:iCs/>
        </w:rPr>
        <w:t>Polar Biol</w:t>
      </w:r>
      <w:r>
        <w:t xml:space="preserve"> 46, 445–459. doi: 10.1007/s00300-023-03135-7</w:t>
      </w:r>
    </w:p>
    <w:p w14:paraId="6395972B" w14:textId="77777777" w:rsidR="00196ABD" w:rsidRDefault="00196ABD" w:rsidP="00562BA2">
      <w:pPr>
        <w:pStyle w:val="Rerences"/>
      </w:pPr>
      <w:r>
        <w:t xml:space="preserve">Musilova, M., Wright, G., Ward, J. M., and Dartnell, L. R. (2015). Isolation of Radiation-Resistant Bacteria from Mars Analog Antarctic Dry Valleys by Preselection, and the Correlation between Radiation and Desiccation Resistance. </w:t>
      </w:r>
      <w:r>
        <w:rPr>
          <w:i/>
          <w:iCs/>
        </w:rPr>
        <w:t>Astrobiology</w:t>
      </w:r>
      <w:r>
        <w:t xml:space="preserve"> 15, 1076–1090. doi: 10.1089/ast.2014.1278</w:t>
      </w:r>
    </w:p>
    <w:p w14:paraId="7CD54075" w14:textId="77777777" w:rsidR="00196ABD" w:rsidRDefault="00196ABD" w:rsidP="00562BA2">
      <w:pPr>
        <w:pStyle w:val="Rerences"/>
      </w:pPr>
      <w:r>
        <w:t xml:space="preserve">Mykytczuk, N. C. S., Foote, S. J., Omelon, C. R., Southam, G., Greer, C. W., and Whyte, L. G. (2013). Bacterial growth at −15 °C; molecular insights from the permafrost </w:t>
      </w:r>
      <w:r>
        <w:lastRenderedPageBreak/>
        <w:t xml:space="preserve">bacterium </w:t>
      </w:r>
      <w:r>
        <w:rPr>
          <w:i/>
          <w:iCs/>
        </w:rPr>
        <w:t>Planococcus halocryophilus</w:t>
      </w:r>
      <w:r>
        <w:t xml:space="preserve"> Or1. </w:t>
      </w:r>
      <w:r>
        <w:rPr>
          <w:i/>
          <w:iCs/>
        </w:rPr>
        <w:t>The ISME Journal</w:t>
      </w:r>
      <w:r>
        <w:t xml:space="preserve"> 7, 1211–1226. doi: 10.1038/ismej.2013.8</w:t>
      </w:r>
    </w:p>
    <w:p w14:paraId="1C16C1AA" w14:textId="77777777" w:rsidR="00196ABD" w:rsidRDefault="00196ABD" w:rsidP="00562BA2">
      <w:pPr>
        <w:pStyle w:val="Rerences"/>
      </w:pPr>
      <w:r>
        <w:t xml:space="preserve">NAESM (2024). </w:t>
      </w:r>
      <w:r>
        <w:rPr>
          <w:i/>
          <w:iCs/>
        </w:rPr>
        <w:t>Future Directions for Southern Ocean and Antarctic Nearshore and Coastal Research</w:t>
      </w:r>
      <w:r>
        <w:t>. Washington, D.C.: National Academies Press. doi: 10.17226/27160</w:t>
      </w:r>
    </w:p>
    <w:p w14:paraId="23846D2A" w14:textId="65567DB6" w:rsidR="00205444" w:rsidRDefault="00205444" w:rsidP="00562BA2">
      <w:pPr>
        <w:pStyle w:val="Rerences"/>
      </w:pPr>
      <w:r w:rsidRPr="00205444">
        <w:t xml:space="preserve">Nicolas, J. P., and Bromwich, D. H. (2014). New Reconstruction of Antarctic Near-Surface Temperatures: Multidecadal Trends and Reliability of Global Reanalyses. </w:t>
      </w:r>
      <w:r w:rsidRPr="00173169">
        <w:rPr>
          <w:i/>
          <w:iCs/>
        </w:rPr>
        <w:t>Journal of Climate</w:t>
      </w:r>
      <w:r w:rsidRPr="00205444">
        <w:t xml:space="preserve"> 27, 8070–8093. doi: 10.1175/JCLI-D-13-00733.1</w:t>
      </w:r>
    </w:p>
    <w:p w14:paraId="301065A9" w14:textId="77777777" w:rsidR="00196ABD" w:rsidRDefault="00196ABD" w:rsidP="00562BA2">
      <w:pPr>
        <w:pStyle w:val="Rerences"/>
      </w:pPr>
      <w:r>
        <w:t xml:space="preserve">Niederberger, T. D., Bottos, E. M., Sohm, J. A., Gunderson, T., Parker, A., Coyne, K. J., et al. (2019). Rapid Microbial Dynamics in Response to an Induced Wetting Event in Antarctic Dry Valley Soils. </w:t>
      </w:r>
      <w:r>
        <w:rPr>
          <w:i/>
          <w:iCs/>
        </w:rPr>
        <w:t>Front. Microbiol.</w:t>
      </w:r>
      <w:r>
        <w:t xml:space="preserve"> 10, 621. doi: 10.3389/fmicb.2019.00621</w:t>
      </w:r>
    </w:p>
    <w:p w14:paraId="6E6AAE65" w14:textId="283FFD01" w:rsidR="006D4FC1" w:rsidRDefault="006D4FC1" w:rsidP="00562BA2">
      <w:pPr>
        <w:pStyle w:val="Rerences"/>
      </w:pPr>
      <w:r w:rsidRPr="006D4FC1">
        <w:t xml:space="preserve">Northcott, M. L., Gooseff, M. N., Barrett, J. E., Zeglin, L. H., Takacs-Vesbach, C. D., and Humphrey, J. (2009). Hydrologic characteristics of lake- and stream-side riparian wetted margins in the McMurdo Dry Valleys, Antarctica. </w:t>
      </w:r>
      <w:r w:rsidRPr="00173169">
        <w:rPr>
          <w:i/>
          <w:iCs/>
        </w:rPr>
        <w:t>Hydrological Processes</w:t>
      </w:r>
      <w:r w:rsidRPr="006D4FC1">
        <w:t xml:space="preserve"> 23, 1255–1267. doi: 10.1002/hyp.7262</w:t>
      </w:r>
    </w:p>
    <w:p w14:paraId="0018C224" w14:textId="77777777" w:rsidR="00196ABD" w:rsidRDefault="00196ABD" w:rsidP="00562BA2">
      <w:pPr>
        <w:pStyle w:val="Rerences"/>
      </w:pPr>
      <w:r>
        <w:t xml:space="preserve">Obryk, M. K., Doran, P. T., Fountain, A. G., Myers, M., and McKay, C. P. (2020). Climate From the McMurdo Dry Valleys, Antarctica, 1986–2017: Surface Air Temperature Trends and Redefined Summer Season. </w:t>
      </w:r>
      <w:r>
        <w:rPr>
          <w:i/>
          <w:iCs/>
        </w:rPr>
        <w:t>J. Geophys. Res. Atmos.</w:t>
      </w:r>
      <w:r>
        <w:t xml:space="preserve"> 125, e2019JD032180. doi: 10.1029/2019JD032180</w:t>
      </w:r>
    </w:p>
    <w:p w14:paraId="50DC85F7" w14:textId="77777777" w:rsidR="00196ABD" w:rsidRDefault="00196ABD" w:rsidP="00562BA2">
      <w:pPr>
        <w:pStyle w:val="Rerences"/>
      </w:pPr>
      <w:r>
        <w:t xml:space="preserve">Obryk, M. K., Fountain, A. G., Doran, P. T., Lyons, W. B., and Eastman, R. (2018). Drivers of solar radiation variability in the McMurdo Dry Valleys, Antarctica. </w:t>
      </w:r>
      <w:r>
        <w:rPr>
          <w:i/>
          <w:iCs/>
        </w:rPr>
        <w:t>Sci Rep</w:t>
      </w:r>
      <w:r>
        <w:t xml:space="preserve"> 8, 5002. doi: 10.1038/s41598-018-23390-7</w:t>
      </w:r>
    </w:p>
    <w:p w14:paraId="370C38FD" w14:textId="77777777" w:rsidR="00196ABD" w:rsidRDefault="00196ABD" w:rsidP="00562BA2">
      <w:pPr>
        <w:pStyle w:val="Rerences"/>
      </w:pPr>
      <w:r>
        <w:t xml:space="preserve">Oren, A. (1999). Bioenergetic Aspects of Halophilism. </w:t>
      </w:r>
      <w:r>
        <w:rPr>
          <w:i/>
          <w:iCs/>
        </w:rPr>
        <w:t>Microbiol Mol Biol Rev</w:t>
      </w:r>
      <w:r>
        <w:t xml:space="preserve"> 63, 334–348. doi: 10.1128/MMBR.63.2.334-348.1999</w:t>
      </w:r>
    </w:p>
    <w:p w14:paraId="6AF3045F" w14:textId="77777777" w:rsidR="00196ABD" w:rsidRDefault="00196ABD" w:rsidP="00562BA2">
      <w:pPr>
        <w:pStyle w:val="Rerences"/>
      </w:pPr>
      <w:r>
        <w:t xml:space="preserve">Oren, A. (2008). Microbial life at high salt concentrations: phylogenetic and metabolic diversity. </w:t>
      </w:r>
      <w:r>
        <w:rPr>
          <w:i/>
          <w:iCs/>
        </w:rPr>
        <w:t>Aquat. Biosyst.</w:t>
      </w:r>
      <w:r>
        <w:t xml:space="preserve"> 4, 2. doi: 10.1186/1746-1448-4-2</w:t>
      </w:r>
    </w:p>
    <w:p w14:paraId="07FB8EC6" w14:textId="77777777" w:rsidR="00196ABD" w:rsidRDefault="00196ABD" w:rsidP="00562BA2">
      <w:pPr>
        <w:pStyle w:val="Rerences"/>
      </w:pPr>
      <w:r>
        <w:lastRenderedPageBreak/>
        <w:t xml:space="preserve">Philippot, L., Chenu, C., Kappler, A., Rillig, M. C., and Fierer, N. (2024). The interplay between microbial communities and soil properties. </w:t>
      </w:r>
      <w:r>
        <w:rPr>
          <w:i/>
          <w:iCs/>
        </w:rPr>
        <w:t>Nat Rev Microbiol</w:t>
      </w:r>
      <w:r>
        <w:t xml:space="preserve"> 22, 226–239. doi: 10.1038/s41579-023-00980-5</w:t>
      </w:r>
    </w:p>
    <w:p w14:paraId="58A108E3" w14:textId="77777777" w:rsidR="00196ABD" w:rsidRDefault="00196ABD" w:rsidP="00562BA2">
      <w:pPr>
        <w:pStyle w:val="Rerences"/>
      </w:pPr>
      <w:r>
        <w:t xml:space="preserve">Power, S. N., Salvatore, M. R., Sokol, E. R., Stanish, L. F., and Barrett, J. E. (2020). Estimating microbial mat biomass in the McMurdo Dry Valleys, Antarctica using satellite imagery and ground surveys. </w:t>
      </w:r>
      <w:r>
        <w:rPr>
          <w:i/>
          <w:iCs/>
        </w:rPr>
        <w:t>Polar Biol</w:t>
      </w:r>
      <w:r>
        <w:t xml:space="preserve"> 43, 1753–1767. doi: 10.1007/s00300-020-02742-y</w:t>
      </w:r>
    </w:p>
    <w:p w14:paraId="34DEC6D4" w14:textId="77777777" w:rsidR="00196ABD" w:rsidRDefault="00196ABD" w:rsidP="00562BA2">
      <w:pPr>
        <w:pStyle w:val="Rerences"/>
      </w:pPr>
      <w:r>
        <w:t xml:space="preserve">Power, S. N., Thomas, V. A., Salvatore, M. R., and Barrett, J. E. (2024). Habitat suitability of biocrust communities in a cold desert ecosystem. </w:t>
      </w:r>
      <w:r>
        <w:rPr>
          <w:i/>
          <w:iCs/>
        </w:rPr>
        <w:t>Ecology and Evolution</w:t>
      </w:r>
      <w:r>
        <w:t xml:space="preserve"> 14, e11649. doi: 10.1002/ece3.11649</w:t>
      </w:r>
    </w:p>
    <w:p w14:paraId="617E8F1A" w14:textId="77777777" w:rsidR="00196ABD" w:rsidRDefault="00196ABD" w:rsidP="00562BA2">
      <w:pPr>
        <w:pStyle w:val="Rerences"/>
      </w:pPr>
      <w:r>
        <w:t xml:space="preserve">Rettberg, P., Antunes, A., Brucato, J., Cabezas, P., Collins, G., Haddaji, A., et al. (2019). Biological Contamination Prevention for Outer Solar System Moons of Astrobiological Interest: What Do We Need to Know? </w:t>
      </w:r>
      <w:r>
        <w:rPr>
          <w:i/>
          <w:iCs/>
        </w:rPr>
        <w:t>Astrobiology</w:t>
      </w:r>
      <w:r>
        <w:t xml:space="preserve"> 19, 951–974. doi: 10.1089/ast.2018.1996</w:t>
      </w:r>
    </w:p>
    <w:p w14:paraId="4F44BB5A" w14:textId="77777777" w:rsidR="00196ABD" w:rsidRDefault="00196ABD" w:rsidP="00562BA2">
      <w:pPr>
        <w:pStyle w:val="Rerences"/>
      </w:pPr>
      <w:r>
        <w:t xml:space="preserve">Richter, I., Herbold, C. W., Lee, C. K., McDonald, I. R., Barrett, J. E., and Cary, S. C. (2014). Influence of soil properties on archaeal diversity and distribution in the McMurdo Dry Valleys, Antarctica. </w:t>
      </w:r>
      <w:r>
        <w:rPr>
          <w:i/>
          <w:iCs/>
        </w:rPr>
        <w:t>FEMS Microbiology Ecology</w:t>
      </w:r>
      <w:r>
        <w:t xml:space="preserve"> 89, 347–359. doi: 10.1111/1574-6941.12322</w:t>
      </w:r>
    </w:p>
    <w:p w14:paraId="1AD43C8C" w14:textId="77777777" w:rsidR="00196ABD" w:rsidRDefault="00196ABD" w:rsidP="00562BA2">
      <w:pPr>
        <w:pStyle w:val="Rerences"/>
      </w:pPr>
      <w:r>
        <w:t xml:space="preserve">Robinson, D., Morgan-Kiss, R. M., Wang, Z., and Takacs-Vesbach, C. (2024). Antarctic lake viromes reveal potential virus associated influences on nutrient cycling in ice-covered lakes. </w:t>
      </w:r>
      <w:r>
        <w:rPr>
          <w:i/>
          <w:iCs/>
        </w:rPr>
        <w:t>Front. Microbiol.</w:t>
      </w:r>
      <w:r>
        <w:t xml:space="preserve"> 15, 1422941. doi: 10.3389/fmicb.2024.1422941</w:t>
      </w:r>
    </w:p>
    <w:p w14:paraId="5B2379F6" w14:textId="77777777" w:rsidR="00196ABD" w:rsidRDefault="00196ABD" w:rsidP="00562BA2">
      <w:pPr>
        <w:pStyle w:val="Rerences"/>
      </w:pPr>
      <w:r>
        <w:t xml:space="preserve">Salvatore, M. R., Barrett, J. E., Fackrell, L. E., Sokol, E. R., Levy, J. S., Kuentz, L. C., et al. (2023). The Distribution of Surface Soil Moisture over Space and Time in Eastern Taylor Valley, Antarctica. </w:t>
      </w:r>
      <w:r>
        <w:rPr>
          <w:i/>
          <w:iCs/>
        </w:rPr>
        <w:t>Remote Sensing</w:t>
      </w:r>
      <w:r>
        <w:t xml:space="preserve"> 15, 3170. doi: 10.3390/rs15123170</w:t>
      </w:r>
    </w:p>
    <w:p w14:paraId="7B0AA78F" w14:textId="77777777" w:rsidR="00196ABD" w:rsidRDefault="00196ABD" w:rsidP="00562BA2">
      <w:pPr>
        <w:pStyle w:val="Rerences"/>
      </w:pPr>
      <w:r>
        <w:t xml:space="preserve">Salvatore, M. R., and Levy, J. S. (2021). “The McMurdo Dry Valleys of Antarctica: a geological, environmental, and ecological analog to the Martian surface and near </w:t>
      </w:r>
      <w:r>
        <w:lastRenderedPageBreak/>
        <w:t xml:space="preserve">surface,” in </w:t>
      </w:r>
      <w:r>
        <w:rPr>
          <w:i/>
          <w:iCs/>
        </w:rPr>
        <w:t>Mars Geological Enigmas</w:t>
      </w:r>
      <w:r>
        <w:t>, (Elsevier), 291–332. doi: 10.1016/B978-0-12-820245-6.00011-2</w:t>
      </w:r>
    </w:p>
    <w:p w14:paraId="21D63E45" w14:textId="77777777" w:rsidR="00196ABD" w:rsidRDefault="00196ABD" w:rsidP="00562BA2">
      <w:pPr>
        <w:pStyle w:val="Rerences"/>
      </w:pPr>
      <w:r>
        <w:t xml:space="preserve">Seel, W., Baust, D., Sons, D., Albers, M., Etzbach, L., Fuss, J., et al. (2020). Carotenoids are used as regulators for membrane fluidity by </w:t>
      </w:r>
      <w:r>
        <w:rPr>
          <w:i/>
          <w:iCs/>
        </w:rPr>
        <w:t>Staphylococcus xylosus</w:t>
      </w:r>
      <w:r>
        <w:t xml:space="preserve">. </w:t>
      </w:r>
      <w:r>
        <w:rPr>
          <w:i/>
          <w:iCs/>
        </w:rPr>
        <w:t>Sci Rep</w:t>
      </w:r>
      <w:r>
        <w:t xml:space="preserve"> 10, 330. doi: 10.1038/s41598-019-57006-5</w:t>
      </w:r>
    </w:p>
    <w:p w14:paraId="331F9411" w14:textId="77777777" w:rsidR="00196ABD" w:rsidRDefault="00196ABD" w:rsidP="00562BA2">
      <w:pPr>
        <w:pStyle w:val="Rerences"/>
      </w:pPr>
      <w:r>
        <w:t xml:space="preserve">Setlow, P., and Johnson, E. A. (2012). “Spores and Their Significance,” in </w:t>
      </w:r>
      <w:r>
        <w:rPr>
          <w:i/>
          <w:iCs/>
        </w:rPr>
        <w:t>Food Microbiology</w:t>
      </w:r>
      <w:r>
        <w:t>, (John Wiley &amp; Sons, Ltd), 45–79. doi: 10.1128/9781555818463.ch3</w:t>
      </w:r>
    </w:p>
    <w:p w14:paraId="5D801017" w14:textId="77777777" w:rsidR="00196ABD" w:rsidRDefault="00196ABD" w:rsidP="00562BA2">
      <w:pPr>
        <w:pStyle w:val="Rerences"/>
      </w:pPr>
      <w:r>
        <w:t xml:space="preserve">Shaw, E. A., Adams, B. J., Barrett, J. E., Lyons, W. B., Virginia, R. A., and Wall, D. H. (2018). Stable C and N isotope ratios reveal soil food web structure and identify the nematode </w:t>
      </w:r>
      <w:r>
        <w:rPr>
          <w:i/>
          <w:iCs/>
        </w:rPr>
        <w:t>Eudorylaimus antarcticus</w:t>
      </w:r>
      <w:r>
        <w:t xml:space="preserve"> as an omnivore–predator in Taylor Valley, Antarctica. </w:t>
      </w:r>
      <w:r>
        <w:rPr>
          <w:i/>
          <w:iCs/>
        </w:rPr>
        <w:t>Polar Biol</w:t>
      </w:r>
      <w:r>
        <w:t xml:space="preserve"> 41, 1013–1018. doi: 10.1007/s00300-017-2243-8</w:t>
      </w:r>
    </w:p>
    <w:p w14:paraId="14F619E0" w14:textId="77777777" w:rsidR="00196ABD" w:rsidRDefault="00196ABD" w:rsidP="00562BA2">
      <w:pPr>
        <w:pStyle w:val="Rerences"/>
      </w:pPr>
      <w:r>
        <w:t xml:space="preserve">Shaw, E. A., and Wall, D. H. (2019). Biotic Interactions in Experimental Antarctic Soil Microcosms Vary with Abiotic Stress. </w:t>
      </w:r>
      <w:r>
        <w:rPr>
          <w:i/>
          <w:iCs/>
        </w:rPr>
        <w:t>Soil Systems</w:t>
      </w:r>
      <w:r>
        <w:t xml:space="preserve"> 3, 57. doi: 10.3390/soilsystems3030057</w:t>
      </w:r>
    </w:p>
    <w:p w14:paraId="404B5FD8" w14:textId="77777777" w:rsidR="00196ABD" w:rsidRDefault="00196ABD" w:rsidP="00562BA2">
      <w:pPr>
        <w:pStyle w:val="Rerences"/>
      </w:pPr>
      <w:r>
        <w:t xml:space="preserve">Shivanand, P., and Mugeraya, G. (2011). Halophilic bacteria and their compatible solutes – osmoregulation and potential applications. </w:t>
      </w:r>
      <w:r>
        <w:rPr>
          <w:i/>
          <w:iCs/>
        </w:rPr>
        <w:t>CURRENT SCIENCE</w:t>
      </w:r>
      <w:r>
        <w:t xml:space="preserve"> 100, 6.</w:t>
      </w:r>
    </w:p>
    <w:p w14:paraId="26A8C786" w14:textId="77777777" w:rsidR="00196ABD" w:rsidRDefault="00196ABD" w:rsidP="00562BA2">
      <w:pPr>
        <w:pStyle w:val="Rerences"/>
      </w:pPr>
      <w:r>
        <w:t xml:space="preserve">Shu, W.-S., and Huang, L.-N. (2022). Microbial diversity in extreme environments. </w:t>
      </w:r>
      <w:r>
        <w:rPr>
          <w:i/>
          <w:iCs/>
        </w:rPr>
        <w:t>Nat Rev Microbiol</w:t>
      </w:r>
      <w:r>
        <w:t xml:space="preserve"> 20, 219–235. doi: 10.1038/s41579-021-00648-y</w:t>
      </w:r>
    </w:p>
    <w:p w14:paraId="33FB224B" w14:textId="77777777" w:rsidR="00196ABD" w:rsidRDefault="00196ABD" w:rsidP="00562BA2">
      <w:pPr>
        <w:pStyle w:val="Rerences"/>
      </w:pPr>
      <w:r>
        <w:t xml:space="preserve">Sklute, E. C., Mikucki, J. A., Dyar, M. D., Lee, P. A., Livi, K. J. T., and Mitchell, S. (2022). A Multi-Technique Analysis of Surface Materials From Blood Falls, Antarctica. </w:t>
      </w:r>
      <w:r>
        <w:rPr>
          <w:i/>
          <w:iCs/>
        </w:rPr>
        <w:t>Frontiers in Astronomy and Space Sciences</w:t>
      </w:r>
      <w:r>
        <w:t xml:space="preserve"> 9. doi: 10.3389/fspas.2022.843174</w:t>
      </w:r>
    </w:p>
    <w:p w14:paraId="445F5D14" w14:textId="77777777" w:rsidR="00196ABD" w:rsidRDefault="00196ABD" w:rsidP="00562BA2">
      <w:pPr>
        <w:pStyle w:val="Rerences"/>
      </w:pPr>
      <w:r>
        <w:t xml:space="preserve">Takacs, C. D., and Priscu, J. C. (1998). Bacterioplankton Dynamics in the McMurdo Dry Valley Lakes, Antarctica: Production and Biomass Loss over Four Seasons. </w:t>
      </w:r>
      <w:r>
        <w:rPr>
          <w:i/>
          <w:iCs/>
        </w:rPr>
        <w:t>Microbial Ecology</w:t>
      </w:r>
      <w:r>
        <w:t xml:space="preserve"> 36, 239–250. doi: 10.1007/s002489900111</w:t>
      </w:r>
    </w:p>
    <w:p w14:paraId="1982AD32" w14:textId="77777777" w:rsidR="00196ABD" w:rsidRDefault="00196ABD" w:rsidP="00562BA2">
      <w:pPr>
        <w:pStyle w:val="Rerences"/>
      </w:pPr>
      <w:r>
        <w:t xml:space="preserve">Toner, J. D., Catling, D. C., and Sletten, R. S. (2017). The geochemistry of Don Juan Pond: Evidence for a deep groundwater flow system in Wright Valley, Antarctica. </w:t>
      </w:r>
      <w:r>
        <w:rPr>
          <w:i/>
          <w:iCs/>
        </w:rPr>
        <w:lastRenderedPageBreak/>
        <w:t>Earth and Planetary Science Letters</w:t>
      </w:r>
      <w:r>
        <w:t xml:space="preserve"> 474, 190–197. doi: 10.1016/j.epsl.2017.06.039</w:t>
      </w:r>
    </w:p>
    <w:p w14:paraId="453B2457" w14:textId="77777777" w:rsidR="00196ABD" w:rsidRDefault="00196ABD" w:rsidP="00562BA2">
      <w:pPr>
        <w:pStyle w:val="Rerences"/>
      </w:pPr>
      <w:r>
        <w:t xml:space="preserve">Treonis, A. M., Wall, D. H., and Virginia, R. A. (2000). The Use of Anhydrobiosis by Soil Nematodes in the Antarctic Dry Valleys. </w:t>
      </w:r>
      <w:r>
        <w:rPr>
          <w:i/>
          <w:iCs/>
        </w:rPr>
        <w:t>Functional Ecology</w:t>
      </w:r>
      <w:r>
        <w:t xml:space="preserve"> 14, 460–467.</w:t>
      </w:r>
    </w:p>
    <w:p w14:paraId="08EDFAE5" w14:textId="77777777" w:rsidR="00196ABD" w:rsidRDefault="00196ABD" w:rsidP="00562BA2">
      <w:pPr>
        <w:pStyle w:val="Rerences"/>
      </w:pPr>
      <w:r>
        <w:t xml:space="preserve">Van Horn, D. J., Okie, J. G., Buelow, H. N., Gooseff, M. N., Barrett, J. E., and Takacs-Vesbach, C. D. (2014). Soil Microbial Responses to Increased Moisture and Organic Resources along a Salinity Gradient in a Polar Desert. </w:t>
      </w:r>
      <w:r>
        <w:rPr>
          <w:i/>
          <w:iCs/>
        </w:rPr>
        <w:t>Appl. Environ. Microbiol.</w:t>
      </w:r>
      <w:r>
        <w:t xml:space="preserve"> 80, 3034–3043. doi: 10.1128/AEM.03414-13</w:t>
      </w:r>
    </w:p>
    <w:p w14:paraId="2CBEDC23" w14:textId="77777777" w:rsidR="00196ABD" w:rsidRDefault="00196ABD" w:rsidP="00562BA2">
      <w:pPr>
        <w:pStyle w:val="Rerences"/>
      </w:pPr>
      <w:r>
        <w:t xml:space="preserve">Williams, J. W., and Jackson, S. T. (2007). Novel climates, no-analog communities, and ecological surprises. </w:t>
      </w:r>
      <w:r>
        <w:rPr>
          <w:i/>
          <w:iCs/>
        </w:rPr>
        <w:t>Frontiers in Ecology and the Environment</w:t>
      </w:r>
      <w:r>
        <w:t xml:space="preserve"> 5, 475–482. doi: 10.1890/070037</w:t>
      </w:r>
    </w:p>
    <w:p w14:paraId="3110065A" w14:textId="77777777" w:rsidR="00196ABD" w:rsidRDefault="00196ABD" w:rsidP="00562BA2">
      <w:pPr>
        <w:pStyle w:val="Rerences"/>
      </w:pPr>
      <w:r>
        <w:t xml:space="preserve">Wilson, S. L., Frazer, C., Cumming, B. F., Nuin, P. A. S., and Walker, V. K. (2012). Cross-tolerance between osmotic and freeze-thaw stress in microbial assemblages from temperate lakes. </w:t>
      </w:r>
      <w:r>
        <w:rPr>
          <w:i/>
          <w:iCs/>
        </w:rPr>
        <w:t>FEMS Microbiol Ecol</w:t>
      </w:r>
      <w:r>
        <w:t xml:space="preserve"> 82, 405–415. doi: 10.1111/j.1574-6941.2012.01404.x</w:t>
      </w:r>
    </w:p>
    <w:p w14:paraId="4ED08A27" w14:textId="77777777" w:rsidR="00196ABD" w:rsidRDefault="00196ABD" w:rsidP="00562BA2">
      <w:pPr>
        <w:pStyle w:val="Rerences"/>
      </w:pPr>
      <w:r>
        <w:t xml:space="preserve">Wordsworth, R. D. (2016). The Climate of Early Mars. </w:t>
      </w:r>
      <w:r>
        <w:rPr>
          <w:i/>
          <w:iCs/>
        </w:rPr>
        <w:t>Annual Review of Earth and Planetary Sciences</w:t>
      </w:r>
      <w:r>
        <w:t xml:space="preserve"> 44, 381–408. doi: 10.1146/annurev-earth-060115-012355</w:t>
      </w:r>
    </w:p>
    <w:p w14:paraId="3150E3BE" w14:textId="77777777" w:rsidR="00196ABD" w:rsidRDefault="00196ABD" w:rsidP="00562BA2">
      <w:pPr>
        <w:pStyle w:val="Rerences"/>
      </w:pPr>
      <w:r>
        <w:t xml:space="preserve">Zacny, K., Paulsen, G., McKay, C. P., Glass, B., Davé, A., Davila, A. F., et al. (2013). Reaching 1 m Deep on Mars: The Icebreaker Drill. </w:t>
      </w:r>
      <w:r>
        <w:rPr>
          <w:i/>
          <w:iCs/>
        </w:rPr>
        <w:t>Astrobiology</w:t>
      </w:r>
      <w:r>
        <w:t xml:space="preserve"> 13, 1166–1198. doi: 10.1089/ast.2013.1038</w:t>
      </w:r>
    </w:p>
    <w:p w14:paraId="073DC73E" w14:textId="77777777" w:rsidR="00196ABD" w:rsidRDefault="00196ABD" w:rsidP="00562BA2">
      <w:pPr>
        <w:pStyle w:val="Rerences"/>
      </w:pPr>
      <w:r>
        <w:t xml:space="preserve">Zhang, K., Shi, Y., Cui, X., Yue, P., Li, K., Liu, X., et al. (2019). Salinity Is a Key Determinant for Soil Microbial Communities in a Desert Ecosystem. </w:t>
      </w:r>
      <w:r>
        <w:rPr>
          <w:i/>
          <w:iCs/>
        </w:rPr>
        <w:t>mSystems</w:t>
      </w:r>
      <w:r>
        <w:t xml:space="preserve"> 4, 10.1128/msystems.00225-18. doi: 10.1128/msystems.00225-18</w:t>
      </w:r>
    </w:p>
    <w:p w14:paraId="6811597B" w14:textId="77777777" w:rsidR="00196ABD" w:rsidRDefault="00196ABD" w:rsidP="00562BA2">
      <w:pPr>
        <w:pStyle w:val="Rerences"/>
      </w:pPr>
      <w:r>
        <w:t xml:space="preserve">Zhang, L., Jungblut, A. D., Hawes, I., Andersen, D. T., Sumner, D. Y., and Mackey, T. J. (2015). Cyanobacterial diversity in benthic mats of the McMurdo Dry Valley lakes, Antarctica. </w:t>
      </w:r>
      <w:r>
        <w:rPr>
          <w:i/>
          <w:iCs/>
        </w:rPr>
        <w:t>Polar Biol</w:t>
      </w:r>
      <w:r>
        <w:t xml:space="preserve"> 38, 1097–1110. doi: 10.1007/s00300-015-1669-0</w:t>
      </w:r>
    </w:p>
    <w:p w14:paraId="55AB0268" w14:textId="7E21CE61" w:rsidR="00221913" w:rsidRDefault="00221913" w:rsidP="00562BA2">
      <w:pPr>
        <w:ind w:firstLine="0"/>
        <w:rPr>
          <w:rFonts w:cs="Times New Roman"/>
          <w:b/>
          <w:bCs/>
          <w:caps/>
          <w:color w:val="000000" w:themeColor="text1"/>
        </w:rPr>
      </w:pPr>
    </w:p>
    <w:p w14:paraId="3C2C46F3" w14:textId="77777777" w:rsidR="00221913" w:rsidRDefault="00221913" w:rsidP="008420A0">
      <w:pPr>
        <w:pStyle w:val="Heading1"/>
        <w:sectPr w:rsidR="00221913" w:rsidSect="00586891">
          <w:pgSz w:w="12240" w:h="15840" w:code="1"/>
          <w:pgMar w:top="1440" w:right="1800" w:bottom="1872" w:left="1800" w:header="720" w:footer="1440" w:gutter="0"/>
          <w:pgNumType w:start="1"/>
          <w:cols w:space="720"/>
          <w:noEndnote/>
          <w:docGrid w:linePitch="360"/>
        </w:sectPr>
      </w:pPr>
    </w:p>
    <w:p w14:paraId="53CC0E95" w14:textId="62840B39" w:rsidR="00F420B3" w:rsidRPr="00A23FDC" w:rsidRDefault="001A14AF" w:rsidP="008420A0">
      <w:pPr>
        <w:pStyle w:val="Heading1"/>
      </w:pPr>
      <w:bookmarkStart w:id="103" w:name="_Toc196256864"/>
      <w:r>
        <w:lastRenderedPageBreak/>
        <w:t xml:space="preserve">CHAPTET TWO </w:t>
      </w:r>
      <w:r w:rsidR="00F928F8" w:rsidRPr="00BB6824">
        <w:t xml:space="preserve">GENOMIC AND PHENOTYPIC CHARACTERIZATION OF A RED-PIGMENTED STRAIN OF </w:t>
      </w:r>
      <w:r w:rsidR="00F928F8" w:rsidRPr="007122C3">
        <w:rPr>
          <w:i/>
          <w:iCs/>
        </w:rPr>
        <w:t>MASSILIA FRIGIDA</w:t>
      </w:r>
      <w:r w:rsidR="00F928F8" w:rsidRPr="00BB6824">
        <w:t xml:space="preserve"> ISOLATED FROM AN ANTARCTIC MICROBIAL MAT</w:t>
      </w:r>
      <w:bookmarkEnd w:id="103"/>
    </w:p>
    <w:p w14:paraId="5BDABDCA" w14:textId="77777777" w:rsidR="00F420B3" w:rsidRPr="00BB6824" w:rsidRDefault="00F420B3" w:rsidP="00562BA2">
      <w:pPr>
        <w:rPr>
          <w:rFonts w:cs="Times New Roman"/>
          <w:b/>
          <w:bCs/>
          <w:caps/>
          <w:color w:val="000000" w:themeColor="text1"/>
        </w:rPr>
      </w:pPr>
      <w:r w:rsidRPr="00BB6824">
        <w:rPr>
          <w:rFonts w:cs="Times New Roman"/>
        </w:rPr>
        <w:br w:type="page"/>
      </w:r>
    </w:p>
    <w:p w14:paraId="55B9BEED" w14:textId="3F79E1F3" w:rsidR="00F420B3" w:rsidRPr="00BB6824" w:rsidRDefault="00F420B3" w:rsidP="001A14AF">
      <w:pPr>
        <w:pStyle w:val="Heading2"/>
        <w:spacing w:before="0" w:after="0"/>
      </w:pPr>
      <w:bookmarkStart w:id="104" w:name="_Toc196256865"/>
      <w:r w:rsidRPr="00BB6824">
        <w:lastRenderedPageBreak/>
        <w:t>Publication Note</w:t>
      </w:r>
      <w:bookmarkEnd w:id="104"/>
    </w:p>
    <w:p w14:paraId="33633A8E" w14:textId="03FDB626" w:rsidR="00DF6B2C" w:rsidRPr="00BB6824" w:rsidRDefault="00F579EF" w:rsidP="001A14AF">
      <w:pPr>
        <w:ind w:firstLine="0"/>
        <w:rPr>
          <w:rFonts w:cs="Times New Roman"/>
        </w:rPr>
      </w:pPr>
      <w:r w:rsidRPr="00BB6824">
        <w:rPr>
          <w:rFonts w:cs="Times New Roman"/>
        </w:rPr>
        <w:t>This chapter</w:t>
      </w:r>
      <w:r w:rsidR="00DF6B2C" w:rsidRPr="00BB6824">
        <w:rPr>
          <w:rFonts w:cs="Times New Roman"/>
        </w:rPr>
        <w:t xml:space="preserve"> is a revised version of </w:t>
      </w:r>
      <w:r w:rsidR="005F62EA" w:rsidRPr="00BB6824">
        <w:rPr>
          <w:rFonts w:cs="Times New Roman"/>
        </w:rPr>
        <w:t xml:space="preserve">a </w:t>
      </w:r>
      <w:r w:rsidR="00DF6B2C" w:rsidRPr="00BB6824">
        <w:rPr>
          <w:rFonts w:cs="Times New Roman"/>
        </w:rPr>
        <w:t xml:space="preserve">publication in </w:t>
      </w:r>
      <w:r w:rsidRPr="00BB6824">
        <w:rPr>
          <w:rFonts w:cs="Times New Roman"/>
          <w:i/>
          <w:iCs/>
        </w:rPr>
        <w:t xml:space="preserve">Frontiers in Microbiology </w:t>
      </w:r>
      <w:r w:rsidRPr="00BB6824">
        <w:rPr>
          <w:rFonts w:cs="Times New Roman"/>
        </w:rPr>
        <w:t>in 2023.</w:t>
      </w:r>
    </w:p>
    <w:p w14:paraId="64553A1C" w14:textId="7B259C5D" w:rsidR="00DF6B2C" w:rsidRPr="00BB6824" w:rsidRDefault="00C40934" w:rsidP="001A14AF">
      <w:pPr>
        <w:ind w:firstLine="0"/>
        <w:rPr>
          <w:rFonts w:cs="Times New Roman"/>
        </w:rPr>
      </w:pPr>
      <w:r>
        <w:rPr>
          <w:rFonts w:cs="Times New Roman"/>
        </w:rPr>
        <w:t xml:space="preserve">Jacob M. C. </w:t>
      </w:r>
      <w:r w:rsidR="00DF6B2C" w:rsidRPr="00BB6824">
        <w:rPr>
          <w:rFonts w:cs="Times New Roman"/>
        </w:rPr>
        <w:t>Shaffer</w:t>
      </w:r>
      <w:r>
        <w:rPr>
          <w:rFonts w:cs="Times New Roman"/>
        </w:rPr>
        <w:t>, Lesley-Ann</w:t>
      </w:r>
      <w:r w:rsidR="00DF6B2C" w:rsidRPr="00BB6824">
        <w:rPr>
          <w:rFonts w:cs="Times New Roman"/>
        </w:rPr>
        <w:t xml:space="preserve"> Giddings,</w:t>
      </w:r>
      <w:r>
        <w:rPr>
          <w:rFonts w:cs="Times New Roman"/>
        </w:rPr>
        <w:t xml:space="preserve"> Robert M.</w:t>
      </w:r>
      <w:r w:rsidR="00DF6B2C" w:rsidRPr="00BB6824">
        <w:rPr>
          <w:rFonts w:cs="Times New Roman"/>
        </w:rPr>
        <w:t xml:space="preserve"> Samples, and </w:t>
      </w:r>
      <w:r>
        <w:rPr>
          <w:rFonts w:cs="Times New Roman"/>
        </w:rPr>
        <w:t xml:space="preserve">Jill A. </w:t>
      </w:r>
      <w:r w:rsidR="00DF6B2C" w:rsidRPr="00BB6824">
        <w:rPr>
          <w:rFonts w:cs="Times New Roman"/>
        </w:rPr>
        <w:t xml:space="preserve">Mikucki. (2023). Genomic and phenotypic characterization of a red-pigmented strain of </w:t>
      </w:r>
      <w:r w:rsidR="00DF6B2C" w:rsidRPr="00BB6824">
        <w:rPr>
          <w:rFonts w:cs="Times New Roman"/>
          <w:i/>
          <w:iCs/>
        </w:rPr>
        <w:t>Massilia frigida</w:t>
      </w:r>
      <w:r w:rsidR="00DF6B2C" w:rsidRPr="00BB6824">
        <w:rPr>
          <w:rFonts w:cs="Times New Roman"/>
        </w:rPr>
        <w:t xml:space="preserve"> isolated from an Antarctic microbial mat. </w:t>
      </w:r>
      <w:r w:rsidR="00DF6B2C" w:rsidRPr="00BB6824">
        <w:rPr>
          <w:rFonts w:cs="Times New Roman"/>
          <w:i/>
          <w:iCs/>
        </w:rPr>
        <w:t>Front. Microbiol</w:t>
      </w:r>
      <w:r w:rsidR="00DF6B2C" w:rsidRPr="00BB6824">
        <w:rPr>
          <w:rFonts w:cs="Times New Roman"/>
        </w:rPr>
        <w:t>. 14. doi: 10.3389/fmicb.2023.1156033</w:t>
      </w:r>
    </w:p>
    <w:p w14:paraId="3A0722B9" w14:textId="708C3837" w:rsidR="00F579EF" w:rsidRPr="00BB6824" w:rsidRDefault="00F579EF" w:rsidP="001A14AF">
      <w:pPr>
        <w:ind w:firstLine="0"/>
        <w:rPr>
          <w:rFonts w:cs="Times New Roman"/>
        </w:rPr>
      </w:pPr>
      <w:r w:rsidRPr="00BB6824">
        <w:rPr>
          <w:rFonts w:cs="Times New Roman"/>
        </w:rPr>
        <w:t>Experiments and data analysis were conducted by Jacob Shaffer, with the exception of the metabolite data, which were analyzed by Robert Samples and Lesley-Ann Giddings. Original samples were collected and processed by Jill Mikucki. The manuscript was drafted by Jacob Shaffer and Jill Mikucki and edited by all authors.</w:t>
      </w:r>
      <w:r w:rsidR="00DF6B2C" w:rsidRPr="00BB6824">
        <w:rPr>
          <w:rFonts w:cs="Times New Roman"/>
        </w:rPr>
        <w:t xml:space="preserve"> </w:t>
      </w:r>
    </w:p>
    <w:p w14:paraId="28B4CFC9" w14:textId="1D289C76" w:rsidR="00F420B3" w:rsidRPr="00BB6824" w:rsidRDefault="00F420B3" w:rsidP="001A14AF">
      <w:pPr>
        <w:pStyle w:val="Heading2"/>
        <w:spacing w:before="0" w:after="0"/>
      </w:pPr>
      <w:bookmarkStart w:id="105" w:name="_Toc196256866"/>
      <w:r w:rsidRPr="00BB6824">
        <w:t>Abstract</w:t>
      </w:r>
      <w:bookmarkEnd w:id="105"/>
    </w:p>
    <w:p w14:paraId="47554681" w14:textId="77777777" w:rsidR="00F928F8" w:rsidRPr="00BB6824" w:rsidRDefault="007645DA" w:rsidP="001A14AF">
      <w:pPr>
        <w:rPr>
          <w:rFonts w:cs="Times New Roman"/>
        </w:rPr>
      </w:pPr>
      <w:r w:rsidRPr="00BB6824">
        <w:rPr>
          <w:rFonts w:cs="Times New Roman"/>
        </w:rPr>
        <w:t xml:space="preserve">The McMurdo Dry Valleys of Antarctica experience a range of selective pressures, including extreme seasonal variation in temperature, water and nutrient availability, and UV radiation. Microbial mats in this ecosystem harbor dense concentrations of biomass in an otherwise desolate environment. Microbial inhabitants must mitigate these selective pressures </w:t>
      </w:r>
      <w:r w:rsidRPr="00BB6824">
        <w:rPr>
          <w:rFonts w:cs="Times New Roman"/>
          <w:i/>
          <w:iCs/>
        </w:rPr>
        <w:t>via</w:t>
      </w:r>
      <w:r w:rsidRPr="00BB6824">
        <w:rPr>
          <w:rFonts w:cs="Times New Roman"/>
        </w:rPr>
        <w:t xml:space="preserve"> specialized enzymes, changes to the cellular envelope, and the production of secondary metabolites, such as pigments and osmoprotectants. Here, we describe the isolation and characterization of a Gram-negative, rod-shaped, motile, red-pigmented bacterium, strain DJPM01, from a microbial mat within the Don Juan Pond Basin of Wright Valley. Analysis of strain DJMP01’s genome indicates it can be classified as a member of the </w:t>
      </w:r>
      <w:r w:rsidRPr="00BB6824">
        <w:rPr>
          <w:rFonts w:cs="Times New Roman"/>
          <w:i/>
          <w:iCs/>
        </w:rPr>
        <w:t>Massilia frigida</w:t>
      </w:r>
      <w:r w:rsidRPr="00BB6824">
        <w:rPr>
          <w:rFonts w:cs="Times New Roman"/>
        </w:rPr>
        <w:t xml:space="preserve"> species. The genome contains several genes associated with cold and salt tolerance, including multiple RNA helicases, protein chaperones, and cation/proton antiporters. In addition, we identified 17 putative secondary metabolite gene clusters, including a number of nonribosomal peptides and ribosomally synthesized and post-translationally modified peptides (RiPPs), among others, and the biosynthesis pathway for the antimicrobial pigment prodigiosin. When cultivated on complex agar, multiple prodiginines, including the antibiotic prodigiosin, 2-methyl-3-propyl-prodiginine, 2-methyl-3-butyl-prodiginine, 2-methyl-3-heptyl-prodiginine, and cycloprodigiosin, were detected by LC–MS. Genome </w:t>
      </w:r>
      <w:r w:rsidRPr="00BB6824">
        <w:rPr>
          <w:rFonts w:cs="Times New Roman"/>
        </w:rPr>
        <w:lastRenderedPageBreak/>
        <w:t xml:space="preserve">analyses of sequenced members of the </w:t>
      </w:r>
      <w:r w:rsidRPr="00BB6824">
        <w:rPr>
          <w:rFonts w:cs="Times New Roman"/>
          <w:i/>
          <w:iCs/>
        </w:rPr>
        <w:t>Massilia</w:t>
      </w:r>
      <w:r w:rsidRPr="00BB6824">
        <w:rPr>
          <w:rFonts w:cs="Times New Roman"/>
        </w:rPr>
        <w:t xml:space="preserve"> genus indicates prodigiosin production is unique to Antarctic strains. UV-A radiation, an ecological stressor in the Antarctic, was found to significantly decrease the abundance of prodiginines produced by strain DJPM01. Genomic and phenotypic evidence indicates strain DJPM01 can respond to the ecological conditions of the DJP microbial mat, with prodiginines produced under a range of conditions, including extreme UV radiation.</w:t>
      </w:r>
    </w:p>
    <w:p w14:paraId="095CE130" w14:textId="63762AD0" w:rsidR="00F420B3" w:rsidRPr="00BB6824" w:rsidRDefault="00F420B3" w:rsidP="001A14AF">
      <w:pPr>
        <w:pStyle w:val="Heading2"/>
        <w:spacing w:before="0" w:after="0"/>
      </w:pPr>
      <w:bookmarkStart w:id="106" w:name="_Toc196256867"/>
      <w:r w:rsidRPr="00BB6824">
        <w:t>Introduction</w:t>
      </w:r>
      <w:bookmarkEnd w:id="106"/>
    </w:p>
    <w:p w14:paraId="729228F8" w14:textId="77777777" w:rsidR="007645DA" w:rsidRPr="00BB6824" w:rsidRDefault="007645DA" w:rsidP="001A14AF">
      <w:pPr>
        <w:rPr>
          <w:rFonts w:cs="Times New Roman"/>
        </w:rPr>
      </w:pPr>
      <w:r w:rsidRPr="00BB6824">
        <w:rPr>
          <w:rFonts w:cs="Times New Roman"/>
        </w:rPr>
        <w:t>Upwards of 80% of Earth’s environments are permanently cold (&lt;5°C), including polar, alpine, maritime, and atmospheric regions (</w:t>
      </w:r>
      <w:hyperlink r:id="rId17" w:anchor="ref32" w:history="1">
        <w:r w:rsidRPr="00BB6824">
          <w:rPr>
            <w:rStyle w:val="Hyperlink"/>
            <w:rFonts w:ascii="Times New Roman" w:hAnsi="Times New Roman" w:cs="Times New Roman"/>
          </w:rPr>
          <w:t>De Maayer et al., 2014</w:t>
        </w:r>
      </w:hyperlink>
      <w:r w:rsidRPr="00BB6824">
        <w:rPr>
          <w:rFonts w:cs="Times New Roman"/>
        </w:rPr>
        <w:t>). Understanding how life survives at low temperatures is crucial to our understanding of life itself, as well as how life might exist on other planets. On the Antarctic continent, the McMurdo Dry Valleys (MDV) constitute the largest ice-free region (</w:t>
      </w:r>
      <w:hyperlink r:id="rId18" w:anchor="ref67" w:history="1">
        <w:r w:rsidRPr="00BB6824">
          <w:rPr>
            <w:rStyle w:val="Hyperlink"/>
            <w:rFonts w:ascii="Times New Roman" w:hAnsi="Times New Roman" w:cs="Times New Roman"/>
          </w:rPr>
          <w:t>Levy, 2013</w:t>
        </w:r>
      </w:hyperlink>
      <w:r w:rsidRPr="00BB6824">
        <w:rPr>
          <w:rFonts w:cs="Times New Roman"/>
        </w:rPr>
        <w:t>). The MDV region is the coldest, driest desert on our planet, and experiences average annual air and absolute surficial soil temperatures ranging from −26.8 to −16.5°C and −59.8 to +31.1°C, respectively (</w:t>
      </w:r>
      <w:hyperlink r:id="rId19" w:anchor="ref84" w:history="1">
        <w:r w:rsidRPr="00BB6824">
          <w:rPr>
            <w:rStyle w:val="Hyperlink"/>
            <w:rFonts w:ascii="Times New Roman" w:hAnsi="Times New Roman" w:cs="Times New Roman"/>
          </w:rPr>
          <w:t>Obryk et al., 2020</w:t>
        </w:r>
      </w:hyperlink>
      <w:r w:rsidRPr="00BB6824">
        <w:rPr>
          <w:rFonts w:cs="Times New Roman"/>
        </w:rPr>
        <w:t>), and receive a maximum of ~50 mm of precipitation in the form of snowfall annually (</w:t>
      </w:r>
      <w:hyperlink r:id="rId20" w:anchor="ref37" w:history="1">
        <w:r w:rsidRPr="00BB6824">
          <w:rPr>
            <w:rStyle w:val="Hyperlink"/>
            <w:rFonts w:ascii="Times New Roman" w:hAnsi="Times New Roman" w:cs="Times New Roman"/>
          </w:rPr>
          <w:t>Fountain et al., 2009</w:t>
        </w:r>
      </w:hyperlink>
      <w:r w:rsidRPr="00BB6824">
        <w:rPr>
          <w:rFonts w:cs="Times New Roman"/>
        </w:rPr>
        <w:t>). Additionally, the MDV experiences long periods of sustained light and dark, due to its extreme southern latitude, and high levels of UV-A and UV-B radiation from thinning in the ozone layer (</w:t>
      </w:r>
      <w:hyperlink r:id="rId21" w:anchor="ref38" w:history="1">
        <w:r w:rsidRPr="00BB6824">
          <w:rPr>
            <w:rStyle w:val="Hyperlink"/>
            <w:rFonts w:ascii="Times New Roman" w:hAnsi="Times New Roman" w:cs="Times New Roman"/>
          </w:rPr>
          <w:t>Frederick and Snell, 1988</w:t>
        </w:r>
      </w:hyperlink>
      <w:r w:rsidRPr="00BB6824">
        <w:rPr>
          <w:rFonts w:cs="Times New Roman"/>
        </w:rPr>
        <w:t>).</w:t>
      </w:r>
    </w:p>
    <w:p w14:paraId="6C3A9958" w14:textId="77777777" w:rsidR="007645DA" w:rsidRPr="00BB6824" w:rsidRDefault="007645DA" w:rsidP="001A14AF">
      <w:pPr>
        <w:rPr>
          <w:rFonts w:cs="Times New Roman"/>
        </w:rPr>
      </w:pPr>
      <w:r w:rsidRPr="00BB6824">
        <w:rPr>
          <w:rFonts w:cs="Times New Roman"/>
        </w:rPr>
        <w:t>Antarctic microbial mats provide a unique system for studying the effects of UV radiation and other adaptations due to their high biomass compared to other microbial niches within the MDV (</w:t>
      </w:r>
      <w:hyperlink r:id="rId22" w:anchor="ref31" w:history="1">
        <w:r w:rsidRPr="00BB6824">
          <w:rPr>
            <w:rStyle w:val="Hyperlink"/>
            <w:rFonts w:ascii="Times New Roman" w:hAnsi="Times New Roman" w:cs="Times New Roman"/>
          </w:rPr>
          <w:t>Davey and Clarke, 1992</w:t>
        </w:r>
      </w:hyperlink>
      <w:r w:rsidRPr="00BB6824">
        <w:rPr>
          <w:rFonts w:cs="Times New Roman"/>
        </w:rPr>
        <w:t xml:space="preserve">). The formation of these communities is reliant on photosynthetic cyanobacteria, including either </w:t>
      </w:r>
      <w:r w:rsidRPr="00BB6824">
        <w:rPr>
          <w:rFonts w:cs="Times New Roman"/>
          <w:i/>
          <w:iCs/>
        </w:rPr>
        <w:t>Nostoc</w:t>
      </w:r>
      <w:r w:rsidRPr="00BB6824">
        <w:rPr>
          <w:rFonts w:cs="Times New Roman"/>
        </w:rPr>
        <w:t xml:space="preserve"> species or </w:t>
      </w:r>
      <w:r w:rsidRPr="00BB6824">
        <w:rPr>
          <w:rFonts w:cs="Times New Roman"/>
          <w:i/>
          <w:iCs/>
        </w:rPr>
        <w:t>Phormidium</w:t>
      </w:r>
      <w:r w:rsidRPr="00BB6824">
        <w:rPr>
          <w:rFonts w:cs="Times New Roman"/>
        </w:rPr>
        <w:t xml:space="preserve"> and </w:t>
      </w:r>
      <w:r w:rsidRPr="00BB6824">
        <w:rPr>
          <w:rFonts w:cs="Times New Roman"/>
          <w:i/>
          <w:iCs/>
        </w:rPr>
        <w:t>Oscillatoria</w:t>
      </w:r>
      <w:r w:rsidRPr="00BB6824">
        <w:rPr>
          <w:rFonts w:cs="Times New Roman"/>
        </w:rPr>
        <w:t xml:space="preserve"> species, depending on the geomorphology and hydrology of the niche (</w:t>
      </w:r>
      <w:hyperlink r:id="rId23" w:anchor="ref3" w:history="1">
        <w:r w:rsidRPr="00BB6824">
          <w:rPr>
            <w:rStyle w:val="Hyperlink"/>
            <w:rFonts w:ascii="Times New Roman" w:hAnsi="Times New Roman" w:cs="Times New Roman"/>
          </w:rPr>
          <w:t>Alger et al., 1997</w:t>
        </w:r>
      </w:hyperlink>
      <w:r w:rsidRPr="00BB6824">
        <w:rPr>
          <w:rFonts w:cs="Times New Roman"/>
        </w:rPr>
        <w:t>). Other photosynthetic organisms, such as green algae and diatoms, can be found in Antarctic mats, as well as heterotrophic bacteria and microscopic invertebrates (</w:t>
      </w:r>
      <w:hyperlink r:id="rId24" w:anchor="ref7" w:history="1">
        <w:r w:rsidRPr="00BB6824">
          <w:rPr>
            <w:rStyle w:val="Hyperlink"/>
            <w:rFonts w:ascii="Times New Roman" w:hAnsi="Times New Roman" w:cs="Times New Roman"/>
          </w:rPr>
          <w:t>Andriuzzi et al., 2018</w:t>
        </w:r>
      </w:hyperlink>
      <w:r w:rsidRPr="00BB6824">
        <w:rPr>
          <w:rFonts w:cs="Times New Roman"/>
        </w:rPr>
        <w:t xml:space="preserve">). Microbial mats that occupy perennial stream channels and shallow ponds are particularly exposed to extremes of seasonal variation and experience fluctuations in meltwater flow from glaciers due to changes in </w:t>
      </w:r>
      <w:r w:rsidRPr="00BB6824">
        <w:rPr>
          <w:rFonts w:cs="Times New Roman"/>
        </w:rPr>
        <w:lastRenderedPageBreak/>
        <w:t>temperature and solar angle, which in turn can lead to changes in nutrient availability and community structure (</w:t>
      </w:r>
      <w:hyperlink r:id="rId25" w:anchor="ref146" w:history="1">
        <w:r w:rsidRPr="00BB6824">
          <w:rPr>
            <w:rStyle w:val="Hyperlink"/>
            <w:rFonts w:ascii="Times New Roman" w:hAnsi="Times New Roman" w:cs="Times New Roman"/>
          </w:rPr>
          <w:t>Zoumplis et al., 2023</w:t>
        </w:r>
      </w:hyperlink>
      <w:r w:rsidRPr="00BB6824">
        <w:rPr>
          <w:rFonts w:cs="Times New Roman"/>
        </w:rPr>
        <w:t>). In the winter, communities are exposed to months of darkness, desiccation, and subzero temperatures. MDV mats in stream channels and surface ponds lie dormant for ~10 months of the year due to the lack of water and sunlight, followed by rapid reactivation in response to rehydration by glacial meltwater (</w:t>
      </w:r>
      <w:hyperlink r:id="rId26" w:anchor="ref76" w:history="1">
        <w:r w:rsidRPr="00BB6824">
          <w:rPr>
            <w:rStyle w:val="Hyperlink"/>
            <w:rFonts w:ascii="Times New Roman" w:hAnsi="Times New Roman" w:cs="Times New Roman"/>
          </w:rPr>
          <w:t>McKnight et al., 2007</w:t>
        </w:r>
      </w:hyperlink>
      <w:r w:rsidRPr="00BB6824">
        <w:rPr>
          <w:rFonts w:cs="Times New Roman"/>
        </w:rPr>
        <w:t xml:space="preserve">). In addition to freezing and dehydration, MDV mats are exposed to intense ultraviolet (UV) radiation. This UV exposure causes DNA damage and the production of reactive oxygen species (ROS; </w:t>
      </w:r>
      <w:hyperlink r:id="rId27" w:anchor="ref17" w:history="1">
        <w:r w:rsidRPr="00BB6824">
          <w:rPr>
            <w:rStyle w:val="Hyperlink"/>
            <w:rFonts w:ascii="Times New Roman" w:hAnsi="Times New Roman" w:cs="Times New Roman"/>
          </w:rPr>
          <w:t>Castenholz and Garcia-Pichel, 2012</w:t>
        </w:r>
      </w:hyperlink>
      <w:r w:rsidRPr="00BB6824">
        <w:rPr>
          <w:rFonts w:cs="Times New Roman"/>
        </w:rPr>
        <w:t>). UV radiation has been proposed as a major limiting factor on growth for communities within the MDV (</w:t>
      </w:r>
      <w:hyperlink r:id="rId28" w:anchor="ref127" w:history="1">
        <w:r w:rsidRPr="00BB6824">
          <w:rPr>
            <w:rStyle w:val="Hyperlink"/>
            <w:rFonts w:ascii="Times New Roman" w:hAnsi="Times New Roman" w:cs="Times New Roman"/>
          </w:rPr>
          <w:t>Tosi et al., 2005</w:t>
        </w:r>
      </w:hyperlink>
      <w:r w:rsidRPr="00BB6824">
        <w:rPr>
          <w:rFonts w:cs="Times New Roman"/>
        </w:rPr>
        <w:t>).</w:t>
      </w:r>
    </w:p>
    <w:p w14:paraId="13465AFD" w14:textId="4A5C7633" w:rsidR="007645DA" w:rsidRPr="00BB6824" w:rsidRDefault="007645DA" w:rsidP="00562BA2">
      <w:pPr>
        <w:rPr>
          <w:rFonts w:cs="Times New Roman"/>
        </w:rPr>
      </w:pPr>
      <w:r w:rsidRPr="00BB6824">
        <w:rPr>
          <w:rFonts w:cs="Times New Roman"/>
        </w:rPr>
        <w:t>Microbial mats are scattered throughout the MDV, largely concentrated in meltwater streams and lake margins (</w:t>
      </w:r>
      <w:hyperlink r:id="rId29" w:anchor="ref92" w:history="1">
        <w:r w:rsidRPr="00BB6824">
          <w:rPr>
            <w:rStyle w:val="Hyperlink"/>
            <w:rFonts w:ascii="Times New Roman" w:hAnsi="Times New Roman" w:cs="Times New Roman"/>
          </w:rPr>
          <w:t>Power et al., 2020</w:t>
        </w:r>
      </w:hyperlink>
      <w:r w:rsidRPr="00BB6824">
        <w:rPr>
          <w:rFonts w:cs="Times New Roman"/>
        </w:rPr>
        <w:t>) that wax and wane in volume in response to climate (</w:t>
      </w:r>
      <w:hyperlink r:id="rId30" w:anchor="ref79" w:history="1">
        <w:r w:rsidRPr="00BB6824">
          <w:rPr>
            <w:rStyle w:val="Hyperlink"/>
            <w:rFonts w:ascii="Times New Roman" w:hAnsi="Times New Roman" w:cs="Times New Roman"/>
          </w:rPr>
          <w:t>Mikucki et al., 2010</w:t>
        </w:r>
      </w:hyperlink>
      <w:r w:rsidRPr="00BB6824">
        <w:rPr>
          <w:rFonts w:cs="Times New Roman"/>
        </w:rPr>
        <w:t>). Within the South Fork of the Wright Valley is a near-saturated CaCl</w:t>
      </w:r>
      <w:r w:rsidRPr="00BB6824">
        <w:rPr>
          <w:rFonts w:cs="Times New Roman"/>
          <w:vertAlign w:val="subscript"/>
        </w:rPr>
        <w:t>2</w:t>
      </w:r>
      <w:r w:rsidRPr="00BB6824">
        <w:rPr>
          <w:rFonts w:cs="Times New Roman"/>
        </w:rPr>
        <w:t xml:space="preserve"> brine pond, known as Don Juan Pond (DJP). DJP is bounded to the west by a rock glacier, which provides a source of meltwater to the basin (</w:t>
      </w:r>
      <w:r w:rsidR="00BB6824" w:rsidRPr="00CB2D3C">
        <w:rPr>
          <w:rFonts w:cs="Times New Roman"/>
          <w:b/>
          <w:bCs/>
        </w:rPr>
        <w:t xml:space="preserve">Figure </w:t>
      </w:r>
      <w:hyperlink r:id="rId31" w:anchor="fig1" w:history="1">
        <w:r w:rsidR="00BB6824" w:rsidRPr="00CB2D3C">
          <w:rPr>
            <w:rStyle w:val="Hyperlink"/>
            <w:rFonts w:ascii="Times New Roman" w:hAnsi="Times New Roman" w:cs="Times New Roman"/>
            <w:b/>
            <w:bCs/>
          </w:rPr>
          <w:t>2.1</w:t>
        </w:r>
      </w:hyperlink>
      <w:r w:rsidR="00954AAF">
        <w:t xml:space="preserve">; </w:t>
      </w:r>
      <w:r w:rsidR="00954AAF" w:rsidRPr="00954AAF">
        <w:t xml:space="preserve">tables and figures in this chapter can be found </w:t>
      </w:r>
      <w:r w:rsidR="00724E7D">
        <w:t xml:space="preserve">in the </w:t>
      </w:r>
      <w:r w:rsidR="00724E7D" w:rsidRPr="008420A0">
        <w:rPr>
          <w:b/>
          <w:bCs/>
        </w:rPr>
        <w:t>Chapter Two Appendix</w:t>
      </w:r>
      <w:r w:rsidRPr="00BB6824">
        <w:rPr>
          <w:rFonts w:cs="Times New Roman"/>
        </w:rPr>
        <w:t>). While there are conflicting reports regarding the habitability of the brine (</w:t>
      </w:r>
      <w:hyperlink r:id="rId32" w:anchor="ref126" w:history="1">
        <w:r w:rsidRPr="00BB6824">
          <w:rPr>
            <w:rStyle w:val="Hyperlink"/>
            <w:rFonts w:ascii="Times New Roman" w:hAnsi="Times New Roman" w:cs="Times New Roman"/>
          </w:rPr>
          <w:t>Toner et al., 2017</w:t>
        </w:r>
      </w:hyperlink>
      <w:r w:rsidRPr="00BB6824">
        <w:rPr>
          <w:rFonts w:cs="Times New Roman"/>
        </w:rPr>
        <w:t>), the DJP basin hosts a dense microbial mat that borders the rock glacier (</w:t>
      </w:r>
      <w:hyperlink r:id="rId33" w:anchor="fig1" w:history="1">
        <w:r w:rsidRPr="00CB2D3C">
          <w:rPr>
            <w:rStyle w:val="Hyperlink"/>
            <w:rFonts w:ascii="Times New Roman" w:hAnsi="Times New Roman" w:cs="Times New Roman"/>
            <w:b/>
            <w:bCs/>
          </w:rPr>
          <w:t xml:space="preserve">Figure </w:t>
        </w:r>
        <w:r w:rsidR="00BB6824" w:rsidRPr="00CB2D3C">
          <w:rPr>
            <w:rStyle w:val="Hyperlink"/>
            <w:rFonts w:ascii="Times New Roman" w:hAnsi="Times New Roman" w:cs="Times New Roman"/>
            <w:b/>
            <w:bCs/>
          </w:rPr>
          <w:t>2.1</w:t>
        </w:r>
        <w:r w:rsidRPr="00CB2D3C">
          <w:rPr>
            <w:rStyle w:val="Hyperlink"/>
            <w:rFonts w:ascii="Times New Roman" w:hAnsi="Times New Roman" w:cs="Times New Roman"/>
            <w:b/>
            <w:bCs/>
          </w:rPr>
          <w:t>B</w:t>
        </w:r>
      </w:hyperlink>
      <w:r w:rsidRPr="00BB6824">
        <w:rPr>
          <w:rFonts w:cs="Times New Roman"/>
        </w:rPr>
        <w:t>). This mat was first described as approximately 500–600 m</w:t>
      </w:r>
      <w:r w:rsidRPr="00BB6824">
        <w:rPr>
          <w:rFonts w:cs="Times New Roman"/>
          <w:vertAlign w:val="superscript"/>
        </w:rPr>
        <w:t>2</w:t>
      </w:r>
      <w:r w:rsidRPr="00BB6824">
        <w:rPr>
          <w:rFonts w:cs="Times New Roman"/>
        </w:rPr>
        <w:t xml:space="preserve"> and 2–5 mm thick (</w:t>
      </w:r>
      <w:hyperlink r:id="rId34" w:anchor="ref112" w:history="1">
        <w:r w:rsidRPr="00BB6824">
          <w:rPr>
            <w:rStyle w:val="Hyperlink"/>
            <w:rFonts w:ascii="Times New Roman" w:hAnsi="Times New Roman" w:cs="Times New Roman"/>
          </w:rPr>
          <w:t>Siegel et al., 1979</w:t>
        </w:r>
      </w:hyperlink>
      <w:r w:rsidRPr="00BB6824">
        <w:rPr>
          <w:rFonts w:cs="Times New Roman"/>
        </w:rPr>
        <w:t xml:space="preserve">). Microscopic investigation of the mat revealed an abundance of cyanobacteria phenotypically similar to </w:t>
      </w:r>
      <w:r w:rsidRPr="00BB6824">
        <w:rPr>
          <w:rFonts w:cs="Times New Roman"/>
          <w:i/>
          <w:iCs/>
        </w:rPr>
        <w:t>Oscillatoria</w:t>
      </w:r>
      <w:r w:rsidRPr="00BB6824">
        <w:rPr>
          <w:rFonts w:cs="Times New Roman"/>
        </w:rPr>
        <w:t xml:space="preserve">, in addition to the green algae </w:t>
      </w:r>
      <w:r w:rsidRPr="00BB6824">
        <w:rPr>
          <w:rFonts w:cs="Times New Roman"/>
          <w:i/>
          <w:iCs/>
        </w:rPr>
        <w:t>Chlorella</w:t>
      </w:r>
      <w:r w:rsidRPr="00BB6824">
        <w:rPr>
          <w:rFonts w:cs="Times New Roman"/>
        </w:rPr>
        <w:t xml:space="preserve"> and </w:t>
      </w:r>
      <w:r w:rsidRPr="00BB6824">
        <w:rPr>
          <w:rFonts w:cs="Times New Roman"/>
          <w:i/>
          <w:iCs/>
        </w:rPr>
        <w:t>Dunaliella</w:t>
      </w:r>
      <w:r w:rsidRPr="00BB6824">
        <w:rPr>
          <w:rFonts w:cs="Times New Roman"/>
        </w:rPr>
        <w:t>, diatoms, invertebrates, and bacteria (</w:t>
      </w:r>
      <w:hyperlink r:id="rId35" w:anchor="ref113" w:history="1">
        <w:r w:rsidRPr="00BB6824">
          <w:rPr>
            <w:rStyle w:val="Hyperlink"/>
            <w:rFonts w:ascii="Times New Roman" w:hAnsi="Times New Roman" w:cs="Times New Roman"/>
          </w:rPr>
          <w:t>Siegel et al., 1983</w:t>
        </w:r>
      </w:hyperlink>
      <w:r w:rsidRPr="00BB6824">
        <w:rPr>
          <w:rFonts w:cs="Times New Roman"/>
        </w:rPr>
        <w:t>). The extent to which the saturated brine of DJP might influence the mat is currently unknown, though it is possible that dried salts are deposited in the mat by aeolian processes (</w:t>
      </w:r>
      <w:hyperlink r:id="rId36" w:anchor="ref33" w:history="1">
        <w:r w:rsidRPr="00BB6824">
          <w:rPr>
            <w:rStyle w:val="Hyperlink"/>
            <w:rFonts w:ascii="Times New Roman" w:hAnsi="Times New Roman" w:cs="Times New Roman"/>
          </w:rPr>
          <w:t>Diaz et al., 2018</w:t>
        </w:r>
      </w:hyperlink>
      <w:r w:rsidRPr="00BB6824">
        <w:rPr>
          <w:rFonts w:cs="Times New Roman"/>
        </w:rPr>
        <w:t>).</w:t>
      </w:r>
    </w:p>
    <w:p w14:paraId="62D9C720" w14:textId="59E8EDCC" w:rsidR="007645DA" w:rsidRPr="00BB6824" w:rsidRDefault="007645DA" w:rsidP="00562BA2">
      <w:pPr>
        <w:tabs>
          <w:tab w:val="left" w:pos="3416"/>
        </w:tabs>
        <w:rPr>
          <w:rFonts w:cs="Times New Roman"/>
        </w:rPr>
      </w:pPr>
      <w:r w:rsidRPr="00BB6824">
        <w:rPr>
          <w:rFonts w:cs="Times New Roman"/>
        </w:rPr>
        <w:t xml:space="preserve">The genus </w:t>
      </w:r>
      <w:r w:rsidRPr="00BB6824">
        <w:rPr>
          <w:rFonts w:cs="Times New Roman"/>
          <w:i/>
          <w:iCs/>
        </w:rPr>
        <w:t>Massilia</w:t>
      </w:r>
      <w:r w:rsidRPr="00BB6824">
        <w:rPr>
          <w:rFonts w:cs="Times New Roman"/>
        </w:rPr>
        <w:t xml:space="preserve"> was first described in 1998 in a report on the isolation of </w:t>
      </w:r>
      <w:r w:rsidRPr="00BB6824">
        <w:rPr>
          <w:rFonts w:cs="Times New Roman"/>
          <w:i/>
          <w:iCs/>
        </w:rPr>
        <w:t>Massilia timonae</w:t>
      </w:r>
      <w:r w:rsidRPr="00BB6824">
        <w:rPr>
          <w:rFonts w:cs="Times New Roman"/>
        </w:rPr>
        <w:t xml:space="preserve"> from the blood sample of an immunocompromised patient (</w:t>
      </w:r>
      <w:hyperlink r:id="rId37" w:anchor="ref63" w:history="1">
        <w:r w:rsidRPr="00BB6824">
          <w:rPr>
            <w:rStyle w:val="Hyperlink"/>
            <w:rFonts w:ascii="Times New Roman" w:hAnsi="Times New Roman" w:cs="Times New Roman"/>
          </w:rPr>
          <w:t>La Scola et al., 1998</w:t>
        </w:r>
      </w:hyperlink>
      <w:r w:rsidRPr="00BB6824">
        <w:rPr>
          <w:rFonts w:cs="Times New Roman"/>
        </w:rPr>
        <w:t xml:space="preserve">). The genus belongs to the </w:t>
      </w:r>
      <w:r w:rsidRPr="00173169">
        <w:rPr>
          <w:rFonts w:cs="Times New Roman"/>
          <w:i/>
          <w:iCs/>
        </w:rPr>
        <w:t>Oxalobateraceae</w:t>
      </w:r>
      <w:r w:rsidRPr="00BB6824">
        <w:rPr>
          <w:rFonts w:cs="Times New Roman"/>
        </w:rPr>
        <w:t xml:space="preserve"> family and to date includes 61 validly published species (January 2023</w:t>
      </w:r>
      <w:r w:rsidR="00CA5EBF" w:rsidRPr="00BB6824">
        <w:rPr>
          <w:rFonts w:cs="Times New Roman"/>
        </w:rPr>
        <w:t xml:space="preserve">; </w:t>
      </w:r>
      <w:hyperlink r:id="rId38" w:history="1">
        <w:r w:rsidR="00CA5EBF" w:rsidRPr="00BB6824">
          <w:rPr>
            <w:rStyle w:val="Hyperlink"/>
            <w:rFonts w:ascii="Times New Roman" w:hAnsi="Times New Roman" w:cs="Times New Roman"/>
          </w:rPr>
          <w:t>https://lpsn.dsmz.de/genus/massilia</w:t>
        </w:r>
      </w:hyperlink>
      <w:r w:rsidR="00CA5EBF" w:rsidRPr="00BB6824">
        <w:rPr>
          <w:rFonts w:cs="Times New Roman"/>
        </w:rPr>
        <w:t>).</w:t>
      </w:r>
      <w:r w:rsidRPr="00BB6824">
        <w:rPr>
          <w:rFonts w:cs="Times New Roman"/>
        </w:rPr>
        <w:t xml:space="preserve"> </w:t>
      </w:r>
      <w:r w:rsidRPr="00BB6824">
        <w:rPr>
          <w:rFonts w:cs="Times New Roman"/>
          <w:i/>
          <w:iCs/>
        </w:rPr>
        <w:t>Massilia</w:t>
      </w:r>
      <w:r w:rsidRPr="00BB6824">
        <w:rPr>
          <w:rFonts w:cs="Times New Roman"/>
        </w:rPr>
        <w:t xml:space="preserve"> species have been isolated from disparate environments across the globe and have been </w:t>
      </w:r>
      <w:r w:rsidRPr="00BB6824">
        <w:rPr>
          <w:rFonts w:cs="Times New Roman"/>
        </w:rPr>
        <w:lastRenderedPageBreak/>
        <w:t>implicated in human disease (</w:t>
      </w:r>
      <w:hyperlink r:id="rId39" w:anchor="ref63" w:history="1">
        <w:r w:rsidRPr="00BB6824">
          <w:rPr>
            <w:rStyle w:val="Hyperlink"/>
            <w:rFonts w:ascii="Times New Roman" w:hAnsi="Times New Roman" w:cs="Times New Roman"/>
          </w:rPr>
          <w:t>La Scola et al., 1998</w:t>
        </w:r>
      </w:hyperlink>
      <w:r w:rsidRPr="00BB6824">
        <w:rPr>
          <w:rFonts w:cs="Times New Roman"/>
        </w:rPr>
        <w:t xml:space="preserve">; </w:t>
      </w:r>
      <w:hyperlink r:id="rId40" w:anchor="ref131" w:history="1">
        <w:r w:rsidRPr="00BB6824">
          <w:rPr>
            <w:rStyle w:val="Hyperlink"/>
            <w:rFonts w:ascii="Times New Roman" w:hAnsi="Times New Roman" w:cs="Times New Roman"/>
          </w:rPr>
          <w:t>Van Craenenbroeck et al., 2011</w:t>
        </w:r>
      </w:hyperlink>
      <w:r w:rsidRPr="00BB6824">
        <w:rPr>
          <w:rFonts w:cs="Times New Roman"/>
        </w:rPr>
        <w:t xml:space="preserve">; </w:t>
      </w:r>
      <w:hyperlink r:id="rId41" w:anchor="ref55" w:history="1">
        <w:r w:rsidRPr="00BB6824">
          <w:rPr>
            <w:rStyle w:val="Hyperlink"/>
            <w:rFonts w:ascii="Times New Roman" w:hAnsi="Times New Roman" w:cs="Times New Roman"/>
          </w:rPr>
          <w:t>Kämpfer et al., 2012</w:t>
        </w:r>
      </w:hyperlink>
      <w:r w:rsidRPr="00BB6824">
        <w:rPr>
          <w:rFonts w:cs="Times New Roman"/>
        </w:rPr>
        <w:t xml:space="preserve">; </w:t>
      </w:r>
      <w:hyperlink r:id="rId42" w:anchor="ref21" w:history="1">
        <w:r w:rsidRPr="00BB6824">
          <w:rPr>
            <w:rStyle w:val="Hyperlink"/>
            <w:rFonts w:ascii="Times New Roman" w:hAnsi="Times New Roman" w:cs="Times New Roman"/>
          </w:rPr>
          <w:t>Chiquet et al., 2015</w:t>
        </w:r>
      </w:hyperlink>
      <w:r w:rsidRPr="00BB6824">
        <w:rPr>
          <w:rFonts w:cs="Times New Roman"/>
        </w:rPr>
        <w:t xml:space="preserve">) and as a common member of rhizosphere communities of </w:t>
      </w:r>
      <w:r w:rsidRPr="00BB6824">
        <w:rPr>
          <w:rFonts w:cs="Times New Roman"/>
          <w:i/>
          <w:iCs/>
        </w:rPr>
        <w:t>Arabidopsis</w:t>
      </w:r>
      <w:r w:rsidRPr="00BB6824">
        <w:rPr>
          <w:rFonts w:cs="Times New Roman"/>
        </w:rPr>
        <w:t xml:space="preserve"> (</w:t>
      </w:r>
      <w:hyperlink r:id="rId43" w:anchor="ref124" w:history="1">
        <w:r w:rsidRPr="00BB6824">
          <w:rPr>
            <w:rStyle w:val="Hyperlink"/>
            <w:rFonts w:ascii="Times New Roman" w:hAnsi="Times New Roman" w:cs="Times New Roman"/>
          </w:rPr>
          <w:t>Tkacz et al., 2015</w:t>
        </w:r>
      </w:hyperlink>
      <w:r w:rsidRPr="00BB6824">
        <w:rPr>
          <w:rFonts w:cs="Times New Roman"/>
        </w:rPr>
        <w:t>) and wheat (</w:t>
      </w:r>
      <w:hyperlink r:id="rId44" w:anchor="ref105" w:history="1">
        <w:r w:rsidRPr="00BB6824">
          <w:rPr>
            <w:rStyle w:val="Hyperlink"/>
            <w:rFonts w:ascii="Times New Roman" w:hAnsi="Times New Roman" w:cs="Times New Roman"/>
          </w:rPr>
          <w:t>Schlatter et al., 2020</w:t>
        </w:r>
      </w:hyperlink>
      <w:r w:rsidRPr="00BB6824">
        <w:rPr>
          <w:rFonts w:cs="Times New Roman"/>
        </w:rPr>
        <w:t xml:space="preserve">). Rhizosphere </w:t>
      </w:r>
      <w:r w:rsidRPr="00BB6824">
        <w:rPr>
          <w:rFonts w:cs="Times New Roman"/>
          <w:i/>
          <w:iCs/>
        </w:rPr>
        <w:t>Massilia</w:t>
      </w:r>
      <w:r w:rsidRPr="00BB6824">
        <w:rPr>
          <w:rFonts w:cs="Times New Roman"/>
        </w:rPr>
        <w:t xml:space="preserve"> are of interest due to their possible role in plant development through the production of phytohormones and solubilization of phosphates, among other activities (</w:t>
      </w:r>
      <w:hyperlink r:id="rId45" w:anchor="ref86" w:history="1">
        <w:r w:rsidRPr="00BB6824">
          <w:rPr>
            <w:rStyle w:val="Hyperlink"/>
            <w:rFonts w:ascii="Times New Roman" w:hAnsi="Times New Roman" w:cs="Times New Roman"/>
          </w:rPr>
          <w:t>Ofek et al., 2012</w:t>
        </w:r>
      </w:hyperlink>
      <w:r w:rsidRPr="00BB6824">
        <w:rPr>
          <w:rFonts w:cs="Times New Roman"/>
        </w:rPr>
        <w:t xml:space="preserve">; </w:t>
      </w:r>
      <w:hyperlink r:id="rId46" w:anchor="ref105" w:history="1">
        <w:r w:rsidRPr="00BB6824">
          <w:rPr>
            <w:rStyle w:val="Hyperlink"/>
            <w:rFonts w:ascii="Times New Roman" w:hAnsi="Times New Roman" w:cs="Times New Roman"/>
          </w:rPr>
          <w:t>Schlatter et al., 2020</w:t>
        </w:r>
      </w:hyperlink>
      <w:r w:rsidRPr="00BB6824">
        <w:rPr>
          <w:rFonts w:cs="Times New Roman"/>
        </w:rPr>
        <w:t xml:space="preserve">). Several </w:t>
      </w:r>
      <w:r w:rsidRPr="00BB6824">
        <w:rPr>
          <w:rFonts w:cs="Times New Roman"/>
          <w:i/>
          <w:iCs/>
        </w:rPr>
        <w:t>Massilia</w:t>
      </w:r>
      <w:r w:rsidRPr="00BB6824">
        <w:rPr>
          <w:rFonts w:cs="Times New Roman"/>
        </w:rPr>
        <w:t xml:space="preserve"> have also been isolated from the cryosphere, including from Arctic (</w:t>
      </w:r>
      <w:hyperlink r:id="rId47" w:anchor="ref117" w:history="1">
        <w:r w:rsidRPr="00BB6824">
          <w:rPr>
            <w:rStyle w:val="Hyperlink"/>
            <w:rFonts w:ascii="Times New Roman" w:hAnsi="Times New Roman" w:cs="Times New Roman"/>
          </w:rPr>
          <w:t>Son et al., 2021</w:t>
        </w:r>
      </w:hyperlink>
      <w:r w:rsidRPr="00BB6824">
        <w:rPr>
          <w:rFonts w:cs="Times New Roman"/>
        </w:rPr>
        <w:t xml:space="preserve">; </w:t>
      </w:r>
      <w:hyperlink r:id="rId48" w:anchor="ref28" w:history="1">
        <w:r w:rsidRPr="00BB6824">
          <w:rPr>
            <w:rStyle w:val="Hyperlink"/>
            <w:rFonts w:ascii="Times New Roman" w:hAnsi="Times New Roman" w:cs="Times New Roman"/>
          </w:rPr>
          <w:t>Dahal et al., 2021a</w:t>
        </w:r>
      </w:hyperlink>
      <w:r w:rsidRPr="00BB6824">
        <w:rPr>
          <w:rFonts w:cs="Times New Roman"/>
        </w:rPr>
        <w:t>), Antarctic (</w:t>
      </w:r>
      <w:hyperlink r:id="rId49" w:anchor="ref53" w:history="1">
        <w:r w:rsidRPr="00BB6824">
          <w:rPr>
            <w:rStyle w:val="Hyperlink"/>
            <w:rFonts w:ascii="Times New Roman" w:hAnsi="Times New Roman" w:cs="Times New Roman"/>
          </w:rPr>
          <w:t>Holochová et al., 2020</w:t>
        </w:r>
      </w:hyperlink>
      <w:r w:rsidRPr="00BB6824">
        <w:rPr>
          <w:rFonts w:cs="Times New Roman"/>
        </w:rPr>
        <w:t xml:space="preserve">; </w:t>
      </w:r>
      <w:hyperlink r:id="rId50" w:anchor="ref107" w:history="1">
        <w:r w:rsidRPr="00BB6824">
          <w:rPr>
            <w:rStyle w:val="Hyperlink"/>
            <w:rFonts w:ascii="Times New Roman" w:hAnsi="Times New Roman" w:cs="Times New Roman"/>
          </w:rPr>
          <w:t>Sedláček et al., 2022</w:t>
        </w:r>
      </w:hyperlink>
      <w:r w:rsidRPr="00BB6824">
        <w:rPr>
          <w:rFonts w:cs="Times New Roman"/>
        </w:rPr>
        <w:t>), and alpine regions (</w:t>
      </w:r>
      <w:hyperlink r:id="rId51" w:anchor="ref110" w:history="1">
        <w:r w:rsidRPr="00BB6824">
          <w:rPr>
            <w:rStyle w:val="Hyperlink"/>
            <w:rFonts w:ascii="Times New Roman" w:hAnsi="Times New Roman" w:cs="Times New Roman"/>
          </w:rPr>
          <w:t>Shen et al., 2013</w:t>
        </w:r>
      </w:hyperlink>
      <w:r w:rsidRPr="00BB6824">
        <w:rPr>
          <w:rFonts w:cs="Times New Roman"/>
        </w:rPr>
        <w:t xml:space="preserve">, </w:t>
      </w:r>
      <w:hyperlink r:id="rId52" w:anchor="ref109" w:history="1">
        <w:r w:rsidRPr="00BB6824">
          <w:rPr>
            <w:rStyle w:val="Hyperlink"/>
            <w:rFonts w:ascii="Times New Roman" w:hAnsi="Times New Roman" w:cs="Times New Roman"/>
          </w:rPr>
          <w:t>2015</w:t>
        </w:r>
      </w:hyperlink>
      <w:r w:rsidRPr="00BB6824">
        <w:rPr>
          <w:rFonts w:cs="Times New Roman"/>
        </w:rPr>
        <w:t xml:space="preserve">; </w:t>
      </w:r>
      <w:hyperlink r:id="rId53" w:anchor="ref46" w:history="1">
        <w:r w:rsidRPr="00BB6824">
          <w:rPr>
            <w:rStyle w:val="Hyperlink"/>
            <w:rFonts w:ascii="Times New Roman" w:hAnsi="Times New Roman" w:cs="Times New Roman"/>
          </w:rPr>
          <w:t>Guo et al., 2016</w:t>
        </w:r>
      </w:hyperlink>
      <w:r w:rsidRPr="00BB6824">
        <w:rPr>
          <w:rFonts w:cs="Times New Roman"/>
        </w:rPr>
        <w:t xml:space="preserve">; </w:t>
      </w:r>
      <w:hyperlink r:id="rId54" w:anchor="ref44" w:history="1">
        <w:r w:rsidRPr="00BB6824">
          <w:rPr>
            <w:rStyle w:val="Hyperlink"/>
            <w:rFonts w:ascii="Times New Roman" w:hAnsi="Times New Roman" w:cs="Times New Roman"/>
          </w:rPr>
          <w:t>Gu et al., 2017</w:t>
        </w:r>
      </w:hyperlink>
      <w:r w:rsidRPr="00BB6824">
        <w:rPr>
          <w:rFonts w:cs="Times New Roman"/>
        </w:rPr>
        <w:t xml:space="preserve">; </w:t>
      </w:r>
      <w:hyperlink r:id="rId55" w:anchor="ref135" w:history="1">
        <w:r w:rsidRPr="00BB6824">
          <w:rPr>
            <w:rStyle w:val="Hyperlink"/>
            <w:rFonts w:ascii="Times New Roman" w:hAnsi="Times New Roman" w:cs="Times New Roman"/>
          </w:rPr>
          <w:t>Wang et al., 2018</w:t>
        </w:r>
      </w:hyperlink>
      <w:r w:rsidRPr="00BB6824">
        <w:rPr>
          <w:rFonts w:cs="Times New Roman"/>
        </w:rPr>
        <w:t>).</w:t>
      </w:r>
    </w:p>
    <w:p w14:paraId="57B9048B" w14:textId="77777777" w:rsidR="007645DA" w:rsidRPr="00BB6824" w:rsidRDefault="007645DA" w:rsidP="00562BA2">
      <w:pPr>
        <w:tabs>
          <w:tab w:val="left" w:pos="3416"/>
        </w:tabs>
        <w:rPr>
          <w:rFonts w:cs="Times New Roman"/>
        </w:rPr>
      </w:pPr>
      <w:r w:rsidRPr="00BB6824">
        <w:rPr>
          <w:rFonts w:cs="Times New Roman"/>
        </w:rPr>
        <w:t xml:space="preserve">While their ecological role in polar environments is not as well understood, </w:t>
      </w:r>
      <w:r w:rsidRPr="00BB6824">
        <w:rPr>
          <w:rFonts w:cs="Times New Roman"/>
          <w:i/>
          <w:iCs/>
        </w:rPr>
        <w:t>Massilia</w:t>
      </w:r>
      <w:r w:rsidRPr="00BB6824">
        <w:rPr>
          <w:rFonts w:cs="Times New Roman"/>
        </w:rPr>
        <w:t xml:space="preserve"> species have been detected in diverse Antarctic niches. For example, </w:t>
      </w:r>
      <w:r w:rsidRPr="00BB6824">
        <w:rPr>
          <w:rFonts w:cs="Times New Roman"/>
          <w:i/>
          <w:iCs/>
        </w:rPr>
        <w:t>Massilia</w:t>
      </w:r>
      <w:r w:rsidRPr="00BB6824">
        <w:rPr>
          <w:rFonts w:cs="Times New Roman"/>
        </w:rPr>
        <w:t xml:space="preserve"> ranged from 54 to 79% of culturable community members in both closed and open cryoconite holes in the Larsemann Hills, Dronning Maud Land, and Amery Ice Shelf regions (</w:t>
      </w:r>
      <w:hyperlink r:id="rId56" w:anchor="ref101" w:history="1">
        <w:r w:rsidRPr="00BB6824">
          <w:rPr>
            <w:rStyle w:val="Hyperlink"/>
            <w:rFonts w:ascii="Times New Roman" w:hAnsi="Times New Roman" w:cs="Times New Roman"/>
          </w:rPr>
          <w:t>Sanyal et al., 2018</w:t>
        </w:r>
      </w:hyperlink>
      <w:r w:rsidRPr="00BB6824">
        <w:rPr>
          <w:rFonts w:cs="Times New Roman"/>
        </w:rPr>
        <w:t xml:space="preserve">). </w:t>
      </w:r>
      <w:hyperlink r:id="rId57" w:anchor="ref116" w:history="1">
        <w:r w:rsidRPr="00BB6824">
          <w:rPr>
            <w:rStyle w:val="Hyperlink"/>
            <w:rFonts w:ascii="Times New Roman" w:hAnsi="Times New Roman" w:cs="Times New Roman"/>
          </w:rPr>
          <w:t>Sommers et al. (2019)</w:t>
        </w:r>
      </w:hyperlink>
      <w:r w:rsidRPr="00BB6824">
        <w:rPr>
          <w:rFonts w:cs="Times New Roman"/>
        </w:rPr>
        <w:t xml:space="preserve"> identified </w:t>
      </w:r>
      <w:r w:rsidRPr="00BB6824">
        <w:rPr>
          <w:rFonts w:cs="Times New Roman"/>
          <w:i/>
          <w:iCs/>
        </w:rPr>
        <w:t>Massilia</w:t>
      </w:r>
      <w:r w:rsidRPr="00BB6824">
        <w:rPr>
          <w:rFonts w:cs="Times New Roman"/>
        </w:rPr>
        <w:t xml:space="preserve"> as one of the ten most abundant sequences in cryoconite water collected from Taylor Glacier, a glacier within the MDV. These authors suggested that </w:t>
      </w:r>
      <w:r w:rsidRPr="00BB6824">
        <w:rPr>
          <w:rFonts w:cs="Times New Roman"/>
          <w:i/>
          <w:iCs/>
        </w:rPr>
        <w:t>Massilia</w:t>
      </w:r>
      <w:r w:rsidRPr="00BB6824">
        <w:rPr>
          <w:rFonts w:cs="Times New Roman"/>
        </w:rPr>
        <w:t xml:space="preserve"> may play a role in cryoconite colonization. </w:t>
      </w:r>
      <w:r w:rsidRPr="00BB6824">
        <w:rPr>
          <w:rFonts w:cs="Times New Roman"/>
          <w:i/>
          <w:iCs/>
        </w:rPr>
        <w:t>Massilia</w:t>
      </w:r>
      <w:r w:rsidRPr="00BB6824">
        <w:rPr>
          <w:rFonts w:cs="Times New Roman"/>
        </w:rPr>
        <w:t xml:space="preserve"> have also been isolated from microbial mats in both peninsular and continental Antarctica, including other ice-free regions such as the Schirmacher and Syowa Oasis (</w:t>
      </w:r>
      <w:hyperlink r:id="rId58" w:anchor="ref89" w:history="1">
        <w:r w:rsidRPr="00BB6824">
          <w:rPr>
            <w:rStyle w:val="Hyperlink"/>
            <w:rFonts w:ascii="Times New Roman" w:hAnsi="Times New Roman" w:cs="Times New Roman"/>
          </w:rPr>
          <w:t>Peeters et al., 2012</w:t>
        </w:r>
      </w:hyperlink>
      <w:r w:rsidRPr="00BB6824">
        <w:rPr>
          <w:rFonts w:cs="Times New Roman"/>
        </w:rPr>
        <w:t>).</w:t>
      </w:r>
    </w:p>
    <w:p w14:paraId="6D6B00B7" w14:textId="669476C2" w:rsidR="007645DA" w:rsidRPr="00BB6824" w:rsidRDefault="007645DA" w:rsidP="00562BA2">
      <w:pPr>
        <w:tabs>
          <w:tab w:val="left" w:pos="3416"/>
        </w:tabs>
        <w:rPr>
          <w:rFonts w:cs="Times New Roman"/>
        </w:rPr>
      </w:pPr>
      <w:r w:rsidRPr="00BB6824">
        <w:rPr>
          <w:rFonts w:cs="Times New Roman"/>
        </w:rPr>
        <w:t xml:space="preserve">Here we characterize a red-pigmented </w:t>
      </w:r>
      <w:r w:rsidRPr="00BB6824">
        <w:rPr>
          <w:rFonts w:cs="Times New Roman"/>
          <w:i/>
          <w:iCs/>
        </w:rPr>
        <w:t>Massilia</w:t>
      </w:r>
      <w:r w:rsidRPr="00BB6824">
        <w:rPr>
          <w:rFonts w:cs="Times New Roman"/>
        </w:rPr>
        <w:t xml:space="preserve"> species, strain DJPM01, isolated from the DJP microbial mat. We identified genomic evidence for environmental adaptations in strain DJPM01 and compared these findings with other Antarctic </w:t>
      </w:r>
      <w:r w:rsidRPr="00BB6824">
        <w:rPr>
          <w:rFonts w:cs="Times New Roman"/>
          <w:i/>
          <w:iCs/>
        </w:rPr>
        <w:t>Massilia</w:t>
      </w:r>
      <w:r w:rsidRPr="00BB6824">
        <w:rPr>
          <w:rFonts w:cs="Times New Roman"/>
        </w:rPr>
        <w:t xml:space="preserve"> species as well as the taxonomic distribution of secondary metabolite biosynthetic gene clusters (BGCs) within the </w:t>
      </w:r>
      <w:r w:rsidRPr="00BB6824">
        <w:rPr>
          <w:rFonts w:cs="Times New Roman"/>
          <w:i/>
          <w:iCs/>
        </w:rPr>
        <w:t>Massilia</w:t>
      </w:r>
      <w:r w:rsidRPr="00BB6824">
        <w:rPr>
          <w:rFonts w:cs="Times New Roman"/>
        </w:rPr>
        <w:t xml:space="preserve"> genus. We then analyzed cultures of strain DJPM01 for the presence and relative abundance of pigments when grown under ecologically relevant UV-A radiation exposure to further our understanding of microbial responses in extreme environments.</w:t>
      </w:r>
    </w:p>
    <w:p w14:paraId="42E9AEEB" w14:textId="1E080FE8" w:rsidR="00F420B3" w:rsidRPr="00BB6824" w:rsidRDefault="00F420B3" w:rsidP="001A14AF">
      <w:pPr>
        <w:pStyle w:val="Heading2"/>
        <w:spacing w:before="0" w:after="0"/>
      </w:pPr>
      <w:bookmarkStart w:id="107" w:name="_Toc196256868"/>
      <w:r w:rsidRPr="00BB6824">
        <w:lastRenderedPageBreak/>
        <w:t>Materials and Methods</w:t>
      </w:r>
      <w:bookmarkEnd w:id="107"/>
    </w:p>
    <w:p w14:paraId="0EA1D3FD" w14:textId="7B92876E" w:rsidR="007645DA" w:rsidRPr="00BB6824" w:rsidRDefault="007645DA" w:rsidP="001A14AF">
      <w:pPr>
        <w:pStyle w:val="Heading3"/>
        <w:spacing w:before="0" w:after="0"/>
      </w:pPr>
      <w:bookmarkStart w:id="108" w:name="_Toc196256869"/>
      <w:r w:rsidRPr="00BB6824">
        <w:t>Site description and sample collection</w:t>
      </w:r>
      <w:bookmarkEnd w:id="108"/>
    </w:p>
    <w:p w14:paraId="714E5039" w14:textId="28AC037B" w:rsidR="007645DA" w:rsidRPr="00BB6824" w:rsidRDefault="007645DA" w:rsidP="001A14AF">
      <w:pPr>
        <w:rPr>
          <w:rFonts w:cs="Times New Roman"/>
        </w:rPr>
      </w:pPr>
      <w:r w:rsidRPr="00BB6824">
        <w:rPr>
          <w:rFonts w:cs="Times New Roman"/>
        </w:rPr>
        <w:t xml:space="preserve">Samples of a microbial mat were collected in the South Fork of the Wright Valley at the terminus of a rock glacier in the Don Juan Pond (DJP) basin, Victoria Land, Antarctica (77.56293 S, 161.1751 E; </w:t>
      </w:r>
      <w:hyperlink r:id="rId59" w:anchor="fig1" w:history="1">
        <w:r w:rsidR="00BB6824" w:rsidRPr="00F13F6D">
          <w:rPr>
            <w:rStyle w:val="Hyperlink"/>
            <w:rFonts w:ascii="Times New Roman" w:hAnsi="Times New Roman" w:cs="Times New Roman"/>
            <w:b/>
            <w:bCs/>
          </w:rPr>
          <w:t>Figure</w:t>
        </w:r>
      </w:hyperlink>
      <w:r w:rsidR="00BB6824" w:rsidRPr="00F13F6D">
        <w:rPr>
          <w:rFonts w:cs="Times New Roman"/>
          <w:b/>
          <w:bCs/>
        </w:rPr>
        <w:t xml:space="preserve"> 2.1</w:t>
      </w:r>
      <w:r w:rsidRPr="00BB6824">
        <w:rPr>
          <w:rFonts w:cs="Times New Roman"/>
        </w:rPr>
        <w:t xml:space="preserve">). Mat material was collected on 5 December 2018 using individually wrapped sterile scoops (SP Bel-Art; Wayne, NJ) and transferred into sterile Whirl-Pak bags (Whirl-Pak; Madison, WI). </w:t>
      </w:r>
      <w:r w:rsidRPr="00BB6824">
        <w:rPr>
          <w:rFonts w:cs="Times New Roman"/>
          <w:i/>
          <w:iCs/>
        </w:rPr>
        <w:t>In situ</w:t>
      </w:r>
      <w:r w:rsidRPr="00BB6824">
        <w:rPr>
          <w:rFonts w:cs="Times New Roman"/>
        </w:rPr>
        <w:t xml:space="preserve"> temperature, pH, and salinity were measured at the time of collection using a vented Aqua TROLL 500 Multiparameter Sonde (</w:t>
      </w:r>
      <w:r w:rsidRPr="00BB6824">
        <w:rPr>
          <w:rFonts w:cs="Times New Roman"/>
          <w:i/>
          <w:iCs/>
        </w:rPr>
        <w:t>in-situ</w:t>
      </w:r>
      <w:r w:rsidRPr="00BB6824">
        <w:rPr>
          <w:rFonts w:cs="Times New Roman"/>
        </w:rPr>
        <w:t>), configured with pH/ORP, conductivity, rugged dissolved oxygen (RDO), and turbidity modules. Samples were stored and shipped cool (4°C) until later processing at the University of Tennessee Knoxville, TN, United States.</w:t>
      </w:r>
    </w:p>
    <w:p w14:paraId="64688734" w14:textId="625B3480" w:rsidR="007645DA" w:rsidRPr="00BB6824" w:rsidRDefault="007645DA" w:rsidP="001A14AF">
      <w:pPr>
        <w:pStyle w:val="Heading3"/>
        <w:spacing w:before="0" w:after="0"/>
      </w:pPr>
      <w:bookmarkStart w:id="109" w:name="_Toc196256870"/>
      <w:r w:rsidRPr="00BB6824">
        <w:t>Isolation and incubation conditions</w:t>
      </w:r>
      <w:bookmarkEnd w:id="109"/>
    </w:p>
    <w:p w14:paraId="1917B055" w14:textId="77777777" w:rsidR="007645DA" w:rsidRPr="00BB6824" w:rsidRDefault="007645DA" w:rsidP="001A14AF">
      <w:pPr>
        <w:rPr>
          <w:rFonts w:cs="Times New Roman"/>
        </w:rPr>
      </w:pPr>
      <w:r w:rsidRPr="00BB6824">
        <w:rPr>
          <w:rFonts w:cs="Times New Roman"/>
        </w:rPr>
        <w:t>Mat material was incubated in R2A broth (Difco; Becton, Dickinson and Company; Franklin, NJ) at ~10°C for 10 days, after which the broth was used to inoculate R2A agar plates (BD Difco; Franklin, NJ). Bright red-pigmented colonies appeared on the plate after 4 days of incubation at 10°C and were selected for further isolation through multiple restreaks on R2A agar. Gram staining and microscopy was performed on strain DJPM01 using the American Society of Microbiology Gram stain protocol (</w:t>
      </w:r>
      <w:hyperlink r:id="rId60" w:anchor="ref115" w:history="1">
        <w:r w:rsidRPr="00BB6824">
          <w:rPr>
            <w:rStyle w:val="Hyperlink"/>
            <w:rFonts w:ascii="Times New Roman" w:hAnsi="Times New Roman" w:cs="Times New Roman"/>
          </w:rPr>
          <w:t>Smith and Hussey, 2005</w:t>
        </w:r>
      </w:hyperlink>
      <w:r w:rsidRPr="00BB6824">
        <w:rPr>
          <w:rFonts w:cs="Times New Roman"/>
        </w:rPr>
        <w:t xml:space="preserve">) and observed with an Axio Imager M2 microscope (Zeiss; Oberkochen, Germany). Motility assays were conducted by spot inoculation of strain DJPM01 onto 0.5% agar R2A plates. To assess resistance to UV-C light, R2A agar plates of strain DJPM01 were prepared and exposed UV light (254 nm) as described by </w:t>
      </w:r>
      <w:hyperlink r:id="rId61" w:anchor="ref52" w:history="1">
        <w:r w:rsidRPr="00BB6824">
          <w:rPr>
            <w:rStyle w:val="Hyperlink"/>
            <w:rFonts w:ascii="Times New Roman" w:hAnsi="Times New Roman" w:cs="Times New Roman"/>
          </w:rPr>
          <w:t>Hirsch et al. (2004)</w:t>
        </w:r>
      </w:hyperlink>
      <w:r w:rsidRPr="00BB6824">
        <w:rPr>
          <w:rFonts w:cs="Times New Roman"/>
        </w:rPr>
        <w:t xml:space="preserve">. Plates were exposed for 10, 20, 30, 60, 120, and 300 s and left to incubate in the dark at 10°C for 10 days. Strain DJPM01 was incubated in R2A broth under a nitrogen headspace to test for anaerobic growth. To test the effects of temperature on the growth rate of strain DJPM01, incubations were performed in 96-well plates. Briefly, 180 μL R2A broth was aliquoted into each well. Strain DJPM01 was grown to late log phase and inoculated into 48 wells of a 96-plate (10% inoculum). Plates were incubated at 4, 10, 15, </w:t>
      </w:r>
      <w:r w:rsidRPr="00BB6824">
        <w:rPr>
          <w:rFonts w:cs="Times New Roman"/>
        </w:rPr>
        <w:lastRenderedPageBreak/>
        <w:t>20, and 25°C, and full spectra were collected for each plate once per day for 14 days. Outer wells were removed from analysis to control for unequal levels of evaporation.</w:t>
      </w:r>
    </w:p>
    <w:p w14:paraId="3CD46992" w14:textId="0C95B520" w:rsidR="007645DA" w:rsidRPr="00BB6824" w:rsidRDefault="007645DA" w:rsidP="001A14AF">
      <w:pPr>
        <w:pStyle w:val="Heading3"/>
        <w:spacing w:before="0" w:after="0"/>
      </w:pPr>
      <w:bookmarkStart w:id="110" w:name="_Toc196256871"/>
      <w:r w:rsidRPr="00BB6824">
        <w:t>Phylogenetic analysis and whole genome comparison</w:t>
      </w:r>
      <w:bookmarkEnd w:id="110"/>
    </w:p>
    <w:p w14:paraId="3BE2E4D3" w14:textId="77777777" w:rsidR="007645DA" w:rsidRPr="00BB6824" w:rsidRDefault="007645DA" w:rsidP="001A14AF">
      <w:pPr>
        <w:rPr>
          <w:rFonts w:cs="Times New Roman"/>
        </w:rPr>
      </w:pPr>
      <w:r w:rsidRPr="00BB6824">
        <w:rPr>
          <w:rFonts w:cs="Times New Roman"/>
        </w:rPr>
        <w:t>For taxonomic identification, DNA was extracted from bacterial colonies using a DNeasy PowerSoil PowerLyzer Kit (Qiagen; Hilden, Germany) following the manufacturer’s protocol with the addition of a modified bead beating step as follows: 45 m sec</w:t>
      </w:r>
      <w:r w:rsidRPr="00BB6824">
        <w:rPr>
          <w:rFonts w:cs="Times New Roman"/>
          <w:vertAlign w:val="superscript"/>
        </w:rPr>
        <w:t>−1</w:t>
      </w:r>
      <w:r w:rsidRPr="00BB6824">
        <w:rPr>
          <w:rFonts w:cs="Times New Roman"/>
        </w:rPr>
        <w:t xml:space="preserve"> for 25 sec followed by 5 min rest at 10°C (FastPrep-24 Bead Lysis System; MP Biomedical; Santa Anna, CA). The 16S ribosomal RNA (rRNA) gene was amplified from extracted DNA using the following combination of primers: bacterial 27F (5’-AGAGTTTGATCCTGGCTCAG-3′; </w:t>
      </w:r>
      <w:hyperlink r:id="rId62" w:anchor="ref137" w:history="1">
        <w:r w:rsidRPr="00BB6824">
          <w:rPr>
            <w:rStyle w:val="Hyperlink"/>
            <w:rFonts w:ascii="Times New Roman" w:hAnsi="Times New Roman" w:cs="Times New Roman"/>
          </w:rPr>
          <w:t>Weisburg et al., 1991</w:t>
        </w:r>
      </w:hyperlink>
      <w:r w:rsidRPr="00BB6824">
        <w:rPr>
          <w:rFonts w:cs="Times New Roman"/>
        </w:rPr>
        <w:t xml:space="preserve">) and 806R primers (5’-GGACTACNVGGGTWTCTAAT-3′; </w:t>
      </w:r>
      <w:hyperlink r:id="rId63" w:anchor="ref8" w:history="1">
        <w:r w:rsidRPr="00BB6824">
          <w:rPr>
            <w:rStyle w:val="Hyperlink"/>
            <w:rFonts w:ascii="Times New Roman" w:hAnsi="Times New Roman" w:cs="Times New Roman"/>
          </w:rPr>
          <w:t>Apprill et al., 2015</w:t>
        </w:r>
      </w:hyperlink>
      <w:r w:rsidRPr="00BB6824">
        <w:rPr>
          <w:rFonts w:cs="Times New Roman"/>
        </w:rPr>
        <w:t xml:space="preserve">) and 515F (5’-GTGCCAGCMGCCGCGGTA-3′; </w:t>
      </w:r>
      <w:hyperlink r:id="rId64" w:anchor="ref16" w:history="1">
        <w:r w:rsidRPr="00BB6824">
          <w:rPr>
            <w:rStyle w:val="Hyperlink"/>
            <w:rFonts w:ascii="Times New Roman" w:hAnsi="Times New Roman" w:cs="Times New Roman"/>
          </w:rPr>
          <w:t>Caporaso et al., 2011</w:t>
        </w:r>
      </w:hyperlink>
      <w:r w:rsidRPr="00BB6824">
        <w:rPr>
          <w:rFonts w:cs="Times New Roman"/>
        </w:rPr>
        <w:t xml:space="preserve">) and 1492R primers (5’-GGTTACCTTG TTACGACTT-3′; </w:t>
      </w:r>
      <w:hyperlink r:id="rId65" w:anchor="ref137" w:history="1">
        <w:r w:rsidRPr="00BB6824">
          <w:rPr>
            <w:rStyle w:val="Hyperlink"/>
            <w:rFonts w:ascii="Times New Roman" w:hAnsi="Times New Roman" w:cs="Times New Roman"/>
          </w:rPr>
          <w:t>Weisburg et al., 1991</w:t>
        </w:r>
      </w:hyperlink>
      <w:r w:rsidRPr="00BB6824">
        <w:rPr>
          <w:rFonts w:cs="Times New Roman"/>
        </w:rPr>
        <w:t xml:space="preserve">). The resulting PCR products were purified using a Wizard SV Gel and PCR Clean-Up System Kit (Promega; Madison, WI) before Sanger sequencing, performed by Eurofins Genomics (Louisville, KY). Returned sequences were aligned using Geneious v6.1.8 (for a sequence length of 1,388 bp; </w:t>
      </w:r>
      <w:hyperlink r:id="rId66" w:anchor="ref57" w:history="1">
        <w:r w:rsidRPr="00BB6824">
          <w:rPr>
            <w:rStyle w:val="Hyperlink"/>
            <w:rFonts w:ascii="Times New Roman" w:hAnsi="Times New Roman" w:cs="Times New Roman"/>
          </w:rPr>
          <w:t>Kearse et al., 2012</w:t>
        </w:r>
      </w:hyperlink>
      <w:r w:rsidRPr="00BB6824">
        <w:rPr>
          <w:rFonts w:cs="Times New Roman"/>
        </w:rPr>
        <w:t>) and compared to the NCBI nucleotide collection type material database (</w:t>
      </w:r>
      <w:hyperlink r:id="rId67" w:anchor="ref35" w:history="1">
        <w:r w:rsidRPr="00BB6824">
          <w:rPr>
            <w:rStyle w:val="Hyperlink"/>
            <w:rFonts w:ascii="Times New Roman" w:hAnsi="Times New Roman" w:cs="Times New Roman"/>
          </w:rPr>
          <w:t>Federhen, 2012</w:t>
        </w:r>
      </w:hyperlink>
      <w:r w:rsidRPr="00BB6824">
        <w:rPr>
          <w:rFonts w:cs="Times New Roman"/>
        </w:rPr>
        <w:t xml:space="preserve">). Publicly available sequences for </w:t>
      </w:r>
      <w:r w:rsidRPr="00BB6824">
        <w:rPr>
          <w:rFonts w:cs="Times New Roman"/>
          <w:i/>
          <w:iCs/>
        </w:rPr>
        <w:t>Massilia</w:t>
      </w:r>
      <w:r w:rsidRPr="00BB6824">
        <w:rPr>
          <w:rFonts w:cs="Times New Roman"/>
        </w:rPr>
        <w:t xml:space="preserve"> 16S rRNA genes were obtained from the RefSeq database (</w:t>
      </w:r>
      <w:hyperlink r:id="rId68" w:anchor="ref87" w:history="1">
        <w:r w:rsidRPr="00BB6824">
          <w:rPr>
            <w:rStyle w:val="Hyperlink"/>
            <w:rFonts w:ascii="Times New Roman" w:hAnsi="Times New Roman" w:cs="Times New Roman"/>
          </w:rPr>
          <w:t>O'Leary et al., 2016</w:t>
        </w:r>
      </w:hyperlink>
      <w:r w:rsidRPr="00BB6824">
        <w:rPr>
          <w:rFonts w:cs="Times New Roman"/>
        </w:rPr>
        <w:t>), aligned, trimmed to the length of the shortest sequence (1,335 bp), and used to construct a maximum likelihood tree in MEGA v11.0.13 (</w:t>
      </w:r>
      <w:hyperlink r:id="rId69" w:anchor="ref121" w:history="1">
        <w:r w:rsidRPr="00BB6824">
          <w:rPr>
            <w:rStyle w:val="Hyperlink"/>
            <w:rFonts w:ascii="Times New Roman" w:hAnsi="Times New Roman" w:cs="Times New Roman"/>
          </w:rPr>
          <w:t>Tamura et al., 2021</w:t>
        </w:r>
      </w:hyperlink>
      <w:r w:rsidRPr="00BB6824">
        <w:rPr>
          <w:rFonts w:cs="Times New Roman"/>
        </w:rPr>
        <w:t>). Additionally, strain DJPM01 was compared to all NCBI reference genomes within the Oxalobateraceae family using whole genome average nucleotide identity (ANI) through the enveomics collection (</w:t>
      </w:r>
      <w:hyperlink r:id="rId70" w:anchor="ref97" w:history="1">
        <w:r w:rsidRPr="00BB6824">
          <w:rPr>
            <w:rStyle w:val="Hyperlink"/>
            <w:rFonts w:ascii="Times New Roman" w:hAnsi="Times New Roman" w:cs="Times New Roman"/>
          </w:rPr>
          <w:t>Rodriguez-R and Konstantinidis, 2016</w:t>
        </w:r>
      </w:hyperlink>
      <w:r w:rsidRPr="00BB6824">
        <w:rPr>
          <w:rFonts w:cs="Times New Roman"/>
        </w:rPr>
        <w:t>). Digital DNA–DNA hybridization (DDH) for all reference genomes available in the Oxalobacteraceae family was calculated using the Genome-to-Genome Distance Calculator (GGDC) v3.0 (</w:t>
      </w:r>
      <w:hyperlink r:id="rId71" w:anchor="ref77" w:history="1">
        <w:r w:rsidRPr="00BB6824">
          <w:rPr>
            <w:rStyle w:val="Hyperlink"/>
            <w:rFonts w:ascii="Times New Roman" w:hAnsi="Times New Roman" w:cs="Times New Roman"/>
          </w:rPr>
          <w:t>Meier-Kolthoff et al., 2022</w:t>
        </w:r>
      </w:hyperlink>
      <w:r w:rsidRPr="00BB6824">
        <w:rPr>
          <w:rFonts w:cs="Times New Roman"/>
        </w:rPr>
        <w:t>). A final phylogenetic tree of RefSeq reference genomes was generated using OrthoFinder v2.5.4 (</w:t>
      </w:r>
      <w:hyperlink r:id="rId72" w:anchor="ref34" w:history="1">
        <w:r w:rsidRPr="00BB6824">
          <w:rPr>
            <w:rStyle w:val="Hyperlink"/>
            <w:rFonts w:ascii="Times New Roman" w:hAnsi="Times New Roman" w:cs="Times New Roman"/>
          </w:rPr>
          <w:t>Emms and Kelly, 2019</w:t>
        </w:r>
      </w:hyperlink>
      <w:r w:rsidRPr="00BB6824">
        <w:rPr>
          <w:rFonts w:cs="Times New Roman"/>
        </w:rPr>
        <w:t xml:space="preserve">) with default settings. Estimation of abundance was performed using a 16S community amplicon sequence variant (ASV) library generated </w:t>
      </w:r>
      <w:r w:rsidRPr="00BB6824">
        <w:rPr>
          <w:rFonts w:cs="Times New Roman"/>
        </w:rPr>
        <w:lastRenderedPageBreak/>
        <w:t>from the DJP mat (</w:t>
      </w:r>
      <w:hyperlink r:id="rId73" w:anchor="ref106" w:history="1">
        <w:r w:rsidRPr="00BB6824">
          <w:rPr>
            <w:rStyle w:val="Hyperlink"/>
            <w:rFonts w:ascii="Times New Roman" w:hAnsi="Times New Roman" w:cs="Times New Roman"/>
          </w:rPr>
          <w:t>Schuler, 2022</w:t>
        </w:r>
      </w:hyperlink>
      <w:r w:rsidRPr="00BB6824">
        <w:rPr>
          <w:rFonts w:cs="Times New Roman"/>
        </w:rPr>
        <w:t xml:space="preserve">) using the Basic Local Alignment Search Toolkit (BLAST; </w:t>
      </w:r>
      <w:hyperlink r:id="rId74" w:anchor="ref4" w:history="1">
        <w:r w:rsidRPr="00BB6824">
          <w:rPr>
            <w:rStyle w:val="Hyperlink"/>
            <w:rFonts w:ascii="Times New Roman" w:hAnsi="Times New Roman" w:cs="Times New Roman"/>
          </w:rPr>
          <w:t>Altschul et al., 1990</w:t>
        </w:r>
      </w:hyperlink>
      <w:r w:rsidRPr="00BB6824">
        <w:rPr>
          <w:rFonts w:cs="Times New Roman"/>
        </w:rPr>
        <w:t>). The final 16S rRNA gene sequence for strain DJPM01 was uploaded to GenBank under accession number OQ346149.</w:t>
      </w:r>
    </w:p>
    <w:p w14:paraId="0A7143E1" w14:textId="25F1A85B" w:rsidR="007645DA" w:rsidRPr="00BB6824" w:rsidRDefault="007645DA" w:rsidP="001A14AF">
      <w:pPr>
        <w:pStyle w:val="Heading3"/>
        <w:spacing w:before="0" w:after="0"/>
      </w:pPr>
      <w:bookmarkStart w:id="111" w:name="_Toc196256872"/>
      <w:r w:rsidRPr="00BB6824">
        <w:t>Genome sequencing, assembly, and annotation</w:t>
      </w:r>
      <w:bookmarkEnd w:id="111"/>
    </w:p>
    <w:p w14:paraId="3645BE52" w14:textId="77777777" w:rsidR="007645DA" w:rsidRPr="00BB6824" w:rsidRDefault="007645DA" w:rsidP="001A14AF">
      <w:pPr>
        <w:rPr>
          <w:rFonts w:cs="Times New Roman"/>
        </w:rPr>
      </w:pPr>
      <w:r w:rsidRPr="00BB6824">
        <w:rPr>
          <w:rFonts w:cs="Times New Roman"/>
        </w:rPr>
        <w:t xml:space="preserve">Total genomic DNA was extracted from microbial biomass using a cetrimonium bromide (CTAB) buffer/organic phase extraction protocol (as described by </w:t>
      </w:r>
      <w:hyperlink r:id="rId75" w:anchor="ref15" w:history="1">
        <w:r w:rsidRPr="00BB6824">
          <w:rPr>
            <w:rStyle w:val="Hyperlink"/>
            <w:rFonts w:ascii="Times New Roman" w:hAnsi="Times New Roman" w:cs="Times New Roman"/>
          </w:rPr>
          <w:t>Campen, 2015</w:t>
        </w:r>
      </w:hyperlink>
      <w:r w:rsidRPr="00BB6824">
        <w:rPr>
          <w:rFonts w:cs="Times New Roman"/>
        </w:rPr>
        <w:t>) for whole genome sequencing. Quality and quantity of extracted DNA was determined by a Qubit 4 fluorometer (Invitrogen Carlsbad, CA) and NanoDrop 2000 spectrophotometer (Thermo Scientific; Waltham, MA, United States). High molecular weight genomic DNA (25 ng/μL) was sequenced by MR DNA (Shallowater, TX). Library preparation was performed using the Nextera DNA Flex Library Preparation Kit (Illumina Inc.; San Diego, CA) and quality was confirmed using the Agilent 2,100 Bioanalyzer (Agilent Technologies; Santa Clara, CA). The library was diluted to 0.6 nM before sequencing on the NovoSeq platform (Illumina; San Diego, CA; paired end, 500 cycles). Sequencing adapters and low-quality reads were trimmed from using Trimmomatic v0.36 (</w:t>
      </w:r>
      <w:hyperlink r:id="rId76" w:anchor="ref13" w:history="1">
        <w:r w:rsidRPr="00BB6824">
          <w:rPr>
            <w:rStyle w:val="Hyperlink"/>
            <w:rFonts w:ascii="Times New Roman" w:hAnsi="Times New Roman" w:cs="Times New Roman"/>
          </w:rPr>
          <w:t>Bolger et al., 2014</w:t>
        </w:r>
      </w:hyperlink>
      <w:r w:rsidRPr="00BB6824">
        <w:rPr>
          <w:rFonts w:cs="Times New Roman"/>
        </w:rPr>
        <w:t>) on default parameters. Trimmed reads were assembled using Unicycler v0.4.8 (</w:t>
      </w:r>
      <w:hyperlink r:id="rId77" w:anchor="ref138" w:history="1">
        <w:r w:rsidRPr="00BB6824">
          <w:rPr>
            <w:rStyle w:val="Hyperlink"/>
            <w:rFonts w:ascii="Times New Roman" w:hAnsi="Times New Roman" w:cs="Times New Roman"/>
          </w:rPr>
          <w:t>Wick et al., 2017</w:t>
        </w:r>
      </w:hyperlink>
      <w:r w:rsidRPr="00BB6824">
        <w:rPr>
          <w:rFonts w:cs="Times New Roman"/>
        </w:rPr>
        <w:t>) with a maximum contig size of 500 bp and assembly quality was assessed using QUAST v5.0.2 (</w:t>
      </w:r>
      <w:hyperlink r:id="rId78" w:anchor="ref47" w:history="1">
        <w:r w:rsidRPr="00BB6824">
          <w:rPr>
            <w:rStyle w:val="Hyperlink"/>
            <w:rFonts w:ascii="Times New Roman" w:hAnsi="Times New Roman" w:cs="Times New Roman"/>
          </w:rPr>
          <w:t>Gurevich et al., 2013</w:t>
        </w:r>
      </w:hyperlink>
      <w:r w:rsidRPr="00BB6824">
        <w:rPr>
          <w:rFonts w:cs="Times New Roman"/>
        </w:rPr>
        <w:t>) and checkM v1.1.3 (</w:t>
      </w:r>
      <w:hyperlink r:id="rId79" w:anchor="ref88" w:history="1">
        <w:r w:rsidRPr="00BB6824">
          <w:rPr>
            <w:rStyle w:val="Hyperlink"/>
            <w:rFonts w:ascii="Times New Roman" w:hAnsi="Times New Roman" w:cs="Times New Roman"/>
          </w:rPr>
          <w:t>Parks et al., 2015</w:t>
        </w:r>
      </w:hyperlink>
      <w:r w:rsidRPr="00BB6824">
        <w:rPr>
          <w:rFonts w:cs="Times New Roman"/>
        </w:rPr>
        <w:t>). The genome draft was annotated by Prokka v1.13.7 (</w:t>
      </w:r>
      <w:hyperlink r:id="rId80" w:anchor="ref108" w:history="1">
        <w:r w:rsidRPr="00BB6824">
          <w:rPr>
            <w:rStyle w:val="Hyperlink"/>
            <w:rFonts w:ascii="Times New Roman" w:hAnsi="Times New Roman" w:cs="Times New Roman"/>
          </w:rPr>
          <w:t>Seemann, 2014</w:t>
        </w:r>
      </w:hyperlink>
      <w:r w:rsidRPr="00BB6824">
        <w:rPr>
          <w:rFonts w:cs="Times New Roman"/>
        </w:rPr>
        <w:t>) and the resulting annotation was analyzed using GhostKOALA v2.2 (</w:t>
      </w:r>
      <w:hyperlink r:id="rId81" w:anchor="ref56" w:history="1">
        <w:r w:rsidRPr="00BB6824">
          <w:rPr>
            <w:rStyle w:val="Hyperlink"/>
            <w:rFonts w:ascii="Times New Roman" w:hAnsi="Times New Roman" w:cs="Times New Roman"/>
          </w:rPr>
          <w:t>Kanehisa et al., 2016</w:t>
        </w:r>
      </w:hyperlink>
      <w:r w:rsidRPr="00BB6824">
        <w:rPr>
          <w:rFonts w:cs="Times New Roman"/>
        </w:rPr>
        <w:t>). Putative CRISPR-Cas sequences were identified using CRISPRCasFinder v4.2.20 (</w:t>
      </w:r>
      <w:hyperlink r:id="rId82" w:anchor="ref26" w:history="1">
        <w:r w:rsidRPr="00BB6824">
          <w:rPr>
            <w:rStyle w:val="Hyperlink"/>
            <w:rFonts w:ascii="Times New Roman" w:hAnsi="Times New Roman" w:cs="Times New Roman"/>
          </w:rPr>
          <w:t>Couvin et al., 2018</w:t>
        </w:r>
      </w:hyperlink>
      <w:r w:rsidRPr="00BB6824">
        <w:rPr>
          <w:rFonts w:cs="Times New Roman"/>
        </w:rPr>
        <w:t>) and putative prophage sequences were identified by VirSorter2 v2.2.3 (</w:t>
      </w:r>
      <w:hyperlink r:id="rId83" w:anchor="ref45" w:history="1">
        <w:r w:rsidRPr="00BB6824">
          <w:rPr>
            <w:rStyle w:val="Hyperlink"/>
            <w:rFonts w:ascii="Times New Roman" w:hAnsi="Times New Roman" w:cs="Times New Roman"/>
          </w:rPr>
          <w:t>Guo et al., 2021</w:t>
        </w:r>
      </w:hyperlink>
      <w:r w:rsidRPr="00BB6824">
        <w:rPr>
          <w:rFonts w:cs="Times New Roman"/>
        </w:rPr>
        <w:t>), both using the Proksee interface.</w:t>
      </w:r>
      <w:hyperlink r:id="rId84" w:anchor="fn0004" w:history="1">
        <w:r w:rsidRPr="00BB6824">
          <w:rPr>
            <w:rStyle w:val="Hyperlink"/>
            <w:rFonts w:ascii="Times New Roman" w:hAnsi="Times New Roman" w:cs="Times New Roman"/>
            <w:vertAlign w:val="superscript"/>
          </w:rPr>
          <w:t>2</w:t>
        </w:r>
      </w:hyperlink>
      <w:r w:rsidRPr="00BB6824">
        <w:rPr>
          <w:rFonts w:cs="Times New Roman"/>
        </w:rPr>
        <w:t xml:space="preserve"> Putative secondary metabolite BGCs were identified </w:t>
      </w:r>
      <w:r w:rsidRPr="00BB6824">
        <w:rPr>
          <w:rFonts w:cs="Times New Roman"/>
          <w:i/>
          <w:iCs/>
        </w:rPr>
        <w:t>via</w:t>
      </w:r>
      <w:r w:rsidRPr="00BB6824">
        <w:rPr>
          <w:rFonts w:cs="Times New Roman"/>
        </w:rPr>
        <w:t xml:space="preserve"> antiSMASH v6.0.0 (</w:t>
      </w:r>
      <w:hyperlink r:id="rId85" w:anchor="ref12" w:history="1">
        <w:r w:rsidRPr="00BB6824">
          <w:rPr>
            <w:rStyle w:val="Hyperlink"/>
            <w:rFonts w:ascii="Times New Roman" w:hAnsi="Times New Roman" w:cs="Times New Roman"/>
          </w:rPr>
          <w:t>Blin et al., 2021</w:t>
        </w:r>
      </w:hyperlink>
      <w:r w:rsidRPr="00BB6824">
        <w:rPr>
          <w:rFonts w:cs="Times New Roman"/>
        </w:rPr>
        <w:t xml:space="preserve">) using default parameters. RefSeq </w:t>
      </w:r>
      <w:r w:rsidRPr="00BB6824">
        <w:rPr>
          <w:rFonts w:cs="Times New Roman"/>
          <w:i/>
          <w:iCs/>
        </w:rPr>
        <w:t>Massilia</w:t>
      </w:r>
      <w:r w:rsidRPr="00BB6824">
        <w:rPr>
          <w:rFonts w:cs="Times New Roman"/>
        </w:rPr>
        <w:t xml:space="preserve"> genomes were annotated using Prokka v1.13.7, GhostKOALA v2.2, and antiSMASH v6.0.0 and all </w:t>
      </w:r>
      <w:r w:rsidRPr="00BB6824">
        <w:rPr>
          <w:rFonts w:cs="Times New Roman"/>
          <w:i/>
          <w:iCs/>
        </w:rPr>
        <w:t>Massilia</w:t>
      </w:r>
      <w:r w:rsidRPr="00BB6824">
        <w:rPr>
          <w:rFonts w:cs="Times New Roman"/>
        </w:rPr>
        <w:t xml:space="preserve"> genomes in both NCBI and JGI databases were aligned against the </w:t>
      </w:r>
      <w:r w:rsidRPr="00BB6824">
        <w:rPr>
          <w:rFonts w:cs="Times New Roman"/>
          <w:i/>
          <w:iCs/>
        </w:rPr>
        <w:t>pig</w:t>
      </w:r>
      <w:r w:rsidRPr="00BB6824">
        <w:rPr>
          <w:rFonts w:cs="Times New Roman"/>
        </w:rPr>
        <w:t xml:space="preserve"> operon of </w:t>
      </w:r>
      <w:r w:rsidRPr="00BB6824">
        <w:rPr>
          <w:rFonts w:cs="Times New Roman"/>
          <w:i/>
          <w:iCs/>
        </w:rPr>
        <w:t>Serratia</w:t>
      </w:r>
      <w:r w:rsidRPr="00BB6824">
        <w:rPr>
          <w:rFonts w:cs="Times New Roman"/>
        </w:rPr>
        <w:t xml:space="preserve"> sp. strain ATCC 39006 to search for prodigiosin-specific biosynthetic genes (</w:t>
      </w:r>
      <w:hyperlink r:id="rId86" w:anchor="ref50" w:history="1">
        <w:r w:rsidRPr="00BB6824">
          <w:rPr>
            <w:rStyle w:val="Hyperlink"/>
            <w:rFonts w:ascii="Times New Roman" w:hAnsi="Times New Roman" w:cs="Times New Roman"/>
          </w:rPr>
          <w:t>Harris et al., 2004</w:t>
        </w:r>
      </w:hyperlink>
      <w:r w:rsidRPr="00BB6824">
        <w:rPr>
          <w:rFonts w:cs="Times New Roman"/>
        </w:rPr>
        <w:t xml:space="preserve">). Putative prodigiosin operons were compared by pairwise alignment using SimpleSynteny v1.5 </w:t>
      </w:r>
      <w:r w:rsidRPr="00BB6824">
        <w:rPr>
          <w:rFonts w:cs="Times New Roman"/>
        </w:rPr>
        <w:lastRenderedPageBreak/>
        <w:t>(</w:t>
      </w:r>
      <w:hyperlink r:id="rId87" w:anchor="ref132" w:history="1">
        <w:r w:rsidRPr="00BB6824">
          <w:rPr>
            <w:rStyle w:val="Hyperlink"/>
            <w:rFonts w:ascii="Times New Roman" w:hAnsi="Times New Roman" w:cs="Times New Roman"/>
          </w:rPr>
          <w:t>Veltri et al., 2016</w:t>
        </w:r>
      </w:hyperlink>
      <w:r w:rsidRPr="00BB6824">
        <w:rPr>
          <w:rFonts w:cs="Times New Roman"/>
        </w:rPr>
        <w:t>). Statistical analyses of gene abundance were performed using R v4.1.2 (</w:t>
      </w:r>
      <w:hyperlink r:id="rId88" w:anchor="ref96" w:history="1">
        <w:r w:rsidRPr="00BB6824">
          <w:rPr>
            <w:rStyle w:val="Hyperlink"/>
            <w:rFonts w:ascii="Times New Roman" w:hAnsi="Times New Roman" w:cs="Times New Roman"/>
          </w:rPr>
          <w:t>R Core Team, 2018</w:t>
        </w:r>
      </w:hyperlink>
      <w:r w:rsidRPr="00BB6824">
        <w:rPr>
          <w:rFonts w:cs="Times New Roman"/>
        </w:rPr>
        <w:t>). The final draft genome assembly was uploaded to GenBank under accession number JAQOZV000000000.</w:t>
      </w:r>
    </w:p>
    <w:p w14:paraId="2CA31061" w14:textId="4999EA81" w:rsidR="007645DA" w:rsidRPr="00BB6824" w:rsidRDefault="007645DA" w:rsidP="001A14AF">
      <w:pPr>
        <w:pStyle w:val="Heading3"/>
        <w:spacing w:before="0" w:after="0"/>
      </w:pPr>
      <w:bookmarkStart w:id="112" w:name="_Toc196256873"/>
      <w:r w:rsidRPr="00BB6824">
        <w:t>Biomass irradiation and extraction of pigments produced under UV light</w:t>
      </w:r>
      <w:bookmarkEnd w:id="112"/>
    </w:p>
    <w:p w14:paraId="06B822BF" w14:textId="4DB49259" w:rsidR="007645DA" w:rsidRPr="00BB6824" w:rsidRDefault="007645DA" w:rsidP="001A14AF">
      <w:pPr>
        <w:rPr>
          <w:rFonts w:cs="Times New Roman"/>
        </w:rPr>
      </w:pPr>
      <w:r w:rsidRPr="00BB6824">
        <w:rPr>
          <w:rFonts w:cs="Times New Roman"/>
        </w:rPr>
        <w:t>A lawn of strain DJPM01 was grown on R2A agar plates in quadruplicate and incubated under a UV-A light (320–400 nm, peak absorbance 395 nm;</w:t>
      </w:r>
      <w:r w:rsidR="00C427A7">
        <w:rPr>
          <w:rFonts w:cs="Times New Roman"/>
        </w:rPr>
        <w:t xml:space="preserve"> </w:t>
      </w:r>
      <w:r w:rsidR="008420A0" w:rsidRPr="008420A0">
        <w:rPr>
          <w:b/>
          <w:bCs/>
        </w:rPr>
        <w:t>Appendix</w:t>
      </w:r>
      <w:r w:rsidR="008420A0">
        <w:rPr>
          <w:b/>
          <w:bCs/>
        </w:rPr>
        <w:t>,</w:t>
      </w:r>
      <w:r w:rsidR="008420A0" w:rsidRPr="00F13F6D">
        <w:rPr>
          <w:rFonts w:cs="Times New Roman"/>
          <w:b/>
          <w:bCs/>
        </w:rPr>
        <w:t xml:space="preserve"> </w:t>
      </w:r>
      <w:r w:rsidR="00C427A7" w:rsidRPr="00F13F6D">
        <w:rPr>
          <w:rFonts w:cs="Times New Roman"/>
          <w:b/>
          <w:bCs/>
        </w:rPr>
        <w:t xml:space="preserve">Figure </w:t>
      </w:r>
      <w:r w:rsidR="00F13F6D">
        <w:rPr>
          <w:rFonts w:cs="Times New Roman"/>
          <w:b/>
          <w:bCs/>
        </w:rPr>
        <w:t>6</w:t>
      </w:r>
      <w:r w:rsidR="00C427A7" w:rsidRPr="00F13F6D">
        <w:rPr>
          <w:rFonts w:cs="Times New Roman"/>
          <w:b/>
          <w:bCs/>
        </w:rPr>
        <w:t>.</w:t>
      </w:r>
      <w:r w:rsidR="00F13F6D">
        <w:rPr>
          <w:rFonts w:cs="Times New Roman"/>
          <w:b/>
          <w:bCs/>
        </w:rPr>
        <w:t>1</w:t>
      </w:r>
      <w:r w:rsidRPr="00BB6824">
        <w:rPr>
          <w:rFonts w:cs="Times New Roman"/>
        </w:rPr>
        <w:t>; SANSI Lighting; Shanghai, China). Nalgene petri dishes (Thermo Scientific; Waltham, MA) made of polymethylpentene were utilized to increase UV penetration compared to standard polystyrene petri dishes (</w:t>
      </w:r>
      <w:hyperlink r:id="rId89" w:anchor="ref90" w:history="1">
        <w:r w:rsidRPr="00BB6824">
          <w:rPr>
            <w:rStyle w:val="Hyperlink"/>
            <w:rFonts w:ascii="Times New Roman" w:hAnsi="Times New Roman" w:cs="Times New Roman"/>
          </w:rPr>
          <w:t>Peng et al., 2011</w:t>
        </w:r>
      </w:hyperlink>
      <w:r w:rsidRPr="00BB6824">
        <w:rPr>
          <w:rFonts w:cs="Times New Roman"/>
        </w:rPr>
        <w:t>). Control plates were inoculated, wrapped in foil, and placed inside two black bags prior to incubation. Uninoculated media controls were also incubated under both light and dark treatments. All plates were incubated at 10°C for 11 days. Following incubation, agar was sterilely sliced into strips for storage at −80°C. Agar strips from each plate were extracted four times with 10 mL of high performance liquid chromatography (HPLC)-grade ethyl acetate (Fisher Scientific; Hampton, NH) and sonicated for 10 min. Organic phases were pooled and diluted to 50 mL with ethyl acetate. Authentic prodigiosin (1) standard (P0103; Sigma-Aldrich, St. Louis, MO) was diluted 100 μg mL</w:t>
      </w:r>
      <w:r w:rsidRPr="00BB6824">
        <w:rPr>
          <w:rFonts w:cs="Times New Roman"/>
          <w:vertAlign w:val="superscript"/>
        </w:rPr>
        <w:t>−1</w:t>
      </w:r>
      <w:r w:rsidRPr="00BB6824">
        <w:rPr>
          <w:rFonts w:cs="Times New Roman"/>
        </w:rPr>
        <w:t xml:space="preserve"> in liquid chromatography/mass spectrometry (LC/MS)-grade methanol (Fisher Scientific; Hampton, NH) and exposed to UV-A radiation overnight to investigate potential breakdown products. UV-A exposed and unexposed prodigiosin (1) standard solutions were diluted to 10 μg mL</w:t>
      </w:r>
      <w:r w:rsidRPr="00BB6824">
        <w:rPr>
          <w:rFonts w:cs="Times New Roman"/>
          <w:vertAlign w:val="superscript"/>
        </w:rPr>
        <w:t>−1</w:t>
      </w:r>
      <w:r w:rsidRPr="00BB6824">
        <w:rPr>
          <w:rFonts w:cs="Times New Roman"/>
        </w:rPr>
        <w:t xml:space="preserve"> prior to LC/MS analysis.</w:t>
      </w:r>
    </w:p>
    <w:p w14:paraId="6119B421" w14:textId="39ACE540" w:rsidR="007645DA" w:rsidRPr="00BB6824" w:rsidRDefault="007645DA" w:rsidP="001A14AF">
      <w:pPr>
        <w:pStyle w:val="Heading3"/>
        <w:spacing w:before="0" w:after="0"/>
      </w:pPr>
      <w:bookmarkStart w:id="113" w:name="_Toc196256874"/>
      <w:r w:rsidRPr="00BB6824">
        <w:t>LC/MS analyses</w:t>
      </w:r>
      <w:bookmarkEnd w:id="113"/>
    </w:p>
    <w:p w14:paraId="32203F6A" w14:textId="77777777" w:rsidR="007645DA" w:rsidRPr="00BB6824" w:rsidRDefault="007645DA" w:rsidP="001A14AF">
      <w:pPr>
        <w:rPr>
          <w:rFonts w:cs="Times New Roman"/>
        </w:rPr>
      </w:pPr>
      <w:r w:rsidRPr="00BB6824">
        <w:rPr>
          <w:rFonts w:cs="Times New Roman"/>
        </w:rPr>
        <w:t>Extracts were analyzed on a Thermo Scientific (Waltham, MA) Q-exactive HF-X Hybrid Quadrupole-Orbitrap mass spectrometer interfaced with a Vanquish Horizon Ultra high performance liquid chromatography (UHPLC) system and VH-D10-A UV detector using a Waters (Milford, MA) HSS T3 C18 column (1.8 μm, 2.1 × 100 mm) with a VanGuard FIT precolumn. Using a flow rate of 0.5 mL min</w:t>
      </w:r>
      <w:r w:rsidRPr="00BB6824">
        <w:rPr>
          <w:rFonts w:cs="Times New Roman"/>
          <w:vertAlign w:val="superscript"/>
        </w:rPr>
        <w:t>−1</w:t>
      </w:r>
      <w:r w:rsidRPr="00BB6824">
        <w:rPr>
          <w:rFonts w:cs="Times New Roman"/>
        </w:rPr>
        <w:t>, samples (2 μL) were injected onto the column prewarmed to 40°C. UHPLC separation was achieved using the following parameters: 2% acetonitrile: 98% water with 0.1% formic acid for 1 min, 2–</w:t>
      </w:r>
      <w:r w:rsidRPr="00BB6824">
        <w:rPr>
          <w:rFonts w:cs="Times New Roman"/>
        </w:rPr>
        <w:lastRenderedPageBreak/>
        <w:t>40% over 4 min, 40–98% over 3 min, 98–2% over 0.2 min, and 2% for 2 min. The UV–Vis data were collected at 534 nm. The following electrospray ionization (ESI) settings were used in probe position D: 40 sheath gas flow, 8 auxiliary gas flow, 1 sweep gas flow, 3.5 kV spray voltage, 380°C capillary temperature, 50 radiofrequency (RF) funnel level, and 350°C auxiliary gas temperature. Data were evaluated using MS-DIAL (</w:t>
      </w:r>
      <w:hyperlink r:id="rId90" w:anchor="ref129" w:history="1">
        <w:r w:rsidRPr="00BB6824">
          <w:rPr>
            <w:rStyle w:val="Hyperlink"/>
            <w:rFonts w:ascii="Times New Roman" w:hAnsi="Times New Roman" w:cs="Times New Roman"/>
          </w:rPr>
          <w:t>Tsugawa et al., 2015</w:t>
        </w:r>
      </w:hyperlink>
      <w:r w:rsidRPr="00BB6824">
        <w:rPr>
          <w:rFonts w:cs="Times New Roman"/>
        </w:rPr>
        <w:t>) and MPACT (</w:t>
      </w:r>
      <w:hyperlink r:id="rId91" w:anchor="ref99" w:history="1">
        <w:r w:rsidRPr="00BB6824">
          <w:rPr>
            <w:rStyle w:val="Hyperlink"/>
            <w:rFonts w:ascii="Times New Roman" w:hAnsi="Times New Roman" w:cs="Times New Roman"/>
          </w:rPr>
          <w:t>Samples et al., 2022</w:t>
        </w:r>
      </w:hyperlink>
      <w:r w:rsidRPr="00BB6824">
        <w:rPr>
          <w:rFonts w:cs="Times New Roman"/>
        </w:rPr>
        <w:t>). See supplementary information for data processing methods.</w:t>
      </w:r>
    </w:p>
    <w:p w14:paraId="1A2D8ECA" w14:textId="116E0652" w:rsidR="007645DA" w:rsidRDefault="007645DA" w:rsidP="001A14AF">
      <w:pPr>
        <w:rPr>
          <w:rFonts w:cs="Times New Roman"/>
        </w:rPr>
      </w:pPr>
      <w:r w:rsidRPr="00BB6824">
        <w:rPr>
          <w:rFonts w:cs="Times New Roman"/>
        </w:rPr>
        <w:t>A Waters Synapt G2-Si Q-ToF mass spectrometer coupled to an Acquity H-Class ultra performance liquid chromatography (UPLC) system was employed for LC/MS analysis of select samples and prodigiosin (1) standard using the previously described column and gradient. Positive mode MS</w:t>
      </w:r>
      <w:r w:rsidRPr="00BB6824">
        <w:rPr>
          <w:rFonts w:cs="Times New Roman"/>
          <w:vertAlign w:val="superscript"/>
        </w:rPr>
        <w:t>E</w:t>
      </w:r>
      <w:r w:rsidRPr="00BB6824">
        <w:rPr>
          <w:rFonts w:cs="Times New Roman"/>
        </w:rPr>
        <w:t xml:space="preserve"> acquisition was used, using 0.1 s MS1 survey scans from </w:t>
      </w:r>
      <w:r w:rsidRPr="00BB6824">
        <w:rPr>
          <w:rFonts w:cs="Times New Roman"/>
          <w:i/>
          <w:iCs/>
        </w:rPr>
        <w:t>m/z</w:t>
      </w:r>
      <w:r w:rsidRPr="00BB6824">
        <w:rPr>
          <w:rFonts w:cs="Times New Roman"/>
        </w:rPr>
        <w:t xml:space="preserve"> 150–2000 in resolution mode, followed by 0.1 s high energy MS2 scan from </w:t>
      </w:r>
      <w:r w:rsidRPr="00BB6824">
        <w:rPr>
          <w:rFonts w:cs="Times New Roman"/>
          <w:i/>
          <w:iCs/>
        </w:rPr>
        <w:t>m/z</w:t>
      </w:r>
      <w:r w:rsidRPr="00BB6824">
        <w:rPr>
          <w:rFonts w:cs="Times New Roman"/>
        </w:rPr>
        <w:t xml:space="preserve"> 50–2000. Data were acquired using the following parameters: 2 kV capillary voltage, 100°C source temperature, 20 V sampling cone, 800 L h</w:t>
      </w:r>
      <w:r w:rsidRPr="00BB6824">
        <w:rPr>
          <w:rFonts w:cs="Times New Roman"/>
          <w:vertAlign w:val="superscript"/>
        </w:rPr>
        <w:t>−1</w:t>
      </w:r>
      <w:r w:rsidRPr="00BB6824">
        <w:rPr>
          <w:rFonts w:cs="Times New Roman"/>
        </w:rPr>
        <w:t xml:space="preserve"> desolvation gas flow, 80 V source offset, and 30 V MS2 collision energy. Real-time mass correction used a lockspray of 400 pg μL</w:t>
      </w:r>
      <w:r w:rsidRPr="00BB6824">
        <w:rPr>
          <w:rFonts w:cs="Times New Roman"/>
          <w:vertAlign w:val="superscript"/>
        </w:rPr>
        <w:t>−1</w:t>
      </w:r>
      <w:r w:rsidRPr="00BB6824">
        <w:rPr>
          <w:rFonts w:cs="Times New Roman"/>
        </w:rPr>
        <w:t xml:space="preserve"> leucine enkephalin solution (1:1 methanol to water solution with 0.1% formic acid). A 10 μL injection volume was used in the closed loop configuration.</w:t>
      </w:r>
    </w:p>
    <w:p w14:paraId="65A1BF10" w14:textId="77777777" w:rsidR="00EE0215" w:rsidRPr="001F0C9B" w:rsidRDefault="00EE0215" w:rsidP="001A14AF">
      <w:pPr>
        <w:pStyle w:val="Heading3"/>
        <w:spacing w:before="0" w:after="0"/>
      </w:pPr>
      <w:bookmarkStart w:id="114" w:name="_Toc196256875"/>
      <w:r w:rsidRPr="001F0C9B">
        <w:t>Metabolomics data processing, filtering, and statistical analyses</w:t>
      </w:r>
      <w:bookmarkEnd w:id="114"/>
    </w:p>
    <w:p w14:paraId="79C9EAFB" w14:textId="77777777" w:rsidR="00EE0215" w:rsidRDefault="00EE0215" w:rsidP="001A14AF">
      <w:r w:rsidRPr="006E4E2B">
        <w:t>The peak list and fragment database were exported from Progenesis and analyzed with MPACT</w:t>
      </w:r>
      <w:r>
        <w:t xml:space="preserve"> </w:t>
      </w:r>
      <w:r>
        <w:rPr>
          <w:b/>
        </w:rPr>
        <w:fldChar w:fldCharType="begin"/>
      </w:r>
      <w:r>
        <w:instrText xml:space="preserve"> ADDIN ZOTERO_ITEM CSL_CITATION {"citationID":"K0o2wJrX","properties":{"formattedCitation":"(Samples et al., 2022)","plainCitation":"(Samples et al., 2022)","noteIndex":0},"citationItems":[{"id":3480,"uris":["http://zotero.org/users/local/54a2vU3F/items/ACK34VIB"],"itemData":{"id":3480,"type":"article","abstract":"Untargeted metabolomics is a powerful tool for investigating chemistry of complex biological systems but its utility is compromised by the presence of uninformative features and the limited efficiency of currently available prioritization tools. More effective filtering and prioritization tools are required to address the challenges of large untargeted metabolomics datasets. Here, we introduce MPACT (Metabolomics Peak Analysis Computational Tool), a new mass spectrometry data analysis platform employing filtering based on multiple modalities, statistical techniques incorporating multilevel replication, and interactive data visualization. We demonstrate application of MPACT to uncover hidden effects of the rare earth element (REE) cerium on tunicate-associated bacterium Streptomyces sp. PTY087I2. Using this method, we have identified key autoregulators, siderophores. and a suite of structurally diversified granaticins, culminating in characterization of two thiolated compounds including a new cysteine derivative, granaticin C, and granaticin D, recently described as mycothiogranaticin A. MPACT is readily adaptable to investigation of other systems.","DOI":"10.26434/chemrxiv-2022-r0xbx","language":"en","publisher":"ChemRxiv","source":"Cambridge Engage Preprints","title":"MPACT: An Advanced Informatics Tool for Metabolomics and Data Visualization of Specialized Metabolites from Complex Microbial Samples","title-short":"MPACT","URL":"https://chemrxiv.org/engage/chemrxiv/article-details/628a9abfa42e9c51274a147d","author":[{"family":"Samples","given":"Robert"},{"family":"Puckett","given":"Sara"},{"family":"Balunas","given":"Marcy"}],"accessed":{"date-parts":[["2023",1,22]]},"issued":{"date-parts":[["2022",5,23]]}}}],"schema":"https://github.com/citation-style-language/schema/raw/master/csl-citation.json"} </w:instrText>
      </w:r>
      <w:r>
        <w:rPr>
          <w:b/>
        </w:rPr>
        <w:fldChar w:fldCharType="separate"/>
      </w:r>
      <w:r w:rsidRPr="006E4E2B">
        <w:t>(Samples et al., 2022)</w:t>
      </w:r>
      <w:r>
        <w:rPr>
          <w:b/>
        </w:rPr>
        <w:fldChar w:fldCharType="end"/>
      </w:r>
      <w:r w:rsidRPr="006E4E2B">
        <w:t xml:space="preserve">. Data were filtered using solvent blank, mispicked peak, reproducibility, and in-source fragment filters. Blank filtering using EtOAc blanks was applied based on a relative group parsing threshold of 0.01. A minimum reproducibility threshold of 0.5 median coefficient of variation (CV) among technical replicates was applied. The presence or absence of features in a group of samples was determined using a relative abundance threshold of 0.05 compared to the sample group in which a feature was most abundant. This threshold was applied during blank filtering to remove features whose abundance in solvent blanks was greater than 5% of their </w:t>
      </w:r>
      <w:r w:rsidRPr="006E4E2B">
        <w:lastRenderedPageBreak/>
        <w:t>abundance in experimental samples. In-source ion filtering and mispicked peak filtering were disabled.</w:t>
      </w:r>
    </w:p>
    <w:p w14:paraId="01B66760" w14:textId="3C934BA6" w:rsidR="00F420B3" w:rsidRPr="00BB6824" w:rsidRDefault="00F420B3" w:rsidP="001A14AF">
      <w:pPr>
        <w:pStyle w:val="Heading2"/>
        <w:spacing w:before="0" w:after="0"/>
      </w:pPr>
      <w:bookmarkStart w:id="115" w:name="_Toc196256876"/>
      <w:r w:rsidRPr="00BB6824">
        <w:t>Results</w:t>
      </w:r>
      <w:bookmarkEnd w:id="115"/>
    </w:p>
    <w:p w14:paraId="2611DA5F" w14:textId="6104603C" w:rsidR="007645DA" w:rsidRPr="00BB6824" w:rsidRDefault="007645DA" w:rsidP="001A14AF">
      <w:pPr>
        <w:pStyle w:val="Heading3"/>
        <w:spacing w:before="0" w:after="0"/>
      </w:pPr>
      <w:bookmarkStart w:id="116" w:name="_Toc196256877"/>
      <w:r w:rsidRPr="00BB6824">
        <w:t>Sample collection and isolation</w:t>
      </w:r>
      <w:bookmarkEnd w:id="116"/>
    </w:p>
    <w:p w14:paraId="15F32BE2" w14:textId="77777777" w:rsidR="007645DA" w:rsidRPr="00BB6824" w:rsidRDefault="007645DA" w:rsidP="001A14AF">
      <w:pPr>
        <w:rPr>
          <w:rFonts w:cs="Times New Roman"/>
        </w:rPr>
      </w:pPr>
      <w:r w:rsidRPr="00BB6824">
        <w:rPr>
          <w:rFonts w:cs="Times New Roman"/>
        </w:rPr>
        <w:t>At time of collection, the water within the mat was 7.7°C; collection site pH was 7.2 and salinity was 0.4 parts per thousand (ppt). Following isolation, the purity of the resulting axenic culture was confirmed by 16S rRNA gene analyses and microscopy, which revealed a single rod-shaped morphology. The resulting red-pigmented isolate was designated strain DJPM01.</w:t>
      </w:r>
    </w:p>
    <w:p w14:paraId="2CE72783" w14:textId="6E811C15" w:rsidR="007645DA" w:rsidRPr="00BB6824" w:rsidRDefault="007645DA" w:rsidP="001A14AF">
      <w:pPr>
        <w:pStyle w:val="Heading3"/>
        <w:spacing w:before="0" w:after="0"/>
      </w:pPr>
      <w:bookmarkStart w:id="117" w:name="_Toc196256878"/>
      <w:r w:rsidRPr="00BB6824">
        <w:t>Characterization and growth</w:t>
      </w:r>
      <w:bookmarkEnd w:id="117"/>
    </w:p>
    <w:p w14:paraId="3AE39F16" w14:textId="209BD26F" w:rsidR="007645DA" w:rsidRPr="00BB6824" w:rsidRDefault="007645DA" w:rsidP="001A14AF">
      <w:pPr>
        <w:rPr>
          <w:rFonts w:cs="Times New Roman"/>
        </w:rPr>
      </w:pPr>
      <w:r w:rsidRPr="00BB6824">
        <w:rPr>
          <w:rFonts w:cs="Times New Roman"/>
        </w:rPr>
        <w:t>Growth of strain DJPM01 on R2A yielded tall, convex, scarlet colonies with entire margins that spread outwards over time (</w:t>
      </w:r>
      <w:hyperlink r:id="rId92" w:anchor="fig2" w:history="1">
        <w:r w:rsidRPr="00F13F6D">
          <w:rPr>
            <w:rStyle w:val="Hyperlink"/>
            <w:rFonts w:ascii="Times New Roman" w:hAnsi="Times New Roman" w:cs="Times New Roman"/>
            <w:b/>
            <w:bCs/>
          </w:rPr>
          <w:t>Figure 2</w:t>
        </w:r>
      </w:hyperlink>
      <w:r w:rsidR="00794A4D" w:rsidRPr="00F13F6D">
        <w:rPr>
          <w:rFonts w:cs="Times New Roman"/>
          <w:b/>
          <w:bCs/>
        </w:rPr>
        <w:t>.</w:t>
      </w:r>
      <w:r w:rsidR="00F13F6D">
        <w:rPr>
          <w:rFonts w:cs="Times New Roman"/>
          <w:b/>
          <w:bCs/>
        </w:rPr>
        <w:t>2</w:t>
      </w:r>
      <w:r w:rsidRPr="00BB6824">
        <w:rPr>
          <w:rFonts w:cs="Times New Roman"/>
        </w:rPr>
        <w:t>). Colonies were resistant to removal from the surface of the agar and remained aggregated when transferred to broth culture, unless thoroughly agitated through vortexing. Strain DJPM01 was determined to be Gram-negative using the standard Gram stain protocol (</w:t>
      </w:r>
      <w:hyperlink r:id="rId93" w:anchor="ref115" w:history="1">
        <w:r w:rsidRPr="00BB6824">
          <w:rPr>
            <w:rStyle w:val="Hyperlink"/>
            <w:rFonts w:ascii="Times New Roman" w:hAnsi="Times New Roman" w:cs="Times New Roman"/>
          </w:rPr>
          <w:t>Smith and Hussey, 2005</w:t>
        </w:r>
      </w:hyperlink>
      <w:r w:rsidRPr="00BB6824">
        <w:rPr>
          <w:rFonts w:cs="Times New Roman"/>
        </w:rPr>
        <w:t>). Cells were rod-shaped and 4.65 μm in length on average (</w:t>
      </w:r>
      <w:hyperlink r:id="rId94" w:anchor="fig2" w:history="1">
        <w:r w:rsidRPr="00F13F6D">
          <w:rPr>
            <w:rStyle w:val="Hyperlink"/>
            <w:rFonts w:ascii="Times New Roman" w:hAnsi="Times New Roman" w:cs="Times New Roman"/>
            <w:b/>
            <w:bCs/>
          </w:rPr>
          <w:t>Figure 2</w:t>
        </w:r>
        <w:r w:rsidR="00794A4D" w:rsidRPr="00F13F6D">
          <w:rPr>
            <w:rStyle w:val="Hyperlink"/>
            <w:rFonts w:ascii="Times New Roman" w:hAnsi="Times New Roman" w:cs="Times New Roman"/>
            <w:b/>
            <w:bCs/>
          </w:rPr>
          <w:t>.</w:t>
        </w:r>
        <w:r w:rsidR="00F13F6D">
          <w:rPr>
            <w:rStyle w:val="Hyperlink"/>
            <w:rFonts w:ascii="Times New Roman" w:hAnsi="Times New Roman" w:cs="Times New Roman"/>
            <w:b/>
            <w:bCs/>
          </w:rPr>
          <w:t>2</w:t>
        </w:r>
        <w:r w:rsidRPr="00F13F6D">
          <w:rPr>
            <w:rStyle w:val="Hyperlink"/>
            <w:rFonts w:ascii="Times New Roman" w:hAnsi="Times New Roman" w:cs="Times New Roman"/>
            <w:b/>
            <w:bCs/>
          </w:rPr>
          <w:t>A</w:t>
        </w:r>
      </w:hyperlink>
      <w:r w:rsidRPr="00BB6824">
        <w:rPr>
          <w:rFonts w:cs="Times New Roman"/>
        </w:rPr>
        <w:t>). Cultures exhibited growth from 4 to 25°C, but not at 30°C (</w:t>
      </w:r>
      <w:r w:rsidR="008420A0" w:rsidRPr="008420A0">
        <w:rPr>
          <w:b/>
          <w:bCs/>
        </w:rPr>
        <w:t>Appendix</w:t>
      </w:r>
      <w:r w:rsidR="008420A0">
        <w:rPr>
          <w:b/>
          <w:bCs/>
        </w:rPr>
        <w:t>,</w:t>
      </w:r>
      <w:r w:rsidR="008420A0" w:rsidRPr="00F13F6D">
        <w:rPr>
          <w:rFonts w:cs="Times New Roman"/>
          <w:b/>
          <w:bCs/>
        </w:rPr>
        <w:t xml:space="preserve"> </w:t>
      </w:r>
      <w:hyperlink r:id="rId95" w:anchor="SM1" w:history="1">
        <w:r w:rsidRPr="00F13F6D">
          <w:rPr>
            <w:rStyle w:val="Hyperlink"/>
            <w:rFonts w:ascii="Times New Roman" w:hAnsi="Times New Roman" w:cs="Times New Roman"/>
            <w:b/>
            <w:bCs/>
          </w:rPr>
          <w:t xml:space="preserve">Figure </w:t>
        </w:r>
      </w:hyperlink>
      <w:r w:rsidR="00F13F6D">
        <w:rPr>
          <w:b/>
          <w:bCs/>
        </w:rPr>
        <w:t>6.2</w:t>
      </w:r>
      <w:r w:rsidRPr="00BB6824">
        <w:rPr>
          <w:rFonts w:cs="Times New Roman"/>
        </w:rPr>
        <w:t>). The fastest growth occurred at 10°C with a rate (μ) of 0.25 ± 0.04 day</w:t>
      </w:r>
      <w:r w:rsidRPr="00BB6824">
        <w:rPr>
          <w:rFonts w:cs="Times New Roman"/>
          <w:vertAlign w:val="superscript"/>
        </w:rPr>
        <w:t>−1</w:t>
      </w:r>
      <w:r w:rsidRPr="00BB6824">
        <w:rPr>
          <w:rFonts w:cs="Times New Roman"/>
        </w:rPr>
        <w:t>. Colonies were pigmented under all culture conditions, with some variation in color intensity and hue at warmer temperatures (</w:t>
      </w:r>
      <w:r w:rsidR="008420A0" w:rsidRPr="008420A0">
        <w:rPr>
          <w:b/>
          <w:bCs/>
        </w:rPr>
        <w:t>Appendix</w:t>
      </w:r>
      <w:r w:rsidR="008420A0">
        <w:rPr>
          <w:b/>
          <w:bCs/>
        </w:rPr>
        <w:t>,</w:t>
      </w:r>
      <w:r w:rsidR="008420A0" w:rsidRPr="00F13F6D">
        <w:rPr>
          <w:rFonts w:cs="Times New Roman"/>
          <w:b/>
          <w:bCs/>
        </w:rPr>
        <w:t xml:space="preserve"> </w:t>
      </w:r>
      <w:hyperlink r:id="rId96" w:anchor="SM1" w:history="1">
        <w:r w:rsidR="00794A4D" w:rsidRPr="00F13F6D">
          <w:rPr>
            <w:rStyle w:val="Hyperlink"/>
            <w:rFonts w:ascii="Times New Roman" w:hAnsi="Times New Roman" w:cs="Times New Roman"/>
            <w:b/>
            <w:bCs/>
          </w:rPr>
          <w:t xml:space="preserve">Figure </w:t>
        </w:r>
        <w:r w:rsidR="00F13F6D">
          <w:rPr>
            <w:rStyle w:val="Hyperlink"/>
            <w:rFonts w:ascii="Times New Roman" w:hAnsi="Times New Roman" w:cs="Times New Roman"/>
            <w:b/>
            <w:bCs/>
          </w:rPr>
          <w:t>6.</w:t>
        </w:r>
        <w:r w:rsidR="00794A4D" w:rsidRPr="00F13F6D">
          <w:rPr>
            <w:rStyle w:val="Hyperlink"/>
            <w:rFonts w:ascii="Times New Roman" w:hAnsi="Times New Roman" w:cs="Times New Roman"/>
            <w:b/>
            <w:bCs/>
          </w:rPr>
          <w:t>2</w:t>
        </w:r>
      </w:hyperlink>
      <w:r w:rsidRPr="00BB6824">
        <w:rPr>
          <w:rFonts w:cs="Times New Roman"/>
        </w:rPr>
        <w:t>). Growth was not detected under anaerobic conditions. Strain DJPM01 grew on R2A agar adjusted to pH 10.5. Abundance of colony forming units decreased following 30 s of exposure to UV-C radiation, however colonies were present on plates irradiated for up to 120 s. Evidence for motility was observed when grown on low density R2A agar. When grown in R2A broth, strain DJPM01 formed a robust pellicle at the surface and produced extracellular polymeric substances (</w:t>
      </w:r>
      <w:hyperlink r:id="rId97" w:anchor="fig2" w:history="1">
        <w:r w:rsidRPr="00F72232">
          <w:rPr>
            <w:rStyle w:val="Hyperlink"/>
            <w:rFonts w:ascii="Times New Roman" w:hAnsi="Times New Roman" w:cs="Times New Roman"/>
            <w:b/>
            <w:bCs/>
          </w:rPr>
          <w:t>Figure 2</w:t>
        </w:r>
        <w:r w:rsidR="00794A4D" w:rsidRPr="00F72232">
          <w:rPr>
            <w:rStyle w:val="Hyperlink"/>
            <w:rFonts w:ascii="Times New Roman" w:hAnsi="Times New Roman" w:cs="Times New Roman"/>
            <w:b/>
            <w:bCs/>
          </w:rPr>
          <w:t>.</w:t>
        </w:r>
        <w:r w:rsidR="00F72232">
          <w:rPr>
            <w:rStyle w:val="Hyperlink"/>
            <w:rFonts w:ascii="Times New Roman" w:hAnsi="Times New Roman" w:cs="Times New Roman"/>
            <w:b/>
            <w:bCs/>
          </w:rPr>
          <w:t>2</w:t>
        </w:r>
        <w:r w:rsidRPr="00F72232">
          <w:rPr>
            <w:rStyle w:val="Hyperlink"/>
            <w:rFonts w:ascii="Times New Roman" w:hAnsi="Times New Roman" w:cs="Times New Roman"/>
            <w:b/>
            <w:bCs/>
          </w:rPr>
          <w:t>D</w:t>
        </w:r>
      </w:hyperlink>
      <w:r w:rsidRPr="00BB6824">
        <w:rPr>
          <w:rFonts w:cs="Times New Roman"/>
        </w:rPr>
        <w:t>).</w:t>
      </w:r>
    </w:p>
    <w:p w14:paraId="7FF6A1F8" w14:textId="682945B3" w:rsidR="007645DA" w:rsidRPr="00BB6824" w:rsidRDefault="007645DA" w:rsidP="001A14AF">
      <w:pPr>
        <w:pStyle w:val="Heading3"/>
        <w:spacing w:before="0" w:after="0"/>
      </w:pPr>
      <w:bookmarkStart w:id="118" w:name="_Toc196256879"/>
      <w:r w:rsidRPr="00BB6824">
        <w:t>Phylogenetic analysis</w:t>
      </w:r>
      <w:bookmarkEnd w:id="118"/>
    </w:p>
    <w:p w14:paraId="33B0AF77" w14:textId="7E641618" w:rsidR="007645DA" w:rsidRPr="00BB6824" w:rsidRDefault="007645DA" w:rsidP="001A14AF">
      <w:pPr>
        <w:rPr>
          <w:rFonts w:cs="Times New Roman"/>
        </w:rPr>
      </w:pPr>
      <w:r w:rsidRPr="00BB6824">
        <w:rPr>
          <w:rFonts w:cs="Times New Roman"/>
        </w:rPr>
        <w:t xml:space="preserve">Analysis of the trimmed 16S rRNA gene sequence (1,335 bp) placed strain DJPM01 within the </w:t>
      </w:r>
      <w:r w:rsidRPr="00BB6824">
        <w:rPr>
          <w:rFonts w:cs="Times New Roman"/>
          <w:i/>
          <w:iCs/>
        </w:rPr>
        <w:t>Massilia</w:t>
      </w:r>
      <w:r w:rsidRPr="00BB6824">
        <w:rPr>
          <w:rFonts w:cs="Times New Roman"/>
        </w:rPr>
        <w:t xml:space="preserve"> genus (</w:t>
      </w:r>
      <w:hyperlink r:id="rId98" w:anchor="SM1" w:history="1">
        <w:r w:rsidR="00794A4D" w:rsidRPr="00F72232">
          <w:rPr>
            <w:rStyle w:val="Hyperlink"/>
            <w:rFonts w:ascii="Times New Roman" w:hAnsi="Times New Roman" w:cs="Times New Roman"/>
            <w:b/>
            <w:bCs/>
          </w:rPr>
          <w:t>Figure</w:t>
        </w:r>
      </w:hyperlink>
      <w:r w:rsidR="00794A4D" w:rsidRPr="00F72232">
        <w:rPr>
          <w:rFonts w:cs="Times New Roman"/>
          <w:b/>
          <w:bCs/>
        </w:rPr>
        <w:t xml:space="preserve"> </w:t>
      </w:r>
      <w:r w:rsidR="00F72232">
        <w:rPr>
          <w:rFonts w:cs="Times New Roman"/>
          <w:b/>
          <w:bCs/>
        </w:rPr>
        <w:t>6.3</w:t>
      </w:r>
      <w:r w:rsidRPr="00BB6824">
        <w:rPr>
          <w:rFonts w:cs="Times New Roman"/>
        </w:rPr>
        <w:t xml:space="preserve">). Strain DJPM01 shared highest sequence </w:t>
      </w:r>
      <w:r w:rsidRPr="00BB6824">
        <w:rPr>
          <w:rFonts w:cs="Times New Roman"/>
        </w:rPr>
        <w:lastRenderedPageBreak/>
        <w:t xml:space="preserve">identity with </w:t>
      </w:r>
      <w:r w:rsidRPr="00BB6824">
        <w:rPr>
          <w:rFonts w:cs="Times New Roman"/>
          <w:i/>
          <w:iCs/>
        </w:rPr>
        <w:t>M. violaceinigra</w:t>
      </w:r>
      <w:r w:rsidRPr="00BB6824">
        <w:rPr>
          <w:rFonts w:cs="Times New Roman"/>
        </w:rPr>
        <w:t xml:space="preserve"> strain B2 (CP024608, 99.87%) originally isolated from glacial permafrost in the Xinjiang region of China (</w:t>
      </w:r>
      <w:hyperlink r:id="rId99" w:anchor="ref135" w:history="1">
        <w:r w:rsidRPr="00BB6824">
          <w:rPr>
            <w:rStyle w:val="Hyperlink"/>
            <w:rFonts w:ascii="Times New Roman" w:hAnsi="Times New Roman" w:cs="Times New Roman"/>
          </w:rPr>
          <w:t>Wang et al., 2018</w:t>
        </w:r>
      </w:hyperlink>
      <w:r w:rsidRPr="00BB6824">
        <w:rPr>
          <w:rFonts w:cs="Times New Roman"/>
        </w:rPr>
        <w:t xml:space="preserve">). Strain DJPM01 also shared high sequence identity with several other cryosphere associated </w:t>
      </w:r>
      <w:r w:rsidRPr="00BB6824">
        <w:rPr>
          <w:rFonts w:cs="Times New Roman"/>
          <w:i/>
          <w:iCs/>
        </w:rPr>
        <w:t>Massilia</w:t>
      </w:r>
      <w:r w:rsidRPr="00BB6824">
        <w:rPr>
          <w:rFonts w:cs="Times New Roman"/>
        </w:rPr>
        <w:t xml:space="preserve"> species, including </w:t>
      </w:r>
      <w:r w:rsidRPr="00BB6824">
        <w:rPr>
          <w:rFonts w:cs="Times New Roman"/>
          <w:i/>
          <w:iCs/>
        </w:rPr>
        <w:t>M. aquatica</w:t>
      </w:r>
      <w:r w:rsidRPr="00BB6824">
        <w:rPr>
          <w:rFonts w:cs="Times New Roman"/>
        </w:rPr>
        <w:t xml:space="preserve"> strain CCM 8693 (MN612031, 99.87%), </w:t>
      </w:r>
      <w:r w:rsidRPr="00BB6824">
        <w:rPr>
          <w:rFonts w:cs="Times New Roman"/>
          <w:i/>
          <w:iCs/>
        </w:rPr>
        <w:t>M. rubra</w:t>
      </w:r>
      <w:r w:rsidRPr="00BB6824">
        <w:rPr>
          <w:rFonts w:cs="Times New Roman"/>
        </w:rPr>
        <w:t xml:space="preserve"> strain CCM 8692 (MN611986, 99.80%), </w:t>
      </w:r>
      <w:r w:rsidRPr="00BB6824">
        <w:rPr>
          <w:rFonts w:cs="Times New Roman"/>
          <w:i/>
          <w:iCs/>
        </w:rPr>
        <w:t>M. frigida</w:t>
      </w:r>
      <w:r w:rsidRPr="00BB6824">
        <w:rPr>
          <w:rFonts w:cs="Times New Roman"/>
        </w:rPr>
        <w:t xml:space="preserve"> strain CCM 8695 (MN612047, 99.80%), </w:t>
      </w:r>
      <w:r w:rsidRPr="00BB6824">
        <w:rPr>
          <w:rFonts w:cs="Times New Roman"/>
          <w:i/>
          <w:iCs/>
        </w:rPr>
        <w:t>M. mucilaginosa</w:t>
      </w:r>
      <w:r w:rsidRPr="00BB6824">
        <w:rPr>
          <w:rFonts w:cs="Times New Roman"/>
        </w:rPr>
        <w:t xml:space="preserve"> strain 8,733 (MN612043, 99.67%), and </w:t>
      </w:r>
      <w:r w:rsidRPr="00BB6824">
        <w:rPr>
          <w:rFonts w:cs="Times New Roman"/>
          <w:i/>
          <w:iCs/>
        </w:rPr>
        <w:t>M. atriviolacea</w:t>
      </w:r>
      <w:r w:rsidRPr="00BB6824">
        <w:rPr>
          <w:rFonts w:cs="Times New Roman"/>
        </w:rPr>
        <w:t xml:space="preserve"> strain SOD (NR_171529, 99.40%). Of these six isolates, four were isolated from James Ross Island on the Antarctic Peninsula (</w:t>
      </w:r>
      <w:r w:rsidRPr="00BB6824">
        <w:rPr>
          <w:rFonts w:cs="Times New Roman"/>
          <w:i/>
          <w:iCs/>
        </w:rPr>
        <w:t>M. frigida, M. aquatica, M. rubra,</w:t>
      </w:r>
      <w:r w:rsidRPr="00BB6824">
        <w:rPr>
          <w:rFonts w:cs="Times New Roman"/>
        </w:rPr>
        <w:t xml:space="preserve"> and </w:t>
      </w:r>
      <w:r w:rsidRPr="00BB6824">
        <w:rPr>
          <w:rFonts w:cs="Times New Roman"/>
          <w:i/>
          <w:iCs/>
        </w:rPr>
        <w:t>M. mucilaginosa</w:t>
      </w:r>
      <w:r w:rsidRPr="00BB6824">
        <w:rPr>
          <w:rFonts w:cs="Times New Roman"/>
        </w:rPr>
        <w:t xml:space="preserve">; </w:t>
      </w:r>
      <w:hyperlink r:id="rId100" w:anchor="ref53" w:history="1">
        <w:r w:rsidRPr="00BB6824">
          <w:rPr>
            <w:rStyle w:val="Hyperlink"/>
            <w:rFonts w:ascii="Times New Roman" w:hAnsi="Times New Roman" w:cs="Times New Roman"/>
          </w:rPr>
          <w:t>Holochová et al., 2020</w:t>
        </w:r>
      </w:hyperlink>
      <w:r w:rsidRPr="00BB6824">
        <w:rPr>
          <w:rFonts w:cs="Times New Roman"/>
        </w:rPr>
        <w:t xml:space="preserve">). </w:t>
      </w:r>
      <w:r w:rsidRPr="00BB6824">
        <w:rPr>
          <w:rFonts w:cs="Times New Roman"/>
          <w:i/>
          <w:iCs/>
        </w:rPr>
        <w:t>M. atriviolacea,</w:t>
      </w:r>
      <w:r w:rsidRPr="00BB6824">
        <w:rPr>
          <w:rFonts w:cs="Times New Roman"/>
        </w:rPr>
        <w:t xml:space="preserve"> was first isolated from agricultural soils from Hefei, China (</w:t>
      </w:r>
      <w:hyperlink r:id="rId101" w:anchor="ref142" w:history="1">
        <w:r w:rsidRPr="00BB6824">
          <w:rPr>
            <w:rStyle w:val="Hyperlink"/>
            <w:rFonts w:ascii="Times New Roman" w:hAnsi="Times New Roman" w:cs="Times New Roman"/>
          </w:rPr>
          <w:t>Yang et al., 2019</w:t>
        </w:r>
      </w:hyperlink>
      <w:r w:rsidRPr="00BB6824">
        <w:rPr>
          <w:rFonts w:cs="Times New Roman"/>
        </w:rPr>
        <w:t>). Comparison of the 16S rRNA sequence to the available DJP basin mat 16S ASV library suggests that strain DJPM01 is present in low abundance with 2,110 reads or ~0.03% relative abundance (</w:t>
      </w:r>
      <w:hyperlink r:id="rId102" w:anchor="ref106" w:history="1">
        <w:r w:rsidRPr="00BB6824">
          <w:rPr>
            <w:rStyle w:val="Hyperlink"/>
            <w:rFonts w:ascii="Times New Roman" w:hAnsi="Times New Roman" w:cs="Times New Roman"/>
          </w:rPr>
          <w:t>Schuler, 2022</w:t>
        </w:r>
      </w:hyperlink>
      <w:r w:rsidRPr="00BB6824">
        <w:rPr>
          <w:rFonts w:cs="Times New Roman"/>
        </w:rPr>
        <w:t>).</w:t>
      </w:r>
    </w:p>
    <w:p w14:paraId="43F34EF7" w14:textId="2102516A" w:rsidR="007645DA" w:rsidRPr="00BB6824" w:rsidRDefault="007645DA" w:rsidP="001A14AF">
      <w:pPr>
        <w:rPr>
          <w:rFonts w:cs="Times New Roman"/>
        </w:rPr>
      </w:pPr>
      <w:r w:rsidRPr="00BB6824">
        <w:rPr>
          <w:rFonts w:cs="Times New Roman"/>
        </w:rPr>
        <w:t xml:space="preserve">Whole genome comparison placed strain DJPM01 within a distinct clade (≥87% ANI between clade members) including all currently identified </w:t>
      </w:r>
      <w:r w:rsidRPr="00BB6824">
        <w:rPr>
          <w:rFonts w:cs="Times New Roman"/>
          <w:i/>
          <w:iCs/>
        </w:rPr>
        <w:t>Massillia</w:t>
      </w:r>
      <w:r w:rsidRPr="00BB6824">
        <w:rPr>
          <w:rFonts w:cs="Times New Roman"/>
        </w:rPr>
        <w:t xml:space="preserve"> with either a red or purple pigmented phenotype (</w:t>
      </w:r>
      <w:hyperlink r:id="rId103" w:anchor="fig3" w:history="1">
        <w:r w:rsidR="00794A4D" w:rsidRPr="00F72232">
          <w:rPr>
            <w:rStyle w:val="Hyperlink"/>
            <w:rFonts w:ascii="Times New Roman" w:hAnsi="Times New Roman" w:cs="Times New Roman"/>
            <w:b/>
            <w:bCs/>
          </w:rPr>
          <w:t>Figure</w:t>
        </w:r>
      </w:hyperlink>
      <w:r w:rsidR="00794A4D" w:rsidRPr="00F72232">
        <w:rPr>
          <w:rFonts w:cs="Times New Roman"/>
          <w:b/>
          <w:bCs/>
        </w:rPr>
        <w:t xml:space="preserve"> 2</w:t>
      </w:r>
      <w:r w:rsidR="00F72232" w:rsidRPr="00F72232">
        <w:rPr>
          <w:rFonts w:cs="Times New Roman"/>
          <w:b/>
          <w:bCs/>
        </w:rPr>
        <w:t>.3</w:t>
      </w:r>
      <w:r w:rsidRPr="00BB6824">
        <w:rPr>
          <w:rFonts w:cs="Times New Roman"/>
        </w:rPr>
        <w:t>;</w:t>
      </w:r>
      <w:r w:rsidR="00794A4D">
        <w:rPr>
          <w:rFonts w:cs="Times New Roman"/>
        </w:rPr>
        <w:t xml:space="preserve"> </w:t>
      </w:r>
      <w:r w:rsidR="00794A4D" w:rsidRPr="00FA0ACD">
        <w:rPr>
          <w:rFonts w:cs="Times New Roman"/>
          <w:b/>
          <w:bCs/>
        </w:rPr>
        <w:t xml:space="preserve">Table </w:t>
      </w:r>
      <w:r w:rsidR="00FA0ACD">
        <w:rPr>
          <w:rFonts w:cs="Times New Roman"/>
          <w:b/>
          <w:bCs/>
        </w:rPr>
        <w:t>6</w:t>
      </w:r>
      <w:r w:rsidR="00794A4D" w:rsidRPr="00FA0ACD">
        <w:rPr>
          <w:rFonts w:cs="Times New Roman"/>
          <w:b/>
          <w:bCs/>
        </w:rPr>
        <w:t>.1</w:t>
      </w:r>
      <w:r w:rsidRPr="00BB6824">
        <w:rPr>
          <w:rFonts w:cs="Times New Roman"/>
        </w:rPr>
        <w:t xml:space="preserve">). This clade includes the six </w:t>
      </w:r>
      <w:r w:rsidRPr="00BB6824">
        <w:rPr>
          <w:rFonts w:cs="Times New Roman"/>
          <w:i/>
          <w:iCs/>
        </w:rPr>
        <w:t>Massilia</w:t>
      </w:r>
      <w:r w:rsidRPr="00BB6824">
        <w:rPr>
          <w:rFonts w:cs="Times New Roman"/>
        </w:rPr>
        <w:t xml:space="preserve"> strains with highest 16S rRNA gene similarity to strain DJPM01, as well as </w:t>
      </w:r>
      <w:r w:rsidRPr="00BB6824">
        <w:rPr>
          <w:rFonts w:cs="Times New Roman"/>
          <w:i/>
          <w:iCs/>
        </w:rPr>
        <w:t>M. antarctica</w:t>
      </w:r>
      <w:r w:rsidRPr="00BB6824">
        <w:rPr>
          <w:rFonts w:cs="Times New Roman"/>
        </w:rPr>
        <w:t xml:space="preserve"> strain P9640 (OM243919; </w:t>
      </w:r>
      <w:hyperlink r:id="rId104" w:anchor="ref107" w:history="1">
        <w:r w:rsidRPr="00BB6824">
          <w:rPr>
            <w:rStyle w:val="Hyperlink"/>
            <w:rFonts w:ascii="Times New Roman" w:hAnsi="Times New Roman" w:cs="Times New Roman"/>
          </w:rPr>
          <w:t>Sedláček et al., 2022</w:t>
        </w:r>
      </w:hyperlink>
      <w:r w:rsidRPr="00BB6824">
        <w:rPr>
          <w:rFonts w:cs="Times New Roman"/>
        </w:rPr>
        <w:t xml:space="preserve">), which was also isolated from James Ross Island. All members of this clade have been shown to grow at or below 4°C, regardless of isolation locale. Strain DJPM01 shared highest ANI with </w:t>
      </w:r>
      <w:r w:rsidRPr="00BB6824">
        <w:rPr>
          <w:rFonts w:cs="Times New Roman"/>
          <w:i/>
          <w:iCs/>
        </w:rPr>
        <w:t>M. frigida</w:t>
      </w:r>
      <w:r w:rsidRPr="00BB6824">
        <w:rPr>
          <w:rFonts w:cs="Times New Roman"/>
        </w:rPr>
        <w:t xml:space="preserve"> strain CCM8695 (97.36% identity). High sequence identity of strain DJPM01 to </w:t>
      </w:r>
      <w:r w:rsidRPr="00BB6824">
        <w:rPr>
          <w:rFonts w:cs="Times New Roman"/>
          <w:i/>
          <w:iCs/>
        </w:rPr>
        <w:t>M. antarctica</w:t>
      </w:r>
      <w:r w:rsidRPr="00BB6824">
        <w:rPr>
          <w:rFonts w:cs="Times New Roman"/>
        </w:rPr>
        <w:t xml:space="preserve"> strain P9640 (91.92%) and </w:t>
      </w:r>
      <w:r w:rsidRPr="00BB6824">
        <w:rPr>
          <w:rFonts w:cs="Times New Roman"/>
          <w:i/>
          <w:iCs/>
        </w:rPr>
        <w:t>M. violaceinigra</w:t>
      </w:r>
      <w:r w:rsidRPr="00BB6824">
        <w:rPr>
          <w:rFonts w:cs="Times New Roman"/>
        </w:rPr>
        <w:t xml:space="preserve"> strain B2 (91.38%) were also noted. Additionally, </w:t>
      </w:r>
      <w:r w:rsidRPr="00BB6824">
        <w:rPr>
          <w:rFonts w:cs="Times New Roman"/>
          <w:i/>
          <w:iCs/>
        </w:rPr>
        <w:t>M. mucilaginosa</w:t>
      </w:r>
      <w:r w:rsidRPr="00BB6824">
        <w:rPr>
          <w:rFonts w:cs="Times New Roman"/>
        </w:rPr>
        <w:t xml:space="preserve"> strain CCM8733, </w:t>
      </w:r>
      <w:r w:rsidRPr="00BB6824">
        <w:rPr>
          <w:rFonts w:cs="Times New Roman"/>
          <w:i/>
          <w:iCs/>
        </w:rPr>
        <w:t>M. atriviolacea</w:t>
      </w:r>
      <w:r w:rsidRPr="00BB6824">
        <w:rPr>
          <w:rFonts w:cs="Times New Roman"/>
        </w:rPr>
        <w:t xml:space="preserve"> strain SOD, </w:t>
      </w:r>
      <w:r w:rsidRPr="00BB6824">
        <w:rPr>
          <w:rFonts w:cs="Times New Roman"/>
          <w:i/>
          <w:iCs/>
        </w:rPr>
        <w:t>M. rubra</w:t>
      </w:r>
      <w:r w:rsidRPr="00BB6824">
        <w:rPr>
          <w:rFonts w:cs="Times New Roman"/>
        </w:rPr>
        <w:t xml:space="preserve"> CCM 8692 (GCF 011682065), and </w:t>
      </w:r>
      <w:r w:rsidRPr="00BB6824">
        <w:rPr>
          <w:rFonts w:cs="Times New Roman"/>
          <w:i/>
          <w:iCs/>
        </w:rPr>
        <w:t>M. aquatica</w:t>
      </w:r>
      <w:r w:rsidRPr="00BB6824">
        <w:rPr>
          <w:rFonts w:cs="Times New Roman"/>
        </w:rPr>
        <w:t xml:space="preserve"> CCM 8693 had relatively high sequence identity (87.94–88.41% similarity to strain DJPM01). Digital DNA–DNA hybridization (DDH) showed 75.6% similarity between strain DJPM01 and </w:t>
      </w:r>
      <w:r w:rsidRPr="00BB6824">
        <w:rPr>
          <w:rFonts w:cs="Times New Roman"/>
          <w:i/>
          <w:iCs/>
        </w:rPr>
        <w:t>M. frigida</w:t>
      </w:r>
      <w:r w:rsidRPr="00BB6824">
        <w:rPr>
          <w:rFonts w:cs="Times New Roman"/>
        </w:rPr>
        <w:t xml:space="preserve"> strain CCM8695 (</w:t>
      </w:r>
      <w:hyperlink r:id="rId105" w:anchor="SM1" w:history="1">
        <w:r w:rsidR="008420A0" w:rsidRPr="008420A0">
          <w:rPr>
            <w:b/>
            <w:bCs/>
          </w:rPr>
          <w:t xml:space="preserve"> Appendix</w:t>
        </w:r>
        <w:r w:rsidR="008420A0">
          <w:rPr>
            <w:b/>
            <w:bCs/>
          </w:rPr>
          <w:t>,</w:t>
        </w:r>
        <w:r w:rsidR="008420A0" w:rsidRPr="00F13F6D">
          <w:rPr>
            <w:rFonts w:cs="Times New Roman"/>
            <w:b/>
            <w:bCs/>
          </w:rPr>
          <w:t xml:space="preserve"> </w:t>
        </w:r>
        <w:r w:rsidRPr="00FA0ACD">
          <w:rPr>
            <w:rStyle w:val="Hyperlink"/>
            <w:rFonts w:ascii="Times New Roman" w:hAnsi="Times New Roman" w:cs="Times New Roman"/>
            <w:b/>
            <w:bCs/>
          </w:rPr>
          <w:t xml:space="preserve">Table </w:t>
        </w:r>
        <w:r w:rsidR="00FA0ACD" w:rsidRPr="00FA0ACD">
          <w:rPr>
            <w:rStyle w:val="Hyperlink"/>
            <w:rFonts w:ascii="Times New Roman" w:hAnsi="Times New Roman" w:cs="Times New Roman"/>
            <w:b/>
            <w:bCs/>
          </w:rPr>
          <w:t>6</w:t>
        </w:r>
        <w:r w:rsidR="006C049E" w:rsidRPr="00FA0ACD">
          <w:rPr>
            <w:rStyle w:val="Hyperlink"/>
            <w:rFonts w:ascii="Times New Roman" w:hAnsi="Times New Roman" w:cs="Times New Roman"/>
            <w:b/>
            <w:bCs/>
          </w:rPr>
          <w:t>.</w:t>
        </w:r>
        <w:r w:rsidRPr="00FA0ACD">
          <w:rPr>
            <w:rStyle w:val="Hyperlink"/>
            <w:rFonts w:ascii="Times New Roman" w:hAnsi="Times New Roman" w:cs="Times New Roman"/>
            <w:b/>
            <w:bCs/>
          </w:rPr>
          <w:t>1</w:t>
        </w:r>
      </w:hyperlink>
      <w:r w:rsidRPr="00BB6824">
        <w:rPr>
          <w:rFonts w:cs="Times New Roman"/>
        </w:rPr>
        <w:t>).</w:t>
      </w:r>
    </w:p>
    <w:p w14:paraId="61A8BFE6" w14:textId="1F4C0F4A" w:rsidR="007645DA" w:rsidRPr="00BB6824" w:rsidRDefault="007645DA" w:rsidP="001A14AF">
      <w:pPr>
        <w:pStyle w:val="Heading3"/>
        <w:spacing w:before="0" w:after="0"/>
      </w:pPr>
      <w:bookmarkStart w:id="119" w:name="_Toc196256880"/>
      <w:r w:rsidRPr="00BB6824">
        <w:t>Genomic analyses</w:t>
      </w:r>
      <w:bookmarkEnd w:id="119"/>
    </w:p>
    <w:p w14:paraId="21D6CACD" w14:textId="5E40076B" w:rsidR="007645DA" w:rsidRPr="00BB6824" w:rsidRDefault="007645DA" w:rsidP="001A14AF">
      <w:pPr>
        <w:rPr>
          <w:rFonts w:cs="Times New Roman"/>
        </w:rPr>
      </w:pPr>
      <w:r w:rsidRPr="00BB6824">
        <w:rPr>
          <w:rFonts w:cs="Times New Roman"/>
        </w:rPr>
        <w:t xml:space="preserve">Whole-genome sequencing resulted in 8,995,221 paired reads of which 8,693,443 (96.6%) pairs survived trimming with 0 N’s. Assembly yielded a genome 7.7 Gb in size </w:t>
      </w:r>
      <w:r w:rsidRPr="00BB6824">
        <w:rPr>
          <w:rFonts w:cs="Times New Roman"/>
        </w:rPr>
        <w:lastRenderedPageBreak/>
        <w:t xml:space="preserve">across 236 contigs with 99.80% completeness (573 of 574 marker genes present) and 1.64% contamination (10 marker genes with two copies each; </w:t>
      </w:r>
      <w:hyperlink r:id="rId106" w:anchor="fig4" w:history="1">
        <w:r w:rsidRPr="00F72232">
          <w:rPr>
            <w:rStyle w:val="Hyperlink"/>
            <w:rFonts w:ascii="Times New Roman" w:hAnsi="Times New Roman" w:cs="Times New Roman"/>
            <w:b/>
            <w:bCs/>
          </w:rPr>
          <w:t xml:space="preserve">Figure </w:t>
        </w:r>
        <w:r w:rsidR="00D637AC" w:rsidRPr="00F72232">
          <w:rPr>
            <w:rStyle w:val="Hyperlink"/>
            <w:rFonts w:ascii="Times New Roman" w:hAnsi="Times New Roman" w:cs="Times New Roman"/>
            <w:b/>
            <w:bCs/>
          </w:rPr>
          <w:t>2.</w:t>
        </w:r>
      </w:hyperlink>
      <w:r w:rsidR="00F72232">
        <w:rPr>
          <w:b/>
          <w:bCs/>
        </w:rPr>
        <w:t>4</w:t>
      </w:r>
      <w:r w:rsidRPr="00BB6824">
        <w:rPr>
          <w:rFonts w:cs="Times New Roman"/>
        </w:rPr>
        <w:t>). Following annotation, 6,626 predicted protein coding genes were identified, 3,037 of which had a non-hypothetical function (45.8% functional annotation). Of these genes, the largest functional categories within the KEGG database were protein families: signaling and cellular processes (361 genes), environmental information processing (339 genes), genetic information processing (339 genes), and carbohydrate metabolism (248 genes). The genome contains complete pathways for glycolysis and the TCA cycle, oxidative phosphorylation, flagellar motility, and denitrification. Additionally, we detected 9 putative CRISPR arrays and 4 Cas clusters (</w:t>
      </w:r>
      <w:r w:rsidR="00D637AC" w:rsidRPr="00F72232">
        <w:rPr>
          <w:rFonts w:cs="Times New Roman"/>
          <w:b/>
          <w:bCs/>
        </w:rPr>
        <w:t xml:space="preserve">Figure </w:t>
      </w:r>
      <w:hyperlink r:id="rId107" w:anchor="fig4" w:history="1">
        <w:r w:rsidR="00D637AC" w:rsidRPr="00F72232">
          <w:rPr>
            <w:rStyle w:val="Hyperlink"/>
            <w:rFonts w:ascii="Times New Roman" w:hAnsi="Times New Roman" w:cs="Times New Roman"/>
            <w:b/>
            <w:bCs/>
          </w:rPr>
          <w:t>2.</w:t>
        </w:r>
      </w:hyperlink>
      <w:r w:rsidR="00F72232" w:rsidRPr="00F72232">
        <w:rPr>
          <w:b/>
          <w:bCs/>
        </w:rPr>
        <w:t>4</w:t>
      </w:r>
      <w:r w:rsidRPr="00BB6824">
        <w:rPr>
          <w:rFonts w:cs="Times New Roman"/>
        </w:rPr>
        <w:t>). Both putative single- and double-stranded DNA phage sequences were found throughout the genome.</w:t>
      </w:r>
    </w:p>
    <w:p w14:paraId="483B396C" w14:textId="607E62E6" w:rsidR="007645DA" w:rsidRPr="00BB6824" w:rsidRDefault="007645DA" w:rsidP="001A14AF">
      <w:pPr>
        <w:rPr>
          <w:rFonts w:cs="Times New Roman"/>
        </w:rPr>
      </w:pPr>
      <w:r w:rsidRPr="00BB6824">
        <w:rPr>
          <w:rFonts w:cs="Times New Roman"/>
        </w:rPr>
        <w:t>Strain DJPM01 has genomic evidence for adaptation to cold environments (</w:t>
      </w:r>
      <w:hyperlink r:id="rId108" w:anchor="fig4" w:history="1">
        <w:r w:rsidRPr="00F72232">
          <w:rPr>
            <w:rStyle w:val="Hyperlink"/>
            <w:rFonts w:ascii="Times New Roman" w:hAnsi="Times New Roman" w:cs="Times New Roman"/>
            <w:b/>
            <w:bCs/>
          </w:rPr>
          <w:t xml:space="preserve">Figure </w:t>
        </w:r>
        <w:r w:rsidR="00D637AC" w:rsidRPr="00F72232">
          <w:rPr>
            <w:rStyle w:val="Hyperlink"/>
            <w:rFonts w:ascii="Times New Roman" w:hAnsi="Times New Roman" w:cs="Times New Roman"/>
            <w:b/>
            <w:bCs/>
          </w:rPr>
          <w:t>2.</w:t>
        </w:r>
      </w:hyperlink>
      <w:r w:rsidR="00F72232">
        <w:rPr>
          <w:b/>
          <w:bCs/>
        </w:rPr>
        <w:t>4</w:t>
      </w:r>
      <w:r w:rsidRPr="00F72232">
        <w:rPr>
          <w:rFonts w:cs="Times New Roman"/>
          <w:b/>
          <w:bCs/>
        </w:rPr>
        <w:t>;</w:t>
      </w:r>
      <w:r w:rsidRPr="00BB6824">
        <w:rPr>
          <w:rFonts w:cs="Times New Roman"/>
        </w:rPr>
        <w:t xml:space="preserve"> </w:t>
      </w:r>
      <w:r w:rsidR="008420A0" w:rsidRPr="008420A0">
        <w:rPr>
          <w:b/>
          <w:bCs/>
        </w:rPr>
        <w:t>Appendix</w:t>
      </w:r>
      <w:r w:rsidR="008420A0">
        <w:rPr>
          <w:b/>
          <w:bCs/>
        </w:rPr>
        <w:t>,</w:t>
      </w:r>
      <w:r w:rsidR="008420A0" w:rsidRPr="00F13F6D">
        <w:rPr>
          <w:rFonts w:cs="Times New Roman"/>
          <w:b/>
          <w:bCs/>
        </w:rPr>
        <w:t xml:space="preserve"> </w:t>
      </w:r>
      <w:hyperlink r:id="rId109" w:anchor="SM1" w:history="1">
        <w:r w:rsidRPr="00FA0ACD">
          <w:rPr>
            <w:rStyle w:val="Hyperlink"/>
            <w:rFonts w:ascii="Times New Roman" w:hAnsi="Times New Roman" w:cs="Times New Roman"/>
            <w:b/>
            <w:bCs/>
          </w:rPr>
          <w:t xml:space="preserve">Table </w:t>
        </w:r>
      </w:hyperlink>
      <w:r w:rsidR="00FA0ACD" w:rsidRPr="00FA0ACD">
        <w:rPr>
          <w:b/>
          <w:bCs/>
        </w:rPr>
        <w:t>6</w:t>
      </w:r>
      <w:r w:rsidR="00D637AC" w:rsidRPr="00FA0ACD">
        <w:rPr>
          <w:rFonts w:cs="Times New Roman"/>
          <w:b/>
          <w:bCs/>
        </w:rPr>
        <w:t>.2</w:t>
      </w:r>
      <w:r w:rsidRPr="00BB6824">
        <w:rPr>
          <w:rFonts w:cs="Times New Roman"/>
        </w:rPr>
        <w:t>). The genome contains genes homologous to those encoding protein chaperones, including two copies of ClpB (</w:t>
      </w:r>
      <w:hyperlink r:id="rId110" w:anchor="ref80" w:history="1">
        <w:r w:rsidRPr="00BB6824">
          <w:rPr>
            <w:rStyle w:val="Hyperlink"/>
            <w:rFonts w:ascii="Times New Roman" w:hAnsi="Times New Roman" w:cs="Times New Roman"/>
          </w:rPr>
          <w:t>Mogk et al., 2003</w:t>
        </w:r>
      </w:hyperlink>
      <w:r w:rsidRPr="00BB6824">
        <w:rPr>
          <w:rFonts w:cs="Times New Roman"/>
        </w:rPr>
        <w:t>) and DnaJ (</w:t>
      </w:r>
      <w:hyperlink r:id="rId111" w:anchor="ref95" w:history="1">
        <w:r w:rsidRPr="00BB6824">
          <w:rPr>
            <w:rStyle w:val="Hyperlink"/>
            <w:rFonts w:ascii="Times New Roman" w:hAnsi="Times New Roman" w:cs="Times New Roman"/>
          </w:rPr>
          <w:t>Qiu et al., 2006</w:t>
        </w:r>
      </w:hyperlink>
      <w:r w:rsidRPr="00BB6824">
        <w:rPr>
          <w:rFonts w:cs="Times New Roman"/>
        </w:rPr>
        <w:t>), three copies of DnaK (</w:t>
      </w:r>
      <w:hyperlink r:id="rId112" w:anchor="ref122" w:history="1">
        <w:r w:rsidRPr="00BB6824">
          <w:rPr>
            <w:rStyle w:val="Hyperlink"/>
            <w:rFonts w:ascii="Times New Roman" w:hAnsi="Times New Roman" w:cs="Times New Roman"/>
          </w:rPr>
          <w:t>Thompson et al., 2012</w:t>
        </w:r>
      </w:hyperlink>
      <w:r w:rsidRPr="00BB6824">
        <w:rPr>
          <w:rFonts w:cs="Times New Roman"/>
        </w:rPr>
        <w:t>), and one copy each of GroEL (</w:t>
      </w:r>
      <w:hyperlink r:id="rId113" w:anchor="ref66" w:history="1">
        <w:r w:rsidRPr="00BB6824">
          <w:rPr>
            <w:rStyle w:val="Hyperlink"/>
            <w:rFonts w:ascii="Times New Roman" w:hAnsi="Times New Roman" w:cs="Times New Roman"/>
          </w:rPr>
          <w:t>Lenz and Ron, 2014</w:t>
        </w:r>
      </w:hyperlink>
      <w:r w:rsidRPr="00BB6824">
        <w:rPr>
          <w:rFonts w:cs="Times New Roman"/>
        </w:rPr>
        <w:t>), GroES (</w:t>
      </w:r>
      <w:hyperlink r:id="rId114" w:anchor="ref120" w:history="1">
        <w:r w:rsidRPr="00BB6824">
          <w:rPr>
            <w:rStyle w:val="Hyperlink"/>
            <w:rFonts w:ascii="Times New Roman" w:hAnsi="Times New Roman" w:cs="Times New Roman"/>
          </w:rPr>
          <w:t>Takei et al., 2012</w:t>
        </w:r>
      </w:hyperlink>
      <w:r w:rsidRPr="00BB6824">
        <w:rPr>
          <w:rFonts w:cs="Times New Roman"/>
        </w:rPr>
        <w:t>), and GrpE (</w:t>
      </w:r>
      <w:hyperlink r:id="rId115" w:anchor="ref140" w:history="1">
        <w:r w:rsidRPr="00BB6824">
          <w:rPr>
            <w:rStyle w:val="Hyperlink"/>
            <w:rFonts w:ascii="Times New Roman" w:hAnsi="Times New Roman" w:cs="Times New Roman"/>
          </w:rPr>
          <w:t>Wu et al., 1996</w:t>
        </w:r>
      </w:hyperlink>
      <w:r w:rsidRPr="00BB6824">
        <w:rPr>
          <w:rFonts w:cs="Times New Roman"/>
        </w:rPr>
        <w:t>). There was also evidence for genes encoding cold shock proteins involved in repairing misfolded mRNA, such as ATP-dependent RNA helicases DpbA (</w:t>
      </w:r>
      <w:hyperlink r:id="rId116" w:anchor="ref128" w:history="1">
        <w:r w:rsidRPr="00BB6824">
          <w:rPr>
            <w:rStyle w:val="Hyperlink"/>
            <w:rFonts w:ascii="Times New Roman" w:hAnsi="Times New Roman" w:cs="Times New Roman"/>
          </w:rPr>
          <w:t>Tsu et al., 2001</w:t>
        </w:r>
      </w:hyperlink>
      <w:r w:rsidRPr="00BB6824">
        <w:rPr>
          <w:rFonts w:cs="Times New Roman"/>
        </w:rPr>
        <w:t>), DeaD (</w:t>
      </w:r>
      <w:hyperlink r:id="rId117" w:anchor="ref93" w:history="1">
        <w:r w:rsidRPr="00BB6824">
          <w:rPr>
            <w:rStyle w:val="Hyperlink"/>
            <w:rFonts w:ascii="Times New Roman" w:hAnsi="Times New Roman" w:cs="Times New Roman"/>
          </w:rPr>
          <w:t>Prud’homme-Généreux et al., 2004</w:t>
        </w:r>
      </w:hyperlink>
      <w:r w:rsidRPr="00BB6824">
        <w:rPr>
          <w:rFonts w:cs="Times New Roman"/>
        </w:rPr>
        <w:t>), and three copies of RhlE (</w:t>
      </w:r>
      <w:hyperlink r:id="rId118" w:anchor="ref11" w:history="1">
        <w:r w:rsidRPr="00BB6824">
          <w:rPr>
            <w:rStyle w:val="Hyperlink"/>
            <w:rFonts w:ascii="Times New Roman" w:hAnsi="Times New Roman" w:cs="Times New Roman"/>
          </w:rPr>
          <w:t>Bizebard et al., 2004</w:t>
        </w:r>
      </w:hyperlink>
      <w:r w:rsidRPr="00BB6824">
        <w:rPr>
          <w:rFonts w:cs="Times New Roman"/>
        </w:rPr>
        <w:t>). Strain DJPM01 contained two copies of genes putatively encoding the cold shock protein CspA (</w:t>
      </w:r>
      <w:hyperlink r:id="rId119" w:anchor="ref64" w:history="1">
        <w:r w:rsidRPr="00BB6824">
          <w:rPr>
            <w:rStyle w:val="Hyperlink"/>
            <w:rFonts w:ascii="Times New Roman" w:hAnsi="Times New Roman" w:cs="Times New Roman"/>
          </w:rPr>
          <w:t>La Teana et al., 1991</w:t>
        </w:r>
      </w:hyperlink>
      <w:r w:rsidRPr="00BB6824">
        <w:rPr>
          <w:rFonts w:cs="Times New Roman"/>
        </w:rPr>
        <w:t>). Three genes were also associated with the formation of unsaturated fatty acids, including a Δ9-desaturase (</w:t>
      </w:r>
      <w:hyperlink r:id="rId120" w:anchor="ref71" w:history="1">
        <w:r w:rsidRPr="00BB6824">
          <w:rPr>
            <w:rStyle w:val="Hyperlink"/>
            <w:rFonts w:ascii="Times New Roman" w:hAnsi="Times New Roman" w:cs="Times New Roman"/>
          </w:rPr>
          <w:t>Li et al., 2009</w:t>
        </w:r>
      </w:hyperlink>
      <w:r w:rsidRPr="00BB6824">
        <w:rPr>
          <w:rFonts w:cs="Times New Roman"/>
        </w:rPr>
        <w:t>) and two acyl-CoA thioesterases, TesA (</w:t>
      </w:r>
      <w:hyperlink r:id="rId121" w:anchor="ref22" w:history="1">
        <w:r w:rsidRPr="00BB6824">
          <w:rPr>
            <w:rStyle w:val="Hyperlink"/>
            <w:rFonts w:ascii="Times New Roman" w:hAnsi="Times New Roman" w:cs="Times New Roman"/>
          </w:rPr>
          <w:t>Cho and Cronan, 1993</w:t>
        </w:r>
      </w:hyperlink>
      <w:r w:rsidRPr="00BB6824">
        <w:rPr>
          <w:rFonts w:cs="Times New Roman"/>
        </w:rPr>
        <w:t>) and YciA (</w:t>
      </w:r>
      <w:hyperlink r:id="rId122" w:anchor="ref91" w:history="1">
        <w:r w:rsidRPr="00BB6824">
          <w:rPr>
            <w:rStyle w:val="Hyperlink"/>
            <w:rFonts w:ascii="Times New Roman" w:hAnsi="Times New Roman" w:cs="Times New Roman"/>
          </w:rPr>
          <w:t>Postle and Good, 1985</w:t>
        </w:r>
      </w:hyperlink>
      <w:r w:rsidRPr="00BB6824">
        <w:rPr>
          <w:rFonts w:cs="Times New Roman"/>
        </w:rPr>
        <w:t>).</w:t>
      </w:r>
    </w:p>
    <w:p w14:paraId="2316BA1B" w14:textId="6E3C845A" w:rsidR="007645DA" w:rsidRPr="00BB6824" w:rsidRDefault="007645DA" w:rsidP="001A14AF">
      <w:pPr>
        <w:rPr>
          <w:rFonts w:cs="Times New Roman"/>
        </w:rPr>
      </w:pPr>
      <w:r w:rsidRPr="00BB6824">
        <w:rPr>
          <w:rFonts w:cs="Times New Roman"/>
        </w:rPr>
        <w:t>Several genes putatively involved in osmotic and oxidative stress were present as well (</w:t>
      </w:r>
      <w:hyperlink r:id="rId123" w:anchor="fig4" w:history="1">
        <w:r w:rsidRPr="00F72232">
          <w:rPr>
            <w:rStyle w:val="Hyperlink"/>
            <w:rFonts w:ascii="Times New Roman" w:hAnsi="Times New Roman" w:cs="Times New Roman"/>
            <w:b/>
            <w:bCs/>
          </w:rPr>
          <w:t xml:space="preserve">Figure </w:t>
        </w:r>
        <w:r w:rsidR="00D637AC" w:rsidRPr="00F72232">
          <w:rPr>
            <w:rStyle w:val="Hyperlink"/>
            <w:rFonts w:ascii="Times New Roman" w:hAnsi="Times New Roman" w:cs="Times New Roman"/>
            <w:b/>
            <w:bCs/>
          </w:rPr>
          <w:t>2.</w:t>
        </w:r>
      </w:hyperlink>
      <w:r w:rsidR="00F72232" w:rsidRPr="00F72232">
        <w:rPr>
          <w:b/>
          <w:bCs/>
        </w:rPr>
        <w:t>4</w:t>
      </w:r>
      <w:r w:rsidRPr="00BB6824">
        <w:rPr>
          <w:rFonts w:cs="Times New Roman"/>
        </w:rPr>
        <w:t xml:space="preserve">; </w:t>
      </w:r>
      <w:r w:rsidR="008420A0" w:rsidRPr="008420A0">
        <w:rPr>
          <w:b/>
          <w:bCs/>
        </w:rPr>
        <w:t>Appendix</w:t>
      </w:r>
      <w:r w:rsidR="008420A0">
        <w:rPr>
          <w:b/>
          <w:bCs/>
        </w:rPr>
        <w:t>,</w:t>
      </w:r>
      <w:r w:rsidR="008420A0" w:rsidRPr="00F13F6D">
        <w:rPr>
          <w:rFonts w:cs="Times New Roman"/>
          <w:b/>
          <w:bCs/>
        </w:rPr>
        <w:t xml:space="preserve"> </w:t>
      </w:r>
      <w:r w:rsidR="00FA0ACD" w:rsidRPr="00FA0ACD">
        <w:rPr>
          <w:rFonts w:cs="Times New Roman"/>
          <w:b/>
          <w:bCs/>
        </w:rPr>
        <w:t xml:space="preserve">Table </w:t>
      </w:r>
      <w:hyperlink r:id="rId124" w:anchor="SM1" w:history="1">
        <w:r w:rsidR="00FA0ACD" w:rsidRPr="00FA0ACD">
          <w:rPr>
            <w:rStyle w:val="Hyperlink"/>
            <w:rFonts w:ascii="Times New Roman" w:hAnsi="Times New Roman" w:cs="Times New Roman"/>
            <w:b/>
            <w:bCs/>
          </w:rPr>
          <w:t>6</w:t>
        </w:r>
      </w:hyperlink>
      <w:r w:rsidR="00D637AC" w:rsidRPr="00FA0ACD">
        <w:rPr>
          <w:rFonts w:cs="Times New Roman"/>
          <w:b/>
          <w:bCs/>
        </w:rPr>
        <w:t>.2</w:t>
      </w:r>
      <w:r w:rsidRPr="00BB6824">
        <w:rPr>
          <w:rFonts w:cs="Times New Roman"/>
        </w:rPr>
        <w:t>). Strain DJPM01 has genomic evidence of several cation/proton antiporters in the NhaA (</w:t>
      </w:r>
      <w:hyperlink r:id="rId125" w:anchor="ref133" w:history="1">
        <w:r w:rsidRPr="00BB6824">
          <w:rPr>
            <w:rStyle w:val="Hyperlink"/>
            <w:rFonts w:ascii="Times New Roman" w:hAnsi="Times New Roman" w:cs="Times New Roman"/>
          </w:rPr>
          <w:t>Vimont and Berche, 2000</w:t>
        </w:r>
      </w:hyperlink>
      <w:r w:rsidRPr="00BB6824">
        <w:rPr>
          <w:rFonts w:cs="Times New Roman"/>
        </w:rPr>
        <w:t>) and CPA1 families (</w:t>
      </w:r>
      <w:hyperlink r:id="rId126" w:anchor="ref130" w:history="1">
        <w:r w:rsidRPr="00BB6824">
          <w:rPr>
            <w:rStyle w:val="Hyperlink"/>
            <w:rFonts w:ascii="Times New Roman" w:hAnsi="Times New Roman" w:cs="Times New Roman"/>
          </w:rPr>
          <w:t>Utsugi et al., 1998</w:t>
        </w:r>
      </w:hyperlink>
      <w:r w:rsidRPr="00BB6824">
        <w:rPr>
          <w:rFonts w:cs="Times New Roman"/>
        </w:rPr>
        <w:t>). Both the biosynthetic pathway and transporters for the compatible solute glutamate are present (</w:t>
      </w:r>
      <w:hyperlink r:id="rId127" w:anchor="ref103" w:history="1">
        <w:r w:rsidRPr="00BB6824">
          <w:rPr>
            <w:rStyle w:val="Hyperlink"/>
            <w:rFonts w:ascii="Times New Roman" w:hAnsi="Times New Roman" w:cs="Times New Roman"/>
          </w:rPr>
          <w:t>Saum et al., 2006</w:t>
        </w:r>
      </w:hyperlink>
      <w:r w:rsidRPr="00BB6824">
        <w:rPr>
          <w:rFonts w:cs="Times New Roman"/>
        </w:rPr>
        <w:t>). Strain DJPM01 also contained genes for superoxide dismutase (</w:t>
      </w:r>
      <w:hyperlink r:id="rId128" w:anchor="ref36" w:history="1">
        <w:r w:rsidRPr="00BB6824">
          <w:rPr>
            <w:rStyle w:val="Hyperlink"/>
            <w:rFonts w:ascii="Times New Roman" w:hAnsi="Times New Roman" w:cs="Times New Roman"/>
          </w:rPr>
          <w:t>Fee, 1991</w:t>
        </w:r>
      </w:hyperlink>
      <w:r w:rsidRPr="00BB6824">
        <w:rPr>
          <w:rFonts w:cs="Times New Roman"/>
        </w:rPr>
        <w:t>) and peroxiredoxin (</w:t>
      </w:r>
      <w:hyperlink r:id="rId129" w:anchor="ref136" w:history="1">
        <w:r w:rsidRPr="00BB6824">
          <w:rPr>
            <w:rStyle w:val="Hyperlink"/>
            <w:rFonts w:ascii="Times New Roman" w:hAnsi="Times New Roman" w:cs="Times New Roman"/>
          </w:rPr>
          <w:t xml:space="preserve">Weber et al., </w:t>
        </w:r>
        <w:r w:rsidRPr="00BB6824">
          <w:rPr>
            <w:rStyle w:val="Hyperlink"/>
            <w:rFonts w:ascii="Times New Roman" w:hAnsi="Times New Roman" w:cs="Times New Roman"/>
          </w:rPr>
          <w:lastRenderedPageBreak/>
          <w:t>2006</w:t>
        </w:r>
      </w:hyperlink>
      <w:r w:rsidRPr="00BB6824">
        <w:rPr>
          <w:rFonts w:cs="Times New Roman"/>
        </w:rPr>
        <w:t>), which are enzymes known to combat oxidative stress, in addition to six copies of the catalase gene (</w:t>
      </w:r>
      <w:hyperlink r:id="rId130" w:anchor="ref134" w:history="1">
        <w:r w:rsidRPr="00BB6824">
          <w:rPr>
            <w:rStyle w:val="Hyperlink"/>
            <w:rFonts w:ascii="Times New Roman" w:hAnsi="Times New Roman" w:cs="Times New Roman"/>
          </w:rPr>
          <w:t>von Ossowski et al., 1991</w:t>
        </w:r>
      </w:hyperlink>
      <w:r w:rsidRPr="00BB6824">
        <w:rPr>
          <w:rFonts w:cs="Times New Roman"/>
        </w:rPr>
        <w:t>). Several genes were associated with DNA repair (</w:t>
      </w:r>
      <w:hyperlink r:id="rId131" w:anchor="fig4" w:history="1">
        <w:r w:rsidRPr="00F72232">
          <w:rPr>
            <w:rStyle w:val="Hyperlink"/>
            <w:rFonts w:ascii="Times New Roman" w:hAnsi="Times New Roman" w:cs="Times New Roman"/>
            <w:b/>
            <w:bCs/>
          </w:rPr>
          <w:t xml:space="preserve">Figure </w:t>
        </w:r>
      </w:hyperlink>
      <w:r w:rsidR="00D637AC" w:rsidRPr="00F72232">
        <w:rPr>
          <w:rFonts w:cs="Times New Roman"/>
          <w:b/>
          <w:bCs/>
        </w:rPr>
        <w:t>2.</w:t>
      </w:r>
      <w:r w:rsidR="00F72232" w:rsidRPr="00F72232">
        <w:rPr>
          <w:rFonts w:cs="Times New Roman"/>
          <w:b/>
          <w:bCs/>
        </w:rPr>
        <w:t>4</w:t>
      </w:r>
      <w:r w:rsidRPr="00BB6824">
        <w:rPr>
          <w:rFonts w:cs="Times New Roman"/>
        </w:rPr>
        <w:t xml:space="preserve">; </w:t>
      </w:r>
      <w:r w:rsidR="008420A0" w:rsidRPr="008420A0">
        <w:rPr>
          <w:b/>
          <w:bCs/>
        </w:rPr>
        <w:t>Appendix</w:t>
      </w:r>
      <w:r w:rsidR="008420A0">
        <w:rPr>
          <w:b/>
          <w:bCs/>
        </w:rPr>
        <w:t>,</w:t>
      </w:r>
      <w:r w:rsidR="008420A0" w:rsidRPr="00F13F6D">
        <w:rPr>
          <w:rFonts w:cs="Times New Roman"/>
          <w:b/>
          <w:bCs/>
        </w:rPr>
        <w:t xml:space="preserve"> </w:t>
      </w:r>
      <w:hyperlink r:id="rId132" w:anchor="SM1" w:history="1">
        <w:r w:rsidRPr="00FA0ACD">
          <w:rPr>
            <w:rStyle w:val="Hyperlink"/>
            <w:rFonts w:ascii="Times New Roman" w:hAnsi="Times New Roman" w:cs="Times New Roman"/>
            <w:b/>
            <w:bCs/>
          </w:rPr>
          <w:t xml:space="preserve">Table </w:t>
        </w:r>
      </w:hyperlink>
      <w:r w:rsidR="00FA0ACD" w:rsidRPr="00FA0ACD">
        <w:rPr>
          <w:b/>
          <w:bCs/>
        </w:rPr>
        <w:t>6</w:t>
      </w:r>
      <w:r w:rsidR="006C049E" w:rsidRPr="00FA0ACD">
        <w:rPr>
          <w:rFonts w:cs="Times New Roman"/>
          <w:b/>
          <w:bCs/>
        </w:rPr>
        <w:t>.2</w:t>
      </w:r>
      <w:r w:rsidRPr="00BB6824">
        <w:rPr>
          <w:rFonts w:cs="Times New Roman"/>
        </w:rPr>
        <w:t>). Strain DJPM01 encodes for several copies of genes for nucleotide excision, mismatch repair, and homologous and non-homologous recombination. The genome also encodes for two proteins associated with light-dependent DNA repair, deoxyribodipyrimidine photolyase (</w:t>
      </w:r>
      <w:hyperlink r:id="rId133" w:anchor="ref100" w:history="1">
        <w:r w:rsidRPr="00BB6824">
          <w:rPr>
            <w:rStyle w:val="Hyperlink"/>
            <w:rFonts w:ascii="Times New Roman" w:hAnsi="Times New Roman" w:cs="Times New Roman"/>
          </w:rPr>
          <w:t>Sancar et al., 1984</w:t>
        </w:r>
      </w:hyperlink>
      <w:r w:rsidRPr="00BB6824">
        <w:rPr>
          <w:rFonts w:cs="Times New Roman"/>
        </w:rPr>
        <w:t>) and DNA photolyase (</w:t>
      </w:r>
      <w:hyperlink r:id="rId134" w:anchor="ref144" w:history="1">
        <w:r w:rsidRPr="00BB6824">
          <w:rPr>
            <w:rStyle w:val="Hyperlink"/>
            <w:rFonts w:ascii="Times New Roman" w:hAnsi="Times New Roman" w:cs="Times New Roman"/>
          </w:rPr>
          <w:t>Zhang et al., 2013</w:t>
        </w:r>
      </w:hyperlink>
      <w:r w:rsidRPr="00BB6824">
        <w:rPr>
          <w:rFonts w:cs="Times New Roman"/>
        </w:rPr>
        <w:t>).</w:t>
      </w:r>
    </w:p>
    <w:p w14:paraId="39EE576E" w14:textId="743F1E9B" w:rsidR="007645DA" w:rsidRPr="00BB6824" w:rsidRDefault="007645DA" w:rsidP="001A14AF">
      <w:pPr>
        <w:rPr>
          <w:rFonts w:cs="Times New Roman"/>
        </w:rPr>
      </w:pPr>
      <w:r w:rsidRPr="00BB6824">
        <w:rPr>
          <w:rFonts w:cs="Times New Roman"/>
        </w:rPr>
        <w:t>Annotation by antiSMASH (</w:t>
      </w:r>
      <w:hyperlink r:id="rId135" w:anchor="ref12" w:history="1">
        <w:r w:rsidRPr="00BB6824">
          <w:rPr>
            <w:rStyle w:val="Hyperlink"/>
            <w:rFonts w:ascii="Times New Roman" w:hAnsi="Times New Roman" w:cs="Times New Roman"/>
          </w:rPr>
          <w:t>Blin et al., 2021</w:t>
        </w:r>
      </w:hyperlink>
      <w:r w:rsidRPr="00BB6824">
        <w:rPr>
          <w:rFonts w:cs="Times New Roman"/>
        </w:rPr>
        <w:t>) revealed a total of 17 putative biosynthetic gene clusters (BGCs), including high similarity matches to characterized gene clusters for aryl polyene APE</w:t>
      </w:r>
      <w:r w:rsidRPr="00BB6824">
        <w:rPr>
          <w:rFonts w:cs="Times New Roman"/>
          <w:vertAlign w:val="subscript"/>
        </w:rPr>
        <w:t>Ec</w:t>
      </w:r>
      <w:r w:rsidRPr="00BB6824">
        <w:rPr>
          <w:rFonts w:cs="Times New Roman"/>
        </w:rPr>
        <w:t xml:space="preserve"> (36%), violacein (100%), cephamycin C (36%), myxochelin (41%), iso-migrastatin (45%), and prodigiosin (42%; </w:t>
      </w:r>
      <w:r w:rsidR="008420A0" w:rsidRPr="008420A0">
        <w:rPr>
          <w:b/>
          <w:bCs/>
        </w:rPr>
        <w:t>Appendix</w:t>
      </w:r>
      <w:r w:rsidR="008420A0">
        <w:rPr>
          <w:b/>
          <w:bCs/>
        </w:rPr>
        <w:t>,</w:t>
      </w:r>
      <w:r w:rsidR="008420A0" w:rsidRPr="00F13F6D">
        <w:rPr>
          <w:rFonts w:cs="Times New Roman"/>
          <w:b/>
          <w:bCs/>
        </w:rPr>
        <w:t xml:space="preserve"> </w:t>
      </w:r>
      <w:hyperlink r:id="rId136" w:anchor="SM1" w:history="1">
        <w:r w:rsidRPr="00FA0ACD">
          <w:rPr>
            <w:rStyle w:val="Hyperlink"/>
            <w:rFonts w:ascii="Times New Roman" w:hAnsi="Times New Roman" w:cs="Times New Roman"/>
            <w:b/>
            <w:bCs/>
          </w:rPr>
          <w:t xml:space="preserve">Table </w:t>
        </w:r>
        <w:r w:rsidR="00FA0ACD" w:rsidRPr="00FA0ACD">
          <w:rPr>
            <w:rStyle w:val="Hyperlink"/>
            <w:rFonts w:ascii="Times New Roman" w:hAnsi="Times New Roman" w:cs="Times New Roman"/>
            <w:b/>
            <w:bCs/>
          </w:rPr>
          <w:t>6</w:t>
        </w:r>
        <w:r w:rsidR="006C049E" w:rsidRPr="00FA0ACD">
          <w:rPr>
            <w:rStyle w:val="Hyperlink"/>
            <w:rFonts w:ascii="Times New Roman" w:hAnsi="Times New Roman" w:cs="Times New Roman"/>
            <w:b/>
            <w:bCs/>
          </w:rPr>
          <w:t>.</w:t>
        </w:r>
        <w:r w:rsidRPr="00FA0ACD">
          <w:rPr>
            <w:rStyle w:val="Hyperlink"/>
            <w:rFonts w:ascii="Times New Roman" w:hAnsi="Times New Roman" w:cs="Times New Roman"/>
            <w:b/>
            <w:bCs/>
          </w:rPr>
          <w:t>3</w:t>
        </w:r>
      </w:hyperlink>
      <w:r w:rsidRPr="00BB6824">
        <w:rPr>
          <w:rFonts w:cs="Times New Roman"/>
        </w:rPr>
        <w:t>). Of these genes, aryl polyenes have been proposed to mediate oxidative stress (</w:t>
      </w:r>
      <w:hyperlink r:id="rId137" w:anchor="ref24" w:history="1">
        <w:r w:rsidRPr="00BB6824">
          <w:rPr>
            <w:rStyle w:val="Hyperlink"/>
            <w:rFonts w:ascii="Times New Roman" w:hAnsi="Times New Roman" w:cs="Times New Roman"/>
          </w:rPr>
          <w:t>Cimermancic et al., 2014</w:t>
        </w:r>
      </w:hyperlink>
      <w:r w:rsidRPr="00BB6824">
        <w:rPr>
          <w:rFonts w:cs="Times New Roman"/>
        </w:rPr>
        <w:t>), myxochelins are iron-chelating siderophores (</w:t>
      </w:r>
      <w:hyperlink r:id="rId138" w:anchor="ref70" w:history="1">
        <w:r w:rsidRPr="00BB6824">
          <w:rPr>
            <w:rStyle w:val="Hyperlink"/>
            <w:rFonts w:ascii="Times New Roman" w:hAnsi="Times New Roman" w:cs="Times New Roman"/>
          </w:rPr>
          <w:t>Li et al., 2008</w:t>
        </w:r>
      </w:hyperlink>
      <w:r w:rsidRPr="00BB6824">
        <w:rPr>
          <w:rFonts w:cs="Times New Roman"/>
        </w:rPr>
        <w:t>), cephamycin C is a β-lactam antimicrobial (</w:t>
      </w:r>
      <w:hyperlink r:id="rId139" w:anchor="ref2" w:history="1">
        <w:r w:rsidRPr="00BB6824">
          <w:rPr>
            <w:rStyle w:val="Hyperlink"/>
            <w:rFonts w:ascii="Times New Roman" w:hAnsi="Times New Roman" w:cs="Times New Roman"/>
          </w:rPr>
          <w:t>Alexander and Jensen, 1998</w:t>
        </w:r>
      </w:hyperlink>
      <w:r w:rsidRPr="00BB6824">
        <w:rPr>
          <w:rFonts w:cs="Times New Roman"/>
        </w:rPr>
        <w:t>), and iso-migrastatin is a glutaride-containing cytotoxic agent (</w:t>
      </w:r>
      <w:hyperlink r:id="rId140" w:anchor="ref54" w:history="1">
        <w:r w:rsidRPr="00BB6824">
          <w:rPr>
            <w:rStyle w:val="Hyperlink"/>
            <w:rFonts w:ascii="Times New Roman" w:hAnsi="Times New Roman" w:cs="Times New Roman"/>
          </w:rPr>
          <w:t>Ju et al., 2005</w:t>
        </w:r>
      </w:hyperlink>
      <w:r w:rsidRPr="00BB6824">
        <w:rPr>
          <w:rFonts w:cs="Times New Roman"/>
        </w:rPr>
        <w:t>). The pigments violacein (blue-violet) and prodigiosin (1; red) have both been described to have antibiotic properties and UV-protective effects (</w:t>
      </w:r>
      <w:hyperlink r:id="rId141" w:anchor="ref30" w:history="1">
        <w:r w:rsidRPr="00BB6824">
          <w:rPr>
            <w:rStyle w:val="Hyperlink"/>
            <w:rFonts w:ascii="Times New Roman" w:hAnsi="Times New Roman" w:cs="Times New Roman"/>
          </w:rPr>
          <w:t>Danevčič et al., 2016</w:t>
        </w:r>
      </w:hyperlink>
      <w:r w:rsidRPr="00BB6824">
        <w:rPr>
          <w:rFonts w:cs="Times New Roman"/>
        </w:rPr>
        <w:t xml:space="preserve">; </w:t>
      </w:r>
      <w:hyperlink r:id="rId142" w:anchor="ref18" w:history="1">
        <w:r w:rsidRPr="00BB6824">
          <w:rPr>
            <w:rStyle w:val="Hyperlink"/>
            <w:rFonts w:ascii="Times New Roman" w:hAnsi="Times New Roman" w:cs="Times New Roman"/>
          </w:rPr>
          <w:t>Cauz et al., 2019</w:t>
        </w:r>
      </w:hyperlink>
      <w:r w:rsidRPr="00BB6824">
        <w:rPr>
          <w:rFonts w:cs="Times New Roman"/>
        </w:rPr>
        <w:t>). Closer analysis of the iso-migrastatin BGC using PRISM v4.4.5 (</w:t>
      </w:r>
      <w:hyperlink r:id="rId143" w:anchor="ref114" w:history="1">
        <w:r w:rsidRPr="00BB6824">
          <w:rPr>
            <w:rStyle w:val="Hyperlink"/>
            <w:rFonts w:ascii="Times New Roman" w:hAnsi="Times New Roman" w:cs="Times New Roman"/>
          </w:rPr>
          <w:t>Skinnider et al., 2020</w:t>
        </w:r>
      </w:hyperlink>
      <w:r w:rsidRPr="00BB6824">
        <w:rPr>
          <w:rFonts w:cs="Times New Roman"/>
        </w:rPr>
        <w:t>) revealed this cluster encodes genes which are 58–72% identical (based on amino acid sequence) to those involved in the biosynthesis of the antifungal gladiofungin, however the cluster was on the end of a contig, missing roughly 15% of the third polyketide synthase gene (</w:t>
      </w:r>
      <w:r w:rsidR="008420A0" w:rsidRPr="008420A0">
        <w:rPr>
          <w:b/>
          <w:bCs/>
        </w:rPr>
        <w:t>Appendix</w:t>
      </w:r>
      <w:r w:rsidR="008420A0">
        <w:rPr>
          <w:b/>
          <w:bCs/>
        </w:rPr>
        <w:t>,</w:t>
      </w:r>
      <w:r w:rsidR="008420A0" w:rsidRPr="00F13F6D">
        <w:rPr>
          <w:rFonts w:cs="Times New Roman"/>
          <w:b/>
          <w:bCs/>
        </w:rPr>
        <w:t xml:space="preserve"> </w:t>
      </w:r>
      <w:hyperlink r:id="rId144" w:anchor="SM1" w:history="1">
        <w:r w:rsidRPr="00F72232">
          <w:rPr>
            <w:rStyle w:val="Hyperlink"/>
            <w:rFonts w:ascii="Times New Roman" w:hAnsi="Times New Roman" w:cs="Times New Roman"/>
            <w:b/>
            <w:bCs/>
          </w:rPr>
          <w:t xml:space="preserve">Figure </w:t>
        </w:r>
      </w:hyperlink>
      <w:r w:rsidR="00F72232" w:rsidRPr="00F72232">
        <w:rPr>
          <w:rFonts w:cs="Times New Roman"/>
          <w:b/>
          <w:bCs/>
        </w:rPr>
        <w:t>6.4</w:t>
      </w:r>
      <w:r w:rsidRPr="00F72232">
        <w:rPr>
          <w:rFonts w:cs="Times New Roman"/>
          <w:b/>
          <w:bCs/>
        </w:rPr>
        <w:t xml:space="preserve">; </w:t>
      </w:r>
      <w:hyperlink r:id="rId145" w:anchor="ref83" w:history="1">
        <w:r w:rsidRPr="00BB6824">
          <w:rPr>
            <w:rStyle w:val="Hyperlink"/>
            <w:rFonts w:ascii="Times New Roman" w:hAnsi="Times New Roman" w:cs="Times New Roman"/>
          </w:rPr>
          <w:t>Niehs et al., 2020</w:t>
        </w:r>
      </w:hyperlink>
      <w:r w:rsidRPr="00BB6824">
        <w:rPr>
          <w:rFonts w:cs="Times New Roman"/>
        </w:rPr>
        <w:t>).</w:t>
      </w:r>
    </w:p>
    <w:p w14:paraId="079CE497" w14:textId="6E677A65" w:rsidR="007645DA" w:rsidRPr="00BB6824" w:rsidRDefault="007645DA" w:rsidP="001A14AF">
      <w:pPr>
        <w:rPr>
          <w:rFonts w:cs="Times New Roman"/>
        </w:rPr>
      </w:pPr>
      <w:r w:rsidRPr="00BB6824">
        <w:rPr>
          <w:rFonts w:cs="Times New Roman"/>
        </w:rPr>
        <w:t xml:space="preserve">To understand how the diversity of BGCs in DJPM01 compares to other </w:t>
      </w:r>
      <w:r w:rsidRPr="00BB6824">
        <w:rPr>
          <w:rFonts w:cs="Times New Roman"/>
          <w:i/>
          <w:iCs/>
        </w:rPr>
        <w:t>Massilia</w:t>
      </w:r>
      <w:r w:rsidRPr="00BB6824">
        <w:rPr>
          <w:rFonts w:cs="Times New Roman"/>
        </w:rPr>
        <w:t xml:space="preserve"> genomes, putative secondary metabolite BGCs were identified in representative </w:t>
      </w:r>
      <w:r w:rsidRPr="00BB6824">
        <w:rPr>
          <w:rFonts w:cs="Times New Roman"/>
          <w:i/>
          <w:iCs/>
        </w:rPr>
        <w:t>Massilia</w:t>
      </w:r>
      <w:r w:rsidRPr="00BB6824">
        <w:rPr>
          <w:rFonts w:cs="Times New Roman"/>
        </w:rPr>
        <w:t xml:space="preserve"> genomes from RefSeq using antiSMASH (</w:t>
      </w:r>
      <w:hyperlink r:id="rId146" w:anchor="fig5" w:history="1">
        <w:r w:rsidRPr="00F72232">
          <w:rPr>
            <w:rStyle w:val="Hyperlink"/>
            <w:rFonts w:ascii="Times New Roman" w:hAnsi="Times New Roman" w:cs="Times New Roman"/>
            <w:b/>
            <w:bCs/>
          </w:rPr>
          <w:t xml:space="preserve">Figure </w:t>
        </w:r>
      </w:hyperlink>
      <w:r w:rsidR="00D637AC" w:rsidRPr="00F72232">
        <w:rPr>
          <w:rFonts w:cs="Times New Roman"/>
          <w:b/>
          <w:bCs/>
        </w:rPr>
        <w:t>2.</w:t>
      </w:r>
      <w:r w:rsidR="00F72232" w:rsidRPr="00F72232">
        <w:rPr>
          <w:rFonts w:cs="Times New Roman"/>
          <w:b/>
          <w:bCs/>
        </w:rPr>
        <w:t>5</w:t>
      </w:r>
      <w:r w:rsidRPr="00BB6824">
        <w:rPr>
          <w:rFonts w:cs="Times New Roman"/>
        </w:rPr>
        <w:t xml:space="preserve">; </w:t>
      </w:r>
      <w:hyperlink r:id="rId147" w:anchor="ref87" w:history="1">
        <w:r w:rsidRPr="00BB6824">
          <w:rPr>
            <w:rStyle w:val="Hyperlink"/>
            <w:rFonts w:ascii="Times New Roman" w:hAnsi="Times New Roman" w:cs="Times New Roman"/>
          </w:rPr>
          <w:t>O'Leary et al., 2016</w:t>
        </w:r>
      </w:hyperlink>
      <w:r w:rsidRPr="00BB6824">
        <w:rPr>
          <w:rFonts w:cs="Times New Roman"/>
        </w:rPr>
        <w:t xml:space="preserve">; </w:t>
      </w:r>
      <w:hyperlink r:id="rId148" w:anchor="ref12" w:history="1">
        <w:r w:rsidRPr="00BB6824">
          <w:rPr>
            <w:rStyle w:val="Hyperlink"/>
            <w:rFonts w:ascii="Times New Roman" w:hAnsi="Times New Roman" w:cs="Times New Roman"/>
          </w:rPr>
          <w:t>Blin et al., 2021</w:t>
        </w:r>
      </w:hyperlink>
      <w:r w:rsidRPr="00BB6824">
        <w:rPr>
          <w:rFonts w:cs="Times New Roman"/>
        </w:rPr>
        <w:t xml:space="preserve">). Antarctic </w:t>
      </w:r>
      <w:r w:rsidRPr="00BB6824">
        <w:rPr>
          <w:rFonts w:cs="Times New Roman"/>
          <w:i/>
          <w:iCs/>
        </w:rPr>
        <w:t>Massilia</w:t>
      </w:r>
      <w:r w:rsidRPr="00BB6824">
        <w:rPr>
          <w:rFonts w:cs="Times New Roman"/>
        </w:rPr>
        <w:t xml:space="preserve"> genomes contained an average of 14.5 secondary metabolite BGCs per genome, significantly higher than both mesophilic </w:t>
      </w:r>
      <w:r w:rsidRPr="00BB6824">
        <w:rPr>
          <w:rFonts w:cs="Times New Roman"/>
          <w:i/>
          <w:iCs/>
        </w:rPr>
        <w:t>Massilia</w:t>
      </w:r>
      <w:r w:rsidRPr="00BB6824">
        <w:rPr>
          <w:rFonts w:cs="Times New Roman"/>
        </w:rPr>
        <w:t xml:space="preserve"> (9.2 BGCs per genome; Tukey, </w:t>
      </w:r>
      <w:r w:rsidRPr="00BB6824">
        <w:rPr>
          <w:rFonts w:cs="Times New Roman"/>
          <w:i/>
          <w:iCs/>
        </w:rPr>
        <w:t>t</w:t>
      </w:r>
      <w:r w:rsidRPr="00BB6824">
        <w:rPr>
          <w:rFonts w:cs="Times New Roman"/>
        </w:rPr>
        <w:t xml:space="preserve"> = −4.95, </w:t>
      </w:r>
      <w:r w:rsidRPr="00BB6824">
        <w:rPr>
          <w:rFonts w:cs="Times New Roman"/>
          <w:i/>
          <w:iCs/>
        </w:rPr>
        <w:t>p</w:t>
      </w:r>
      <w:r w:rsidRPr="00BB6824">
        <w:rPr>
          <w:rFonts w:cs="Times New Roman"/>
        </w:rPr>
        <w:t xml:space="preserve"> &lt; 0.001) and Arctic and alpine </w:t>
      </w:r>
      <w:r w:rsidRPr="00BB6824">
        <w:rPr>
          <w:rFonts w:cs="Times New Roman"/>
          <w:i/>
          <w:iCs/>
        </w:rPr>
        <w:t>Massilia</w:t>
      </w:r>
      <w:r w:rsidRPr="00BB6824">
        <w:rPr>
          <w:rFonts w:cs="Times New Roman"/>
        </w:rPr>
        <w:t xml:space="preserve"> (7.8 BGCs per genome; Tukey, </w:t>
      </w:r>
      <w:r w:rsidRPr="00BB6824">
        <w:rPr>
          <w:rFonts w:cs="Times New Roman"/>
          <w:i/>
          <w:iCs/>
        </w:rPr>
        <w:t>t</w:t>
      </w:r>
      <w:r w:rsidRPr="00BB6824">
        <w:rPr>
          <w:rFonts w:cs="Times New Roman"/>
        </w:rPr>
        <w:t xml:space="preserve"> = −4.31, </w:t>
      </w:r>
      <w:r w:rsidRPr="00BB6824">
        <w:rPr>
          <w:rFonts w:cs="Times New Roman"/>
          <w:i/>
          <w:iCs/>
        </w:rPr>
        <w:t>p</w:t>
      </w:r>
      <w:r w:rsidRPr="00BB6824">
        <w:rPr>
          <w:rFonts w:cs="Times New Roman"/>
        </w:rPr>
        <w:t xml:space="preserve"> &lt; 0.001). This trend was still significant when normalized to </w:t>
      </w:r>
      <w:r w:rsidRPr="00BB6824">
        <w:rPr>
          <w:rFonts w:cs="Times New Roman"/>
        </w:rPr>
        <w:lastRenderedPageBreak/>
        <w:t xml:space="preserve">genome size (ANOVA, </w:t>
      </w:r>
      <w:r w:rsidRPr="00BB6824">
        <w:rPr>
          <w:rFonts w:cs="Times New Roman"/>
          <w:i/>
          <w:iCs/>
        </w:rPr>
        <w:t>F</w:t>
      </w:r>
      <w:r w:rsidRPr="00BB6824">
        <w:rPr>
          <w:rFonts w:cs="Times New Roman"/>
        </w:rPr>
        <w:t xml:space="preserve"> = 4.27, </w:t>
      </w:r>
      <w:r w:rsidRPr="00BB6824">
        <w:rPr>
          <w:rFonts w:cs="Times New Roman"/>
          <w:i/>
          <w:iCs/>
        </w:rPr>
        <w:t>p</w:t>
      </w:r>
      <w:r w:rsidRPr="00BB6824">
        <w:rPr>
          <w:rFonts w:cs="Times New Roman"/>
        </w:rPr>
        <w:t xml:space="preserve"> = 0.023) and number of coding sequences per genome (ANOVA, </w:t>
      </w:r>
      <w:r w:rsidRPr="00BB6824">
        <w:rPr>
          <w:rFonts w:cs="Times New Roman"/>
          <w:i/>
          <w:iCs/>
        </w:rPr>
        <w:t>F</w:t>
      </w:r>
      <w:r w:rsidRPr="00BB6824">
        <w:rPr>
          <w:rFonts w:cs="Times New Roman"/>
        </w:rPr>
        <w:t xml:space="preserve"> = 4.38, </w:t>
      </w:r>
      <w:r w:rsidRPr="00BB6824">
        <w:rPr>
          <w:rFonts w:cs="Times New Roman"/>
          <w:i/>
          <w:iCs/>
        </w:rPr>
        <w:t>p</w:t>
      </w:r>
      <w:r w:rsidRPr="00BB6824">
        <w:rPr>
          <w:rFonts w:cs="Times New Roman"/>
        </w:rPr>
        <w:t xml:space="preserve"> = 0.021; </w:t>
      </w:r>
      <w:r w:rsidR="008420A0" w:rsidRPr="008420A0">
        <w:rPr>
          <w:b/>
          <w:bCs/>
        </w:rPr>
        <w:t>Appendix</w:t>
      </w:r>
      <w:r w:rsidR="008420A0">
        <w:rPr>
          <w:b/>
          <w:bCs/>
        </w:rPr>
        <w:t>,</w:t>
      </w:r>
      <w:r w:rsidR="008420A0" w:rsidRPr="00F13F6D">
        <w:rPr>
          <w:rFonts w:cs="Times New Roman"/>
          <w:b/>
          <w:bCs/>
        </w:rPr>
        <w:t xml:space="preserve"> </w:t>
      </w:r>
      <w:hyperlink r:id="rId149" w:anchor="SM1" w:history="1">
        <w:r w:rsidRPr="00FA0ACD">
          <w:rPr>
            <w:rStyle w:val="Hyperlink"/>
            <w:rFonts w:ascii="Times New Roman" w:hAnsi="Times New Roman" w:cs="Times New Roman"/>
            <w:b/>
            <w:bCs/>
          </w:rPr>
          <w:t xml:space="preserve">Table </w:t>
        </w:r>
        <w:r w:rsidR="00FA0ACD" w:rsidRPr="00FA0ACD">
          <w:rPr>
            <w:rStyle w:val="Hyperlink"/>
            <w:rFonts w:ascii="Times New Roman" w:hAnsi="Times New Roman" w:cs="Times New Roman"/>
            <w:b/>
            <w:bCs/>
          </w:rPr>
          <w:t>6</w:t>
        </w:r>
        <w:r w:rsidR="006C049E" w:rsidRPr="00FA0ACD">
          <w:rPr>
            <w:rStyle w:val="Hyperlink"/>
            <w:rFonts w:ascii="Times New Roman" w:hAnsi="Times New Roman" w:cs="Times New Roman"/>
            <w:b/>
            <w:bCs/>
          </w:rPr>
          <w:t>.</w:t>
        </w:r>
        <w:r w:rsidRPr="00FA0ACD">
          <w:rPr>
            <w:rStyle w:val="Hyperlink"/>
            <w:rFonts w:ascii="Times New Roman" w:hAnsi="Times New Roman" w:cs="Times New Roman"/>
            <w:b/>
            <w:bCs/>
          </w:rPr>
          <w:t>4</w:t>
        </w:r>
      </w:hyperlink>
      <w:r w:rsidRPr="00BB6824">
        <w:rPr>
          <w:rFonts w:cs="Times New Roman"/>
        </w:rPr>
        <w:t xml:space="preserve">). Strain DJPM01 was the only </w:t>
      </w:r>
      <w:r w:rsidRPr="00BB6824">
        <w:rPr>
          <w:rFonts w:cs="Times New Roman"/>
          <w:i/>
          <w:iCs/>
        </w:rPr>
        <w:t>Massilia</w:t>
      </w:r>
      <w:r w:rsidRPr="00BB6824">
        <w:rPr>
          <w:rFonts w:cs="Times New Roman"/>
        </w:rPr>
        <w:t xml:space="preserve"> to contain the putative gladiofungin polyketide gene cluster. The BGC for prodigiosin was only identified in Antarctic </w:t>
      </w:r>
      <w:r w:rsidRPr="00BB6824">
        <w:rPr>
          <w:rFonts w:cs="Times New Roman"/>
          <w:i/>
          <w:iCs/>
        </w:rPr>
        <w:t>Massilia</w:t>
      </w:r>
      <w:r w:rsidRPr="00BB6824">
        <w:rPr>
          <w:rFonts w:cs="Times New Roman"/>
        </w:rPr>
        <w:t xml:space="preserve"> species (</w:t>
      </w:r>
      <w:r w:rsidRPr="00BB6824">
        <w:rPr>
          <w:rFonts w:cs="Times New Roman"/>
          <w:i/>
          <w:iCs/>
        </w:rPr>
        <w:t>M. aquatica</w:t>
      </w:r>
      <w:r w:rsidRPr="00BB6824">
        <w:rPr>
          <w:rFonts w:cs="Times New Roman"/>
        </w:rPr>
        <w:t xml:space="preserve"> CCM 8693, </w:t>
      </w:r>
      <w:r w:rsidRPr="00BB6824">
        <w:rPr>
          <w:rFonts w:cs="Times New Roman"/>
          <w:i/>
          <w:iCs/>
        </w:rPr>
        <w:t>M. frigida</w:t>
      </w:r>
      <w:r w:rsidRPr="00BB6824">
        <w:rPr>
          <w:rFonts w:cs="Times New Roman"/>
        </w:rPr>
        <w:t xml:space="preserve"> CCM 8695, </w:t>
      </w:r>
      <w:r w:rsidRPr="00BB6824">
        <w:rPr>
          <w:rFonts w:cs="Times New Roman"/>
          <w:i/>
          <w:iCs/>
        </w:rPr>
        <w:t>M. mucilaginosa</w:t>
      </w:r>
      <w:r w:rsidRPr="00BB6824">
        <w:rPr>
          <w:rFonts w:cs="Times New Roman"/>
        </w:rPr>
        <w:t xml:space="preserve"> CCM 8733, and </w:t>
      </w:r>
      <w:r w:rsidRPr="00BB6824">
        <w:rPr>
          <w:rFonts w:cs="Times New Roman"/>
          <w:i/>
          <w:iCs/>
        </w:rPr>
        <w:t>M. rubra</w:t>
      </w:r>
      <w:r w:rsidRPr="00BB6824">
        <w:rPr>
          <w:rFonts w:cs="Times New Roman"/>
        </w:rPr>
        <w:t xml:space="preserve"> CCM 8692).</w:t>
      </w:r>
    </w:p>
    <w:p w14:paraId="1AD2C503" w14:textId="167B48A6" w:rsidR="007645DA" w:rsidRPr="00BB6824" w:rsidRDefault="007645DA" w:rsidP="001A14AF">
      <w:pPr>
        <w:rPr>
          <w:rFonts w:cs="Times New Roman"/>
        </w:rPr>
      </w:pPr>
      <w:r w:rsidRPr="00BB6824">
        <w:rPr>
          <w:rFonts w:cs="Times New Roman"/>
        </w:rPr>
        <w:t xml:space="preserve">Genes for </w:t>
      </w:r>
      <w:r w:rsidRPr="00BB6824">
        <w:rPr>
          <w:rFonts w:cs="Times New Roman"/>
          <w:i/>
          <w:iCs/>
        </w:rPr>
        <w:t>Serratia</w:t>
      </w:r>
      <w:r w:rsidRPr="00BB6824">
        <w:rPr>
          <w:rFonts w:cs="Times New Roman"/>
        </w:rPr>
        <w:t xml:space="preserve"> sp. strain ATCC 39006 prodigiosin BGC were aligned to all </w:t>
      </w:r>
      <w:r w:rsidRPr="00BB6824">
        <w:rPr>
          <w:rFonts w:cs="Times New Roman"/>
          <w:i/>
          <w:iCs/>
        </w:rPr>
        <w:t>Massilia</w:t>
      </w:r>
      <w:r w:rsidRPr="00BB6824">
        <w:rPr>
          <w:rFonts w:cs="Times New Roman"/>
        </w:rPr>
        <w:t xml:space="preserve"> genomes available on NCBI (</w:t>
      </w:r>
      <w:hyperlink r:id="rId150" w:anchor="ref50" w:history="1">
        <w:r w:rsidRPr="00BB6824">
          <w:rPr>
            <w:rStyle w:val="Hyperlink"/>
            <w:rFonts w:ascii="Times New Roman" w:hAnsi="Times New Roman" w:cs="Times New Roman"/>
          </w:rPr>
          <w:t>Harris et al., 2004</w:t>
        </w:r>
      </w:hyperlink>
      <w:r w:rsidRPr="00BB6824">
        <w:rPr>
          <w:rFonts w:cs="Times New Roman"/>
        </w:rPr>
        <w:t xml:space="preserve">). Only five genomes were identified to contain BGCs with high sequence identity to the prodigiosin BGC, with the highest bit scores for </w:t>
      </w:r>
      <w:r w:rsidRPr="00BB6824">
        <w:rPr>
          <w:rFonts w:cs="Times New Roman"/>
          <w:i/>
          <w:iCs/>
        </w:rPr>
        <w:t>pigC</w:t>
      </w:r>
      <w:r w:rsidRPr="00BB6824">
        <w:rPr>
          <w:rFonts w:cs="Times New Roman"/>
        </w:rPr>
        <w:t xml:space="preserve">, </w:t>
      </w:r>
      <w:r w:rsidRPr="00BB6824">
        <w:rPr>
          <w:rFonts w:cs="Times New Roman"/>
          <w:i/>
          <w:iCs/>
        </w:rPr>
        <w:t>pigD</w:t>
      </w:r>
      <w:r w:rsidRPr="00BB6824">
        <w:rPr>
          <w:rFonts w:cs="Times New Roman"/>
        </w:rPr>
        <w:t xml:space="preserve">, and </w:t>
      </w:r>
      <w:r w:rsidRPr="00BB6824">
        <w:rPr>
          <w:rFonts w:cs="Times New Roman"/>
          <w:i/>
          <w:iCs/>
        </w:rPr>
        <w:t>pigE</w:t>
      </w:r>
      <w:r w:rsidRPr="00BB6824">
        <w:rPr>
          <w:rFonts w:cs="Times New Roman"/>
        </w:rPr>
        <w:t xml:space="preserve"> (</w:t>
      </w:r>
      <w:r w:rsidR="008420A0" w:rsidRPr="008420A0">
        <w:rPr>
          <w:b/>
          <w:bCs/>
        </w:rPr>
        <w:t>Appendix</w:t>
      </w:r>
      <w:r w:rsidR="008420A0">
        <w:rPr>
          <w:b/>
          <w:bCs/>
        </w:rPr>
        <w:t>,</w:t>
      </w:r>
      <w:r w:rsidR="008420A0" w:rsidRPr="00F13F6D">
        <w:rPr>
          <w:rFonts w:cs="Times New Roman"/>
          <w:b/>
          <w:bCs/>
        </w:rPr>
        <w:t xml:space="preserve"> </w:t>
      </w:r>
      <w:hyperlink r:id="rId151" w:anchor="SM1" w:history="1">
        <w:r w:rsidRPr="00F72232">
          <w:rPr>
            <w:rStyle w:val="Hyperlink"/>
            <w:rFonts w:ascii="Times New Roman" w:hAnsi="Times New Roman" w:cs="Times New Roman"/>
            <w:b/>
            <w:bCs/>
          </w:rPr>
          <w:t xml:space="preserve">Figure </w:t>
        </w:r>
      </w:hyperlink>
      <w:r w:rsidR="00F72232" w:rsidRPr="00F72232">
        <w:rPr>
          <w:b/>
          <w:bCs/>
        </w:rPr>
        <w:t>6.5</w:t>
      </w:r>
      <w:r w:rsidR="00D637AC" w:rsidRPr="00F72232">
        <w:rPr>
          <w:rFonts w:cs="Times New Roman"/>
          <w:b/>
          <w:bCs/>
        </w:rPr>
        <w:t>A</w:t>
      </w:r>
      <w:r w:rsidRPr="00BB6824">
        <w:rPr>
          <w:rFonts w:cs="Times New Roman"/>
        </w:rPr>
        <w:t xml:space="preserve">). Of these five organisms, four were </w:t>
      </w:r>
      <w:r w:rsidRPr="00BB6824">
        <w:rPr>
          <w:rFonts w:cs="Times New Roman"/>
          <w:i/>
          <w:iCs/>
        </w:rPr>
        <w:t>Massilia</w:t>
      </w:r>
      <w:r w:rsidRPr="00BB6824">
        <w:rPr>
          <w:rFonts w:cs="Times New Roman"/>
        </w:rPr>
        <w:t xml:space="preserve"> species originally isolated from James Ross Island. The fifth genome was reported as </w:t>
      </w:r>
      <w:r w:rsidRPr="00BB6824">
        <w:rPr>
          <w:rFonts w:cs="Times New Roman"/>
          <w:i/>
          <w:iCs/>
        </w:rPr>
        <w:t>M. violaceinigra</w:t>
      </w:r>
      <w:r w:rsidRPr="00BB6824">
        <w:rPr>
          <w:rFonts w:cs="Times New Roman"/>
        </w:rPr>
        <w:t xml:space="preserve"> strain sipir (GCF 022811105.1) in NCBI; the metadata associated with this entry indicated it was isolated from freshwater. Our analyses indicated this genome had &gt;97% ANI to the Antarctic </w:t>
      </w:r>
      <w:r w:rsidRPr="00BB6824">
        <w:rPr>
          <w:rFonts w:cs="Times New Roman"/>
          <w:i/>
          <w:iCs/>
        </w:rPr>
        <w:t>M. aquatica</w:t>
      </w:r>
      <w:r w:rsidRPr="00BB6824">
        <w:rPr>
          <w:rFonts w:cs="Times New Roman"/>
        </w:rPr>
        <w:t xml:space="preserve"> CCM 8693, which also has genotypic and phenotypic evidence for prodigiosin production. Given the uncertainty about the phylogeny of this strain we excluded it from further analyses. The four Antarctic </w:t>
      </w:r>
      <w:r w:rsidRPr="00BB6824">
        <w:rPr>
          <w:rFonts w:cs="Times New Roman"/>
          <w:i/>
          <w:iCs/>
        </w:rPr>
        <w:t>Massilia</w:t>
      </w:r>
      <w:r w:rsidRPr="00BB6824">
        <w:rPr>
          <w:rFonts w:cs="Times New Roman"/>
        </w:rPr>
        <w:t xml:space="preserve"> prodigiosin BGCs had high sequence identity (93.59–100.00% identity) at the hypothetical gene level to strain DJPM01 (</w:t>
      </w:r>
      <w:r w:rsidR="008420A0" w:rsidRPr="008420A0">
        <w:rPr>
          <w:b/>
          <w:bCs/>
        </w:rPr>
        <w:t>Appendix</w:t>
      </w:r>
      <w:r w:rsidR="008420A0">
        <w:rPr>
          <w:b/>
          <w:bCs/>
        </w:rPr>
        <w:t>,</w:t>
      </w:r>
      <w:r w:rsidR="008420A0" w:rsidRPr="00F13F6D">
        <w:rPr>
          <w:rFonts w:cs="Times New Roman"/>
          <w:b/>
          <w:bCs/>
        </w:rPr>
        <w:t xml:space="preserve"> </w:t>
      </w:r>
      <w:hyperlink r:id="rId152" w:anchor="SM1" w:history="1">
        <w:r w:rsidRPr="00F72232">
          <w:rPr>
            <w:rStyle w:val="Hyperlink"/>
            <w:rFonts w:ascii="Times New Roman" w:hAnsi="Times New Roman" w:cs="Times New Roman"/>
            <w:b/>
            <w:bCs/>
          </w:rPr>
          <w:t xml:space="preserve">Figure </w:t>
        </w:r>
        <w:r w:rsidR="00F72232" w:rsidRPr="00F72232">
          <w:rPr>
            <w:rStyle w:val="Hyperlink"/>
            <w:rFonts w:ascii="Times New Roman" w:hAnsi="Times New Roman" w:cs="Times New Roman"/>
            <w:b/>
            <w:bCs/>
          </w:rPr>
          <w:t>6.5</w:t>
        </w:r>
        <w:r w:rsidRPr="00F72232">
          <w:rPr>
            <w:rStyle w:val="Hyperlink"/>
            <w:rFonts w:ascii="Times New Roman" w:hAnsi="Times New Roman" w:cs="Times New Roman"/>
            <w:b/>
            <w:bCs/>
          </w:rPr>
          <w:t>B</w:t>
        </w:r>
      </w:hyperlink>
      <w:r w:rsidRPr="00BB6824">
        <w:rPr>
          <w:rFonts w:cs="Times New Roman"/>
        </w:rPr>
        <w:t>).</w:t>
      </w:r>
    </w:p>
    <w:p w14:paraId="22DCC8BA" w14:textId="77777777" w:rsidR="007645DA" w:rsidRDefault="007645DA" w:rsidP="001A14AF">
      <w:pPr>
        <w:rPr>
          <w:rFonts w:cs="Times New Roman"/>
        </w:rPr>
      </w:pPr>
      <w:r w:rsidRPr="00BB6824">
        <w:rPr>
          <w:rFonts w:cs="Times New Roman"/>
        </w:rPr>
        <w:t xml:space="preserve">Gene annotations were compared between strain DJPM01 and </w:t>
      </w:r>
      <w:r w:rsidRPr="00BB6824">
        <w:rPr>
          <w:rFonts w:cs="Times New Roman"/>
          <w:i/>
          <w:iCs/>
        </w:rPr>
        <w:t>M. frigida</w:t>
      </w:r>
      <w:r w:rsidRPr="00BB6824">
        <w:rPr>
          <w:rFonts w:cs="Times New Roman"/>
        </w:rPr>
        <w:t xml:space="preserve"> stain CCM 8695. Both strains shared 1990 genes with non-hypothetical functions (97.9%), with 41 genes unique to strain DJPM01 and 51 genes unique to </w:t>
      </w:r>
      <w:r w:rsidRPr="00BB6824">
        <w:rPr>
          <w:rFonts w:cs="Times New Roman"/>
          <w:i/>
          <w:iCs/>
        </w:rPr>
        <w:t>M. frigida</w:t>
      </w:r>
      <w:r w:rsidRPr="00BB6824">
        <w:rPr>
          <w:rFonts w:cs="Times New Roman"/>
        </w:rPr>
        <w:t>. Genes unique to strain DJPM01 included two genes associated with lipopolysaccharide biosynthesis (</w:t>
      </w:r>
      <w:r w:rsidRPr="00BB6824">
        <w:rPr>
          <w:rFonts w:cs="Times New Roman"/>
          <w:i/>
          <w:iCs/>
        </w:rPr>
        <w:t>hddA</w:t>
      </w:r>
      <w:r w:rsidRPr="00BB6824">
        <w:rPr>
          <w:rFonts w:cs="Times New Roman"/>
        </w:rPr>
        <w:t xml:space="preserve"> and </w:t>
      </w:r>
      <w:r w:rsidRPr="00BB6824">
        <w:rPr>
          <w:rFonts w:cs="Times New Roman"/>
          <w:i/>
          <w:iCs/>
        </w:rPr>
        <w:t>hddC</w:t>
      </w:r>
      <w:r w:rsidRPr="00BB6824">
        <w:rPr>
          <w:rFonts w:cs="Times New Roman"/>
        </w:rPr>
        <w:t xml:space="preserve">), one copy of fatty acid elongation gene </w:t>
      </w:r>
      <w:r w:rsidRPr="00BB6824">
        <w:rPr>
          <w:rFonts w:cs="Times New Roman"/>
          <w:i/>
          <w:iCs/>
        </w:rPr>
        <w:t>fabI</w:t>
      </w:r>
      <w:r w:rsidRPr="00BB6824">
        <w:rPr>
          <w:rFonts w:cs="Times New Roman"/>
        </w:rPr>
        <w:t>, and three genes associated with toxin-antitoxin systems (</w:t>
      </w:r>
      <w:r w:rsidRPr="00BB6824">
        <w:rPr>
          <w:rFonts w:cs="Times New Roman"/>
          <w:i/>
          <w:iCs/>
        </w:rPr>
        <w:t>fitA, fitB,</w:t>
      </w:r>
      <w:r w:rsidRPr="00BB6824">
        <w:rPr>
          <w:rFonts w:cs="Times New Roman"/>
        </w:rPr>
        <w:t xml:space="preserve"> and </w:t>
      </w:r>
      <w:r w:rsidRPr="00BB6824">
        <w:rPr>
          <w:rFonts w:cs="Times New Roman"/>
          <w:i/>
          <w:iCs/>
        </w:rPr>
        <w:t>yefM</w:t>
      </w:r>
      <w:r w:rsidRPr="00BB6824">
        <w:rPr>
          <w:rFonts w:cs="Times New Roman"/>
        </w:rPr>
        <w:t xml:space="preserve">). Both genomes contain genes associated with type IV pilin production, multifunctional fibers produced on cell surfaces, though </w:t>
      </w:r>
      <w:r w:rsidRPr="00BB6824">
        <w:rPr>
          <w:rFonts w:cs="Times New Roman"/>
          <w:i/>
          <w:iCs/>
        </w:rPr>
        <w:t>M. frigida</w:t>
      </w:r>
      <w:r w:rsidRPr="00BB6824">
        <w:rPr>
          <w:rFonts w:cs="Times New Roman"/>
        </w:rPr>
        <w:t xml:space="preserve"> does not have a copy of </w:t>
      </w:r>
      <w:r w:rsidRPr="00BB6824">
        <w:rPr>
          <w:rFonts w:cs="Times New Roman"/>
          <w:i/>
          <w:iCs/>
        </w:rPr>
        <w:t>mshC</w:t>
      </w:r>
      <w:r w:rsidRPr="00BB6824">
        <w:rPr>
          <w:rFonts w:cs="Times New Roman"/>
        </w:rPr>
        <w:t xml:space="preserve"> (</w:t>
      </w:r>
      <w:hyperlink r:id="rId153" w:anchor="ref125" w:history="1">
        <w:r w:rsidRPr="00BB6824">
          <w:rPr>
            <w:rStyle w:val="Hyperlink"/>
            <w:rFonts w:ascii="Times New Roman" w:hAnsi="Times New Roman" w:cs="Times New Roman"/>
          </w:rPr>
          <w:t>Toma et al., 2002</w:t>
        </w:r>
      </w:hyperlink>
      <w:r w:rsidRPr="00BB6824">
        <w:rPr>
          <w:rFonts w:cs="Times New Roman"/>
        </w:rPr>
        <w:t xml:space="preserve">). An additional 91 genes had a higher copy number in strain DJPM01 and 102 genes had lower copy number in strain DJPM01. Strain DJPM01 had 2 additional copies of genes for catalase, and four fewer copies of the fatty acid biosynthesis gene </w:t>
      </w:r>
      <w:r w:rsidRPr="00BB6824">
        <w:rPr>
          <w:rFonts w:cs="Times New Roman"/>
          <w:i/>
          <w:iCs/>
        </w:rPr>
        <w:t>fabB</w:t>
      </w:r>
      <w:r w:rsidRPr="00BB6824">
        <w:rPr>
          <w:rFonts w:cs="Times New Roman"/>
        </w:rPr>
        <w:t xml:space="preserve">. When compared to non-Antarctic species, Antarctic </w:t>
      </w:r>
      <w:r w:rsidRPr="00BB6824">
        <w:rPr>
          <w:rFonts w:cs="Times New Roman"/>
          <w:i/>
          <w:iCs/>
        </w:rPr>
        <w:t>Massilia</w:t>
      </w:r>
      <w:r w:rsidRPr="00BB6824">
        <w:rPr>
          <w:rFonts w:cs="Times New Roman"/>
        </w:rPr>
        <w:t xml:space="preserve"> tended to, on average, have slightly more genes associated </w:t>
      </w:r>
      <w:r w:rsidRPr="00BB6824">
        <w:rPr>
          <w:rFonts w:cs="Times New Roman"/>
        </w:rPr>
        <w:lastRenderedPageBreak/>
        <w:t xml:space="preserve">with fatty acid biosynthesis (especially </w:t>
      </w:r>
      <w:r w:rsidRPr="00BB6824">
        <w:rPr>
          <w:rFonts w:cs="Times New Roman"/>
          <w:i/>
          <w:iCs/>
        </w:rPr>
        <w:t>fab</w:t>
      </w:r>
      <w:r w:rsidRPr="00BB6824">
        <w:rPr>
          <w:rFonts w:cs="Times New Roman"/>
        </w:rPr>
        <w:t xml:space="preserve"> genes; 4 more genes), protein chaperones (1.4 more genes), and catalase (1.4 more genes).</w:t>
      </w:r>
    </w:p>
    <w:p w14:paraId="1418919E" w14:textId="77777777" w:rsidR="00C427A7" w:rsidRDefault="00C427A7" w:rsidP="001A14AF">
      <w:pPr>
        <w:pStyle w:val="Heading3"/>
        <w:spacing w:before="0" w:after="0"/>
      </w:pPr>
      <w:bookmarkStart w:id="120" w:name="_Toc196256881"/>
      <w:r w:rsidRPr="001F0C9B">
        <w:t>Pigment extraction for UV-Vis analysis.</w:t>
      </w:r>
      <w:bookmarkEnd w:id="120"/>
    </w:p>
    <w:p w14:paraId="539F2E6E" w14:textId="167987FC" w:rsidR="00C427A7" w:rsidRPr="00C427A7" w:rsidRDefault="00C427A7" w:rsidP="001A14AF">
      <w:pPr>
        <w:rPr>
          <w:b/>
        </w:rPr>
      </w:pPr>
      <w:r w:rsidRPr="006E4E2B">
        <w:t xml:space="preserve">Pigments were extracted from </w:t>
      </w:r>
      <w:r>
        <w:t>individual colonies of strain DJPM01</w:t>
      </w:r>
      <w:r w:rsidRPr="006E4E2B">
        <w:t xml:space="preserve"> following mechanical cell lysis using a FastPrep-24 bead beating system (MP Bio). Cells were incubated for 10 minutes with a 10% SDS solution (5% final concentration) before the addition of water-saturated butanol. Cells were centrifuged for 20 minutes at 14,000 x g and the absorption spectrum of the organic phase was analyzed from 400-700 nm in steps of 5 nm using a Synergy 2 Plate Reader (Biotek; Winooski, VT). </w:t>
      </w:r>
    </w:p>
    <w:p w14:paraId="0B0D49BC" w14:textId="4C369BE6" w:rsidR="007645DA" w:rsidRPr="00BB6824" w:rsidRDefault="007645DA" w:rsidP="001A14AF">
      <w:pPr>
        <w:pStyle w:val="Heading3"/>
        <w:spacing w:before="0" w:after="0"/>
      </w:pPr>
      <w:bookmarkStart w:id="121" w:name="_Toc196256882"/>
      <w:r w:rsidRPr="00BB6824">
        <w:t>Confirmation of prodigiosin in strain DJPM01</w:t>
      </w:r>
      <w:bookmarkEnd w:id="121"/>
    </w:p>
    <w:p w14:paraId="17D273B0" w14:textId="25A75E34" w:rsidR="007645DA" w:rsidRPr="00BB6824" w:rsidRDefault="007645DA" w:rsidP="001A14AF">
      <w:pPr>
        <w:rPr>
          <w:rFonts w:cs="Times New Roman"/>
        </w:rPr>
      </w:pPr>
      <w:r w:rsidRPr="00BB6824">
        <w:rPr>
          <w:rFonts w:cs="Times New Roman"/>
        </w:rPr>
        <w:t>LC/MS and UV–Vis spectroscopic analyses of extracted DJPM01 agar plates resulted in the detection of prodigiosin (1), which was confirmed with an authentic standard (</w:t>
      </w:r>
      <w:hyperlink r:id="rId154" w:anchor="fig6" w:history="1">
        <w:r w:rsidRPr="00F72232">
          <w:rPr>
            <w:rStyle w:val="Hyperlink"/>
            <w:rFonts w:ascii="Times New Roman" w:hAnsi="Times New Roman" w:cs="Times New Roman"/>
            <w:b/>
            <w:bCs/>
          </w:rPr>
          <w:t>Figures</w:t>
        </w:r>
        <w:r w:rsidR="00D637AC" w:rsidRPr="00F72232">
          <w:rPr>
            <w:rStyle w:val="Hyperlink"/>
            <w:rFonts w:ascii="Times New Roman" w:hAnsi="Times New Roman" w:cs="Times New Roman"/>
            <w:b/>
            <w:bCs/>
          </w:rPr>
          <w:t xml:space="preserve"> 2.</w:t>
        </w:r>
        <w:r w:rsidR="00F72232" w:rsidRPr="00F72232">
          <w:rPr>
            <w:rStyle w:val="Hyperlink"/>
            <w:rFonts w:ascii="Times New Roman" w:hAnsi="Times New Roman" w:cs="Times New Roman"/>
            <w:b/>
            <w:bCs/>
          </w:rPr>
          <w:t>6</w:t>
        </w:r>
        <w:r w:rsidRPr="00F72232">
          <w:rPr>
            <w:rStyle w:val="Hyperlink"/>
            <w:rFonts w:ascii="Times New Roman" w:hAnsi="Times New Roman" w:cs="Times New Roman"/>
            <w:b/>
            <w:bCs/>
          </w:rPr>
          <w:t>A</w:t>
        </w:r>
      </w:hyperlink>
      <w:r w:rsidRPr="00F72232">
        <w:rPr>
          <w:rFonts w:cs="Times New Roman"/>
          <w:b/>
          <w:bCs/>
        </w:rPr>
        <w:t>,</w:t>
      </w:r>
      <w:hyperlink r:id="rId155" w:anchor="fig6" w:history="1">
        <w:r w:rsidRPr="00F72232">
          <w:rPr>
            <w:rStyle w:val="Hyperlink"/>
            <w:rFonts w:ascii="Times New Roman" w:hAnsi="Times New Roman" w:cs="Times New Roman"/>
            <w:b/>
            <w:bCs/>
          </w:rPr>
          <w:t>B</w:t>
        </w:r>
      </w:hyperlink>
      <w:r w:rsidRPr="00BB6824">
        <w:rPr>
          <w:rFonts w:cs="Times New Roman"/>
        </w:rPr>
        <w:t xml:space="preserve">). Prodigiosin (1, </w:t>
      </w:r>
      <w:r w:rsidRPr="00BB6824">
        <w:rPr>
          <w:rFonts w:cs="Times New Roman"/>
          <w:i/>
          <w:iCs/>
        </w:rPr>
        <w:t>m/z</w:t>
      </w:r>
      <w:r w:rsidRPr="00BB6824">
        <w:rPr>
          <w:rFonts w:cs="Times New Roman"/>
        </w:rPr>
        <w:t xml:space="preserve"> 324.2072; calculated for C</w:t>
      </w:r>
      <w:r w:rsidRPr="00BB6824">
        <w:rPr>
          <w:rFonts w:cs="Times New Roman"/>
          <w:vertAlign w:val="subscript"/>
        </w:rPr>
        <w:t>20</w:t>
      </w:r>
      <w:r w:rsidRPr="00BB6824">
        <w:rPr>
          <w:rFonts w:cs="Times New Roman"/>
        </w:rPr>
        <w:t>H</w:t>
      </w:r>
      <w:r w:rsidRPr="00BB6824">
        <w:rPr>
          <w:rFonts w:cs="Times New Roman"/>
          <w:vertAlign w:val="subscript"/>
        </w:rPr>
        <w:t>26</w:t>
      </w:r>
      <w:r w:rsidRPr="00BB6824">
        <w:rPr>
          <w:rFonts w:cs="Times New Roman"/>
        </w:rPr>
        <w:t>N</w:t>
      </w:r>
      <w:r w:rsidRPr="00BB6824">
        <w:rPr>
          <w:rFonts w:cs="Times New Roman"/>
          <w:vertAlign w:val="subscript"/>
        </w:rPr>
        <w:t>3</w:t>
      </w:r>
      <w:r w:rsidRPr="00BB6824">
        <w:rPr>
          <w:rFonts w:cs="Times New Roman"/>
        </w:rPr>
        <w:t>O [M + H]</w:t>
      </w:r>
      <w:r w:rsidRPr="00BB6824">
        <w:rPr>
          <w:rFonts w:cs="Times New Roman"/>
          <w:vertAlign w:val="superscript"/>
        </w:rPr>
        <w:t>+</w:t>
      </w:r>
      <w:r w:rsidRPr="00BB6824">
        <w:rPr>
          <w:rFonts w:cs="Times New Roman"/>
        </w:rPr>
        <w:t>, 324.2076) was detected with a characteristic UV–Vis spectrum (λ</w:t>
      </w:r>
      <w:r w:rsidRPr="00BB6824">
        <w:rPr>
          <w:rFonts w:cs="Times New Roman"/>
          <w:vertAlign w:val="subscript"/>
        </w:rPr>
        <w:t>max</w:t>
      </w:r>
      <w:r w:rsidRPr="00BB6824">
        <w:rPr>
          <w:rFonts w:cs="Times New Roman"/>
        </w:rPr>
        <w:t xml:space="preserve"> = 540 nm; </w:t>
      </w:r>
      <w:hyperlink r:id="rId156" w:anchor="fig6" w:history="1">
        <w:r w:rsidRPr="00CF16BC">
          <w:rPr>
            <w:rStyle w:val="Hyperlink"/>
            <w:rFonts w:ascii="Times New Roman" w:hAnsi="Times New Roman" w:cs="Times New Roman"/>
            <w:b/>
            <w:bCs/>
          </w:rPr>
          <w:t xml:space="preserve">Figure </w:t>
        </w:r>
        <w:r w:rsidR="00D637AC" w:rsidRPr="00CF16BC">
          <w:rPr>
            <w:rStyle w:val="Hyperlink"/>
            <w:rFonts w:ascii="Times New Roman" w:hAnsi="Times New Roman" w:cs="Times New Roman"/>
            <w:b/>
            <w:bCs/>
          </w:rPr>
          <w:t>2.</w:t>
        </w:r>
        <w:r w:rsidR="00F72232" w:rsidRPr="00CF16BC">
          <w:rPr>
            <w:rStyle w:val="Hyperlink"/>
            <w:rFonts w:ascii="Times New Roman" w:hAnsi="Times New Roman" w:cs="Times New Roman"/>
            <w:b/>
            <w:bCs/>
          </w:rPr>
          <w:t>6</w:t>
        </w:r>
        <w:r w:rsidRPr="00CF16BC">
          <w:rPr>
            <w:rStyle w:val="Hyperlink"/>
            <w:rFonts w:ascii="Times New Roman" w:hAnsi="Times New Roman" w:cs="Times New Roman"/>
            <w:b/>
            <w:bCs/>
          </w:rPr>
          <w:t>A</w:t>
        </w:r>
      </w:hyperlink>
      <w:r w:rsidRPr="00CF16BC">
        <w:rPr>
          <w:rFonts w:cs="Times New Roman"/>
          <w:b/>
          <w:bCs/>
        </w:rPr>
        <w:t>,</w:t>
      </w:r>
      <w:hyperlink r:id="rId157" w:anchor="fig6" w:history="1">
        <w:r w:rsidRPr="00CF16BC">
          <w:rPr>
            <w:rStyle w:val="Hyperlink"/>
            <w:rFonts w:ascii="Times New Roman" w:hAnsi="Times New Roman" w:cs="Times New Roman"/>
            <w:b/>
            <w:bCs/>
          </w:rPr>
          <w:t>B</w:t>
        </w:r>
      </w:hyperlink>
      <w:r w:rsidR="008420A0">
        <w:rPr>
          <w:rFonts w:cs="Times New Roman"/>
        </w:rPr>
        <w:t xml:space="preserve">; </w:t>
      </w:r>
      <w:r w:rsidR="008420A0" w:rsidRPr="008420A0">
        <w:rPr>
          <w:b/>
          <w:bCs/>
        </w:rPr>
        <w:t>Appendix</w:t>
      </w:r>
      <w:r w:rsidR="008420A0">
        <w:rPr>
          <w:b/>
          <w:bCs/>
        </w:rPr>
        <w:t>,</w:t>
      </w:r>
      <w:r w:rsidR="008420A0" w:rsidRPr="00F13F6D">
        <w:rPr>
          <w:rFonts w:cs="Times New Roman"/>
          <w:b/>
          <w:bCs/>
        </w:rPr>
        <w:t xml:space="preserve"> </w:t>
      </w:r>
      <w:r w:rsidR="008420A0">
        <w:rPr>
          <w:rFonts w:cs="Times New Roman"/>
          <w:b/>
          <w:bCs/>
        </w:rPr>
        <w:t xml:space="preserve">Figure </w:t>
      </w:r>
      <w:r w:rsidR="00CF16BC" w:rsidRPr="00CF16BC">
        <w:rPr>
          <w:rFonts w:cs="Times New Roman"/>
          <w:b/>
          <w:bCs/>
        </w:rPr>
        <w:t>6.6</w:t>
      </w:r>
      <w:r w:rsidRPr="00BB6824">
        <w:rPr>
          <w:rFonts w:cs="Times New Roman"/>
        </w:rPr>
        <w:t xml:space="preserve">; </w:t>
      </w:r>
      <w:hyperlink r:id="rId158" w:anchor="ref6" w:history="1">
        <w:r w:rsidRPr="00BB6824">
          <w:rPr>
            <w:rStyle w:val="Hyperlink"/>
            <w:rFonts w:ascii="Times New Roman" w:hAnsi="Times New Roman" w:cs="Times New Roman"/>
          </w:rPr>
          <w:t>Andreyeva and Ogorodnikova, 2015</w:t>
        </w:r>
      </w:hyperlink>
      <w:r w:rsidRPr="00BB6824">
        <w:rPr>
          <w:rFonts w:cs="Times New Roman"/>
        </w:rPr>
        <w:t>). MS/MS spectra of the peak identified as prodigiosin (1) were congruent with the fragmentation pattern of the authentic standard. Furthermore, a number of distinct peaks with similar UV–Vis absorbances were detected in chromatograms with masses consistent with prodiginines based on mass defect values and even [M + H]</w:t>
      </w:r>
      <w:r w:rsidRPr="00BB6824">
        <w:rPr>
          <w:rFonts w:cs="Times New Roman"/>
          <w:vertAlign w:val="superscript"/>
        </w:rPr>
        <w:t>+</w:t>
      </w:r>
      <w:r w:rsidRPr="00BB6824">
        <w:rPr>
          <w:rFonts w:cs="Times New Roman"/>
        </w:rPr>
        <w:t xml:space="preserve"> masses. Metabolomic analyses indicated the presence of numerous features consistent with those of 2-methyl-3-propyl prodiginine (2), 2-methyl-3-butyl prodiginine (3), 2-methyl-3-heptylprodiginine (4), cycloprodigiosin (5), and other uncharacterized prodiginines (</w:t>
      </w:r>
      <w:r w:rsidR="008420A0" w:rsidRPr="008420A0">
        <w:rPr>
          <w:b/>
          <w:bCs/>
        </w:rPr>
        <w:t>Appendix</w:t>
      </w:r>
      <w:r w:rsidR="008420A0">
        <w:rPr>
          <w:b/>
          <w:bCs/>
        </w:rPr>
        <w:t>,</w:t>
      </w:r>
      <w:r w:rsidR="008420A0" w:rsidRPr="00F13F6D">
        <w:rPr>
          <w:rFonts w:cs="Times New Roman"/>
          <w:b/>
          <w:bCs/>
        </w:rPr>
        <w:t xml:space="preserve"> </w:t>
      </w:r>
      <w:hyperlink r:id="rId159" w:anchor="fig6" w:history="1">
        <w:r w:rsidRPr="00CF16BC">
          <w:rPr>
            <w:rStyle w:val="Hyperlink"/>
            <w:rFonts w:ascii="Times New Roman" w:hAnsi="Times New Roman" w:cs="Times New Roman"/>
            <w:b/>
            <w:bCs/>
          </w:rPr>
          <w:t xml:space="preserve">Figure </w:t>
        </w:r>
        <w:r w:rsidR="00D637AC" w:rsidRPr="00CF16BC">
          <w:rPr>
            <w:rStyle w:val="Hyperlink"/>
            <w:rFonts w:ascii="Times New Roman" w:hAnsi="Times New Roman" w:cs="Times New Roman"/>
            <w:b/>
            <w:bCs/>
          </w:rPr>
          <w:t>2.</w:t>
        </w:r>
        <w:r w:rsidR="00CF16BC">
          <w:rPr>
            <w:rStyle w:val="Hyperlink"/>
            <w:rFonts w:ascii="Times New Roman" w:hAnsi="Times New Roman" w:cs="Times New Roman"/>
            <w:b/>
            <w:bCs/>
          </w:rPr>
          <w:t>6</w:t>
        </w:r>
        <w:r w:rsidRPr="00CF16BC">
          <w:rPr>
            <w:rStyle w:val="Hyperlink"/>
            <w:rFonts w:ascii="Times New Roman" w:hAnsi="Times New Roman" w:cs="Times New Roman"/>
            <w:b/>
            <w:bCs/>
          </w:rPr>
          <w:t>D</w:t>
        </w:r>
      </w:hyperlink>
      <w:r w:rsidR="008420A0">
        <w:rPr>
          <w:rFonts w:cs="Times New Roman"/>
        </w:rPr>
        <w:t xml:space="preserve"> and</w:t>
      </w:r>
      <w:r w:rsidR="008420A0" w:rsidRPr="00F13F6D">
        <w:rPr>
          <w:rFonts w:cs="Times New Roman"/>
          <w:b/>
          <w:bCs/>
        </w:rPr>
        <w:t xml:space="preserve"> </w:t>
      </w:r>
      <w:hyperlink r:id="rId160" w:anchor="SM1" w:history="1">
        <w:r w:rsidRPr="00FA0ACD">
          <w:rPr>
            <w:rStyle w:val="Hyperlink"/>
            <w:rFonts w:ascii="Times New Roman" w:hAnsi="Times New Roman" w:cs="Times New Roman"/>
            <w:b/>
            <w:bCs/>
          </w:rPr>
          <w:t xml:space="preserve">Table </w:t>
        </w:r>
      </w:hyperlink>
      <w:r w:rsidR="00FA0ACD">
        <w:rPr>
          <w:b/>
          <w:bCs/>
        </w:rPr>
        <w:t>6</w:t>
      </w:r>
      <w:r w:rsidR="00D637AC" w:rsidRPr="00FA0ACD">
        <w:rPr>
          <w:rFonts w:cs="Times New Roman"/>
          <w:b/>
          <w:bCs/>
        </w:rPr>
        <w:t>.5</w:t>
      </w:r>
      <w:r w:rsidRPr="00BB6824">
        <w:rPr>
          <w:rFonts w:cs="Times New Roman"/>
        </w:rPr>
        <w:t>).</w:t>
      </w:r>
    </w:p>
    <w:p w14:paraId="39CA9A53" w14:textId="5D2D8A58" w:rsidR="007645DA" w:rsidRPr="00BB6824" w:rsidRDefault="007645DA" w:rsidP="001A14AF">
      <w:pPr>
        <w:pStyle w:val="Heading3"/>
        <w:spacing w:before="0" w:after="0"/>
      </w:pPr>
      <w:bookmarkStart w:id="122" w:name="_Toc196256883"/>
      <w:r w:rsidRPr="00BB6824">
        <w:t>Effects of UV light on the production of prodigiosin and other secondary metabolites</w:t>
      </w:r>
      <w:bookmarkEnd w:id="122"/>
    </w:p>
    <w:p w14:paraId="1415207F" w14:textId="20D5AF76" w:rsidR="00BB6824" w:rsidRDefault="007645DA" w:rsidP="001A14AF">
      <w:pPr>
        <w:rPr>
          <w:rFonts w:cs="Times New Roman"/>
        </w:rPr>
      </w:pPr>
      <w:r w:rsidRPr="00BB6824">
        <w:rPr>
          <w:rFonts w:cs="Times New Roman"/>
        </w:rPr>
        <w:t>Incubation under UV light yielded a less-saturated, darker-hued pigmentation compared to control plates grown in the dark, with no UV exposure (</w:t>
      </w:r>
      <w:hyperlink r:id="rId161" w:anchor="fig6" w:history="1">
        <w:r w:rsidRPr="00CF16BC">
          <w:rPr>
            <w:rStyle w:val="Hyperlink"/>
            <w:rFonts w:ascii="Times New Roman" w:hAnsi="Times New Roman" w:cs="Times New Roman"/>
            <w:b/>
            <w:bCs/>
          </w:rPr>
          <w:t xml:space="preserve">Figure </w:t>
        </w:r>
        <w:r w:rsidR="00D637AC" w:rsidRPr="00CF16BC">
          <w:rPr>
            <w:rStyle w:val="Hyperlink"/>
            <w:rFonts w:ascii="Times New Roman" w:hAnsi="Times New Roman" w:cs="Times New Roman"/>
            <w:b/>
            <w:bCs/>
          </w:rPr>
          <w:t>2.</w:t>
        </w:r>
        <w:r w:rsidR="00CF16BC">
          <w:rPr>
            <w:rStyle w:val="Hyperlink"/>
            <w:rFonts w:ascii="Times New Roman" w:hAnsi="Times New Roman" w:cs="Times New Roman"/>
            <w:b/>
            <w:bCs/>
          </w:rPr>
          <w:t>6</w:t>
        </w:r>
        <w:r w:rsidRPr="00CF16BC">
          <w:rPr>
            <w:rStyle w:val="Hyperlink"/>
            <w:rFonts w:ascii="Times New Roman" w:hAnsi="Times New Roman" w:cs="Times New Roman"/>
            <w:b/>
            <w:bCs/>
          </w:rPr>
          <w:t>C</w:t>
        </w:r>
      </w:hyperlink>
      <w:r w:rsidRPr="00BB6824">
        <w:rPr>
          <w:rFonts w:cs="Times New Roman"/>
        </w:rPr>
        <w:t>). LC/MS analyses of UV-treated strain DJPM01 indicated statistically significant differences between UV-treated, control, and media blank samples (</w:t>
      </w:r>
      <w:r w:rsidR="008420A0" w:rsidRPr="008420A0">
        <w:rPr>
          <w:b/>
          <w:bCs/>
        </w:rPr>
        <w:t>Appendix</w:t>
      </w:r>
      <w:r w:rsidR="008420A0">
        <w:rPr>
          <w:b/>
          <w:bCs/>
        </w:rPr>
        <w:t>,</w:t>
      </w:r>
      <w:r w:rsidR="008420A0" w:rsidRPr="00F13F6D">
        <w:rPr>
          <w:rFonts w:cs="Times New Roman"/>
          <w:b/>
          <w:bCs/>
        </w:rPr>
        <w:t xml:space="preserve"> </w:t>
      </w:r>
      <w:hyperlink r:id="rId162" w:anchor="SM1" w:history="1">
        <w:r w:rsidRPr="00CF16BC">
          <w:rPr>
            <w:rStyle w:val="Hyperlink"/>
            <w:rFonts w:ascii="Times New Roman" w:hAnsi="Times New Roman" w:cs="Times New Roman"/>
            <w:b/>
            <w:bCs/>
          </w:rPr>
          <w:t xml:space="preserve">Figure </w:t>
        </w:r>
      </w:hyperlink>
      <w:r w:rsidR="00CF16BC">
        <w:rPr>
          <w:rFonts w:cs="Times New Roman"/>
          <w:b/>
          <w:bCs/>
        </w:rPr>
        <w:t>6.7</w:t>
      </w:r>
      <w:r w:rsidRPr="00BB6824">
        <w:rPr>
          <w:rFonts w:cs="Times New Roman"/>
        </w:rPr>
        <w:t xml:space="preserve">). A statistically significant decrease was observed in prodigiosin (1; </w:t>
      </w:r>
      <w:r w:rsidRPr="00BB6824">
        <w:rPr>
          <w:rFonts w:cs="Times New Roman"/>
          <w:i/>
          <w:iCs/>
        </w:rPr>
        <w:t>q</w:t>
      </w:r>
      <w:r w:rsidRPr="00BB6824">
        <w:rPr>
          <w:rFonts w:cs="Times New Roman"/>
        </w:rPr>
        <w:t xml:space="preserve"> &lt; 0.001) and </w:t>
      </w:r>
      <w:r w:rsidRPr="00BB6824">
        <w:rPr>
          <w:rFonts w:cs="Times New Roman"/>
        </w:rPr>
        <w:lastRenderedPageBreak/>
        <w:t>other metabolites (</w:t>
      </w:r>
      <w:r w:rsidR="008420A0" w:rsidRPr="008420A0">
        <w:rPr>
          <w:b/>
          <w:bCs/>
        </w:rPr>
        <w:t>Appendix</w:t>
      </w:r>
      <w:r w:rsidR="008420A0">
        <w:rPr>
          <w:b/>
          <w:bCs/>
        </w:rPr>
        <w:t>,</w:t>
      </w:r>
      <w:r w:rsidR="008420A0" w:rsidRPr="00F13F6D">
        <w:rPr>
          <w:rFonts w:cs="Times New Roman"/>
          <w:b/>
          <w:bCs/>
        </w:rPr>
        <w:t xml:space="preserve"> </w:t>
      </w:r>
      <w:hyperlink r:id="rId163" w:anchor="fig6" w:history="1">
        <w:r w:rsidRPr="00CF16BC">
          <w:rPr>
            <w:rStyle w:val="Hyperlink"/>
            <w:rFonts w:ascii="Times New Roman" w:hAnsi="Times New Roman" w:cs="Times New Roman"/>
            <w:b/>
            <w:bCs/>
          </w:rPr>
          <w:t xml:space="preserve">Figures </w:t>
        </w:r>
        <w:r w:rsidR="00D637AC" w:rsidRPr="00CF16BC">
          <w:rPr>
            <w:rStyle w:val="Hyperlink"/>
            <w:rFonts w:ascii="Times New Roman" w:hAnsi="Times New Roman" w:cs="Times New Roman"/>
            <w:b/>
            <w:bCs/>
          </w:rPr>
          <w:t>2.</w:t>
        </w:r>
        <w:r w:rsidR="00CF16BC" w:rsidRPr="00CF16BC">
          <w:rPr>
            <w:rStyle w:val="Hyperlink"/>
            <w:rFonts w:ascii="Times New Roman" w:hAnsi="Times New Roman" w:cs="Times New Roman"/>
            <w:b/>
            <w:bCs/>
          </w:rPr>
          <w:t>6</w:t>
        </w:r>
        <w:r w:rsidRPr="00CF16BC">
          <w:rPr>
            <w:rStyle w:val="Hyperlink"/>
            <w:rFonts w:ascii="Times New Roman" w:hAnsi="Times New Roman" w:cs="Times New Roman"/>
            <w:b/>
            <w:bCs/>
          </w:rPr>
          <w:t>C</w:t>
        </w:r>
      </w:hyperlink>
      <w:r w:rsidR="00D637AC">
        <w:rPr>
          <w:rFonts w:cs="Times New Roman"/>
        </w:rPr>
        <w:t xml:space="preserve"> and</w:t>
      </w:r>
      <w:r w:rsidRPr="00BB6824">
        <w:rPr>
          <w:rFonts w:cs="Times New Roman"/>
        </w:rPr>
        <w:t xml:space="preserve"> </w:t>
      </w:r>
      <w:hyperlink r:id="rId164" w:anchor="fig7" w:history="1">
        <w:r w:rsidR="00D637AC" w:rsidRPr="00CF16BC">
          <w:rPr>
            <w:rStyle w:val="Hyperlink"/>
            <w:rFonts w:ascii="Times New Roman" w:hAnsi="Times New Roman" w:cs="Times New Roman"/>
            <w:b/>
            <w:bCs/>
          </w:rPr>
          <w:t>2.</w:t>
        </w:r>
      </w:hyperlink>
      <w:r w:rsidR="00CF16BC" w:rsidRPr="00CF16BC">
        <w:rPr>
          <w:b/>
          <w:bCs/>
        </w:rPr>
        <w:t>7</w:t>
      </w:r>
      <w:r w:rsidRPr="00BB6824">
        <w:rPr>
          <w:rFonts w:cs="Times New Roman"/>
        </w:rPr>
        <w:t xml:space="preserve">). Mass spectral analyses suggested that these uncharacterized prodiginines may be cyclized, reduced, oxygenated, and otherwise modified variations of prodigiosin. LC/MS analysis of a UV-treated prodigiosin (1) standard indicated a conversion of the compound to a non-pigmented degradation product with an </w:t>
      </w:r>
      <w:r w:rsidRPr="00BB6824">
        <w:rPr>
          <w:rFonts w:cs="Times New Roman"/>
          <w:i/>
          <w:iCs/>
        </w:rPr>
        <w:t>m/z</w:t>
      </w:r>
      <w:r w:rsidRPr="00BB6824">
        <w:rPr>
          <w:rFonts w:cs="Times New Roman"/>
        </w:rPr>
        <w:t xml:space="preserve"> of 354.2169 [M + H]</w:t>
      </w:r>
      <w:r w:rsidRPr="00BB6824">
        <w:rPr>
          <w:rFonts w:cs="Times New Roman"/>
          <w:vertAlign w:val="superscript"/>
        </w:rPr>
        <w:t>+</w:t>
      </w:r>
      <w:r w:rsidRPr="00BB6824">
        <w:rPr>
          <w:rFonts w:cs="Times New Roman"/>
        </w:rPr>
        <w:t xml:space="preserve"> and probable molecular formula of C</w:t>
      </w:r>
      <w:r w:rsidRPr="00BB6824">
        <w:rPr>
          <w:rFonts w:cs="Times New Roman"/>
          <w:vertAlign w:val="subscript"/>
        </w:rPr>
        <w:t>21</w:t>
      </w:r>
      <w:r w:rsidRPr="00BB6824">
        <w:rPr>
          <w:rFonts w:cs="Times New Roman"/>
        </w:rPr>
        <w:t>H</w:t>
      </w:r>
      <w:r w:rsidRPr="00BB6824">
        <w:rPr>
          <w:rFonts w:cs="Times New Roman"/>
          <w:vertAlign w:val="subscript"/>
        </w:rPr>
        <w:t>28</w:t>
      </w:r>
      <w:r w:rsidRPr="00BB6824">
        <w:rPr>
          <w:rFonts w:cs="Times New Roman"/>
        </w:rPr>
        <w:t>N</w:t>
      </w:r>
      <w:r w:rsidRPr="00BB6824">
        <w:rPr>
          <w:rFonts w:cs="Times New Roman"/>
          <w:vertAlign w:val="subscript"/>
        </w:rPr>
        <w:t>3</w:t>
      </w:r>
      <w:r w:rsidRPr="00BB6824">
        <w:rPr>
          <w:rFonts w:cs="Times New Roman"/>
        </w:rPr>
        <w:t>O</w:t>
      </w:r>
      <w:r w:rsidRPr="00BB6824">
        <w:rPr>
          <w:rFonts w:cs="Times New Roman"/>
          <w:vertAlign w:val="subscript"/>
        </w:rPr>
        <w:t>2</w:t>
      </w:r>
      <w:r w:rsidRPr="00BB6824">
        <w:rPr>
          <w:rFonts w:cs="Times New Roman"/>
        </w:rPr>
        <w:t xml:space="preserve"> (</w:t>
      </w:r>
      <w:r w:rsidR="008420A0" w:rsidRPr="008420A0">
        <w:rPr>
          <w:b/>
          <w:bCs/>
        </w:rPr>
        <w:t>Appendix</w:t>
      </w:r>
      <w:r w:rsidR="008420A0">
        <w:rPr>
          <w:b/>
          <w:bCs/>
        </w:rPr>
        <w:t>,</w:t>
      </w:r>
      <w:r w:rsidR="008420A0" w:rsidRPr="00F13F6D">
        <w:rPr>
          <w:rFonts w:cs="Times New Roman"/>
          <w:b/>
          <w:bCs/>
        </w:rPr>
        <w:t xml:space="preserve"> </w:t>
      </w:r>
      <w:hyperlink r:id="rId165" w:anchor="SM1" w:history="1">
        <w:r w:rsidRPr="00CF16BC">
          <w:rPr>
            <w:rStyle w:val="Hyperlink"/>
            <w:rFonts w:ascii="Times New Roman" w:hAnsi="Times New Roman" w:cs="Times New Roman"/>
            <w:b/>
            <w:bCs/>
          </w:rPr>
          <w:t xml:space="preserve">Figure </w:t>
        </w:r>
      </w:hyperlink>
      <w:r w:rsidR="00CF16BC">
        <w:rPr>
          <w:rFonts w:cs="Times New Roman"/>
          <w:b/>
          <w:bCs/>
        </w:rPr>
        <w:t>6.8</w:t>
      </w:r>
      <w:r w:rsidRPr="00BB6824">
        <w:rPr>
          <w:rFonts w:cs="Times New Roman"/>
        </w:rPr>
        <w:t>). Additionally, several other features with mass shifts consistent with addition of CH</w:t>
      </w:r>
      <w:r w:rsidRPr="00BB6824">
        <w:rPr>
          <w:rFonts w:cs="Times New Roman"/>
          <w:vertAlign w:val="subscript"/>
        </w:rPr>
        <w:t>2</w:t>
      </w:r>
      <w:r w:rsidRPr="00BB6824">
        <w:rPr>
          <w:rFonts w:cs="Times New Roman"/>
        </w:rPr>
        <w:t>O to major prodiginines were observed. The only compound unique to the UV-treated strain DJPM01 was glycerophosphoserine (</w:t>
      </w:r>
      <w:r w:rsidRPr="00BB6824">
        <w:rPr>
          <w:rFonts w:cs="Times New Roman"/>
          <w:i/>
          <w:iCs/>
        </w:rPr>
        <w:t>m/z</w:t>
      </w:r>
      <w:r w:rsidRPr="00BB6824">
        <w:rPr>
          <w:rFonts w:cs="Times New Roman"/>
        </w:rPr>
        <w:t xml:space="preserve"> 522.2831; calculated [M + H]</w:t>
      </w:r>
      <w:r w:rsidRPr="00BB6824">
        <w:rPr>
          <w:rFonts w:cs="Times New Roman"/>
          <w:vertAlign w:val="superscript"/>
        </w:rPr>
        <w:t>+</w:t>
      </w:r>
      <w:r w:rsidRPr="00BB6824">
        <w:rPr>
          <w:rFonts w:cs="Times New Roman"/>
        </w:rPr>
        <w:t xml:space="preserve"> for C</w:t>
      </w:r>
      <w:r w:rsidRPr="00BB6824">
        <w:rPr>
          <w:rFonts w:cs="Times New Roman"/>
          <w:vertAlign w:val="subscript"/>
        </w:rPr>
        <w:t>24</w:t>
      </w:r>
      <w:r w:rsidRPr="00BB6824">
        <w:rPr>
          <w:rFonts w:cs="Times New Roman"/>
        </w:rPr>
        <w:t>H</w:t>
      </w:r>
      <w:r w:rsidRPr="00BB6824">
        <w:rPr>
          <w:rFonts w:cs="Times New Roman"/>
          <w:vertAlign w:val="subscript"/>
        </w:rPr>
        <w:t>45</w:t>
      </w:r>
      <w:r w:rsidRPr="00BB6824">
        <w:rPr>
          <w:rFonts w:cs="Times New Roman"/>
        </w:rPr>
        <w:t>NO</w:t>
      </w:r>
      <w:r w:rsidRPr="00BB6824">
        <w:rPr>
          <w:rFonts w:cs="Times New Roman"/>
          <w:vertAlign w:val="subscript"/>
        </w:rPr>
        <w:t>9</w:t>
      </w:r>
      <w:r w:rsidRPr="00BB6824">
        <w:rPr>
          <w:rFonts w:cs="Times New Roman"/>
        </w:rPr>
        <w:t>P, 522.2832;). Masses congruent to those of arylpolyenes and migrastatin (</w:t>
      </w:r>
      <w:r w:rsidRPr="00BB6824">
        <w:rPr>
          <w:rFonts w:cs="Times New Roman"/>
          <w:i/>
          <w:iCs/>
        </w:rPr>
        <w:t>m/z</w:t>
      </w:r>
      <w:r w:rsidRPr="00BB6824">
        <w:rPr>
          <w:rFonts w:cs="Times New Roman"/>
        </w:rPr>
        <w:t xml:space="preserve"> 512.2617; calculated [M + H]</w:t>
      </w:r>
      <w:r w:rsidRPr="00BB6824">
        <w:rPr>
          <w:rFonts w:cs="Times New Roman"/>
          <w:vertAlign w:val="superscript"/>
        </w:rPr>
        <w:t>+</w:t>
      </w:r>
      <w:r w:rsidRPr="00BB6824">
        <w:rPr>
          <w:rFonts w:cs="Times New Roman"/>
        </w:rPr>
        <w:t xml:space="preserve"> for C</w:t>
      </w:r>
      <w:r w:rsidRPr="00BB6824">
        <w:rPr>
          <w:rFonts w:cs="Times New Roman"/>
          <w:vertAlign w:val="subscript"/>
        </w:rPr>
        <w:t>24</w:t>
      </w:r>
      <w:r w:rsidRPr="00BB6824">
        <w:rPr>
          <w:rFonts w:cs="Times New Roman"/>
        </w:rPr>
        <w:t>H</w:t>
      </w:r>
      <w:r w:rsidRPr="00BB6824">
        <w:rPr>
          <w:rFonts w:cs="Times New Roman"/>
          <w:vertAlign w:val="subscript"/>
        </w:rPr>
        <w:t>45</w:t>
      </w:r>
      <w:r w:rsidRPr="00BB6824">
        <w:rPr>
          <w:rFonts w:cs="Times New Roman"/>
        </w:rPr>
        <w:t>NO</w:t>
      </w:r>
      <w:r w:rsidRPr="00BB6824">
        <w:rPr>
          <w:rFonts w:cs="Times New Roman"/>
          <w:vertAlign w:val="subscript"/>
        </w:rPr>
        <w:t>9</w:t>
      </w:r>
      <w:r w:rsidRPr="00BB6824">
        <w:rPr>
          <w:rFonts w:cs="Times New Roman"/>
        </w:rPr>
        <w:t>P, 522.2832) were also detected. No LC/MS or UV–Vis spectroscopic evidence of other pigments was found.</w:t>
      </w:r>
    </w:p>
    <w:p w14:paraId="670C4823" w14:textId="7DA73E7C" w:rsidR="00F420B3" w:rsidRPr="00BB6824" w:rsidRDefault="00F420B3" w:rsidP="001A14AF">
      <w:pPr>
        <w:pStyle w:val="Heading2"/>
        <w:spacing w:before="0" w:after="0"/>
      </w:pPr>
      <w:bookmarkStart w:id="123" w:name="_Toc196256884"/>
      <w:r w:rsidRPr="00BB6824">
        <w:t>Discussion</w:t>
      </w:r>
      <w:bookmarkEnd w:id="123"/>
    </w:p>
    <w:p w14:paraId="7C7AF122" w14:textId="77777777" w:rsidR="007645DA" w:rsidRPr="00BB6824" w:rsidRDefault="007645DA" w:rsidP="001A14AF">
      <w:pPr>
        <w:rPr>
          <w:rFonts w:cs="Times New Roman"/>
        </w:rPr>
      </w:pPr>
      <w:r w:rsidRPr="00BB6824">
        <w:rPr>
          <w:rFonts w:cs="Times New Roman"/>
          <w:i/>
          <w:iCs/>
        </w:rPr>
        <w:t>Massilia</w:t>
      </w:r>
      <w:r w:rsidRPr="00BB6824">
        <w:rPr>
          <w:rFonts w:cs="Times New Roman"/>
        </w:rPr>
        <w:t xml:space="preserve"> species have been identified in diverse ecological niches across Antarctica, though little is known about their function within cold systems. We isolated strain DJPM01 from a microbial mat which sits adjacent to one of the saltiest aquatic features on Earth, the hypersaline Don Juan Pond in the McMurdo Dry Valleys (</w:t>
      </w:r>
      <w:hyperlink r:id="rId166" w:anchor="ref126" w:history="1">
        <w:r w:rsidRPr="00BB6824">
          <w:rPr>
            <w:rStyle w:val="Hyperlink"/>
            <w:rFonts w:ascii="Times New Roman" w:hAnsi="Times New Roman" w:cs="Times New Roman"/>
          </w:rPr>
          <w:t>Toner et al., 2017</w:t>
        </w:r>
      </w:hyperlink>
      <w:r w:rsidRPr="00BB6824">
        <w:rPr>
          <w:rFonts w:cs="Times New Roman"/>
        </w:rPr>
        <w:t xml:space="preserve">). We identified this aerobic, Gram negative bacterium as a member of the </w:t>
      </w:r>
      <w:r w:rsidRPr="00BB6824">
        <w:rPr>
          <w:rFonts w:cs="Times New Roman"/>
          <w:i/>
          <w:iCs/>
        </w:rPr>
        <w:t>M. frigida</w:t>
      </w:r>
      <w:r w:rsidRPr="00BB6824">
        <w:rPr>
          <w:rFonts w:cs="Times New Roman"/>
        </w:rPr>
        <w:t xml:space="preserve"> species. This strain was isolated on R2A agar, which is commonly utilized to cultivate bacteria from Antarctic environments, though growth on this medium is not an indicator of abundance or importance to a given system (</w:t>
      </w:r>
      <w:hyperlink r:id="rId167" w:anchor="ref94" w:history="1">
        <w:r w:rsidRPr="00BB6824">
          <w:rPr>
            <w:rStyle w:val="Hyperlink"/>
            <w:rFonts w:ascii="Times New Roman" w:hAnsi="Times New Roman" w:cs="Times New Roman"/>
          </w:rPr>
          <w:t>Pulschen et al., 2017</w:t>
        </w:r>
      </w:hyperlink>
      <w:r w:rsidRPr="00BB6824">
        <w:rPr>
          <w:rFonts w:cs="Times New Roman"/>
        </w:rPr>
        <w:t>). Strain DJPM01 is estimated to be present at low abundance (~0.03%) in the established microbial mat community; however, abundance and ecological importance are not mutually exclusive, as highlighted with the rare biosphere concept (</w:t>
      </w:r>
      <w:hyperlink r:id="rId168" w:anchor="ref75" w:history="1">
        <w:r w:rsidRPr="00BB6824">
          <w:rPr>
            <w:rStyle w:val="Hyperlink"/>
            <w:rFonts w:ascii="Times New Roman" w:hAnsi="Times New Roman" w:cs="Times New Roman"/>
          </w:rPr>
          <w:t>Lynch and Neufeld, 2015</w:t>
        </w:r>
      </w:hyperlink>
      <w:r w:rsidRPr="00BB6824">
        <w:rPr>
          <w:rFonts w:cs="Times New Roman"/>
        </w:rPr>
        <w:t xml:space="preserve">). Members of the </w:t>
      </w:r>
      <w:r w:rsidRPr="00BB6824">
        <w:rPr>
          <w:rFonts w:cs="Times New Roman"/>
          <w:i/>
          <w:iCs/>
        </w:rPr>
        <w:t>Massilia</w:t>
      </w:r>
      <w:r w:rsidRPr="00BB6824">
        <w:rPr>
          <w:rFonts w:cs="Times New Roman"/>
        </w:rPr>
        <w:t xml:space="preserve"> genus have been of interest for their agricultural and pharmaceutical applications (</w:t>
      </w:r>
      <w:hyperlink r:id="rId169" w:anchor="ref68" w:history="1">
        <w:r w:rsidRPr="00BB6824">
          <w:rPr>
            <w:rStyle w:val="Hyperlink"/>
            <w:rFonts w:ascii="Times New Roman" w:hAnsi="Times New Roman" w:cs="Times New Roman"/>
          </w:rPr>
          <w:t>Lewin et al., 2021</w:t>
        </w:r>
      </w:hyperlink>
      <w:r w:rsidRPr="00BB6824">
        <w:rPr>
          <w:rFonts w:cs="Times New Roman"/>
        </w:rPr>
        <w:t xml:space="preserve">; </w:t>
      </w:r>
      <w:hyperlink r:id="rId170" w:anchor="ref27" w:history="1">
        <w:r w:rsidRPr="00BB6824">
          <w:rPr>
            <w:rStyle w:val="Hyperlink"/>
            <w:rFonts w:ascii="Times New Roman" w:hAnsi="Times New Roman" w:cs="Times New Roman"/>
          </w:rPr>
          <w:t>Dahal et al., 2021b</w:t>
        </w:r>
      </w:hyperlink>
      <w:r w:rsidRPr="00BB6824">
        <w:rPr>
          <w:rFonts w:cs="Times New Roman"/>
        </w:rPr>
        <w:t>). Thus, we examined both potential adaptations to ecologically relevant conditions and production of microbial secondary metabolites, including the pigment prodigiosin, in strain DJPM01.</w:t>
      </w:r>
    </w:p>
    <w:p w14:paraId="138197C5" w14:textId="7DADC602" w:rsidR="007645DA" w:rsidRPr="00BB6824" w:rsidRDefault="007645DA" w:rsidP="001A14AF">
      <w:pPr>
        <w:pStyle w:val="Heading3"/>
        <w:spacing w:before="0" w:after="0"/>
      </w:pPr>
      <w:bookmarkStart w:id="124" w:name="_Toc196256885"/>
      <w:r w:rsidRPr="00BB6824">
        <w:lastRenderedPageBreak/>
        <w:t>Phylogeny and ecophysiology of an Antarctic Massilia strain</w:t>
      </w:r>
      <w:bookmarkEnd w:id="124"/>
    </w:p>
    <w:p w14:paraId="6DA82220" w14:textId="77777777" w:rsidR="007645DA" w:rsidRPr="00BB6824" w:rsidRDefault="007645DA" w:rsidP="001A14AF">
      <w:pPr>
        <w:rPr>
          <w:rFonts w:cs="Times New Roman"/>
        </w:rPr>
      </w:pPr>
      <w:r w:rsidRPr="00BB6824">
        <w:rPr>
          <w:rFonts w:cs="Times New Roman"/>
        </w:rPr>
        <w:t>Modern prokaryotic species concepts strive to incorporate both the advanced sequencing tools available to interrogate microbial genomes as well as phenotypic assays (</w:t>
      </w:r>
      <w:hyperlink r:id="rId171" w:anchor="ref98" w:history="1">
        <w:r w:rsidRPr="00BB6824">
          <w:rPr>
            <w:rStyle w:val="Hyperlink"/>
            <w:rFonts w:ascii="Times New Roman" w:hAnsi="Times New Roman" w:cs="Times New Roman"/>
          </w:rPr>
          <w:t>Rosselló-Móra and Amann, 2015</w:t>
        </w:r>
      </w:hyperlink>
      <w:r w:rsidRPr="00BB6824">
        <w:rPr>
          <w:rFonts w:cs="Times New Roman"/>
        </w:rPr>
        <w:t>). While specifics may be debated, it is generally agreed that species exhibit a large degree of genomic and phenotypic coherence (</w:t>
      </w:r>
      <w:hyperlink r:id="rId172" w:anchor="ref98" w:history="1">
        <w:r w:rsidRPr="00BB6824">
          <w:rPr>
            <w:rStyle w:val="Hyperlink"/>
            <w:rFonts w:ascii="Times New Roman" w:hAnsi="Times New Roman" w:cs="Times New Roman"/>
          </w:rPr>
          <w:t>Rosselló-Móra and Amann, 2015</w:t>
        </w:r>
      </w:hyperlink>
      <w:r w:rsidRPr="00BB6824">
        <w:rPr>
          <w:rFonts w:cs="Times New Roman"/>
        </w:rPr>
        <w:t>). Conservative estimates indicate that a DDH of &gt;70% (</w:t>
      </w:r>
      <w:hyperlink r:id="rId173" w:anchor="ref123" w:history="1">
        <w:r w:rsidRPr="00BB6824">
          <w:rPr>
            <w:rStyle w:val="Hyperlink"/>
            <w:rFonts w:ascii="Times New Roman" w:hAnsi="Times New Roman" w:cs="Times New Roman"/>
          </w:rPr>
          <w:t>Tindall et al., 2010</w:t>
        </w:r>
      </w:hyperlink>
      <w:r w:rsidRPr="00BB6824">
        <w:rPr>
          <w:rFonts w:cs="Times New Roman"/>
        </w:rPr>
        <w:t xml:space="preserve">), ANI threshold of 95–96% (e.g., </w:t>
      </w:r>
      <w:hyperlink r:id="rId174" w:anchor="ref60" w:history="1">
        <w:r w:rsidRPr="00BB6824">
          <w:rPr>
            <w:rStyle w:val="Hyperlink"/>
            <w:rFonts w:ascii="Times New Roman" w:hAnsi="Times New Roman" w:cs="Times New Roman"/>
          </w:rPr>
          <w:t>Konstantinidis and Tiedje, 2005</w:t>
        </w:r>
      </w:hyperlink>
      <w:r w:rsidRPr="00BB6824">
        <w:rPr>
          <w:rFonts w:cs="Times New Roman"/>
        </w:rPr>
        <w:t xml:space="preserve">; </w:t>
      </w:r>
      <w:hyperlink r:id="rId175" w:anchor="ref59" w:history="1">
        <w:r w:rsidRPr="00BB6824">
          <w:rPr>
            <w:rStyle w:val="Hyperlink"/>
            <w:rFonts w:ascii="Times New Roman" w:hAnsi="Times New Roman" w:cs="Times New Roman"/>
          </w:rPr>
          <w:t>Konstantinidis et al., 2006</w:t>
        </w:r>
      </w:hyperlink>
      <w:r w:rsidRPr="00BB6824">
        <w:rPr>
          <w:rFonts w:cs="Times New Roman"/>
        </w:rPr>
        <w:t>), and 16S rRNA gene sequence identity of &gt;98% (</w:t>
      </w:r>
      <w:hyperlink r:id="rId176" w:anchor="ref58" w:history="1">
        <w:r w:rsidRPr="00BB6824">
          <w:rPr>
            <w:rStyle w:val="Hyperlink"/>
            <w:rFonts w:ascii="Times New Roman" w:hAnsi="Times New Roman" w:cs="Times New Roman"/>
          </w:rPr>
          <w:t>Kim et al., 2014</w:t>
        </w:r>
      </w:hyperlink>
      <w:r w:rsidRPr="00BB6824">
        <w:rPr>
          <w:rFonts w:cs="Times New Roman"/>
        </w:rPr>
        <w:t xml:space="preserve">) is appropriate for delineating prokaryotic species for taxonomic purposes. While strain DJPM01 has &gt;99% sequence identity with several </w:t>
      </w:r>
      <w:r w:rsidRPr="00BB6824">
        <w:rPr>
          <w:rFonts w:cs="Times New Roman"/>
          <w:i/>
          <w:iCs/>
        </w:rPr>
        <w:t>Massilia</w:t>
      </w:r>
      <w:r w:rsidRPr="00BB6824">
        <w:rPr>
          <w:rFonts w:cs="Times New Roman"/>
        </w:rPr>
        <w:t xml:space="preserve"> type strains, highest ANI (97.36%) and DDH (75.6%) were found with </w:t>
      </w:r>
      <w:r w:rsidRPr="00BB6824">
        <w:rPr>
          <w:rFonts w:cs="Times New Roman"/>
          <w:i/>
          <w:iCs/>
        </w:rPr>
        <w:t>M. frigida</w:t>
      </w:r>
      <w:r w:rsidRPr="00BB6824">
        <w:rPr>
          <w:rFonts w:cs="Times New Roman"/>
        </w:rPr>
        <w:t xml:space="preserve"> strain CCM8695. Thus, we conclude that strain DJPM01 is a strain of this species group.</w:t>
      </w:r>
    </w:p>
    <w:p w14:paraId="6632235A" w14:textId="77777777" w:rsidR="007645DA" w:rsidRPr="00BB6824" w:rsidRDefault="007645DA" w:rsidP="001A14AF">
      <w:pPr>
        <w:rPr>
          <w:rFonts w:cs="Times New Roman"/>
        </w:rPr>
      </w:pPr>
      <w:r w:rsidRPr="00BB6824">
        <w:rPr>
          <w:rFonts w:cs="Times New Roman"/>
        </w:rPr>
        <w:t xml:space="preserve">Strain DJPM01 shares phenotypic similarities with </w:t>
      </w:r>
      <w:r w:rsidRPr="00BB6824">
        <w:rPr>
          <w:rFonts w:cs="Times New Roman"/>
          <w:i/>
          <w:iCs/>
        </w:rPr>
        <w:t>M. frigida</w:t>
      </w:r>
      <w:r w:rsidRPr="00BB6824">
        <w:rPr>
          <w:rFonts w:cs="Times New Roman"/>
        </w:rPr>
        <w:t xml:space="preserve"> strain CCM 8695 and other psychrotolerant strains, including colony morphology, motility, inability to grow at temperatures at or above 30°C, and sensitivity to UV-C irradiation (</w:t>
      </w:r>
      <w:hyperlink r:id="rId177" w:anchor="ref53" w:history="1">
        <w:r w:rsidRPr="00BB6824">
          <w:rPr>
            <w:rStyle w:val="Hyperlink"/>
            <w:rFonts w:ascii="Times New Roman" w:hAnsi="Times New Roman" w:cs="Times New Roman"/>
          </w:rPr>
          <w:t>Holochová et al., 2020</w:t>
        </w:r>
      </w:hyperlink>
      <w:r w:rsidRPr="00BB6824">
        <w:rPr>
          <w:rFonts w:cs="Times New Roman"/>
        </w:rPr>
        <w:t xml:space="preserve">). Strain DJPM01 was more tolerant of alkaline growth conditions compared to reported observations of both psychrotolerant and mesophilic </w:t>
      </w:r>
      <w:r w:rsidRPr="00BB6824">
        <w:rPr>
          <w:rFonts w:cs="Times New Roman"/>
          <w:i/>
          <w:iCs/>
        </w:rPr>
        <w:t>Massilia</w:t>
      </w:r>
      <w:r w:rsidRPr="00BB6824">
        <w:rPr>
          <w:rFonts w:cs="Times New Roman"/>
        </w:rPr>
        <w:t xml:space="preserve">, though several </w:t>
      </w:r>
      <w:r w:rsidRPr="00BB6824">
        <w:rPr>
          <w:rFonts w:cs="Times New Roman"/>
          <w:i/>
          <w:iCs/>
        </w:rPr>
        <w:t>Massilia</w:t>
      </w:r>
      <w:r w:rsidRPr="00BB6824">
        <w:rPr>
          <w:rFonts w:cs="Times New Roman"/>
        </w:rPr>
        <w:t xml:space="preserve"> species are also able to grow on media above pH 10, including </w:t>
      </w:r>
      <w:r w:rsidRPr="00BB6824">
        <w:rPr>
          <w:rFonts w:cs="Times New Roman"/>
          <w:i/>
          <w:iCs/>
        </w:rPr>
        <w:t>M. alkalitolerans</w:t>
      </w:r>
      <w:r w:rsidRPr="00BB6824">
        <w:rPr>
          <w:rFonts w:cs="Times New Roman"/>
        </w:rPr>
        <w:t>, which can survive on media adjusted to pH 12 (</w:t>
      </w:r>
      <w:hyperlink r:id="rId178" w:anchor="ref141" w:history="1">
        <w:r w:rsidRPr="00BB6824">
          <w:rPr>
            <w:rStyle w:val="Hyperlink"/>
            <w:rFonts w:ascii="Times New Roman" w:hAnsi="Times New Roman" w:cs="Times New Roman"/>
          </w:rPr>
          <w:t>Xu et al., 2005</w:t>
        </w:r>
      </w:hyperlink>
      <w:r w:rsidRPr="00BB6824">
        <w:rPr>
          <w:rFonts w:cs="Times New Roman"/>
        </w:rPr>
        <w:t xml:space="preserve">). Based on 16S rRNA gene and whole-genome comparisons, strain DJPM01 forms a clade with seven named psychrotolerant </w:t>
      </w:r>
      <w:r w:rsidRPr="00BB6824">
        <w:rPr>
          <w:rFonts w:cs="Times New Roman"/>
          <w:i/>
          <w:iCs/>
        </w:rPr>
        <w:t>Massilia</w:t>
      </w:r>
      <w:r w:rsidRPr="00BB6824">
        <w:rPr>
          <w:rFonts w:cs="Times New Roman"/>
        </w:rPr>
        <w:t>, including the five described Antarctic species (</w:t>
      </w:r>
      <w:hyperlink r:id="rId179" w:anchor="ref135" w:history="1">
        <w:r w:rsidRPr="00BB6824">
          <w:rPr>
            <w:rStyle w:val="Hyperlink"/>
            <w:rFonts w:ascii="Times New Roman" w:hAnsi="Times New Roman" w:cs="Times New Roman"/>
          </w:rPr>
          <w:t>Wang et al., 2018</w:t>
        </w:r>
      </w:hyperlink>
      <w:r w:rsidRPr="00BB6824">
        <w:rPr>
          <w:rFonts w:cs="Times New Roman"/>
        </w:rPr>
        <w:t xml:space="preserve">; </w:t>
      </w:r>
      <w:hyperlink r:id="rId180" w:anchor="ref142" w:history="1">
        <w:r w:rsidRPr="00BB6824">
          <w:rPr>
            <w:rStyle w:val="Hyperlink"/>
            <w:rFonts w:ascii="Times New Roman" w:hAnsi="Times New Roman" w:cs="Times New Roman"/>
          </w:rPr>
          <w:t>Yang et al., 2019</w:t>
        </w:r>
      </w:hyperlink>
      <w:r w:rsidRPr="00BB6824">
        <w:rPr>
          <w:rFonts w:cs="Times New Roman"/>
        </w:rPr>
        <w:t xml:space="preserve">; </w:t>
      </w:r>
      <w:hyperlink r:id="rId181" w:anchor="ref53" w:history="1">
        <w:r w:rsidRPr="00BB6824">
          <w:rPr>
            <w:rStyle w:val="Hyperlink"/>
            <w:rFonts w:ascii="Times New Roman" w:hAnsi="Times New Roman" w:cs="Times New Roman"/>
          </w:rPr>
          <w:t>Holochová et al., 2020</w:t>
        </w:r>
      </w:hyperlink>
      <w:r w:rsidRPr="00BB6824">
        <w:rPr>
          <w:rFonts w:cs="Times New Roman"/>
        </w:rPr>
        <w:t xml:space="preserve">; </w:t>
      </w:r>
      <w:hyperlink r:id="rId182" w:anchor="ref107" w:history="1">
        <w:r w:rsidRPr="00BB6824">
          <w:rPr>
            <w:rStyle w:val="Hyperlink"/>
            <w:rFonts w:ascii="Times New Roman" w:hAnsi="Times New Roman" w:cs="Times New Roman"/>
          </w:rPr>
          <w:t>Sedláček et al., 2022</w:t>
        </w:r>
      </w:hyperlink>
      <w:r w:rsidRPr="00BB6824">
        <w:rPr>
          <w:rFonts w:cs="Times New Roman"/>
        </w:rPr>
        <w:t xml:space="preserve">). Of the Antarctic </w:t>
      </w:r>
      <w:r w:rsidRPr="00BB6824">
        <w:rPr>
          <w:rFonts w:cs="Times New Roman"/>
          <w:i/>
          <w:iCs/>
        </w:rPr>
        <w:t>Massilia</w:t>
      </w:r>
      <w:r w:rsidRPr="00BB6824">
        <w:rPr>
          <w:rFonts w:cs="Times New Roman"/>
        </w:rPr>
        <w:t xml:space="preserve"> with published genome sequences, four have been described as producing a pink-red pigment when grown on R2A agar (</w:t>
      </w:r>
      <w:hyperlink r:id="rId183" w:anchor="ref53" w:history="1">
        <w:r w:rsidRPr="00BB6824">
          <w:rPr>
            <w:rStyle w:val="Hyperlink"/>
            <w:rFonts w:ascii="Times New Roman" w:hAnsi="Times New Roman" w:cs="Times New Roman"/>
          </w:rPr>
          <w:t>Holochová et al., 2020</w:t>
        </w:r>
      </w:hyperlink>
      <w:r w:rsidRPr="00BB6824">
        <w:rPr>
          <w:rFonts w:cs="Times New Roman"/>
        </w:rPr>
        <w:t xml:space="preserve">) and contain the complete pathway for prodigiosin biosynthesis. The fifth, </w:t>
      </w:r>
      <w:r w:rsidRPr="00BB6824">
        <w:rPr>
          <w:rFonts w:cs="Times New Roman"/>
          <w:i/>
          <w:iCs/>
        </w:rPr>
        <w:t>M. antarctica</w:t>
      </w:r>
      <w:r w:rsidRPr="00BB6824">
        <w:rPr>
          <w:rFonts w:cs="Times New Roman"/>
        </w:rPr>
        <w:t xml:space="preserve"> strain P9640, produces a blue-purple pigment, likely violacein (</w:t>
      </w:r>
      <w:hyperlink r:id="rId184" w:anchor="ref107" w:history="1">
        <w:r w:rsidRPr="00BB6824">
          <w:rPr>
            <w:rStyle w:val="Hyperlink"/>
            <w:rFonts w:ascii="Times New Roman" w:hAnsi="Times New Roman" w:cs="Times New Roman"/>
          </w:rPr>
          <w:t>Sedláček et al., 2022</w:t>
        </w:r>
      </w:hyperlink>
      <w:r w:rsidRPr="00BB6824">
        <w:rPr>
          <w:rFonts w:cs="Times New Roman"/>
        </w:rPr>
        <w:t xml:space="preserve">). However, </w:t>
      </w:r>
      <w:r w:rsidRPr="00BB6824">
        <w:rPr>
          <w:rFonts w:cs="Times New Roman"/>
          <w:i/>
          <w:iCs/>
        </w:rPr>
        <w:t>Massilia</w:t>
      </w:r>
      <w:r w:rsidRPr="00BB6824">
        <w:rPr>
          <w:rFonts w:cs="Times New Roman"/>
        </w:rPr>
        <w:t xml:space="preserve"> isolates beyond this clade (&lt;82% ANI) have only been described as either unpigmented or as producing a yellow pigment, which could be carotenoids based on the putative BGCs present in their genomes (</w:t>
      </w:r>
      <w:hyperlink r:id="rId185" w:anchor="ref40" w:history="1">
        <w:r w:rsidRPr="00BB6824">
          <w:rPr>
            <w:rStyle w:val="Hyperlink"/>
            <w:rFonts w:ascii="Times New Roman" w:hAnsi="Times New Roman" w:cs="Times New Roman"/>
          </w:rPr>
          <w:t>Gallego et al., 2006</w:t>
        </w:r>
      </w:hyperlink>
      <w:r w:rsidRPr="00BB6824">
        <w:rPr>
          <w:rFonts w:cs="Times New Roman"/>
        </w:rPr>
        <w:t xml:space="preserve">; </w:t>
      </w:r>
      <w:hyperlink r:id="rId186" w:anchor="ref143" w:history="1">
        <w:r w:rsidRPr="00BB6824">
          <w:rPr>
            <w:rStyle w:val="Hyperlink"/>
            <w:rFonts w:ascii="Times New Roman" w:hAnsi="Times New Roman" w:cs="Times New Roman"/>
          </w:rPr>
          <w:t>Zhang et al., 2006</w:t>
        </w:r>
      </w:hyperlink>
      <w:r w:rsidRPr="00BB6824">
        <w:rPr>
          <w:rFonts w:cs="Times New Roman"/>
        </w:rPr>
        <w:t>).</w:t>
      </w:r>
    </w:p>
    <w:p w14:paraId="2C832C1B" w14:textId="084FCDB2" w:rsidR="007645DA" w:rsidRPr="00BB6824" w:rsidRDefault="007645DA" w:rsidP="001A14AF">
      <w:pPr>
        <w:pStyle w:val="Heading3"/>
        <w:spacing w:before="0" w:after="0"/>
      </w:pPr>
      <w:bookmarkStart w:id="125" w:name="_Toc196256886"/>
      <w:r w:rsidRPr="00BB6824">
        <w:lastRenderedPageBreak/>
        <w:t>Genomic adaptations to life in an Antarctic microbial mat</w:t>
      </w:r>
      <w:bookmarkEnd w:id="125"/>
    </w:p>
    <w:p w14:paraId="3F3FDDAD" w14:textId="77777777" w:rsidR="007645DA" w:rsidRPr="00BB6824" w:rsidRDefault="007645DA" w:rsidP="001A14AF">
      <w:pPr>
        <w:rPr>
          <w:rFonts w:cs="Times New Roman"/>
        </w:rPr>
      </w:pPr>
      <w:r w:rsidRPr="00BB6824">
        <w:rPr>
          <w:rFonts w:cs="Times New Roman"/>
        </w:rPr>
        <w:t>The genome of strain DJPM01 contains several adaptations to life in an Antarctic microbial mat. Low temperatures can negatively impact transcription and translation, both through decreases in reaction rate and through changes in the secondary structure of DNA, RNA, and proteins (</w:t>
      </w:r>
      <w:hyperlink r:id="rId187" w:anchor="ref32" w:history="1">
        <w:r w:rsidRPr="00BB6824">
          <w:rPr>
            <w:rStyle w:val="Hyperlink"/>
            <w:rFonts w:ascii="Times New Roman" w:hAnsi="Times New Roman" w:cs="Times New Roman"/>
          </w:rPr>
          <w:t>De Maayer et al., 2014</w:t>
        </w:r>
      </w:hyperlink>
      <w:r w:rsidRPr="00BB6824">
        <w:rPr>
          <w:rFonts w:cs="Times New Roman"/>
        </w:rPr>
        <w:t xml:space="preserve">). Strain DJPM01 encodes multiple sets of genes associated with either preventing the formation of transcription-inhibiting RNA secondary structures (cold shock proteins) or unraveling the structures that do form (RNA helicases; </w:t>
      </w:r>
      <w:hyperlink r:id="rId188" w:anchor="ref111" w:history="1">
        <w:r w:rsidRPr="00BB6824">
          <w:rPr>
            <w:rStyle w:val="Hyperlink"/>
            <w:rFonts w:ascii="Times New Roman" w:hAnsi="Times New Roman" w:cs="Times New Roman"/>
          </w:rPr>
          <w:t>Siddiqui et al., 2013</w:t>
        </w:r>
      </w:hyperlink>
      <w:r w:rsidRPr="00BB6824">
        <w:rPr>
          <w:rFonts w:cs="Times New Roman"/>
        </w:rPr>
        <w:t xml:space="preserve">). Similarly, strain DJPM01 has genes encoding for several protein chaperones to ensure correct folding of polypeptide chains. Other genes, such as </w:t>
      </w:r>
      <w:r w:rsidRPr="00BB6824">
        <w:rPr>
          <w:rFonts w:cs="Times New Roman"/>
          <w:i/>
          <w:iCs/>
        </w:rPr>
        <w:t>fab</w:t>
      </w:r>
      <w:r w:rsidRPr="00BB6824">
        <w:rPr>
          <w:rFonts w:cs="Times New Roman"/>
        </w:rPr>
        <w:t xml:space="preserve"> genes and a putative Δ9-desaturase, are involved in the biosynthesis of unsaturated fatty acids to increase membrane fluidity at low temperature (</w:t>
      </w:r>
      <w:hyperlink r:id="rId189" w:anchor="ref32" w:history="1">
        <w:r w:rsidRPr="00BB6824">
          <w:rPr>
            <w:rStyle w:val="Hyperlink"/>
            <w:rFonts w:ascii="Times New Roman" w:hAnsi="Times New Roman" w:cs="Times New Roman"/>
          </w:rPr>
          <w:t>De Maayer et al., 2014</w:t>
        </w:r>
      </w:hyperlink>
      <w:r w:rsidRPr="00BB6824">
        <w:rPr>
          <w:rFonts w:cs="Times New Roman"/>
        </w:rPr>
        <w:t>). Cold-adapted organisms synthesize compatible solutes to prevent the formation of ice crystals within the cell and combat changes in salinity associated with freezing temperatures (</w:t>
      </w:r>
      <w:hyperlink r:id="rId190" w:anchor="ref20" w:history="1">
        <w:r w:rsidRPr="00BB6824">
          <w:rPr>
            <w:rStyle w:val="Hyperlink"/>
            <w:rFonts w:ascii="Times New Roman" w:hAnsi="Times New Roman" w:cs="Times New Roman"/>
          </w:rPr>
          <w:t>Chin et al., 2010</w:t>
        </w:r>
      </w:hyperlink>
      <w:r w:rsidRPr="00BB6824">
        <w:rPr>
          <w:rFonts w:cs="Times New Roman"/>
        </w:rPr>
        <w:t>). Genes involved in the biosynthesis and transport of the compatible solute glutamate are present within the genome, as well as several cation/proton antiporters, all of which are utilized to counteract changes in osmotic pressure (</w:t>
      </w:r>
      <w:hyperlink r:id="rId191" w:anchor="ref62" w:history="1">
        <w:r w:rsidRPr="00BB6824">
          <w:rPr>
            <w:rStyle w:val="Hyperlink"/>
            <w:rFonts w:ascii="Times New Roman" w:hAnsi="Times New Roman" w:cs="Times New Roman"/>
          </w:rPr>
          <w:t>Kuroda et al., 2005</w:t>
        </w:r>
      </w:hyperlink>
      <w:r w:rsidRPr="00BB6824">
        <w:rPr>
          <w:rFonts w:cs="Times New Roman"/>
        </w:rPr>
        <w:t xml:space="preserve">; </w:t>
      </w:r>
      <w:hyperlink r:id="rId192" w:anchor="ref102" w:history="1">
        <w:r w:rsidRPr="00BB6824">
          <w:rPr>
            <w:rStyle w:val="Hyperlink"/>
            <w:rFonts w:ascii="Times New Roman" w:hAnsi="Times New Roman" w:cs="Times New Roman"/>
          </w:rPr>
          <w:t>Saum and Müller, 2008</w:t>
        </w:r>
      </w:hyperlink>
      <w:r w:rsidRPr="00BB6824">
        <w:rPr>
          <w:rFonts w:cs="Times New Roman"/>
        </w:rPr>
        <w:t>).</w:t>
      </w:r>
    </w:p>
    <w:p w14:paraId="102815D6" w14:textId="77777777" w:rsidR="007645DA" w:rsidRPr="00BB6824" w:rsidRDefault="007645DA" w:rsidP="001A14AF">
      <w:pPr>
        <w:rPr>
          <w:rFonts w:cs="Times New Roman"/>
        </w:rPr>
      </w:pPr>
      <w:r w:rsidRPr="00BB6824">
        <w:rPr>
          <w:rFonts w:cs="Times New Roman"/>
        </w:rPr>
        <w:t>UV irradiation can lead to both DNA damage and the generation of ROS (</w:t>
      </w:r>
      <w:hyperlink r:id="rId193" w:anchor="ref17" w:history="1">
        <w:r w:rsidRPr="00BB6824">
          <w:rPr>
            <w:rStyle w:val="Hyperlink"/>
            <w:rFonts w:ascii="Times New Roman" w:hAnsi="Times New Roman" w:cs="Times New Roman"/>
          </w:rPr>
          <w:t>Castenholz and Garcia-Pichel, 2012</w:t>
        </w:r>
      </w:hyperlink>
      <w:r w:rsidRPr="00BB6824">
        <w:rPr>
          <w:rFonts w:cs="Times New Roman"/>
        </w:rPr>
        <w:t xml:space="preserve">). Strain DJPM01 contained several genes for reducing ROS (e.g., catalase and peroxiredoxin) and for DNA repair, including two photolyases, which may enable photo-repair of DNA during long Antarctic days in the austral summer. UV stress can also be mediated through the production of radiation-absorbing pigments. Strain DJPM01 contains BGCs for prodigiosin and violacein, pigments associated with UV survival in other organisms, such as </w:t>
      </w:r>
      <w:r w:rsidRPr="00BB6824">
        <w:rPr>
          <w:rFonts w:cs="Times New Roman"/>
          <w:i/>
          <w:iCs/>
        </w:rPr>
        <w:t>Serratia, Streptomyces</w:t>
      </w:r>
      <w:r w:rsidRPr="00BB6824">
        <w:rPr>
          <w:rFonts w:cs="Times New Roman"/>
        </w:rPr>
        <w:t xml:space="preserve">, and </w:t>
      </w:r>
      <w:r w:rsidRPr="00BB6824">
        <w:rPr>
          <w:rFonts w:cs="Times New Roman"/>
          <w:i/>
          <w:iCs/>
        </w:rPr>
        <w:t>Vibrio</w:t>
      </w:r>
      <w:r w:rsidRPr="00BB6824">
        <w:rPr>
          <w:rFonts w:cs="Times New Roman"/>
        </w:rPr>
        <w:t xml:space="preserve"> species (</w:t>
      </w:r>
      <w:hyperlink r:id="rId194" w:anchor="ref14" w:history="1">
        <w:r w:rsidRPr="00BB6824">
          <w:rPr>
            <w:rStyle w:val="Hyperlink"/>
            <w:rFonts w:ascii="Times New Roman" w:hAnsi="Times New Roman" w:cs="Times New Roman"/>
          </w:rPr>
          <w:t>Borić et al., 2011</w:t>
        </w:r>
      </w:hyperlink>
      <w:r w:rsidRPr="00BB6824">
        <w:rPr>
          <w:rFonts w:cs="Times New Roman"/>
        </w:rPr>
        <w:t xml:space="preserve">; </w:t>
      </w:r>
      <w:hyperlink r:id="rId195" w:anchor="ref118" w:history="1">
        <w:r w:rsidRPr="00BB6824">
          <w:rPr>
            <w:rStyle w:val="Hyperlink"/>
            <w:rFonts w:ascii="Times New Roman" w:hAnsi="Times New Roman" w:cs="Times New Roman"/>
          </w:rPr>
          <w:t>Stankovic et al., 2012</w:t>
        </w:r>
      </w:hyperlink>
      <w:r w:rsidRPr="00BB6824">
        <w:rPr>
          <w:rFonts w:cs="Times New Roman"/>
        </w:rPr>
        <w:t xml:space="preserve">; </w:t>
      </w:r>
      <w:hyperlink r:id="rId196" w:anchor="ref19" w:history="1">
        <w:r w:rsidRPr="00BB6824">
          <w:rPr>
            <w:rStyle w:val="Hyperlink"/>
            <w:rFonts w:ascii="Times New Roman" w:hAnsi="Times New Roman" w:cs="Times New Roman"/>
          </w:rPr>
          <w:t>Cediel Becerra et al., 2022</w:t>
        </w:r>
      </w:hyperlink>
      <w:r w:rsidRPr="00BB6824">
        <w:rPr>
          <w:rFonts w:cs="Times New Roman"/>
        </w:rPr>
        <w:t>), and increases the UV-screening ability of commercial sunscreen (</w:t>
      </w:r>
      <w:hyperlink r:id="rId197" w:anchor="ref119" w:history="1">
        <w:r w:rsidRPr="00BB6824">
          <w:rPr>
            <w:rStyle w:val="Hyperlink"/>
            <w:rFonts w:ascii="Times New Roman" w:hAnsi="Times New Roman" w:cs="Times New Roman"/>
          </w:rPr>
          <w:t>Suryawanshi et al., 2015</w:t>
        </w:r>
      </w:hyperlink>
      <w:r w:rsidRPr="00BB6824">
        <w:rPr>
          <w:rFonts w:cs="Times New Roman"/>
        </w:rPr>
        <w:t xml:space="preserve">). Violacein has been described in a number of </w:t>
      </w:r>
      <w:r w:rsidRPr="00BB6824">
        <w:rPr>
          <w:rFonts w:cs="Times New Roman"/>
          <w:i/>
          <w:iCs/>
        </w:rPr>
        <w:t>Massilia</w:t>
      </w:r>
      <w:r w:rsidRPr="00BB6824">
        <w:rPr>
          <w:rFonts w:cs="Times New Roman"/>
        </w:rPr>
        <w:t xml:space="preserve"> species, including </w:t>
      </w:r>
      <w:r w:rsidRPr="00BB6824">
        <w:rPr>
          <w:rFonts w:cs="Times New Roman"/>
          <w:i/>
          <w:iCs/>
        </w:rPr>
        <w:t>M. antarctica</w:t>
      </w:r>
      <w:r w:rsidRPr="00BB6824">
        <w:rPr>
          <w:rFonts w:cs="Times New Roman"/>
        </w:rPr>
        <w:t xml:space="preserve"> from James Ross Island and </w:t>
      </w:r>
      <w:r w:rsidRPr="00BB6824">
        <w:rPr>
          <w:rFonts w:cs="Times New Roman"/>
          <w:i/>
          <w:iCs/>
        </w:rPr>
        <w:t>M. violaceinigra</w:t>
      </w:r>
      <w:r w:rsidRPr="00BB6824">
        <w:rPr>
          <w:rFonts w:cs="Times New Roman"/>
        </w:rPr>
        <w:t xml:space="preserve"> from Tianshan glacier, China (</w:t>
      </w:r>
      <w:hyperlink r:id="rId198" w:anchor="ref1" w:history="1">
        <w:r w:rsidRPr="00BB6824">
          <w:rPr>
            <w:rStyle w:val="Hyperlink"/>
            <w:rFonts w:ascii="Times New Roman" w:hAnsi="Times New Roman" w:cs="Times New Roman"/>
          </w:rPr>
          <w:t>Agematu et al., 2011</w:t>
        </w:r>
      </w:hyperlink>
      <w:r w:rsidRPr="00BB6824">
        <w:rPr>
          <w:rFonts w:cs="Times New Roman"/>
        </w:rPr>
        <w:t xml:space="preserve">; </w:t>
      </w:r>
      <w:hyperlink r:id="rId199" w:anchor="ref82" w:history="1">
        <w:r w:rsidRPr="00BB6824">
          <w:rPr>
            <w:rStyle w:val="Hyperlink"/>
            <w:rFonts w:ascii="Times New Roman" w:hAnsi="Times New Roman" w:cs="Times New Roman"/>
          </w:rPr>
          <w:t>Myeong et al., 2016</w:t>
        </w:r>
      </w:hyperlink>
      <w:r w:rsidRPr="00BB6824">
        <w:rPr>
          <w:rFonts w:cs="Times New Roman"/>
        </w:rPr>
        <w:t xml:space="preserve">; </w:t>
      </w:r>
      <w:hyperlink r:id="rId200" w:anchor="ref135" w:history="1">
        <w:r w:rsidRPr="00BB6824">
          <w:rPr>
            <w:rStyle w:val="Hyperlink"/>
            <w:rFonts w:ascii="Times New Roman" w:hAnsi="Times New Roman" w:cs="Times New Roman"/>
          </w:rPr>
          <w:t>Wang et al., 2018</w:t>
        </w:r>
      </w:hyperlink>
      <w:r w:rsidRPr="00BB6824">
        <w:rPr>
          <w:rFonts w:cs="Times New Roman"/>
        </w:rPr>
        <w:t xml:space="preserve">; </w:t>
      </w:r>
      <w:hyperlink r:id="rId201" w:anchor="ref142" w:history="1">
        <w:r w:rsidRPr="00BB6824">
          <w:rPr>
            <w:rStyle w:val="Hyperlink"/>
            <w:rFonts w:ascii="Times New Roman" w:hAnsi="Times New Roman" w:cs="Times New Roman"/>
          </w:rPr>
          <w:t>Yang et al., 2019</w:t>
        </w:r>
      </w:hyperlink>
      <w:r w:rsidRPr="00BB6824">
        <w:rPr>
          <w:rFonts w:cs="Times New Roman"/>
        </w:rPr>
        <w:t xml:space="preserve">; </w:t>
      </w:r>
      <w:hyperlink r:id="rId202" w:anchor="ref107" w:history="1">
        <w:r w:rsidRPr="00BB6824">
          <w:rPr>
            <w:rStyle w:val="Hyperlink"/>
            <w:rFonts w:ascii="Times New Roman" w:hAnsi="Times New Roman" w:cs="Times New Roman"/>
          </w:rPr>
          <w:t>Sedláček et al., 2022</w:t>
        </w:r>
      </w:hyperlink>
      <w:r w:rsidRPr="00BB6824">
        <w:rPr>
          <w:rFonts w:cs="Times New Roman"/>
        </w:rPr>
        <w:t xml:space="preserve">). To date, prodigiosin has only been described in Antarctic </w:t>
      </w:r>
      <w:r w:rsidRPr="00BB6824">
        <w:rPr>
          <w:rFonts w:cs="Times New Roman"/>
          <w:i/>
          <w:iCs/>
        </w:rPr>
        <w:t>Massilia</w:t>
      </w:r>
      <w:r w:rsidRPr="00BB6824">
        <w:rPr>
          <w:rFonts w:cs="Times New Roman"/>
        </w:rPr>
        <w:t xml:space="preserve"> species (</w:t>
      </w:r>
      <w:hyperlink r:id="rId203" w:anchor="ref53" w:history="1">
        <w:r w:rsidRPr="00BB6824">
          <w:rPr>
            <w:rStyle w:val="Hyperlink"/>
            <w:rFonts w:ascii="Times New Roman" w:hAnsi="Times New Roman" w:cs="Times New Roman"/>
          </w:rPr>
          <w:t>Holochová et al., 2020</w:t>
        </w:r>
      </w:hyperlink>
      <w:r w:rsidRPr="00BB6824">
        <w:rPr>
          <w:rFonts w:cs="Times New Roman"/>
        </w:rPr>
        <w:t xml:space="preserve">). The prevalence of pigment biosynthesis genes in Antarctic </w:t>
      </w:r>
      <w:r w:rsidRPr="00BB6824">
        <w:rPr>
          <w:rFonts w:cs="Times New Roman"/>
          <w:i/>
          <w:iCs/>
        </w:rPr>
        <w:t>Massilia</w:t>
      </w:r>
      <w:r w:rsidRPr="00BB6824">
        <w:rPr>
          <w:rFonts w:cs="Times New Roman"/>
        </w:rPr>
        <w:t xml:space="preserve"> suggests that both violacein and prodigiosin could play a role in adaptation to the environment. However, it remains unclear why only the Antarctic </w:t>
      </w:r>
      <w:r w:rsidRPr="00BB6824">
        <w:rPr>
          <w:rFonts w:cs="Times New Roman"/>
          <w:i/>
          <w:iCs/>
        </w:rPr>
        <w:t>Massilia</w:t>
      </w:r>
      <w:r w:rsidRPr="00BB6824">
        <w:rPr>
          <w:rFonts w:cs="Times New Roman"/>
        </w:rPr>
        <w:t xml:space="preserve"> appear to possess genes for prodigiosin. Regardless, climatic change in the MDV likely involves dynamic changes in solar radiation (</w:t>
      </w:r>
      <w:hyperlink r:id="rId204" w:anchor="ref85" w:history="1">
        <w:r w:rsidRPr="00BB6824">
          <w:rPr>
            <w:rStyle w:val="Hyperlink"/>
            <w:rFonts w:ascii="Times New Roman" w:hAnsi="Times New Roman" w:cs="Times New Roman"/>
          </w:rPr>
          <w:t>Obryk et al., 2018</w:t>
        </w:r>
      </w:hyperlink>
      <w:r w:rsidRPr="00BB6824">
        <w:rPr>
          <w:rFonts w:cs="Times New Roman"/>
        </w:rPr>
        <w:t>), thus the production of UV-screening pigments may not provide a universal advantage to the organisms in question.</w:t>
      </w:r>
    </w:p>
    <w:p w14:paraId="6CDA5A01" w14:textId="2867457A" w:rsidR="007645DA" w:rsidRPr="00BB6824" w:rsidRDefault="007645DA" w:rsidP="001A14AF">
      <w:pPr>
        <w:rPr>
          <w:rFonts w:cs="Times New Roman"/>
        </w:rPr>
      </w:pPr>
      <w:r w:rsidRPr="00BB6824">
        <w:rPr>
          <w:rFonts w:cs="Times New Roman"/>
        </w:rPr>
        <w:t>In addition to pigments, several other putative secondary metabolite BGCs were identified in the genome, including a homoserine lactone BGC potentially involved in quorum sensing, and a putative siderophore with similarity to myxochelin, shown to play a role in iron acquisition (</w:t>
      </w:r>
      <w:hyperlink r:id="rId205" w:anchor="ref61" w:history="1">
        <w:r w:rsidRPr="00BB6824">
          <w:rPr>
            <w:rStyle w:val="Hyperlink"/>
            <w:rFonts w:ascii="Times New Roman" w:hAnsi="Times New Roman" w:cs="Times New Roman"/>
          </w:rPr>
          <w:t>Kunze et al., 1989</w:t>
        </w:r>
      </w:hyperlink>
      <w:r w:rsidRPr="00BB6824">
        <w:rPr>
          <w:rFonts w:cs="Times New Roman"/>
        </w:rPr>
        <w:t xml:space="preserve">; </w:t>
      </w:r>
      <w:hyperlink r:id="rId206" w:anchor="ref81" w:history="1">
        <w:r w:rsidRPr="00BB6824">
          <w:rPr>
            <w:rStyle w:val="Hyperlink"/>
            <w:rFonts w:ascii="Times New Roman" w:hAnsi="Times New Roman" w:cs="Times New Roman"/>
          </w:rPr>
          <w:t>Montgomery et al., 2013</w:t>
        </w:r>
      </w:hyperlink>
      <w:r w:rsidRPr="00BB6824">
        <w:rPr>
          <w:rFonts w:cs="Times New Roman"/>
        </w:rPr>
        <w:t>). Several RiPP clusters are also present, which produce diverse molecules with a wide variety of functions, including antibacterial or enzyme inhibiting activities (</w:t>
      </w:r>
      <w:hyperlink r:id="rId207" w:anchor="ref9" w:history="1">
        <w:r w:rsidRPr="00BB6824">
          <w:rPr>
            <w:rStyle w:val="Hyperlink"/>
            <w:rFonts w:ascii="Times New Roman" w:hAnsi="Times New Roman" w:cs="Times New Roman"/>
          </w:rPr>
          <w:t>Arnison et al., 2013</w:t>
        </w:r>
      </w:hyperlink>
      <w:r w:rsidRPr="00BB6824">
        <w:rPr>
          <w:rFonts w:cs="Times New Roman"/>
        </w:rPr>
        <w:t>). Notably, strain DJPM01 contained a putative BGC involved in the biosynthesis of the antifungal polyketide gladiofungin (</w:t>
      </w:r>
      <w:hyperlink r:id="rId208" w:anchor="ref83" w:history="1">
        <w:r w:rsidRPr="00BB6824">
          <w:rPr>
            <w:rStyle w:val="Hyperlink"/>
            <w:rFonts w:ascii="Times New Roman" w:hAnsi="Times New Roman" w:cs="Times New Roman"/>
          </w:rPr>
          <w:t>Niehs et al., 2020</w:t>
        </w:r>
      </w:hyperlink>
      <w:r w:rsidRPr="00BB6824">
        <w:rPr>
          <w:rFonts w:cs="Times New Roman"/>
        </w:rPr>
        <w:t>). Further analysis of PKS modules in this gene cluster supported its identification as encoding for gladiofungin biosynthetic machinery (</w:t>
      </w:r>
      <w:r w:rsidR="009174C0" w:rsidRPr="00CF16BC">
        <w:rPr>
          <w:rFonts w:cs="Times New Roman"/>
          <w:b/>
          <w:bCs/>
        </w:rPr>
        <w:t xml:space="preserve">Figure </w:t>
      </w:r>
      <w:r w:rsidR="00CF16BC" w:rsidRPr="00CF16BC">
        <w:rPr>
          <w:rFonts w:cs="Times New Roman"/>
          <w:b/>
          <w:bCs/>
        </w:rPr>
        <w:t>6.4</w:t>
      </w:r>
      <w:hyperlink r:id="rId209" w:anchor="SM1" w:history="1">
        <w:r w:rsidR="009174C0">
          <w:rPr>
            <w:rStyle w:val="Hyperlink"/>
            <w:rFonts w:ascii="Times New Roman" w:hAnsi="Times New Roman" w:cs="Times New Roman"/>
          </w:rPr>
          <w:t>)</w:t>
        </w:r>
      </w:hyperlink>
      <w:r w:rsidRPr="00BB6824">
        <w:rPr>
          <w:rFonts w:cs="Times New Roman"/>
        </w:rPr>
        <w:t xml:space="preserve">. This is the first report of a </w:t>
      </w:r>
      <w:r w:rsidRPr="00BB6824">
        <w:rPr>
          <w:rFonts w:cs="Times New Roman"/>
          <w:i/>
          <w:iCs/>
        </w:rPr>
        <w:t>Massilia</w:t>
      </w:r>
      <w:r w:rsidRPr="00BB6824">
        <w:rPr>
          <w:rFonts w:cs="Times New Roman"/>
        </w:rPr>
        <w:t xml:space="preserve"> with the genetic potential to produce this antifungal. Gladiofungin has been shown to inhibit the fungus </w:t>
      </w:r>
      <w:r w:rsidRPr="00BB6824">
        <w:rPr>
          <w:rFonts w:cs="Times New Roman"/>
          <w:i/>
          <w:iCs/>
        </w:rPr>
        <w:t>Purpureocillium lilacinum</w:t>
      </w:r>
      <w:r w:rsidRPr="00BB6824">
        <w:rPr>
          <w:rFonts w:cs="Times New Roman"/>
        </w:rPr>
        <w:t xml:space="preserve"> (</w:t>
      </w:r>
      <w:hyperlink r:id="rId210" w:anchor="ref83" w:history="1">
        <w:r w:rsidRPr="00BB6824">
          <w:rPr>
            <w:rStyle w:val="Hyperlink"/>
            <w:rFonts w:ascii="Times New Roman" w:hAnsi="Times New Roman" w:cs="Times New Roman"/>
          </w:rPr>
          <w:t>Niehs et al., 2020</w:t>
        </w:r>
      </w:hyperlink>
      <w:r w:rsidRPr="00BB6824">
        <w:rPr>
          <w:rFonts w:cs="Times New Roman"/>
        </w:rPr>
        <w:t>), which has been isolated from the Antarctic peninsula (</w:t>
      </w:r>
      <w:hyperlink r:id="rId211" w:anchor="ref43" w:history="1">
        <w:r w:rsidRPr="00BB6824">
          <w:rPr>
            <w:rStyle w:val="Hyperlink"/>
            <w:rFonts w:ascii="Times New Roman" w:hAnsi="Times New Roman" w:cs="Times New Roman"/>
          </w:rPr>
          <w:t>Gonçalves et al., 2015</w:t>
        </w:r>
      </w:hyperlink>
      <w:r w:rsidRPr="00BB6824">
        <w:rPr>
          <w:rFonts w:cs="Times New Roman"/>
        </w:rPr>
        <w:t>). The gladiofungin BGC in strain DJPM01 may play a role in inhibition of fungal competitors.</w:t>
      </w:r>
    </w:p>
    <w:p w14:paraId="0FBBB919" w14:textId="4D8859CB" w:rsidR="007645DA" w:rsidRPr="00BB6824" w:rsidRDefault="007645DA" w:rsidP="001A14AF">
      <w:pPr>
        <w:rPr>
          <w:rFonts w:cs="Times New Roman"/>
        </w:rPr>
      </w:pPr>
      <w:r w:rsidRPr="00BB6824">
        <w:rPr>
          <w:rFonts w:cs="Times New Roman"/>
        </w:rPr>
        <w:t xml:space="preserve">Strain DJPM01 has a similar abundance of genes associated with cold adaptation when compared to other psychrotolerant </w:t>
      </w:r>
      <w:r w:rsidRPr="00BB6824">
        <w:rPr>
          <w:rFonts w:cs="Times New Roman"/>
          <w:i/>
          <w:iCs/>
        </w:rPr>
        <w:t>Massilia</w:t>
      </w:r>
      <w:r w:rsidRPr="00BB6824">
        <w:rPr>
          <w:rFonts w:cs="Times New Roman"/>
        </w:rPr>
        <w:t xml:space="preserve"> species, including genes for protein chaperones, RNA helicases, and fatty acid biosynthesis. Minor differences exist between strain DJPM01 and the closely related </w:t>
      </w:r>
      <w:r w:rsidRPr="00BB6824">
        <w:rPr>
          <w:rFonts w:cs="Times New Roman"/>
          <w:i/>
          <w:iCs/>
        </w:rPr>
        <w:t>M. frigida</w:t>
      </w:r>
      <w:r w:rsidRPr="00BB6824">
        <w:rPr>
          <w:rFonts w:cs="Times New Roman"/>
        </w:rPr>
        <w:t>, including the presence of specific toxin-antitoxin genes, which are believed to play a role in stress response (</w:t>
      </w:r>
      <w:hyperlink r:id="rId212" w:anchor="ref39" w:history="1">
        <w:r w:rsidRPr="00BB6824">
          <w:rPr>
            <w:rStyle w:val="Hyperlink"/>
            <w:rFonts w:ascii="Times New Roman" w:hAnsi="Times New Roman" w:cs="Times New Roman"/>
          </w:rPr>
          <w:t>Fucich and Chen, 2020</w:t>
        </w:r>
      </w:hyperlink>
      <w:r w:rsidRPr="00BB6824">
        <w:rPr>
          <w:rFonts w:cs="Times New Roman"/>
        </w:rPr>
        <w:t xml:space="preserve">). Compared to non-Antarctic </w:t>
      </w:r>
      <w:r w:rsidRPr="00BB6824">
        <w:rPr>
          <w:rFonts w:cs="Times New Roman"/>
          <w:i/>
          <w:iCs/>
        </w:rPr>
        <w:t>Massilia</w:t>
      </w:r>
      <w:r w:rsidRPr="00BB6824">
        <w:rPr>
          <w:rFonts w:cs="Times New Roman"/>
        </w:rPr>
        <w:t xml:space="preserve">, the six </w:t>
      </w:r>
      <w:r w:rsidRPr="00BB6824">
        <w:rPr>
          <w:rFonts w:cs="Times New Roman"/>
          <w:i/>
          <w:iCs/>
        </w:rPr>
        <w:t>Massilia</w:t>
      </w:r>
      <w:r w:rsidRPr="00BB6824">
        <w:rPr>
          <w:rFonts w:cs="Times New Roman"/>
        </w:rPr>
        <w:t xml:space="preserve"> isolated from Antarctic regions contained a significantly greater abundance of secondary metabolite </w:t>
      </w:r>
      <w:r w:rsidRPr="00BB6824">
        <w:rPr>
          <w:rFonts w:cs="Times New Roman"/>
        </w:rPr>
        <w:lastRenderedPageBreak/>
        <w:t>BGCs (</w:t>
      </w:r>
      <w:r w:rsidR="008420A0" w:rsidRPr="008420A0">
        <w:rPr>
          <w:b/>
          <w:bCs/>
        </w:rPr>
        <w:t>Appendix</w:t>
      </w:r>
      <w:r w:rsidR="008420A0">
        <w:rPr>
          <w:b/>
          <w:bCs/>
        </w:rPr>
        <w:t>,</w:t>
      </w:r>
      <w:r w:rsidR="008420A0" w:rsidRPr="00F13F6D">
        <w:rPr>
          <w:rFonts w:cs="Times New Roman"/>
          <w:b/>
          <w:bCs/>
        </w:rPr>
        <w:t xml:space="preserve"> </w:t>
      </w:r>
      <w:hyperlink r:id="rId213" w:anchor="SM1" w:history="1">
        <w:r w:rsidRPr="00FA0ACD">
          <w:rPr>
            <w:rStyle w:val="Hyperlink"/>
            <w:rFonts w:ascii="Times New Roman" w:hAnsi="Times New Roman" w:cs="Times New Roman"/>
            <w:b/>
            <w:bCs/>
          </w:rPr>
          <w:t xml:space="preserve">Table </w:t>
        </w:r>
        <w:r w:rsidR="00FA0ACD" w:rsidRPr="00FA0ACD">
          <w:rPr>
            <w:rStyle w:val="Hyperlink"/>
            <w:rFonts w:ascii="Times New Roman" w:hAnsi="Times New Roman" w:cs="Times New Roman"/>
            <w:b/>
            <w:bCs/>
          </w:rPr>
          <w:t>6</w:t>
        </w:r>
        <w:r w:rsidR="006C049E" w:rsidRPr="00FA0ACD">
          <w:rPr>
            <w:rStyle w:val="Hyperlink"/>
            <w:rFonts w:ascii="Times New Roman" w:hAnsi="Times New Roman" w:cs="Times New Roman"/>
            <w:b/>
            <w:bCs/>
          </w:rPr>
          <w:t>.</w:t>
        </w:r>
        <w:r w:rsidRPr="00FA0ACD">
          <w:rPr>
            <w:rStyle w:val="Hyperlink"/>
            <w:rFonts w:ascii="Times New Roman" w:hAnsi="Times New Roman" w:cs="Times New Roman"/>
            <w:b/>
            <w:bCs/>
          </w:rPr>
          <w:t>4</w:t>
        </w:r>
      </w:hyperlink>
      <w:r w:rsidRPr="00BB6824">
        <w:rPr>
          <w:rFonts w:cs="Times New Roman"/>
        </w:rPr>
        <w:t>). The genetic potential to synthesize a wide arsenal of molecules in response to specific stressors under poly-extreme conditions would impart an ecological advantage (</w:t>
      </w:r>
      <w:hyperlink r:id="rId214" w:anchor="ref42" w:history="1">
        <w:r w:rsidRPr="00BB6824">
          <w:rPr>
            <w:rStyle w:val="Hyperlink"/>
            <w:rFonts w:ascii="Times New Roman" w:hAnsi="Times New Roman" w:cs="Times New Roman"/>
          </w:rPr>
          <w:t>Giddings and Newman, 2015b</w:t>
        </w:r>
      </w:hyperlink>
      <w:r w:rsidRPr="00BB6824">
        <w:rPr>
          <w:rFonts w:cs="Times New Roman"/>
        </w:rPr>
        <w:t xml:space="preserve">; </w:t>
      </w:r>
      <w:hyperlink r:id="rId215" w:anchor="ref104" w:history="1">
        <w:r w:rsidRPr="00BB6824">
          <w:rPr>
            <w:rStyle w:val="Hyperlink"/>
            <w:rFonts w:ascii="Times New Roman" w:hAnsi="Times New Roman" w:cs="Times New Roman"/>
          </w:rPr>
          <w:t>Sayed et al., 2020</w:t>
        </w:r>
      </w:hyperlink>
      <w:r w:rsidRPr="00BB6824">
        <w:rPr>
          <w:rFonts w:cs="Times New Roman"/>
        </w:rPr>
        <w:t>). Of the putatively identified BGCs, the myxochelin cluster is present across all six genomes, suggesting a strong selection pressure for iron acquisition (</w:t>
      </w:r>
      <w:hyperlink r:id="rId216" w:anchor="ref61" w:history="1">
        <w:r w:rsidRPr="00BB6824">
          <w:rPr>
            <w:rStyle w:val="Hyperlink"/>
            <w:rFonts w:ascii="Times New Roman" w:hAnsi="Times New Roman" w:cs="Times New Roman"/>
          </w:rPr>
          <w:t>Kunze et al., 1989</w:t>
        </w:r>
      </w:hyperlink>
      <w:r w:rsidRPr="00BB6824">
        <w:rPr>
          <w:rFonts w:cs="Times New Roman"/>
        </w:rPr>
        <w:t xml:space="preserve">). Other gene clusters that are only present in one or two genomes, such as cephamycin and the gladiofungin we identified here, may play more specialized roles in competitive inhibition of other community members </w:t>
      </w:r>
      <w:r w:rsidRPr="00BB6824">
        <w:rPr>
          <w:rFonts w:cs="Times New Roman"/>
          <w:i/>
          <w:iCs/>
        </w:rPr>
        <w:t>in situ</w:t>
      </w:r>
      <w:r w:rsidRPr="00BB6824">
        <w:rPr>
          <w:rFonts w:cs="Times New Roman"/>
        </w:rPr>
        <w:t>. Secondary metabolism of Antarctic microbes remains poorly characterized and the abundance of putative BGCs that encode for yet uncharacterized molecules may be of interest in the search for novel bioactive compounds (</w:t>
      </w:r>
      <w:hyperlink r:id="rId217" w:anchor="ref25" w:history="1">
        <w:r w:rsidRPr="00BB6824">
          <w:rPr>
            <w:rStyle w:val="Hyperlink"/>
            <w:rFonts w:ascii="Times New Roman" w:hAnsi="Times New Roman" w:cs="Times New Roman"/>
          </w:rPr>
          <w:t>Correa and Abreu, 2020</w:t>
        </w:r>
      </w:hyperlink>
      <w:r w:rsidRPr="00BB6824">
        <w:rPr>
          <w:rFonts w:cs="Times New Roman"/>
        </w:rPr>
        <w:t>). Extreme environments likely offer an untapped wealth of secondary metabolites that may prove useful in a number of industrial or biomedical applications (</w:t>
      </w:r>
      <w:hyperlink r:id="rId218" w:anchor="ref02" w:history="1">
        <w:r w:rsidRPr="00BB6824">
          <w:rPr>
            <w:rStyle w:val="Hyperlink"/>
            <w:rFonts w:ascii="Times New Roman" w:hAnsi="Times New Roman" w:cs="Times New Roman"/>
          </w:rPr>
          <w:t>Giddings and Newman, 2015a</w:t>
        </w:r>
      </w:hyperlink>
      <w:r w:rsidRPr="00BB6824">
        <w:rPr>
          <w:rFonts w:cs="Times New Roman"/>
        </w:rPr>
        <w:t xml:space="preserve">; </w:t>
      </w:r>
      <w:hyperlink r:id="rId219" w:anchor="ref104" w:history="1">
        <w:r w:rsidRPr="00BB6824">
          <w:rPr>
            <w:rStyle w:val="Hyperlink"/>
            <w:rFonts w:ascii="Times New Roman" w:hAnsi="Times New Roman" w:cs="Times New Roman"/>
          </w:rPr>
          <w:t>Sayed et al., 2020</w:t>
        </w:r>
      </w:hyperlink>
      <w:r w:rsidRPr="00BB6824">
        <w:rPr>
          <w:rFonts w:cs="Times New Roman"/>
        </w:rPr>
        <w:t>).</w:t>
      </w:r>
    </w:p>
    <w:p w14:paraId="2FB8BABE" w14:textId="3181F69A" w:rsidR="007645DA" w:rsidRPr="00BB6824" w:rsidRDefault="007645DA" w:rsidP="001A14AF">
      <w:pPr>
        <w:pStyle w:val="Heading3"/>
        <w:spacing w:before="0" w:after="0"/>
      </w:pPr>
      <w:bookmarkStart w:id="126" w:name="_Toc196256887"/>
      <w:r w:rsidRPr="00BB6824">
        <w:t>Prodigiosin, a molecule involved in environmental adaptation</w:t>
      </w:r>
      <w:bookmarkEnd w:id="126"/>
    </w:p>
    <w:p w14:paraId="5CE0C983" w14:textId="57B47AC0" w:rsidR="007645DA" w:rsidRPr="00BB6824" w:rsidRDefault="007645DA" w:rsidP="001A14AF">
      <w:pPr>
        <w:rPr>
          <w:rFonts w:cs="Times New Roman"/>
        </w:rPr>
      </w:pPr>
      <w:r w:rsidRPr="00BB6824">
        <w:rPr>
          <w:rFonts w:cs="Times New Roman"/>
        </w:rPr>
        <w:t xml:space="preserve">Our work provides the first molecular characterization of prodiginines produced by a member of the </w:t>
      </w:r>
      <w:r w:rsidRPr="00BB6824">
        <w:rPr>
          <w:rFonts w:cs="Times New Roman"/>
          <w:i/>
          <w:iCs/>
        </w:rPr>
        <w:t>Massilia</w:t>
      </w:r>
      <w:r w:rsidRPr="00BB6824">
        <w:rPr>
          <w:rFonts w:cs="Times New Roman"/>
        </w:rPr>
        <w:t xml:space="preserve"> genus. </w:t>
      </w:r>
      <w:hyperlink r:id="rId220" w:anchor="ref53" w:history="1">
        <w:r w:rsidRPr="00BB6824">
          <w:rPr>
            <w:rStyle w:val="Hyperlink"/>
            <w:rFonts w:ascii="Times New Roman" w:hAnsi="Times New Roman" w:cs="Times New Roman"/>
          </w:rPr>
          <w:t>Holochová et al. (2020)</w:t>
        </w:r>
      </w:hyperlink>
      <w:r w:rsidRPr="00BB6824">
        <w:rPr>
          <w:rFonts w:cs="Times New Roman"/>
        </w:rPr>
        <w:t xml:space="preserve"> noted the pigmentation and BGC for prodigiosin in four Antarctic </w:t>
      </w:r>
      <w:r w:rsidRPr="00BB6824">
        <w:rPr>
          <w:rFonts w:cs="Times New Roman"/>
          <w:i/>
          <w:iCs/>
        </w:rPr>
        <w:t>Massilia</w:t>
      </w:r>
      <w:r w:rsidRPr="00BB6824">
        <w:rPr>
          <w:rFonts w:cs="Times New Roman"/>
        </w:rPr>
        <w:t xml:space="preserve"> species, and </w:t>
      </w:r>
      <w:hyperlink r:id="rId221" w:anchor="ref139" w:history="1">
        <w:r w:rsidRPr="00BB6824">
          <w:rPr>
            <w:rStyle w:val="Hyperlink"/>
            <w:rFonts w:ascii="Times New Roman" w:hAnsi="Times New Roman" w:cs="Times New Roman"/>
          </w:rPr>
          <w:t>Woodhams et al. (2018)</w:t>
        </w:r>
      </w:hyperlink>
      <w:r w:rsidRPr="00BB6824">
        <w:rPr>
          <w:rFonts w:cs="Times New Roman"/>
        </w:rPr>
        <w:t xml:space="preserve"> examined a mesophilic </w:t>
      </w:r>
      <w:r w:rsidRPr="00BB6824">
        <w:rPr>
          <w:rFonts w:cs="Times New Roman"/>
          <w:i/>
          <w:iCs/>
        </w:rPr>
        <w:t>Massilia</w:t>
      </w:r>
      <w:r w:rsidRPr="00BB6824">
        <w:rPr>
          <w:rFonts w:cs="Times New Roman"/>
        </w:rPr>
        <w:t xml:space="preserve"> (now </w:t>
      </w:r>
      <w:r w:rsidRPr="00BB6824">
        <w:rPr>
          <w:rFonts w:cs="Times New Roman"/>
          <w:i/>
          <w:iCs/>
        </w:rPr>
        <w:t>Pseudoduganella</w:t>
      </w:r>
      <w:r w:rsidRPr="00BB6824">
        <w:rPr>
          <w:rFonts w:cs="Times New Roman"/>
        </w:rPr>
        <w:t xml:space="preserve">; </w:t>
      </w:r>
      <w:hyperlink r:id="rId222" w:anchor="ref74" w:history="1">
        <w:r w:rsidRPr="00BB6824">
          <w:rPr>
            <w:rStyle w:val="Hyperlink"/>
            <w:rFonts w:ascii="Times New Roman" w:hAnsi="Times New Roman" w:cs="Times New Roman"/>
          </w:rPr>
          <w:t>Lu et al., 2022</w:t>
        </w:r>
      </w:hyperlink>
      <w:r w:rsidRPr="00BB6824">
        <w:rPr>
          <w:rFonts w:cs="Times New Roman"/>
        </w:rPr>
        <w:t>) for the production of prodigiosins, however none were detected. In our study, mass defect analysis (</w:t>
      </w:r>
      <w:hyperlink r:id="rId223" w:anchor="fig8" w:history="1">
        <w:r w:rsidRPr="00CF16BC">
          <w:rPr>
            <w:rStyle w:val="Hyperlink"/>
            <w:rFonts w:ascii="Times New Roman" w:hAnsi="Times New Roman" w:cs="Times New Roman"/>
            <w:b/>
            <w:bCs/>
          </w:rPr>
          <w:t xml:space="preserve">Figure </w:t>
        </w:r>
      </w:hyperlink>
      <w:r w:rsidR="009174C0" w:rsidRPr="00CF16BC">
        <w:rPr>
          <w:rFonts w:cs="Times New Roman"/>
          <w:b/>
          <w:bCs/>
        </w:rPr>
        <w:t>2.</w:t>
      </w:r>
      <w:r w:rsidR="00CF16BC" w:rsidRPr="00CF16BC">
        <w:rPr>
          <w:rFonts w:cs="Times New Roman"/>
          <w:b/>
          <w:bCs/>
        </w:rPr>
        <w:t>8</w:t>
      </w:r>
      <w:r w:rsidRPr="00BB6824">
        <w:rPr>
          <w:rFonts w:cs="Times New Roman"/>
        </w:rPr>
        <w:t>) identified several metabolites congruent with prodiginines detected within similar retention times (5–8 min), including analogs formed from either the addition of oxygen, reduction, or cyclization. Some of these metabolites are known compounds; however, most are unknown and warrant further investigation (</w:t>
      </w:r>
      <w:hyperlink r:id="rId224" w:anchor="ref51" w:history="1">
        <w:r w:rsidRPr="00BB6824">
          <w:rPr>
            <w:rStyle w:val="Hyperlink"/>
            <w:rFonts w:ascii="Times New Roman" w:hAnsi="Times New Roman" w:cs="Times New Roman"/>
          </w:rPr>
          <w:t>He et al., 2022</w:t>
        </w:r>
      </w:hyperlink>
      <w:r w:rsidRPr="00BB6824">
        <w:rPr>
          <w:rFonts w:cs="Times New Roman"/>
        </w:rPr>
        <w:t xml:space="preserve">). Due to the high sequence similarity between putative prodigiosin BGCs in </w:t>
      </w:r>
      <w:r w:rsidRPr="00BB6824">
        <w:rPr>
          <w:rFonts w:cs="Times New Roman"/>
          <w:i/>
          <w:iCs/>
        </w:rPr>
        <w:t>M. frigida</w:t>
      </w:r>
      <w:r w:rsidRPr="00BB6824">
        <w:rPr>
          <w:rFonts w:cs="Times New Roman"/>
        </w:rPr>
        <w:t xml:space="preserve">, </w:t>
      </w:r>
      <w:r w:rsidRPr="00BB6824">
        <w:rPr>
          <w:rFonts w:cs="Times New Roman"/>
          <w:i/>
          <w:iCs/>
        </w:rPr>
        <w:t>M. rubra</w:t>
      </w:r>
      <w:r w:rsidRPr="00BB6824">
        <w:rPr>
          <w:rFonts w:cs="Times New Roman"/>
        </w:rPr>
        <w:t xml:space="preserve">, </w:t>
      </w:r>
      <w:r w:rsidRPr="00BB6824">
        <w:rPr>
          <w:rFonts w:cs="Times New Roman"/>
          <w:i/>
          <w:iCs/>
        </w:rPr>
        <w:t>M. mucilaginosa</w:t>
      </w:r>
      <w:r w:rsidRPr="00BB6824">
        <w:rPr>
          <w:rFonts w:cs="Times New Roman"/>
        </w:rPr>
        <w:t xml:space="preserve">, and </w:t>
      </w:r>
      <w:r w:rsidRPr="00BB6824">
        <w:rPr>
          <w:rFonts w:cs="Times New Roman"/>
          <w:i/>
          <w:iCs/>
        </w:rPr>
        <w:t>M. aquatica</w:t>
      </w:r>
      <w:r w:rsidRPr="00BB6824">
        <w:rPr>
          <w:rFonts w:cs="Times New Roman"/>
        </w:rPr>
        <w:t xml:space="preserve">, it is likely that all five red-pigmented Antarctic </w:t>
      </w:r>
      <w:r w:rsidRPr="00BB6824">
        <w:rPr>
          <w:rFonts w:cs="Times New Roman"/>
          <w:i/>
          <w:iCs/>
        </w:rPr>
        <w:t>Massilia</w:t>
      </w:r>
      <w:r w:rsidRPr="00BB6824">
        <w:rPr>
          <w:rFonts w:cs="Times New Roman"/>
        </w:rPr>
        <w:t xml:space="preserve"> are genetically capable of producing related pigments.</w:t>
      </w:r>
    </w:p>
    <w:p w14:paraId="78291176" w14:textId="40C8880F" w:rsidR="007645DA" w:rsidRPr="00BB6824" w:rsidRDefault="007645DA" w:rsidP="001A14AF">
      <w:pPr>
        <w:rPr>
          <w:rFonts w:cs="Times New Roman"/>
        </w:rPr>
      </w:pPr>
      <w:r w:rsidRPr="00BB6824">
        <w:rPr>
          <w:rFonts w:cs="Times New Roman"/>
        </w:rPr>
        <w:t xml:space="preserve">The biosynthesis of prodigiosin may provide numerous advantages to the cold-adapted </w:t>
      </w:r>
      <w:r w:rsidRPr="00BB6824">
        <w:rPr>
          <w:rFonts w:cs="Times New Roman"/>
          <w:i/>
          <w:iCs/>
        </w:rPr>
        <w:t>Massilia</w:t>
      </w:r>
      <w:r w:rsidRPr="00BB6824">
        <w:rPr>
          <w:rFonts w:cs="Times New Roman"/>
        </w:rPr>
        <w:t>, which may serve as pioneer species during microbial mat establishment (</w:t>
      </w:r>
      <w:hyperlink r:id="rId225" w:anchor="ref116" w:history="1">
        <w:r w:rsidRPr="00BB6824">
          <w:rPr>
            <w:rStyle w:val="Hyperlink"/>
            <w:rFonts w:ascii="Times New Roman" w:hAnsi="Times New Roman" w:cs="Times New Roman"/>
          </w:rPr>
          <w:t>Sommers et al., 2019</w:t>
        </w:r>
      </w:hyperlink>
      <w:r w:rsidRPr="00BB6824">
        <w:rPr>
          <w:rFonts w:cs="Times New Roman"/>
        </w:rPr>
        <w:t xml:space="preserve">). Given prodigiosin’s role as a UV-protectant in other microbial </w:t>
      </w:r>
      <w:r w:rsidRPr="00BB6824">
        <w:rPr>
          <w:rFonts w:cs="Times New Roman"/>
        </w:rPr>
        <w:lastRenderedPageBreak/>
        <w:t>species (</w:t>
      </w:r>
      <w:hyperlink r:id="rId226" w:anchor="ref14" w:history="1">
        <w:r w:rsidRPr="00BB6824">
          <w:rPr>
            <w:rStyle w:val="Hyperlink"/>
            <w:rFonts w:ascii="Times New Roman" w:hAnsi="Times New Roman" w:cs="Times New Roman"/>
          </w:rPr>
          <w:t>Borić et al., 2011</w:t>
        </w:r>
      </w:hyperlink>
      <w:r w:rsidRPr="00BB6824">
        <w:rPr>
          <w:rFonts w:cs="Times New Roman"/>
        </w:rPr>
        <w:t xml:space="preserve">; </w:t>
      </w:r>
      <w:hyperlink r:id="rId227" w:anchor="ref118" w:history="1">
        <w:r w:rsidRPr="00BB6824">
          <w:rPr>
            <w:rStyle w:val="Hyperlink"/>
            <w:rFonts w:ascii="Times New Roman" w:hAnsi="Times New Roman" w:cs="Times New Roman"/>
          </w:rPr>
          <w:t>Stankovic et al., 2012</w:t>
        </w:r>
      </w:hyperlink>
      <w:r w:rsidRPr="00BB6824">
        <w:rPr>
          <w:rFonts w:cs="Times New Roman"/>
        </w:rPr>
        <w:t xml:space="preserve">; </w:t>
      </w:r>
      <w:hyperlink r:id="rId228" w:anchor="ref19" w:history="1">
        <w:r w:rsidRPr="00BB6824">
          <w:rPr>
            <w:rStyle w:val="Hyperlink"/>
            <w:rFonts w:ascii="Times New Roman" w:hAnsi="Times New Roman" w:cs="Times New Roman"/>
          </w:rPr>
          <w:t>Cediel Becerra et al., 2022</w:t>
        </w:r>
      </w:hyperlink>
      <w:r w:rsidRPr="00BB6824">
        <w:rPr>
          <w:rFonts w:cs="Times New Roman"/>
        </w:rPr>
        <w:t>), we sought to determine the effect of intense UV-A radiation on pigment production by strain DJPM01. Following irradiation, we saw a decrease in the abundance of most metabolites, including prodigiosin (1), with the exception of an increase in an oxygenated prodiginine (</w:t>
      </w:r>
      <w:r w:rsidRPr="00BB6824">
        <w:rPr>
          <w:rFonts w:cs="Times New Roman"/>
          <w:i/>
          <w:iCs/>
        </w:rPr>
        <w:t>m/z</w:t>
      </w:r>
      <w:r w:rsidRPr="00BB6824">
        <w:rPr>
          <w:rFonts w:cs="Times New Roman"/>
        </w:rPr>
        <w:t xml:space="preserve"> 340.2020), which may represent a UV photolysis product of 2-methyl-3-butyl-prodiginine (3). We did not detect the pigment violacein under any growth condition tested, despite strong genomic evidence for a violacein BGC. Thus, it is likely that this molecule may be produced under yet-unknown conditions, such as in response to predation by metazoans (</w:t>
      </w:r>
      <w:hyperlink r:id="rId229" w:anchor="ref23" w:history="1">
        <w:r w:rsidRPr="00BB6824">
          <w:rPr>
            <w:rStyle w:val="Hyperlink"/>
            <w:rFonts w:ascii="Times New Roman" w:hAnsi="Times New Roman" w:cs="Times New Roman"/>
          </w:rPr>
          <w:t>Choi et al., 2015</w:t>
        </w:r>
      </w:hyperlink>
      <w:r w:rsidRPr="00BB6824">
        <w:rPr>
          <w:rFonts w:cs="Times New Roman"/>
        </w:rPr>
        <w:t>). The color change (</w:t>
      </w:r>
      <w:hyperlink r:id="rId230" w:anchor="fig6" w:history="1">
        <w:r w:rsidRPr="00CF16BC">
          <w:rPr>
            <w:rStyle w:val="Hyperlink"/>
            <w:rFonts w:ascii="Times New Roman" w:hAnsi="Times New Roman" w:cs="Times New Roman"/>
            <w:b/>
            <w:bCs/>
          </w:rPr>
          <w:t xml:space="preserve">Figure </w:t>
        </w:r>
        <w:r w:rsidR="009174C0" w:rsidRPr="00CF16BC">
          <w:rPr>
            <w:rStyle w:val="Hyperlink"/>
            <w:rFonts w:ascii="Times New Roman" w:hAnsi="Times New Roman" w:cs="Times New Roman"/>
            <w:b/>
            <w:bCs/>
          </w:rPr>
          <w:t>2.</w:t>
        </w:r>
        <w:r w:rsidR="00CF16BC" w:rsidRPr="00CF16BC">
          <w:rPr>
            <w:rStyle w:val="Hyperlink"/>
            <w:rFonts w:ascii="Times New Roman" w:hAnsi="Times New Roman" w:cs="Times New Roman"/>
            <w:b/>
            <w:bCs/>
          </w:rPr>
          <w:t>6</w:t>
        </w:r>
        <w:r w:rsidRPr="00CF16BC">
          <w:rPr>
            <w:rStyle w:val="Hyperlink"/>
            <w:rFonts w:ascii="Times New Roman" w:hAnsi="Times New Roman" w:cs="Times New Roman"/>
            <w:b/>
            <w:bCs/>
          </w:rPr>
          <w:t>C</w:t>
        </w:r>
      </w:hyperlink>
      <w:r w:rsidRPr="00BB6824">
        <w:rPr>
          <w:rFonts w:cs="Times New Roman"/>
        </w:rPr>
        <w:t>) of UV-treated strain DJPM01 was likely related to prodiginine degradation, as the irradiated prodigiosin standard was observed to lose color intensity following 24-h of UV-A exposure (</w:t>
      </w:r>
      <w:r w:rsidR="008420A0" w:rsidRPr="008420A0">
        <w:rPr>
          <w:b/>
          <w:bCs/>
        </w:rPr>
        <w:t>Appendix</w:t>
      </w:r>
      <w:r w:rsidR="008420A0">
        <w:rPr>
          <w:b/>
          <w:bCs/>
        </w:rPr>
        <w:t>,</w:t>
      </w:r>
      <w:r w:rsidR="008420A0" w:rsidRPr="00F13F6D">
        <w:rPr>
          <w:rFonts w:cs="Times New Roman"/>
          <w:b/>
          <w:bCs/>
        </w:rPr>
        <w:t xml:space="preserve"> </w:t>
      </w:r>
      <w:r w:rsidR="00CF16BC" w:rsidRPr="00CF16BC">
        <w:rPr>
          <w:rFonts w:cs="Times New Roman"/>
          <w:b/>
          <w:bCs/>
        </w:rPr>
        <w:t>Figure 6.8</w:t>
      </w:r>
      <w:r w:rsidRPr="00BB6824">
        <w:rPr>
          <w:rFonts w:cs="Times New Roman"/>
        </w:rPr>
        <w:t xml:space="preserve">). As pigment degradation is likely the result of UV-A exposure, and the rate of photolysis is independent from molecular synthesis, transcriptional or translational response in prodigiosin biosynthesis upon UV exposure should be further investigated. Alternatively, </w:t>
      </w:r>
      <w:r w:rsidRPr="00BB6824">
        <w:rPr>
          <w:rFonts w:cs="Times New Roman"/>
          <w:i/>
          <w:iCs/>
        </w:rPr>
        <w:t>Massilia</w:t>
      </w:r>
      <w:r w:rsidRPr="00BB6824">
        <w:rPr>
          <w:rFonts w:cs="Times New Roman"/>
        </w:rPr>
        <w:t xml:space="preserve"> within the natural mat environment may also benefit from other photoprotective mechanisms. Photoprotective compounds can provide a shielding effect to the entire community within microbial mats, so that not only the producers benefit from the UV protection (</w:t>
      </w:r>
      <w:hyperlink r:id="rId231" w:anchor="ref41" w:history="1">
        <w:r w:rsidRPr="00BB6824">
          <w:rPr>
            <w:rStyle w:val="Hyperlink"/>
            <w:rFonts w:ascii="Times New Roman" w:hAnsi="Times New Roman" w:cs="Times New Roman"/>
          </w:rPr>
          <w:t>Gareia-Pichel and Castenholz, 1994</w:t>
        </w:r>
      </w:hyperlink>
      <w:r w:rsidRPr="00BB6824">
        <w:rPr>
          <w:rFonts w:cs="Times New Roman"/>
        </w:rPr>
        <w:t>).</w:t>
      </w:r>
    </w:p>
    <w:p w14:paraId="5A8FCAAF" w14:textId="77777777" w:rsidR="007645DA" w:rsidRPr="00BB6824" w:rsidRDefault="007645DA" w:rsidP="001A14AF">
      <w:pPr>
        <w:rPr>
          <w:rFonts w:cs="Times New Roman"/>
        </w:rPr>
      </w:pPr>
      <w:r w:rsidRPr="00BB6824">
        <w:rPr>
          <w:rFonts w:cs="Times New Roman"/>
        </w:rPr>
        <w:t>In addition to UV-protection, prodigiosin has been linked to numerous bioactivities. For example, prodigiosin has been shown to function as an antimicrobial agent against both Gram positive and Gram negative bacteria (</w:t>
      </w:r>
      <w:hyperlink r:id="rId232" w:anchor="ref30" w:history="1">
        <w:r w:rsidRPr="00BB6824">
          <w:rPr>
            <w:rStyle w:val="Hyperlink"/>
            <w:rFonts w:ascii="Times New Roman" w:hAnsi="Times New Roman" w:cs="Times New Roman"/>
          </w:rPr>
          <w:t>Danevčič et al., 2016</w:t>
        </w:r>
      </w:hyperlink>
      <w:r w:rsidRPr="00BB6824">
        <w:rPr>
          <w:rFonts w:cs="Times New Roman"/>
        </w:rPr>
        <w:t>), and thus may serve as a mediator of interspecies competition within the microbial mat environment. Prodigiosin has also been reported as a nematicidal agent (</w:t>
      </w:r>
      <w:hyperlink r:id="rId233" w:anchor="ref48" w:history="1">
        <w:r w:rsidRPr="00BB6824">
          <w:rPr>
            <w:rStyle w:val="Hyperlink"/>
            <w:rFonts w:ascii="Times New Roman" w:hAnsi="Times New Roman" w:cs="Times New Roman"/>
          </w:rPr>
          <w:t>Habash et al., 2020</w:t>
        </w:r>
      </w:hyperlink>
      <w:r w:rsidRPr="00BB6824">
        <w:rPr>
          <w:rFonts w:cs="Times New Roman"/>
        </w:rPr>
        <w:t>). Nematodes in the MDV function as grazers within microbial mats, and have been identified as present within the DJP mat (</w:t>
      </w:r>
      <w:hyperlink r:id="rId234" w:anchor="ref112" w:history="1">
        <w:r w:rsidRPr="00BB6824">
          <w:rPr>
            <w:rStyle w:val="Hyperlink"/>
            <w:rFonts w:ascii="Times New Roman" w:hAnsi="Times New Roman" w:cs="Times New Roman"/>
          </w:rPr>
          <w:t>Siegel et al., 1979</w:t>
        </w:r>
      </w:hyperlink>
      <w:r w:rsidRPr="00BB6824">
        <w:rPr>
          <w:rFonts w:cs="Times New Roman"/>
        </w:rPr>
        <w:t xml:space="preserve">; </w:t>
      </w:r>
      <w:hyperlink r:id="rId235" w:anchor="ref7" w:history="1">
        <w:r w:rsidRPr="00BB6824">
          <w:rPr>
            <w:rStyle w:val="Hyperlink"/>
            <w:rFonts w:ascii="Times New Roman" w:hAnsi="Times New Roman" w:cs="Times New Roman"/>
          </w:rPr>
          <w:t>Andriuzzi et al., 2018</w:t>
        </w:r>
      </w:hyperlink>
      <w:r w:rsidRPr="00BB6824">
        <w:rPr>
          <w:rFonts w:cs="Times New Roman"/>
        </w:rPr>
        <w:t>), thus prodigiosin may serve as a defense against overgrazing. Additionally, psychrophilic organisms increase intracellular ATP concentrations to support metabolic activity at low temperatures (</w:t>
      </w:r>
      <w:hyperlink r:id="rId236" w:anchor="ref5" w:history="1">
        <w:r w:rsidRPr="00BB6824">
          <w:rPr>
            <w:rStyle w:val="Hyperlink"/>
            <w:rFonts w:ascii="Times New Roman" w:hAnsi="Times New Roman" w:cs="Times New Roman"/>
          </w:rPr>
          <w:t>Amato and Christner, 2009</w:t>
        </w:r>
      </w:hyperlink>
      <w:r w:rsidRPr="00BB6824">
        <w:rPr>
          <w:rFonts w:cs="Times New Roman"/>
        </w:rPr>
        <w:t xml:space="preserve">). In high-density cultures of </w:t>
      </w:r>
      <w:r w:rsidRPr="00BB6824">
        <w:rPr>
          <w:rFonts w:cs="Times New Roman"/>
          <w:i/>
          <w:iCs/>
        </w:rPr>
        <w:t>S. marcescens</w:t>
      </w:r>
      <w:r w:rsidRPr="00BB6824">
        <w:rPr>
          <w:rFonts w:cs="Times New Roman"/>
        </w:rPr>
        <w:t xml:space="preserve">, accumulation of intracellular ATP occurred at a higher rate in prodigiosin pigmented </w:t>
      </w:r>
      <w:r w:rsidRPr="00BB6824">
        <w:rPr>
          <w:rFonts w:cs="Times New Roman"/>
        </w:rPr>
        <w:lastRenderedPageBreak/>
        <w:t>cells, compared to non-pigmented cells (</w:t>
      </w:r>
      <w:hyperlink r:id="rId237" w:anchor="ref49" w:history="1">
        <w:r w:rsidRPr="00BB6824">
          <w:rPr>
            <w:rStyle w:val="Hyperlink"/>
            <w:rFonts w:ascii="Times New Roman" w:hAnsi="Times New Roman" w:cs="Times New Roman"/>
          </w:rPr>
          <w:t>Haddix and Shanks, 2018</w:t>
        </w:r>
      </w:hyperlink>
      <w:r w:rsidRPr="00BB6824">
        <w:rPr>
          <w:rFonts w:cs="Times New Roman"/>
        </w:rPr>
        <w:t xml:space="preserve">). Thus, prodigiosin may also play an undescribed role in energetics and adaptation to low temperatures. More directed experiments are necessary to elucidate the ecological function of prodiginines in strain DJPM01 </w:t>
      </w:r>
      <w:r w:rsidRPr="00BB6824">
        <w:rPr>
          <w:rFonts w:cs="Times New Roman"/>
          <w:i/>
          <w:iCs/>
        </w:rPr>
        <w:t>in situ</w:t>
      </w:r>
      <w:r w:rsidRPr="00BB6824">
        <w:rPr>
          <w:rFonts w:cs="Times New Roman"/>
        </w:rPr>
        <w:t>.</w:t>
      </w:r>
    </w:p>
    <w:p w14:paraId="595F8E4A" w14:textId="77777777" w:rsidR="007645DA" w:rsidRPr="00BB6824" w:rsidRDefault="007645DA" w:rsidP="001A14AF">
      <w:pPr>
        <w:rPr>
          <w:rFonts w:cs="Times New Roman"/>
        </w:rPr>
      </w:pPr>
      <w:r w:rsidRPr="00BB6824">
        <w:rPr>
          <w:rFonts w:cs="Times New Roman"/>
        </w:rPr>
        <w:t>In the coming decades, changes in solar radiation will impact MDV communities through both direct and indirect processes. The low albedo of MDV soils leads to increased levels of energy absorption compared to the surrounding ice (</w:t>
      </w:r>
      <w:hyperlink r:id="rId238" w:anchor="ref29" w:history="1">
        <w:r w:rsidRPr="00BB6824">
          <w:rPr>
            <w:rStyle w:val="Hyperlink"/>
            <w:rFonts w:ascii="Times New Roman" w:hAnsi="Times New Roman" w:cs="Times New Roman"/>
          </w:rPr>
          <w:t>Dana et al., 1998</w:t>
        </w:r>
      </w:hyperlink>
      <w:r w:rsidRPr="00BB6824">
        <w:rPr>
          <w:rFonts w:cs="Times New Roman"/>
        </w:rPr>
        <w:t xml:space="preserve">) resulting in higher summer </w:t>
      </w:r>
      <w:r w:rsidRPr="00BB6824">
        <w:rPr>
          <w:rFonts w:cs="Times New Roman"/>
          <w:i/>
          <w:iCs/>
        </w:rPr>
        <w:t>in situ</w:t>
      </w:r>
      <w:r w:rsidRPr="00BB6824">
        <w:rPr>
          <w:rFonts w:cs="Times New Roman"/>
        </w:rPr>
        <w:t xml:space="preserve"> temperatures (</w:t>
      </w:r>
      <w:hyperlink r:id="rId239" w:anchor="ref01" w:history="1">
        <w:r w:rsidRPr="00BB6824">
          <w:rPr>
            <w:rStyle w:val="Hyperlink"/>
            <w:rFonts w:ascii="Times New Roman" w:hAnsi="Times New Roman" w:cs="Times New Roman"/>
          </w:rPr>
          <w:t>Fountain et al., 2014</w:t>
        </w:r>
      </w:hyperlink>
      <w:r w:rsidRPr="00BB6824">
        <w:rPr>
          <w:rFonts w:cs="Times New Roman"/>
        </w:rPr>
        <w:t>), which could lead to possible hydrological and geochemical changes, such as enhanced permafrost melting and salt mobilization (</w:t>
      </w:r>
      <w:hyperlink r:id="rId240" w:anchor="ref10" w:history="1">
        <w:r w:rsidRPr="00BB6824">
          <w:rPr>
            <w:rStyle w:val="Hyperlink"/>
            <w:rFonts w:ascii="Times New Roman" w:hAnsi="Times New Roman" w:cs="Times New Roman"/>
          </w:rPr>
          <w:t>Ball and Virginia, 2012</w:t>
        </w:r>
      </w:hyperlink>
      <w:r w:rsidRPr="00BB6824">
        <w:rPr>
          <w:rFonts w:cs="Times New Roman"/>
        </w:rPr>
        <w:t>). Additionally, both anthropogenic and natural (i.e., volcanoes and wildfire) emissions drive variations in solar flux in the MDV, potentially resulting in a decrease UV radiation (</w:t>
      </w:r>
      <w:hyperlink r:id="rId241" w:anchor="ref85" w:history="1">
        <w:r w:rsidRPr="00BB6824">
          <w:rPr>
            <w:rStyle w:val="Hyperlink"/>
            <w:rFonts w:ascii="Times New Roman" w:hAnsi="Times New Roman" w:cs="Times New Roman"/>
          </w:rPr>
          <w:t>Obryk et al., 2018</w:t>
        </w:r>
      </w:hyperlink>
      <w:r w:rsidRPr="00BB6824">
        <w:rPr>
          <w:rFonts w:cs="Times New Roman"/>
        </w:rPr>
        <w:t>). Thus, microbial community response to UV irradiation will likely vary with local climatic trends. Investigating the responses of individual community members to simulated stressors (i.e., UV radiation) can inform how natural microbial communities may respond to environmental variation associated with anthropogenic climate change.</w:t>
      </w:r>
    </w:p>
    <w:p w14:paraId="65F6E0CD" w14:textId="0EC0B451" w:rsidR="00B53F25" w:rsidRPr="00BB6824" w:rsidRDefault="00B53F25" w:rsidP="001A14AF">
      <w:pPr>
        <w:pStyle w:val="Heading2"/>
        <w:spacing w:before="0" w:after="0"/>
      </w:pPr>
      <w:bookmarkStart w:id="127" w:name="_Toc196256888"/>
      <w:r w:rsidRPr="00BB6824">
        <w:t>Data availability statement</w:t>
      </w:r>
      <w:bookmarkEnd w:id="127"/>
    </w:p>
    <w:p w14:paraId="4B1AF7C8" w14:textId="77777777" w:rsidR="00B53F25" w:rsidRPr="00BB6824" w:rsidRDefault="00B53F25" w:rsidP="001A14AF">
      <w:pPr>
        <w:ind w:firstLine="0"/>
        <w:rPr>
          <w:rFonts w:cs="Times New Roman"/>
        </w:rPr>
      </w:pPr>
      <w:r w:rsidRPr="00BB6824">
        <w:rPr>
          <w:rFonts w:cs="Times New Roman"/>
        </w:rPr>
        <w:t xml:space="preserve">The datasets presented in this study can be found in online repositories. The names of the repository/repositories and accession number(s) can be found at: </w:t>
      </w:r>
      <w:hyperlink r:id="rId242" w:history="1">
        <w:r w:rsidRPr="00BB6824">
          <w:rPr>
            <w:rStyle w:val="Hyperlink"/>
            <w:rFonts w:ascii="Times New Roman" w:hAnsi="Times New Roman" w:cs="Times New Roman"/>
          </w:rPr>
          <w:t>https://www.ncbi.nlm.nih.gov/genbank/</w:t>
        </w:r>
      </w:hyperlink>
      <w:r w:rsidRPr="00BB6824">
        <w:rPr>
          <w:rFonts w:cs="Times New Roman"/>
        </w:rPr>
        <w:t xml:space="preserve">, JAQOZV000000000. </w:t>
      </w:r>
      <w:hyperlink r:id="rId243" w:history="1">
        <w:r w:rsidRPr="00BB6824">
          <w:rPr>
            <w:rStyle w:val="Hyperlink"/>
            <w:rFonts w:ascii="Times New Roman" w:hAnsi="Times New Roman" w:cs="Times New Roman"/>
          </w:rPr>
          <w:t>https://www.ncbi.nlm.nih.gov/genbank/</w:t>
        </w:r>
      </w:hyperlink>
      <w:r w:rsidRPr="00BB6824">
        <w:rPr>
          <w:rFonts w:cs="Times New Roman"/>
        </w:rPr>
        <w:t>, OQ346149.</w:t>
      </w:r>
    </w:p>
    <w:p w14:paraId="43B555F7" w14:textId="64BCA8AE" w:rsidR="00B53F25" w:rsidRPr="00BB6824" w:rsidRDefault="00B53F25" w:rsidP="001A14AF">
      <w:pPr>
        <w:pStyle w:val="Heading2"/>
        <w:spacing w:before="0" w:after="0"/>
      </w:pPr>
      <w:bookmarkStart w:id="128" w:name="h8"/>
      <w:bookmarkStart w:id="129" w:name="h9"/>
      <w:bookmarkStart w:id="130" w:name="_Toc196256889"/>
      <w:bookmarkEnd w:id="128"/>
      <w:bookmarkEnd w:id="129"/>
      <w:r w:rsidRPr="00BB6824">
        <w:t>Funding</w:t>
      </w:r>
      <w:bookmarkEnd w:id="130"/>
    </w:p>
    <w:p w14:paraId="1EAFBC06" w14:textId="77777777" w:rsidR="00B53F25" w:rsidRPr="00BB6824" w:rsidRDefault="00B53F25" w:rsidP="001A14AF">
      <w:pPr>
        <w:ind w:firstLine="0"/>
        <w:rPr>
          <w:rFonts w:cs="Times New Roman"/>
        </w:rPr>
      </w:pPr>
      <w:r w:rsidRPr="00BB6824">
        <w:rPr>
          <w:rFonts w:cs="Times New Roman"/>
        </w:rPr>
        <w:t>This work was funded by the National Science Foundation OPP #2148730 and OPP #1643687 (to JAM) and OPP #2148731 (to L-AG) with additional support from the University of Tennessee Office of Research, Innovation and Economic Development (to JAM).</w:t>
      </w:r>
    </w:p>
    <w:p w14:paraId="56CCFD1B" w14:textId="77777777" w:rsidR="00B53F25" w:rsidRPr="00BB6824" w:rsidRDefault="00B53F25" w:rsidP="001A14AF">
      <w:pPr>
        <w:pStyle w:val="Heading2"/>
        <w:spacing w:before="0" w:after="0"/>
      </w:pPr>
      <w:bookmarkStart w:id="131" w:name="h10"/>
      <w:bookmarkStart w:id="132" w:name="_Toc196256890"/>
      <w:bookmarkEnd w:id="131"/>
      <w:r w:rsidRPr="00BB6824">
        <w:lastRenderedPageBreak/>
        <w:t>Acknowledgments</w:t>
      </w:r>
      <w:bookmarkEnd w:id="132"/>
    </w:p>
    <w:p w14:paraId="1116E73A" w14:textId="3C760B63" w:rsidR="00B53F25" w:rsidRPr="00BB6824" w:rsidRDefault="00B53F25" w:rsidP="001A14AF">
      <w:pPr>
        <w:ind w:firstLine="0"/>
        <w:rPr>
          <w:rFonts w:cs="Times New Roman"/>
        </w:rPr>
      </w:pPr>
      <w:r w:rsidRPr="00BB6824">
        <w:rPr>
          <w:rFonts w:cs="Times New Roman"/>
        </w:rPr>
        <w:t>We are grateful to the Antarctic Support Contractor and ANTAEM Team members for logistical support during sample collection. In addition, we thank Teresa Mccarrell for initiating enrichments and Thomas Hyde for his assistance with culture work.</w:t>
      </w:r>
    </w:p>
    <w:p w14:paraId="3B6B1130" w14:textId="77777777" w:rsidR="0035669B" w:rsidRDefault="0035669B" w:rsidP="001A14AF">
      <w:pPr>
        <w:ind w:firstLine="0"/>
        <w:rPr>
          <w:b/>
          <w:bCs/>
          <w:iCs/>
          <w:szCs w:val="28"/>
        </w:rPr>
      </w:pPr>
      <w:bookmarkStart w:id="133" w:name="h11"/>
      <w:bookmarkStart w:id="134" w:name="h13"/>
      <w:bookmarkEnd w:id="133"/>
      <w:bookmarkEnd w:id="134"/>
      <w:r>
        <w:br w:type="page"/>
      </w:r>
    </w:p>
    <w:p w14:paraId="44173B94" w14:textId="326DDAAE" w:rsidR="00F420B3" w:rsidRPr="00BB6824" w:rsidRDefault="00F420B3" w:rsidP="00562BA2">
      <w:pPr>
        <w:pStyle w:val="Heading2"/>
      </w:pPr>
      <w:bookmarkStart w:id="135" w:name="_Toc196256891"/>
      <w:r w:rsidRPr="00BB6824">
        <w:lastRenderedPageBreak/>
        <w:t>References</w:t>
      </w:r>
      <w:bookmarkEnd w:id="135"/>
      <w:r w:rsidRPr="00BB6824">
        <w:t xml:space="preserve"> </w:t>
      </w:r>
    </w:p>
    <w:p w14:paraId="14B452C4" w14:textId="77777777" w:rsidR="005F62EA" w:rsidRPr="00BB6824" w:rsidRDefault="005F62EA" w:rsidP="00562BA2">
      <w:pPr>
        <w:pStyle w:val="Rerences"/>
      </w:pPr>
      <w:r w:rsidRPr="00BB6824">
        <w:t xml:space="preserve">Agematu, H., Suzuki, K., and Tsuya, H. (2011). </w:t>
      </w:r>
      <w:r w:rsidRPr="00BB6824">
        <w:rPr>
          <w:i/>
          <w:iCs/>
        </w:rPr>
        <w:t>Massilia</w:t>
      </w:r>
      <w:r w:rsidRPr="00BB6824">
        <w:t xml:space="preserve"> sp. BS-1, a Novel Violacein-Producing Bacterium Isolated from Soil. </w:t>
      </w:r>
      <w:r w:rsidRPr="00BB6824">
        <w:rPr>
          <w:i/>
          <w:iCs/>
        </w:rPr>
        <w:t>Bioscience, Biotechnology, and Biochemistry</w:t>
      </w:r>
      <w:r w:rsidRPr="00BB6824">
        <w:t xml:space="preserve"> 75, 2008–2010. doi: </w:t>
      </w:r>
      <w:hyperlink r:id="rId244" w:history="1">
        <w:r w:rsidRPr="00BB6824">
          <w:rPr>
            <w:rStyle w:val="Hyperlink"/>
            <w:rFonts w:ascii="Times New Roman" w:hAnsi="Times New Roman"/>
          </w:rPr>
          <w:t>10.1271/bbb.100729</w:t>
        </w:r>
      </w:hyperlink>
    </w:p>
    <w:p w14:paraId="64D7D988" w14:textId="77777777" w:rsidR="005F62EA" w:rsidRPr="00BB6824" w:rsidRDefault="005F62EA" w:rsidP="00562BA2">
      <w:pPr>
        <w:pStyle w:val="Rerences"/>
      </w:pPr>
      <w:r w:rsidRPr="00BB6824">
        <w:t xml:space="preserve">Alexander, D. C., and Jensen, S. E. (1998). Investigation of the </w:t>
      </w:r>
      <w:r w:rsidRPr="00BB6824">
        <w:rPr>
          <w:i/>
          <w:iCs/>
        </w:rPr>
        <w:t>Streptomyces clavuligerus</w:t>
      </w:r>
      <w:r w:rsidRPr="00BB6824">
        <w:t xml:space="preserve"> Cephamycin C Gene Cluster and Its Regulation by the CcaR Proteinbize. </w:t>
      </w:r>
      <w:r w:rsidRPr="00BB6824">
        <w:rPr>
          <w:i/>
          <w:iCs/>
        </w:rPr>
        <w:t>J Bacteriol</w:t>
      </w:r>
      <w:r w:rsidRPr="00BB6824">
        <w:t xml:space="preserve"> 180, 4068–4079.</w:t>
      </w:r>
    </w:p>
    <w:p w14:paraId="47C123F8" w14:textId="77777777" w:rsidR="005F62EA" w:rsidRPr="00BB6824" w:rsidRDefault="005F62EA" w:rsidP="00562BA2">
      <w:pPr>
        <w:pStyle w:val="Rerences"/>
      </w:pPr>
      <w:r w:rsidRPr="00BB6824">
        <w:t xml:space="preserve">Alger, A. S., D. M. McKnight, S. A. Spaulding, C. M. Tate, G. H. Shupe, K. A. Welch, et al. (1997). </w:t>
      </w:r>
      <w:r w:rsidRPr="00BB6824">
        <w:rPr>
          <w:i/>
          <w:iCs/>
        </w:rPr>
        <w:t>Ecological Processes in a Cold Desert Ecosystem: the Abundance and Species Distribution of Algal Mats in Glacial Meltwater Streams in Taylor Valley</w:t>
      </w:r>
      <w:r w:rsidRPr="00BB6824">
        <w:t>. Boulder, CO: University of Colorado: Institute of Arctic and Alpine Research, Occasional Paper 51.</w:t>
      </w:r>
    </w:p>
    <w:p w14:paraId="578DC87E" w14:textId="77777777" w:rsidR="005F62EA" w:rsidRPr="00BB6824" w:rsidRDefault="005F62EA" w:rsidP="00562BA2">
      <w:pPr>
        <w:pStyle w:val="Rerences"/>
      </w:pPr>
      <w:r w:rsidRPr="00BB6824">
        <w:t xml:space="preserve">Altschul, S. F., Gish, W., Miller, W., Myers, E. W., and Lipman, D. J. (1990). Basic local alignment search tool. </w:t>
      </w:r>
      <w:r w:rsidRPr="00BB6824">
        <w:rPr>
          <w:i/>
          <w:iCs/>
        </w:rPr>
        <w:t>J Mol Biol</w:t>
      </w:r>
      <w:r w:rsidRPr="00BB6824">
        <w:t xml:space="preserve"> 215, 403–410. doi: </w:t>
      </w:r>
      <w:hyperlink r:id="rId245" w:history="1">
        <w:r w:rsidRPr="00BB6824">
          <w:rPr>
            <w:rStyle w:val="Hyperlink"/>
            <w:rFonts w:ascii="Times New Roman" w:hAnsi="Times New Roman"/>
          </w:rPr>
          <w:t>10.1016/S0022-2836(05)80360-2</w:t>
        </w:r>
      </w:hyperlink>
    </w:p>
    <w:p w14:paraId="75517D16" w14:textId="77777777" w:rsidR="005F62EA" w:rsidRPr="00BB6824" w:rsidRDefault="005F62EA" w:rsidP="00562BA2">
      <w:pPr>
        <w:pStyle w:val="Rerences"/>
      </w:pPr>
      <w:r w:rsidRPr="00BB6824">
        <w:t xml:space="preserve">Amato, P., and Christner, B. C. (2009). Energy Metabolism Response to Low-Temperature and Frozen Conditions in </w:t>
      </w:r>
      <w:r w:rsidRPr="00BB6824">
        <w:rPr>
          <w:i/>
          <w:iCs/>
        </w:rPr>
        <w:t>Psychrobacter cryohalolentis</w:t>
      </w:r>
      <w:r w:rsidRPr="00BB6824">
        <w:t xml:space="preserve">. </w:t>
      </w:r>
      <w:r w:rsidRPr="00BB6824">
        <w:rPr>
          <w:i/>
          <w:iCs/>
        </w:rPr>
        <w:t>Appl Environ Microbiol</w:t>
      </w:r>
      <w:r w:rsidRPr="00BB6824">
        <w:t xml:space="preserve"> 75, 711–718. doi: </w:t>
      </w:r>
      <w:hyperlink r:id="rId246" w:history="1">
        <w:r w:rsidRPr="00BB6824">
          <w:rPr>
            <w:rStyle w:val="Hyperlink"/>
            <w:rFonts w:ascii="Times New Roman" w:hAnsi="Times New Roman"/>
          </w:rPr>
          <w:t>10.1128/AEM.02193-08</w:t>
        </w:r>
      </w:hyperlink>
    </w:p>
    <w:p w14:paraId="5238A3BC" w14:textId="77777777" w:rsidR="005F62EA" w:rsidRPr="00BB6824" w:rsidRDefault="005F62EA" w:rsidP="00562BA2">
      <w:pPr>
        <w:pStyle w:val="Rerences"/>
      </w:pPr>
      <w:r w:rsidRPr="00BB6824">
        <w:t xml:space="preserve">Andreyeva, I. N., and Ogorodnikova, T. I. (2015). Pigmentation of </w:t>
      </w:r>
      <w:r w:rsidRPr="00BB6824">
        <w:rPr>
          <w:i/>
          <w:iCs/>
        </w:rPr>
        <w:t>Serratia marcescens</w:t>
      </w:r>
      <w:r w:rsidRPr="00BB6824">
        <w:t xml:space="preserve"> and spectral properties of prodigiosin. </w:t>
      </w:r>
      <w:r w:rsidRPr="00BB6824">
        <w:rPr>
          <w:i/>
          <w:iCs/>
        </w:rPr>
        <w:t>Microbiology</w:t>
      </w:r>
      <w:r w:rsidRPr="00BB6824">
        <w:t xml:space="preserve"> 84, 28–33. doi: </w:t>
      </w:r>
      <w:hyperlink r:id="rId247" w:history="1">
        <w:r w:rsidRPr="00BB6824">
          <w:rPr>
            <w:rStyle w:val="Hyperlink"/>
            <w:rFonts w:ascii="Times New Roman" w:hAnsi="Times New Roman"/>
          </w:rPr>
          <w:t>10.1134/S0026261715010026</w:t>
        </w:r>
      </w:hyperlink>
    </w:p>
    <w:p w14:paraId="61EE4F1E" w14:textId="77777777" w:rsidR="005F62EA" w:rsidRPr="00BB6824" w:rsidRDefault="005F62EA" w:rsidP="00562BA2">
      <w:pPr>
        <w:pStyle w:val="Rerences"/>
      </w:pPr>
      <w:r w:rsidRPr="00BB6824">
        <w:t xml:space="preserve">Andriuzzi, W. S., Adams, B. J., Barrett, J. E., Virginia, R. A., and Wall, D. H. (2018). Observed trends of soil fauna in the Antarctic Dry Valleys: early signs of shifts predicted under climate change. </w:t>
      </w:r>
      <w:r w:rsidRPr="00BB6824">
        <w:rPr>
          <w:i/>
          <w:iCs/>
        </w:rPr>
        <w:t>Ecology</w:t>
      </w:r>
      <w:r w:rsidRPr="00BB6824">
        <w:t xml:space="preserve"> 99, 312–321. doi: </w:t>
      </w:r>
      <w:hyperlink r:id="rId248" w:history="1">
        <w:r w:rsidRPr="00BB6824">
          <w:rPr>
            <w:rStyle w:val="Hyperlink"/>
            <w:rFonts w:ascii="Times New Roman" w:hAnsi="Times New Roman"/>
          </w:rPr>
          <w:t>https://doi.org/10.1002/ecy.2090</w:t>
        </w:r>
      </w:hyperlink>
    </w:p>
    <w:p w14:paraId="0E5E1A5A" w14:textId="77777777" w:rsidR="005F62EA" w:rsidRPr="00BB6824" w:rsidRDefault="005F62EA" w:rsidP="00562BA2">
      <w:pPr>
        <w:pStyle w:val="Rerences"/>
      </w:pPr>
      <w:r w:rsidRPr="00BB6824">
        <w:t xml:space="preserve">Apprill, A., McNally, S., Parsons, R., and Weber, L. (2015). Minor revision to V4 region SSU rRNA 806R gene primer greatly increases detection of SAR11 bacterioplankton. </w:t>
      </w:r>
      <w:r w:rsidRPr="00BB6824">
        <w:rPr>
          <w:i/>
          <w:iCs/>
        </w:rPr>
        <w:t>Aquatic Microbial Ecology</w:t>
      </w:r>
      <w:r w:rsidRPr="00BB6824">
        <w:t xml:space="preserve"> 75, 129–137. doi: </w:t>
      </w:r>
      <w:hyperlink r:id="rId249" w:history="1">
        <w:r w:rsidRPr="00BB6824">
          <w:rPr>
            <w:rStyle w:val="Hyperlink"/>
            <w:rFonts w:ascii="Times New Roman" w:hAnsi="Times New Roman"/>
          </w:rPr>
          <w:t>10.3354/ame01753</w:t>
        </w:r>
      </w:hyperlink>
    </w:p>
    <w:p w14:paraId="4B25AA1D" w14:textId="77777777" w:rsidR="005F62EA" w:rsidRPr="00BB6824" w:rsidRDefault="005F62EA" w:rsidP="00562BA2">
      <w:pPr>
        <w:pStyle w:val="Rerences"/>
      </w:pPr>
      <w:r w:rsidRPr="00BB6824">
        <w:lastRenderedPageBreak/>
        <w:t xml:space="preserve">Arnison, P. G., Bibb, M. J., Bierbaum, G., Bowers, A. A., Bugni, T. S., Bulaj, G., et al. (2013). Ribosomally synthesized and post-translationally modified peptide natural products: overview and recommendations for a universal nomenclature. </w:t>
      </w:r>
      <w:r w:rsidRPr="00BB6824">
        <w:rPr>
          <w:i/>
          <w:iCs/>
        </w:rPr>
        <w:t>Nat Prod Rep</w:t>
      </w:r>
      <w:r w:rsidRPr="00BB6824">
        <w:t xml:space="preserve"> 30, 108–160. doi: </w:t>
      </w:r>
      <w:hyperlink r:id="rId250" w:history="1">
        <w:r w:rsidRPr="00BB6824">
          <w:rPr>
            <w:rStyle w:val="Hyperlink"/>
            <w:rFonts w:ascii="Times New Roman" w:hAnsi="Times New Roman"/>
          </w:rPr>
          <w:t>10.1039/c2np20085f</w:t>
        </w:r>
      </w:hyperlink>
    </w:p>
    <w:p w14:paraId="7EFBF5F2" w14:textId="77777777" w:rsidR="005F62EA" w:rsidRPr="00BB6824" w:rsidRDefault="005F62EA" w:rsidP="00562BA2">
      <w:pPr>
        <w:pStyle w:val="Rerences"/>
      </w:pPr>
      <w:r w:rsidRPr="00BB6824">
        <w:t xml:space="preserve">Ball, B. A., and Virginia, R. A. (2012). Meltwater seep patches increase heterogeneity of soil geochemistry and therefore habitat suitability. </w:t>
      </w:r>
      <w:r w:rsidRPr="00BB6824">
        <w:rPr>
          <w:i/>
          <w:iCs/>
        </w:rPr>
        <w:t>Geoderma</w:t>
      </w:r>
      <w:r w:rsidRPr="00BB6824">
        <w:t xml:space="preserve"> 189–190, 652–660. doi: </w:t>
      </w:r>
      <w:hyperlink r:id="rId251" w:history="1">
        <w:r w:rsidRPr="00BB6824">
          <w:rPr>
            <w:rStyle w:val="Hyperlink"/>
            <w:rFonts w:ascii="Times New Roman" w:hAnsi="Times New Roman"/>
          </w:rPr>
          <w:t>10.1016/j.geoderma.2012.06.028</w:t>
        </w:r>
      </w:hyperlink>
    </w:p>
    <w:p w14:paraId="231735D5" w14:textId="77777777" w:rsidR="005F62EA" w:rsidRPr="00BB6824" w:rsidRDefault="005F62EA" w:rsidP="00562BA2">
      <w:pPr>
        <w:pStyle w:val="Rerences"/>
      </w:pPr>
      <w:r w:rsidRPr="00BB6824">
        <w:t xml:space="preserve">Bizebard, T., Ferlenghi, I., Iost, I., and Dreyfus, M. (2004). Studies on Three </w:t>
      </w:r>
      <w:r w:rsidRPr="00BB6824">
        <w:rPr>
          <w:i/>
          <w:iCs/>
        </w:rPr>
        <w:t>E. coli</w:t>
      </w:r>
      <w:r w:rsidRPr="00BB6824">
        <w:t xml:space="preserve"> DEAD-Box Helicases Point to an Unwinding Mechanism Different from that of Model DNA Helicases. </w:t>
      </w:r>
      <w:r w:rsidRPr="00BB6824">
        <w:rPr>
          <w:i/>
          <w:iCs/>
        </w:rPr>
        <w:t>Biochemistry</w:t>
      </w:r>
      <w:r w:rsidRPr="00BB6824">
        <w:t xml:space="preserve"> 43, 7857–7866. doi: </w:t>
      </w:r>
      <w:hyperlink r:id="rId252" w:history="1">
        <w:r w:rsidRPr="00BB6824">
          <w:rPr>
            <w:rStyle w:val="Hyperlink"/>
            <w:rFonts w:ascii="Times New Roman" w:hAnsi="Times New Roman"/>
          </w:rPr>
          <w:t>10.1021/bi049852s</w:t>
        </w:r>
      </w:hyperlink>
    </w:p>
    <w:p w14:paraId="4C78FC07" w14:textId="77777777" w:rsidR="005F62EA" w:rsidRPr="00BB6824" w:rsidRDefault="005F62EA" w:rsidP="00562BA2">
      <w:pPr>
        <w:pStyle w:val="Rerences"/>
      </w:pPr>
      <w:r w:rsidRPr="00BB6824">
        <w:t xml:space="preserve">Blin, K., Shaw, S., Kloosterman, A. M., Charlop-Powers, Z., van Wezel, G. P., Medema, M. H., et al. (2021). antiSMASH 6.0: improving cluster detection and comparison capabilities. </w:t>
      </w:r>
      <w:r w:rsidRPr="00BB6824">
        <w:rPr>
          <w:i/>
          <w:iCs/>
        </w:rPr>
        <w:t>Nucleic Acids Research</w:t>
      </w:r>
      <w:r w:rsidRPr="00BB6824">
        <w:t xml:space="preserve"> 49, W29–W35. doi: </w:t>
      </w:r>
      <w:hyperlink r:id="rId253" w:history="1">
        <w:r w:rsidRPr="00BB6824">
          <w:rPr>
            <w:rStyle w:val="Hyperlink"/>
            <w:rFonts w:ascii="Times New Roman" w:hAnsi="Times New Roman"/>
          </w:rPr>
          <w:t>10.1093/nar/gkab335</w:t>
        </w:r>
      </w:hyperlink>
    </w:p>
    <w:p w14:paraId="5869759A" w14:textId="77777777" w:rsidR="005F62EA" w:rsidRPr="00BB6824" w:rsidRDefault="005F62EA" w:rsidP="00562BA2">
      <w:pPr>
        <w:pStyle w:val="Rerences"/>
      </w:pPr>
      <w:r w:rsidRPr="00BB6824">
        <w:t xml:space="preserve">Bolger, A. M., Lohse, M., and Usadel, B. (2014). Trimmomatic: a flexible trimmer for Illumina sequence data. </w:t>
      </w:r>
      <w:r w:rsidRPr="00BB6824">
        <w:rPr>
          <w:i/>
          <w:iCs/>
        </w:rPr>
        <w:t>Bioinformatics</w:t>
      </w:r>
      <w:r w:rsidRPr="00BB6824">
        <w:t xml:space="preserve"> 30, 2114–2120. doi: </w:t>
      </w:r>
      <w:hyperlink r:id="rId254" w:history="1">
        <w:r w:rsidRPr="00BB6824">
          <w:rPr>
            <w:rStyle w:val="Hyperlink"/>
            <w:rFonts w:ascii="Times New Roman" w:hAnsi="Times New Roman"/>
          </w:rPr>
          <w:t>10.1093/bioinformatics/btu170</w:t>
        </w:r>
      </w:hyperlink>
    </w:p>
    <w:p w14:paraId="60D185B6" w14:textId="77777777" w:rsidR="005F62EA" w:rsidRPr="00BB6824" w:rsidRDefault="005F62EA" w:rsidP="00562BA2">
      <w:pPr>
        <w:pStyle w:val="Rerences"/>
      </w:pPr>
      <w:r w:rsidRPr="00BB6824">
        <w:t xml:space="preserve">Borić, M., Danevčič, T., and Stopar, D. (2011). Prodigiosin from </w:t>
      </w:r>
      <w:r w:rsidRPr="00BB6824">
        <w:rPr>
          <w:i/>
          <w:iCs/>
        </w:rPr>
        <w:t>Vibrio</w:t>
      </w:r>
      <w:r w:rsidRPr="00BB6824">
        <w:t xml:space="preserve"> sp. DSM 14379; A New UV-Protective Pigment. </w:t>
      </w:r>
      <w:r w:rsidRPr="00BB6824">
        <w:rPr>
          <w:i/>
          <w:iCs/>
        </w:rPr>
        <w:t>Microb Ecol</w:t>
      </w:r>
      <w:r w:rsidRPr="00BB6824">
        <w:t xml:space="preserve"> 62, 528–536. doi: </w:t>
      </w:r>
      <w:hyperlink r:id="rId255" w:history="1">
        <w:r w:rsidRPr="00BB6824">
          <w:rPr>
            <w:rStyle w:val="Hyperlink"/>
            <w:rFonts w:ascii="Times New Roman" w:hAnsi="Times New Roman"/>
          </w:rPr>
          <w:t>10.1007/s00248-011-9857-0</w:t>
        </w:r>
      </w:hyperlink>
    </w:p>
    <w:p w14:paraId="61037F1E" w14:textId="77777777" w:rsidR="005F62EA" w:rsidRPr="00BB6824" w:rsidRDefault="005F62EA" w:rsidP="00562BA2">
      <w:pPr>
        <w:pStyle w:val="Rerences"/>
      </w:pPr>
      <w:r w:rsidRPr="00BB6824">
        <w:t xml:space="preserve">Campen, R. L. (2015). Investigating the mode of action of tuberculosis drugs using hypersensitive mutants of </w:t>
      </w:r>
      <w:r w:rsidRPr="00BB6824">
        <w:rPr>
          <w:i/>
          <w:iCs/>
        </w:rPr>
        <w:t>Mycobacterium smegmatis</w:t>
      </w:r>
      <w:r w:rsidRPr="00BB6824">
        <w:t xml:space="preserve">. Wellington, NZ: Victoria University of Wellington. Available at: </w:t>
      </w:r>
      <w:hyperlink r:id="rId256" w:history="1">
        <w:r w:rsidRPr="00BB6824">
          <w:rPr>
            <w:rStyle w:val="Hyperlink"/>
            <w:rFonts w:ascii="Times New Roman" w:hAnsi="Times New Roman"/>
          </w:rPr>
          <w:t>http://researcharchive.vuw.ac.nz/handle/10063/4314</w:t>
        </w:r>
      </w:hyperlink>
      <w:r w:rsidRPr="00BB6824">
        <w:t xml:space="preserve"> (Accessed September 11, 2022).</w:t>
      </w:r>
    </w:p>
    <w:p w14:paraId="5E30803B" w14:textId="77777777" w:rsidR="005F62EA" w:rsidRPr="00BB6824" w:rsidRDefault="005F62EA" w:rsidP="00562BA2">
      <w:pPr>
        <w:pStyle w:val="Rerences"/>
      </w:pPr>
      <w:r w:rsidRPr="00BB6824">
        <w:t xml:space="preserve">Caporaso, J. G., Lauber, C. L., Walters, W. A., Berg-Lyons, D., Lozupone, C. A., Turnbaugh, P. J., et al. (2011). Global patterns of 16S rRNA diversity at a depth of millions of sequences per sample. </w:t>
      </w:r>
      <w:r w:rsidRPr="00BB6824">
        <w:rPr>
          <w:i/>
          <w:iCs/>
        </w:rPr>
        <w:t>Proceedings of the National Academy of Sciences</w:t>
      </w:r>
      <w:r w:rsidRPr="00BB6824">
        <w:t xml:space="preserve"> 108, 4516–4522. doi: </w:t>
      </w:r>
      <w:hyperlink r:id="rId257" w:history="1">
        <w:r w:rsidRPr="00BB6824">
          <w:rPr>
            <w:rStyle w:val="Hyperlink"/>
            <w:rFonts w:ascii="Times New Roman" w:hAnsi="Times New Roman"/>
          </w:rPr>
          <w:t>10.1073/pnas.1000080107</w:t>
        </w:r>
      </w:hyperlink>
    </w:p>
    <w:p w14:paraId="05B44B94" w14:textId="77777777" w:rsidR="005F62EA" w:rsidRPr="00BB6824" w:rsidRDefault="005F62EA" w:rsidP="00562BA2">
      <w:pPr>
        <w:pStyle w:val="Rerences"/>
      </w:pPr>
      <w:r w:rsidRPr="00BB6824">
        <w:lastRenderedPageBreak/>
        <w:t xml:space="preserve">Carshalton, A. G., Balks, M. R., O’Neill, T. A., Bryan, K. R., and Seybold, C. A. (2022). Climatic influences on active layer depth between 2000 and 2018 in the McMurdo Dry Valleys, Ross Sea Region, Antarctica. </w:t>
      </w:r>
      <w:r w:rsidRPr="00BB6824">
        <w:rPr>
          <w:i/>
          <w:iCs/>
        </w:rPr>
        <w:t>Geoderma Regional</w:t>
      </w:r>
      <w:r w:rsidRPr="00BB6824">
        <w:t xml:space="preserve"> 29, e00497. doi: </w:t>
      </w:r>
      <w:hyperlink r:id="rId258" w:history="1">
        <w:r w:rsidRPr="00BB6824">
          <w:rPr>
            <w:rStyle w:val="Hyperlink"/>
            <w:rFonts w:ascii="Times New Roman" w:hAnsi="Times New Roman"/>
          </w:rPr>
          <w:t>10.1016/j.geodrs.2022.e00497</w:t>
        </w:r>
      </w:hyperlink>
    </w:p>
    <w:p w14:paraId="70C40EB5" w14:textId="77777777" w:rsidR="005F62EA" w:rsidRPr="00BB6824" w:rsidRDefault="005F62EA" w:rsidP="00562BA2">
      <w:pPr>
        <w:pStyle w:val="Rerences"/>
      </w:pPr>
      <w:r w:rsidRPr="00BB6824">
        <w:t xml:space="preserve">Cauz, A. C. G., Carretero, G. P. B., Saraiva, G. K. V., Park, P., Mortara, L., Cuccovia, I. M., et al. (2019). Violacein Targets the Cytoplasmic Membrane of Bacteria. </w:t>
      </w:r>
      <w:r w:rsidRPr="00BB6824">
        <w:rPr>
          <w:i/>
          <w:iCs/>
        </w:rPr>
        <w:t>ACS Infect. Dis.</w:t>
      </w:r>
      <w:r w:rsidRPr="00BB6824">
        <w:t xml:space="preserve"> 5, 539–549. doi: </w:t>
      </w:r>
      <w:hyperlink r:id="rId259" w:history="1">
        <w:r w:rsidRPr="00BB6824">
          <w:rPr>
            <w:rStyle w:val="Hyperlink"/>
            <w:rFonts w:ascii="Times New Roman" w:hAnsi="Times New Roman"/>
          </w:rPr>
          <w:t>10.1021/acsinfecdis.8b00245</w:t>
        </w:r>
      </w:hyperlink>
    </w:p>
    <w:p w14:paraId="2C751A76" w14:textId="77777777" w:rsidR="005F62EA" w:rsidRPr="00BB6824" w:rsidRDefault="005F62EA" w:rsidP="00562BA2">
      <w:pPr>
        <w:pStyle w:val="Rerences"/>
      </w:pPr>
      <w:r w:rsidRPr="00BB6824">
        <w:t xml:space="preserve">Cediel Becerra, J. D. D., Suescún Sepúlveda, J. A., and Fuentes, J. L. (2022). Prodigiosin Production and Photoprotective/Antigenotoxic Properties in </w:t>
      </w:r>
      <w:r w:rsidRPr="00BB6824">
        <w:rPr>
          <w:i/>
          <w:iCs/>
        </w:rPr>
        <w:t>Serratia marcescens</w:t>
      </w:r>
      <w:r w:rsidRPr="00BB6824">
        <w:t xml:space="preserve"> Indigenous Strains from Eastern Cordillera of Colombia. </w:t>
      </w:r>
      <w:r w:rsidRPr="00BB6824">
        <w:rPr>
          <w:i/>
          <w:iCs/>
        </w:rPr>
        <w:t>Photochemistry and Photobiology</w:t>
      </w:r>
      <w:r w:rsidRPr="00BB6824">
        <w:t xml:space="preserve"> 98, 254–261. doi: </w:t>
      </w:r>
      <w:hyperlink r:id="rId260" w:history="1">
        <w:r w:rsidRPr="00BB6824">
          <w:rPr>
            <w:rStyle w:val="Hyperlink"/>
            <w:rFonts w:ascii="Times New Roman" w:hAnsi="Times New Roman"/>
          </w:rPr>
          <w:t>10.1111/php.13507</w:t>
        </w:r>
      </w:hyperlink>
    </w:p>
    <w:p w14:paraId="2384D924" w14:textId="77777777" w:rsidR="005F62EA" w:rsidRPr="00BB6824" w:rsidRDefault="005F62EA" w:rsidP="00562BA2">
      <w:pPr>
        <w:pStyle w:val="Rerences"/>
      </w:pPr>
      <w:r w:rsidRPr="00BB6824">
        <w:t xml:space="preserve">Chin, J. P., Megaw, J., Magill, C. L., Nowotarski, K., Williams, J. P., Bhaganna, P., et al. (2010). Solutes determine the temperature windows for microbial survival and growth. </w:t>
      </w:r>
      <w:r w:rsidRPr="00BB6824">
        <w:rPr>
          <w:i/>
          <w:iCs/>
        </w:rPr>
        <w:t>Proceedings of the National Academy of Sciences</w:t>
      </w:r>
      <w:r w:rsidRPr="00BB6824">
        <w:t xml:space="preserve"> 107, 7835–7840. doi: </w:t>
      </w:r>
      <w:hyperlink r:id="rId261" w:history="1">
        <w:r w:rsidRPr="00BB6824">
          <w:rPr>
            <w:rStyle w:val="Hyperlink"/>
            <w:rFonts w:ascii="Times New Roman" w:hAnsi="Times New Roman"/>
          </w:rPr>
          <w:t>10.1073/pnas.1000557107</w:t>
        </w:r>
      </w:hyperlink>
    </w:p>
    <w:p w14:paraId="3A8AFD5D" w14:textId="77777777" w:rsidR="005F62EA" w:rsidRPr="00BB6824" w:rsidRDefault="005F62EA" w:rsidP="00562BA2">
      <w:pPr>
        <w:pStyle w:val="Rerences"/>
      </w:pPr>
      <w:r w:rsidRPr="00BB6824">
        <w:t xml:space="preserve">Chiquet, C., Boisset, S., Pechinot, A., Creuzot-Garcher, C., Aptel, F., and Bron, A. M. (2015). </w:t>
      </w:r>
      <w:r w:rsidRPr="00BB6824">
        <w:rPr>
          <w:i/>
          <w:iCs/>
        </w:rPr>
        <w:t>Massilia timonae</w:t>
      </w:r>
      <w:r w:rsidRPr="00BB6824">
        <w:t xml:space="preserve"> as cause of chronic endophthalmitis following cataract surgery. </w:t>
      </w:r>
      <w:r w:rsidRPr="00BB6824">
        <w:rPr>
          <w:i/>
          <w:iCs/>
        </w:rPr>
        <w:t>Journal of Cataract &amp; Refractive Surgery</w:t>
      </w:r>
      <w:r w:rsidRPr="00BB6824">
        <w:t xml:space="preserve"> 41, 1778–1780. doi: </w:t>
      </w:r>
      <w:hyperlink r:id="rId262" w:history="1">
        <w:r w:rsidRPr="00BB6824">
          <w:rPr>
            <w:rStyle w:val="Hyperlink"/>
            <w:rFonts w:ascii="Times New Roman" w:hAnsi="Times New Roman"/>
          </w:rPr>
          <w:t>10.1016/j.jcrs.2015.07.016</w:t>
        </w:r>
      </w:hyperlink>
    </w:p>
    <w:p w14:paraId="0126B6F9" w14:textId="77777777" w:rsidR="005F62EA" w:rsidRPr="00BB6824" w:rsidRDefault="005F62EA" w:rsidP="00562BA2">
      <w:pPr>
        <w:pStyle w:val="Rerences"/>
      </w:pPr>
      <w:r w:rsidRPr="00BB6824">
        <w:t xml:space="preserve">Cho, H., and Cronan, J. E. (1993). Escherichia coli thioesterase I, molecular cloning and sequencing of the structural gene and identification as a periplasmic enzyme. </w:t>
      </w:r>
      <w:r w:rsidRPr="00BB6824">
        <w:rPr>
          <w:i/>
          <w:iCs/>
        </w:rPr>
        <w:t>J Biol Chem</w:t>
      </w:r>
      <w:r w:rsidRPr="00BB6824">
        <w:t xml:space="preserve"> 268, 9238–9245.</w:t>
      </w:r>
    </w:p>
    <w:p w14:paraId="45462E4C" w14:textId="77777777" w:rsidR="005F62EA" w:rsidRPr="00BB6824" w:rsidRDefault="005F62EA" w:rsidP="00562BA2">
      <w:pPr>
        <w:pStyle w:val="Rerences"/>
      </w:pPr>
      <w:r w:rsidRPr="00BB6824">
        <w:t xml:space="preserve">Choi, S. Y., Yoon, K., Lee, J. I., and Mitchell, R. J. (2015). Violacein: Properties and Production of a Versatile Bacterial Pigment. </w:t>
      </w:r>
      <w:r w:rsidRPr="00BB6824">
        <w:rPr>
          <w:i/>
          <w:iCs/>
        </w:rPr>
        <w:t>BioMed Research International</w:t>
      </w:r>
      <w:r w:rsidRPr="00BB6824">
        <w:t xml:space="preserve"> 2015, e465056. doi: </w:t>
      </w:r>
      <w:hyperlink r:id="rId263" w:history="1">
        <w:r w:rsidRPr="00BB6824">
          <w:rPr>
            <w:rStyle w:val="Hyperlink"/>
            <w:rFonts w:ascii="Times New Roman" w:hAnsi="Times New Roman"/>
          </w:rPr>
          <w:t>10.1155/2015/465056</w:t>
        </w:r>
      </w:hyperlink>
    </w:p>
    <w:p w14:paraId="306AEA29" w14:textId="77777777" w:rsidR="005F62EA" w:rsidRPr="00BB6824" w:rsidRDefault="005F62EA" w:rsidP="00562BA2">
      <w:pPr>
        <w:pStyle w:val="Rerences"/>
      </w:pPr>
      <w:r w:rsidRPr="00BB6824">
        <w:t xml:space="preserve">Cimermancic, P., Medema, M. H., Claesen, J., Kurita, K., Wieland Brown, L. C., Mavrommatis, K., et al. (2014). Insights into secondary metabolism from a global analysis of prokaryotic biosynthetic gene clusters. </w:t>
      </w:r>
      <w:r w:rsidRPr="00BB6824">
        <w:rPr>
          <w:i/>
          <w:iCs/>
        </w:rPr>
        <w:t>Cell</w:t>
      </w:r>
      <w:r w:rsidRPr="00BB6824">
        <w:t xml:space="preserve"> 158, 412–421. doi: </w:t>
      </w:r>
      <w:hyperlink r:id="rId264" w:history="1">
        <w:r w:rsidRPr="00BB6824">
          <w:rPr>
            <w:rStyle w:val="Hyperlink"/>
            <w:rFonts w:ascii="Times New Roman" w:hAnsi="Times New Roman"/>
          </w:rPr>
          <w:t>10.1016/j.cell.2014.06.034</w:t>
        </w:r>
      </w:hyperlink>
    </w:p>
    <w:p w14:paraId="10A5EFF4" w14:textId="77777777" w:rsidR="005F62EA" w:rsidRPr="00BB6824" w:rsidRDefault="005F62EA" w:rsidP="00562BA2">
      <w:pPr>
        <w:pStyle w:val="Rerences"/>
      </w:pPr>
      <w:r w:rsidRPr="00BB6824">
        <w:lastRenderedPageBreak/>
        <w:t xml:space="preserve">Correa, T., and Abreu, F. (2020). “Antarctic microorganisms as sources of biotechnological products,” in </w:t>
      </w:r>
      <w:r w:rsidRPr="00BB6824">
        <w:rPr>
          <w:i/>
          <w:iCs/>
        </w:rPr>
        <w:t>Physiological and Biotechnological Aspects of Extremophiles</w:t>
      </w:r>
      <w:r w:rsidRPr="00BB6824">
        <w:t xml:space="preserve">, eds. R. Salwan and V. Sharma (Cambridge, Massachusetts: Academic Press), 269–284. doi: </w:t>
      </w:r>
      <w:hyperlink r:id="rId265" w:history="1">
        <w:r w:rsidRPr="00BB6824">
          <w:rPr>
            <w:rStyle w:val="Hyperlink"/>
            <w:rFonts w:ascii="Times New Roman" w:hAnsi="Times New Roman"/>
          </w:rPr>
          <w:t>10.1016/B978-0-12-818322-9.00020-4</w:t>
        </w:r>
      </w:hyperlink>
    </w:p>
    <w:p w14:paraId="48F31AF0" w14:textId="77777777" w:rsidR="005F62EA" w:rsidRPr="00BB6824" w:rsidRDefault="005F62EA" w:rsidP="00562BA2">
      <w:pPr>
        <w:pStyle w:val="Rerences"/>
      </w:pPr>
      <w:r w:rsidRPr="00BB6824">
        <w:t xml:space="preserve">Couvin, D., Bernheim, A., Toffano-Nioche, C., Touchon, M., Michalik, J., Néron, B., et al. (2018). CRISPRCasFinder, an update of CRISRFinder, includes a portable version, enhanced performance and integrates search for Cas proteins. </w:t>
      </w:r>
      <w:r w:rsidRPr="00BB6824">
        <w:rPr>
          <w:i/>
          <w:iCs/>
        </w:rPr>
        <w:t>Nucleic Acids Res</w:t>
      </w:r>
      <w:r w:rsidRPr="00BB6824">
        <w:t xml:space="preserve"> 46, W246–W251. doi: </w:t>
      </w:r>
      <w:hyperlink r:id="rId266" w:history="1">
        <w:r w:rsidRPr="00BB6824">
          <w:rPr>
            <w:rStyle w:val="Hyperlink"/>
            <w:rFonts w:ascii="Times New Roman" w:hAnsi="Times New Roman"/>
          </w:rPr>
          <w:t>10.1093/nar/gky425</w:t>
        </w:r>
      </w:hyperlink>
    </w:p>
    <w:p w14:paraId="315D44FA" w14:textId="77777777" w:rsidR="005F62EA" w:rsidRPr="00BB6824" w:rsidRDefault="005F62EA" w:rsidP="00562BA2">
      <w:pPr>
        <w:pStyle w:val="Rerences"/>
      </w:pPr>
      <w:r w:rsidRPr="00BB6824">
        <w:t xml:space="preserve">Dahal, R. H., Chaudhary, D. K., Kim, D.-U., and Kim, J. (2021a). Cold-shock gene cspC in the genome of </w:t>
      </w:r>
      <w:r w:rsidRPr="00BB6824">
        <w:rPr>
          <w:i/>
          <w:iCs/>
        </w:rPr>
        <w:t>Massilia polaris</w:t>
      </w:r>
      <w:r w:rsidRPr="00BB6824">
        <w:t xml:space="preserve"> sp. nov. revealed cold-adaptation. </w:t>
      </w:r>
      <w:r w:rsidRPr="00BB6824">
        <w:rPr>
          <w:i/>
          <w:iCs/>
        </w:rPr>
        <w:t>Antonie van Leeuwenhoek</w:t>
      </w:r>
      <w:r w:rsidRPr="00BB6824">
        <w:t xml:space="preserve"> 114, 1275–1284. doi: </w:t>
      </w:r>
      <w:hyperlink r:id="rId267" w:history="1">
        <w:r w:rsidRPr="00BB6824">
          <w:rPr>
            <w:rStyle w:val="Hyperlink"/>
            <w:rFonts w:ascii="Times New Roman" w:hAnsi="Times New Roman"/>
          </w:rPr>
          <w:t>10.1007/s10482-021-01600-z</w:t>
        </w:r>
      </w:hyperlink>
    </w:p>
    <w:p w14:paraId="622BF1DA" w14:textId="77777777" w:rsidR="005F62EA" w:rsidRPr="00BB6824" w:rsidRDefault="005F62EA" w:rsidP="00562BA2">
      <w:pPr>
        <w:pStyle w:val="Rerences"/>
      </w:pPr>
      <w:r w:rsidRPr="00BB6824">
        <w:t xml:space="preserve">Dahal, R. H., Chaudhary, D. K., and Kim, J. (2021b). Genome insight and description of antibiotic producing </w:t>
      </w:r>
      <w:r w:rsidRPr="00BB6824">
        <w:rPr>
          <w:i/>
          <w:iCs/>
        </w:rPr>
        <w:t>Massilia antibiotica</w:t>
      </w:r>
      <w:r w:rsidRPr="00BB6824">
        <w:t xml:space="preserve"> sp. nov., isolated from oil-contaminated soil. </w:t>
      </w:r>
      <w:r w:rsidRPr="00BB6824">
        <w:rPr>
          <w:i/>
          <w:iCs/>
        </w:rPr>
        <w:t>Sci Rep</w:t>
      </w:r>
      <w:r w:rsidRPr="00BB6824">
        <w:t xml:space="preserve"> 11, 6695. doi: </w:t>
      </w:r>
      <w:hyperlink r:id="rId268" w:history="1">
        <w:r w:rsidRPr="00BB6824">
          <w:rPr>
            <w:rStyle w:val="Hyperlink"/>
            <w:rFonts w:ascii="Times New Roman" w:hAnsi="Times New Roman"/>
          </w:rPr>
          <w:t>10.1038/s41598-021-86232-z</w:t>
        </w:r>
      </w:hyperlink>
    </w:p>
    <w:p w14:paraId="4AEA1987" w14:textId="77777777" w:rsidR="005F62EA" w:rsidRPr="00BB6824" w:rsidRDefault="005F62EA" w:rsidP="00562BA2">
      <w:pPr>
        <w:pStyle w:val="Rerences"/>
      </w:pPr>
      <w:r w:rsidRPr="00BB6824">
        <w:t xml:space="preserve">Dana, G. L., Wharton Jr., R. A., and Dubayah, R. A. (1998). “Solar Radiation in the Mcmurdo Dry Valleys, Antarctica,” in </w:t>
      </w:r>
      <w:r w:rsidRPr="00BB6824">
        <w:rPr>
          <w:i/>
          <w:iCs/>
        </w:rPr>
        <w:t>Ecosystem Dynamics in a Polar Desert: the Mcmurdo Dry Valleys, Antarctica</w:t>
      </w:r>
      <w:r w:rsidRPr="00BB6824">
        <w:t xml:space="preserve">, (Washington DC: American Geophysical Union (AGU)), 39–64. doi: </w:t>
      </w:r>
      <w:hyperlink r:id="rId269" w:history="1">
        <w:r w:rsidRPr="00BB6824">
          <w:rPr>
            <w:rStyle w:val="Hyperlink"/>
            <w:rFonts w:ascii="Times New Roman" w:hAnsi="Times New Roman"/>
          </w:rPr>
          <w:t>10.1029/AR072p0039</w:t>
        </w:r>
      </w:hyperlink>
    </w:p>
    <w:p w14:paraId="11E22803" w14:textId="77777777" w:rsidR="005F62EA" w:rsidRPr="00BB6824" w:rsidRDefault="005F62EA" w:rsidP="00562BA2">
      <w:pPr>
        <w:pStyle w:val="Rerences"/>
      </w:pPr>
      <w:r w:rsidRPr="00BB6824">
        <w:t xml:space="preserve">Danevčič, T., Vezjak, M. B., Zorec, M., and Stopar, D. (2016). Prodigiosin - A Multifaceted </w:t>
      </w:r>
      <w:r w:rsidRPr="00BB6824">
        <w:rPr>
          <w:i/>
          <w:iCs/>
        </w:rPr>
        <w:t>Escherichia coli</w:t>
      </w:r>
      <w:r w:rsidRPr="00BB6824">
        <w:t xml:space="preserve"> Antimicrobial Agent. </w:t>
      </w:r>
      <w:r w:rsidRPr="00BB6824">
        <w:rPr>
          <w:i/>
          <w:iCs/>
        </w:rPr>
        <w:t>PLOS ONE</w:t>
      </w:r>
      <w:r w:rsidRPr="00BB6824">
        <w:t xml:space="preserve"> 11, e0162412. doi: </w:t>
      </w:r>
      <w:hyperlink r:id="rId270" w:history="1">
        <w:r w:rsidRPr="00BB6824">
          <w:rPr>
            <w:rStyle w:val="Hyperlink"/>
            <w:rFonts w:ascii="Times New Roman" w:hAnsi="Times New Roman"/>
          </w:rPr>
          <w:t>10.1371/journal.pone.0162412</w:t>
        </w:r>
      </w:hyperlink>
    </w:p>
    <w:p w14:paraId="2C25B802" w14:textId="77777777" w:rsidR="005F62EA" w:rsidRPr="00BB6824" w:rsidRDefault="005F62EA" w:rsidP="00562BA2">
      <w:pPr>
        <w:pStyle w:val="Rerences"/>
      </w:pPr>
      <w:r w:rsidRPr="00BB6824">
        <w:t xml:space="preserve">Davey, M. C., and Clarke, K. J. (1992). Fine Structure of a Terrestrial Cyanobacterial Mat from Antarctica1. </w:t>
      </w:r>
      <w:r w:rsidRPr="00BB6824">
        <w:rPr>
          <w:i/>
          <w:iCs/>
        </w:rPr>
        <w:t>Journal of Phycology</w:t>
      </w:r>
      <w:r w:rsidRPr="00BB6824">
        <w:t xml:space="preserve"> 28, 199–202. doi: </w:t>
      </w:r>
      <w:hyperlink r:id="rId271" w:history="1">
        <w:r w:rsidRPr="00BB6824">
          <w:rPr>
            <w:rStyle w:val="Hyperlink"/>
            <w:rFonts w:ascii="Times New Roman" w:hAnsi="Times New Roman"/>
          </w:rPr>
          <w:t>10.1111/j.0022-3646.1992.00199.x</w:t>
        </w:r>
      </w:hyperlink>
    </w:p>
    <w:p w14:paraId="3E10F20E" w14:textId="77777777" w:rsidR="005F62EA" w:rsidRPr="00BB6824" w:rsidRDefault="005F62EA" w:rsidP="00562BA2">
      <w:pPr>
        <w:pStyle w:val="Rerences"/>
      </w:pPr>
      <w:r w:rsidRPr="00BB6824">
        <w:t xml:space="preserve">De Maayer, P., Anderson, D., Cary, C., and Cowan, D. A. (2014). Some like it cold: understanding the survival strategies of psychrophiles. </w:t>
      </w:r>
      <w:r w:rsidRPr="00BB6824">
        <w:rPr>
          <w:i/>
          <w:iCs/>
        </w:rPr>
        <w:t>EMBO Rep</w:t>
      </w:r>
      <w:r w:rsidRPr="00BB6824">
        <w:t xml:space="preserve"> 15, 508–517. doi: </w:t>
      </w:r>
      <w:hyperlink r:id="rId272" w:history="1">
        <w:r w:rsidRPr="00BB6824">
          <w:rPr>
            <w:rStyle w:val="Hyperlink"/>
            <w:rFonts w:ascii="Times New Roman" w:hAnsi="Times New Roman"/>
          </w:rPr>
          <w:t>10.1002/embr.201338170</w:t>
        </w:r>
      </w:hyperlink>
    </w:p>
    <w:p w14:paraId="2B22C7F2" w14:textId="77777777" w:rsidR="005F62EA" w:rsidRPr="00BB6824" w:rsidRDefault="005F62EA" w:rsidP="00562BA2">
      <w:pPr>
        <w:pStyle w:val="Rerences"/>
      </w:pPr>
      <w:r w:rsidRPr="00BB6824">
        <w:t xml:space="preserve">Diaz, M. A., Adams, B. J., Welch, K. A., Welch, S. A., Opiyo, S. O., Khan, A. L., et al. (2018). Aeolian Material Transport and Its Role in Landscape Connectivity in the </w:t>
      </w:r>
      <w:r w:rsidRPr="00BB6824">
        <w:lastRenderedPageBreak/>
        <w:t xml:space="preserve">McMurdo Dry Valleys, Antarctica. </w:t>
      </w:r>
      <w:r w:rsidRPr="00BB6824">
        <w:rPr>
          <w:i/>
          <w:iCs/>
        </w:rPr>
        <w:t>Journal of Geophysical Research: Earth Surface</w:t>
      </w:r>
      <w:r w:rsidRPr="00BB6824">
        <w:t xml:space="preserve"> 123, 3323–3337. doi: </w:t>
      </w:r>
      <w:hyperlink r:id="rId273" w:history="1">
        <w:r w:rsidRPr="00BB6824">
          <w:rPr>
            <w:rStyle w:val="Hyperlink"/>
            <w:rFonts w:ascii="Times New Roman" w:hAnsi="Times New Roman"/>
          </w:rPr>
          <w:t>10.1029/2017JF004589</w:t>
        </w:r>
      </w:hyperlink>
    </w:p>
    <w:p w14:paraId="705D65FA" w14:textId="77777777" w:rsidR="005F62EA" w:rsidRPr="00BB6824" w:rsidRDefault="005F62EA" w:rsidP="00562BA2">
      <w:pPr>
        <w:pStyle w:val="Rerences"/>
      </w:pPr>
      <w:r w:rsidRPr="00BB6824">
        <w:t xml:space="preserve">Emms, D. M., and Kelly, S. (2019). OrthoFinder: phylogenetic orthology inference for comparative genomics. </w:t>
      </w:r>
      <w:r w:rsidRPr="00BB6824">
        <w:rPr>
          <w:i/>
          <w:iCs/>
        </w:rPr>
        <w:t>Genome Biology</w:t>
      </w:r>
      <w:r w:rsidRPr="00BB6824">
        <w:t xml:space="preserve"> 20, 238. doi: </w:t>
      </w:r>
      <w:hyperlink r:id="rId274" w:history="1">
        <w:r w:rsidRPr="00BB6824">
          <w:rPr>
            <w:rStyle w:val="Hyperlink"/>
            <w:rFonts w:ascii="Times New Roman" w:hAnsi="Times New Roman"/>
          </w:rPr>
          <w:t>10.1186/s13059-019-1832-y</w:t>
        </w:r>
      </w:hyperlink>
    </w:p>
    <w:p w14:paraId="4A1E2A92" w14:textId="77777777" w:rsidR="005F62EA" w:rsidRPr="00BB6824" w:rsidRDefault="005F62EA" w:rsidP="00562BA2">
      <w:pPr>
        <w:pStyle w:val="Rerences"/>
      </w:pPr>
      <w:r w:rsidRPr="00BB6824">
        <w:t xml:space="preserve">Federhen, S. (2012). The NCBI Taxonomy database. </w:t>
      </w:r>
      <w:r w:rsidRPr="00BB6824">
        <w:rPr>
          <w:i/>
          <w:iCs/>
        </w:rPr>
        <w:t>Nucleic Acids Research</w:t>
      </w:r>
      <w:r w:rsidRPr="00BB6824">
        <w:t xml:space="preserve"> 40, D136–D143. doi: </w:t>
      </w:r>
      <w:hyperlink r:id="rId275" w:history="1">
        <w:r w:rsidRPr="00BB6824">
          <w:rPr>
            <w:rStyle w:val="Hyperlink"/>
            <w:rFonts w:ascii="Times New Roman" w:hAnsi="Times New Roman"/>
          </w:rPr>
          <w:t>10.1093/nar/gkr1178</w:t>
        </w:r>
      </w:hyperlink>
    </w:p>
    <w:p w14:paraId="0253FB89" w14:textId="77777777" w:rsidR="005F62EA" w:rsidRPr="00BB6824" w:rsidRDefault="005F62EA" w:rsidP="00562BA2">
      <w:pPr>
        <w:pStyle w:val="Rerences"/>
      </w:pPr>
      <w:r w:rsidRPr="00BB6824">
        <w:t xml:space="preserve">Fee, J. A. (1991). Regulation of sod genes in </w:t>
      </w:r>
      <w:r w:rsidRPr="00BB6824">
        <w:rPr>
          <w:i/>
          <w:iCs/>
        </w:rPr>
        <w:t>Escherichia coli</w:t>
      </w:r>
      <w:r w:rsidRPr="00BB6824">
        <w:t xml:space="preserve">: relevance to superoxide dismutase function. </w:t>
      </w:r>
      <w:r w:rsidRPr="00BB6824">
        <w:rPr>
          <w:i/>
          <w:iCs/>
        </w:rPr>
        <w:t>Molecular Microbiology</w:t>
      </w:r>
      <w:r w:rsidRPr="00BB6824">
        <w:t xml:space="preserve"> 5, 2599–2610. doi: </w:t>
      </w:r>
      <w:hyperlink r:id="rId276" w:history="1">
        <w:r w:rsidRPr="00BB6824">
          <w:rPr>
            <w:rStyle w:val="Hyperlink"/>
            <w:rFonts w:ascii="Times New Roman" w:hAnsi="Times New Roman"/>
          </w:rPr>
          <w:t>10.1111/j.1365-2958.1991.tb01968.x</w:t>
        </w:r>
      </w:hyperlink>
    </w:p>
    <w:p w14:paraId="6AE557BC" w14:textId="77777777" w:rsidR="005F62EA" w:rsidRPr="00BB6824" w:rsidRDefault="005F62EA" w:rsidP="00562BA2">
      <w:pPr>
        <w:pStyle w:val="Rerences"/>
      </w:pPr>
      <w:r w:rsidRPr="00BB6824">
        <w:t xml:space="preserve">Fountain, A. G., Levy, J. S., Gooseff, M. N., and Van Horn, D. (2014). The McMurdo Dry Valleys: A landscape on the threshold of change. </w:t>
      </w:r>
      <w:r w:rsidRPr="00BB6824">
        <w:rPr>
          <w:i/>
          <w:iCs/>
        </w:rPr>
        <w:t>Geomorphology</w:t>
      </w:r>
      <w:r w:rsidRPr="00BB6824">
        <w:t xml:space="preserve"> 225, 25–35. doi: </w:t>
      </w:r>
      <w:hyperlink r:id="rId277" w:history="1">
        <w:r w:rsidRPr="00BB6824">
          <w:rPr>
            <w:rStyle w:val="Hyperlink"/>
            <w:rFonts w:ascii="Times New Roman" w:hAnsi="Times New Roman"/>
          </w:rPr>
          <w:t>10.1016/j.geomorph.2014.03.044</w:t>
        </w:r>
      </w:hyperlink>
    </w:p>
    <w:p w14:paraId="7B63C480" w14:textId="77777777" w:rsidR="005F62EA" w:rsidRPr="00BB6824" w:rsidRDefault="005F62EA" w:rsidP="00562BA2">
      <w:pPr>
        <w:pStyle w:val="Rerences"/>
      </w:pPr>
      <w:r w:rsidRPr="00BB6824">
        <w:t xml:space="preserve">Fountain, A. G., Nylen, T. H., Monaghan, A., Basagic, H. J., and Bromwich, D. (2009). Snow in the McMurdo Dry Valleys, Antarctica. </w:t>
      </w:r>
      <w:r w:rsidRPr="00BB6824">
        <w:rPr>
          <w:i/>
          <w:iCs/>
        </w:rPr>
        <w:t>Int. J. Climatol.</w:t>
      </w:r>
      <w:r w:rsidRPr="00BB6824">
        <w:t xml:space="preserve">, n/a-n/a. doi: </w:t>
      </w:r>
      <w:hyperlink r:id="rId278" w:history="1">
        <w:r w:rsidRPr="00BB6824">
          <w:rPr>
            <w:rStyle w:val="Hyperlink"/>
            <w:rFonts w:ascii="Times New Roman" w:hAnsi="Times New Roman"/>
          </w:rPr>
          <w:t>10.1002/joc.1933</w:t>
        </w:r>
      </w:hyperlink>
    </w:p>
    <w:p w14:paraId="3D766759" w14:textId="77777777" w:rsidR="005F62EA" w:rsidRPr="00BB6824" w:rsidRDefault="005F62EA" w:rsidP="00562BA2">
      <w:pPr>
        <w:pStyle w:val="Rerences"/>
      </w:pPr>
      <w:r w:rsidRPr="00BB6824">
        <w:t xml:space="preserve">Frederick, J. E., and Snell, H. E. (1988). Ultraviolet Radiation Levels During the Antarctic Spring. </w:t>
      </w:r>
      <w:r w:rsidRPr="00BB6824">
        <w:rPr>
          <w:i/>
          <w:iCs/>
        </w:rPr>
        <w:t>Science</w:t>
      </w:r>
      <w:r w:rsidRPr="00BB6824">
        <w:t xml:space="preserve"> 241, 438.</w:t>
      </w:r>
    </w:p>
    <w:p w14:paraId="02679D20" w14:textId="77777777" w:rsidR="005F62EA" w:rsidRPr="00BB6824" w:rsidRDefault="005F62EA" w:rsidP="00562BA2">
      <w:pPr>
        <w:pStyle w:val="Rerences"/>
      </w:pPr>
      <w:r w:rsidRPr="00BB6824">
        <w:t xml:space="preserve">Fucich, D., and Chen, F. (2020). Presence of toxin-antitoxin systems in picocyanobacteria and their ecological implications. </w:t>
      </w:r>
      <w:r w:rsidRPr="00BB6824">
        <w:rPr>
          <w:i/>
          <w:iCs/>
        </w:rPr>
        <w:t>ISME J</w:t>
      </w:r>
      <w:r w:rsidRPr="00BB6824">
        <w:t xml:space="preserve"> 14, 2843–2850. doi: </w:t>
      </w:r>
      <w:hyperlink r:id="rId279" w:history="1">
        <w:r w:rsidRPr="00BB6824">
          <w:rPr>
            <w:rStyle w:val="Hyperlink"/>
            <w:rFonts w:ascii="Times New Roman" w:hAnsi="Times New Roman"/>
          </w:rPr>
          <w:t>10.1038/s41396-020-00746-4</w:t>
        </w:r>
      </w:hyperlink>
    </w:p>
    <w:p w14:paraId="5C03754B" w14:textId="77777777" w:rsidR="005F62EA" w:rsidRPr="00BB6824" w:rsidRDefault="005F62EA" w:rsidP="00562BA2">
      <w:pPr>
        <w:pStyle w:val="Rerences"/>
      </w:pPr>
      <w:r w:rsidRPr="00BB6824">
        <w:t xml:space="preserve">Gallego, V., Sánchez-Porro, C., García, M. T., and Ventosa, A. (2006). </w:t>
      </w:r>
      <w:r w:rsidRPr="00BB6824">
        <w:rPr>
          <w:i/>
          <w:iCs/>
        </w:rPr>
        <w:t>Massilia aurea</w:t>
      </w:r>
      <w:r w:rsidRPr="00BB6824">
        <w:t xml:space="preserve"> sp. nov., isolated from drinking water. </w:t>
      </w:r>
      <w:r w:rsidRPr="00BB6824">
        <w:rPr>
          <w:i/>
          <w:iCs/>
        </w:rPr>
        <w:t>International Journal of Systematic and Evolutionary Microbiology</w:t>
      </w:r>
      <w:r w:rsidRPr="00BB6824">
        <w:t xml:space="preserve"> 56, 2449–2453. doi: </w:t>
      </w:r>
      <w:hyperlink r:id="rId280" w:history="1">
        <w:r w:rsidRPr="00BB6824">
          <w:rPr>
            <w:rStyle w:val="Hyperlink"/>
            <w:rFonts w:ascii="Times New Roman" w:hAnsi="Times New Roman"/>
          </w:rPr>
          <w:t>10.1099/ijs.0.64389-0</w:t>
        </w:r>
      </w:hyperlink>
    </w:p>
    <w:p w14:paraId="0BB79F95" w14:textId="77777777" w:rsidR="005F62EA" w:rsidRPr="00BB6824" w:rsidRDefault="005F62EA" w:rsidP="00562BA2">
      <w:pPr>
        <w:pStyle w:val="Rerences"/>
      </w:pPr>
      <w:r w:rsidRPr="00BB6824">
        <w:t xml:space="preserve">Gareia-Pichel, F., and Castenholz, R. W. (1994). On the significance of solar ultraviolet radiation for the ecology of microbial mats., in </w:t>
      </w:r>
      <w:r w:rsidRPr="00BB6824">
        <w:rPr>
          <w:i/>
          <w:iCs/>
        </w:rPr>
        <w:t>Microbial Mats</w:t>
      </w:r>
      <w:r w:rsidRPr="00BB6824">
        <w:t xml:space="preserve">, eds. L. J. Stal and P. Caumette (Berlin, Heidelberg: Springer), 77–84. doi: </w:t>
      </w:r>
      <w:hyperlink r:id="rId281" w:history="1">
        <w:r w:rsidRPr="00BB6824">
          <w:rPr>
            <w:rStyle w:val="Hyperlink"/>
            <w:rFonts w:ascii="Times New Roman" w:hAnsi="Times New Roman"/>
          </w:rPr>
          <w:t>10.1007/978-3-642-78991-5_8</w:t>
        </w:r>
      </w:hyperlink>
    </w:p>
    <w:p w14:paraId="1E71DFBD" w14:textId="77777777" w:rsidR="005F62EA" w:rsidRPr="00BB6824" w:rsidRDefault="005F62EA" w:rsidP="00562BA2">
      <w:pPr>
        <w:pStyle w:val="Rerences"/>
      </w:pPr>
      <w:r w:rsidRPr="00BB6824">
        <w:lastRenderedPageBreak/>
        <w:t xml:space="preserve">Giddings, L.-A., and Newman, D. J. (2015a). </w:t>
      </w:r>
      <w:r w:rsidRPr="00BB6824">
        <w:rPr>
          <w:i/>
          <w:iCs/>
        </w:rPr>
        <w:t>Bioactive Compounds from Extremophiles</w:t>
      </w:r>
      <w:r w:rsidRPr="00BB6824">
        <w:t xml:space="preserve">. Cham: Springer International Publishing. doi: </w:t>
      </w:r>
      <w:hyperlink r:id="rId282" w:history="1">
        <w:r w:rsidRPr="00BB6824">
          <w:rPr>
            <w:rStyle w:val="Hyperlink"/>
            <w:rFonts w:ascii="Times New Roman" w:hAnsi="Times New Roman"/>
          </w:rPr>
          <w:t>10.1007/978-3-319-14836-6</w:t>
        </w:r>
      </w:hyperlink>
    </w:p>
    <w:p w14:paraId="11A10984" w14:textId="77777777" w:rsidR="005F62EA" w:rsidRPr="00BB6824" w:rsidRDefault="005F62EA" w:rsidP="00562BA2">
      <w:pPr>
        <w:pStyle w:val="Rerences"/>
      </w:pPr>
      <w:r w:rsidRPr="00BB6824">
        <w:t xml:space="preserve">Giddings, L.-A., and Newman, D. J. (2015b). “Bioactive Compounds from Terrestrial Extremophiles,” in </w:t>
      </w:r>
      <w:r w:rsidRPr="00BB6824">
        <w:rPr>
          <w:i/>
          <w:iCs/>
        </w:rPr>
        <w:t>Bioactive Compounds from Terrestrial Extremophiles</w:t>
      </w:r>
      <w:r w:rsidRPr="00BB6824">
        <w:t xml:space="preserve">, eds. L.-A. Giddings and D. J. Newman (Cham: Springer International Publishing), 1–75. doi: </w:t>
      </w:r>
      <w:hyperlink r:id="rId283" w:history="1">
        <w:r w:rsidRPr="00BB6824">
          <w:rPr>
            <w:rStyle w:val="Hyperlink"/>
            <w:rFonts w:ascii="Times New Roman" w:hAnsi="Times New Roman"/>
          </w:rPr>
          <w:t>10.1007/978-3-319-13260-0_1</w:t>
        </w:r>
      </w:hyperlink>
    </w:p>
    <w:p w14:paraId="69F6B4BD" w14:textId="77777777" w:rsidR="005F62EA" w:rsidRPr="00BB6824" w:rsidRDefault="005F62EA" w:rsidP="00562BA2">
      <w:pPr>
        <w:pStyle w:val="Rerences"/>
      </w:pPr>
      <w:r w:rsidRPr="00BB6824">
        <w:t xml:space="preserve">Gonçalves, V. N., Carvalho, C. R., Johann, S., Mendes, G., Alves, T. M. A., Zani, C. L., et al. (2015). Antibacterial, antifungal and antiprotozoal activities of fungal communities present in different substrates from Antarctica. </w:t>
      </w:r>
      <w:r w:rsidRPr="00BB6824">
        <w:rPr>
          <w:i/>
          <w:iCs/>
        </w:rPr>
        <w:t>Polar Biol</w:t>
      </w:r>
      <w:r w:rsidRPr="00BB6824">
        <w:t xml:space="preserve"> 38, 1143–1152. doi: </w:t>
      </w:r>
      <w:hyperlink r:id="rId284" w:history="1">
        <w:r w:rsidRPr="00BB6824">
          <w:rPr>
            <w:rStyle w:val="Hyperlink"/>
            <w:rFonts w:ascii="Times New Roman" w:hAnsi="Times New Roman"/>
          </w:rPr>
          <w:t>10.1007/s00300-015-1672-5</w:t>
        </w:r>
      </w:hyperlink>
    </w:p>
    <w:p w14:paraId="3880A1CF" w14:textId="77777777" w:rsidR="005F62EA" w:rsidRPr="00BB6824" w:rsidRDefault="005F62EA" w:rsidP="00562BA2">
      <w:pPr>
        <w:pStyle w:val="Rerences"/>
      </w:pPr>
      <w:r w:rsidRPr="00BB6824">
        <w:t xml:space="preserve">Gu, Z., Liu, Y., Xu, B., Wang, N., Jiao, N., Shen, L., et al. (2017). </w:t>
      </w:r>
      <w:r w:rsidRPr="00BB6824">
        <w:rPr>
          <w:i/>
          <w:iCs/>
        </w:rPr>
        <w:t>Massilia glaciei</w:t>
      </w:r>
      <w:r w:rsidRPr="00BB6824">
        <w:t xml:space="preserve"> sp. nov., isolated from the Muztagh Glacier. </w:t>
      </w:r>
      <w:r w:rsidRPr="00BB6824">
        <w:rPr>
          <w:i/>
          <w:iCs/>
        </w:rPr>
        <w:t>International Journal of Systematic and Evolutionary Microbiology,</w:t>
      </w:r>
      <w:r w:rsidRPr="00BB6824">
        <w:t xml:space="preserve"> 67, 4075–4079. doi: </w:t>
      </w:r>
      <w:hyperlink r:id="rId285" w:history="1">
        <w:r w:rsidRPr="00BB6824">
          <w:rPr>
            <w:rStyle w:val="Hyperlink"/>
            <w:rFonts w:ascii="Times New Roman" w:hAnsi="Times New Roman"/>
          </w:rPr>
          <w:t>10.1099/ijsem.0.002252</w:t>
        </w:r>
      </w:hyperlink>
    </w:p>
    <w:p w14:paraId="39CC524C" w14:textId="77777777" w:rsidR="005F62EA" w:rsidRPr="00BB6824" w:rsidRDefault="005F62EA" w:rsidP="00562BA2">
      <w:pPr>
        <w:pStyle w:val="Rerences"/>
      </w:pPr>
      <w:r w:rsidRPr="00BB6824">
        <w:t xml:space="preserve">Guo, B., Liu, Y., Gu, Z., Shen, L., Liu, K., Wang, N., et al. (2016). </w:t>
      </w:r>
      <w:r w:rsidRPr="00BB6824">
        <w:rPr>
          <w:i/>
          <w:iCs/>
        </w:rPr>
        <w:t>Massilia psychrophila</w:t>
      </w:r>
      <w:r w:rsidRPr="00BB6824">
        <w:t xml:space="preserve"> sp. nov., isolated from an ice core. </w:t>
      </w:r>
      <w:r w:rsidRPr="00BB6824">
        <w:rPr>
          <w:i/>
          <w:iCs/>
        </w:rPr>
        <w:t>International Journal of Systematic and Evolutionary Microbiology</w:t>
      </w:r>
      <w:r w:rsidRPr="00BB6824">
        <w:t xml:space="preserve"> 66, 4088–4093. doi: </w:t>
      </w:r>
      <w:hyperlink r:id="rId286" w:history="1">
        <w:r w:rsidRPr="00BB6824">
          <w:rPr>
            <w:rStyle w:val="Hyperlink"/>
            <w:rFonts w:ascii="Times New Roman" w:hAnsi="Times New Roman"/>
          </w:rPr>
          <w:t>10.1099/ijsem.0.001315</w:t>
        </w:r>
      </w:hyperlink>
    </w:p>
    <w:p w14:paraId="6E7E0E1D" w14:textId="77777777" w:rsidR="005F62EA" w:rsidRPr="00BB6824" w:rsidRDefault="005F62EA" w:rsidP="00562BA2">
      <w:pPr>
        <w:pStyle w:val="Rerences"/>
      </w:pPr>
      <w:r w:rsidRPr="00BB6824">
        <w:t xml:space="preserve">Guo, J., Bolduc, B., Zayed, A. A., Varsani, A., Dominguez-Huerta, G., Delmont, T. O., et al. (2021). VirSorter2: a multi-classifier, expert-guided approach to detect diverse DNA and RNA viruses. </w:t>
      </w:r>
      <w:r w:rsidRPr="00BB6824">
        <w:rPr>
          <w:i/>
          <w:iCs/>
        </w:rPr>
        <w:t>Microbiome</w:t>
      </w:r>
      <w:r w:rsidRPr="00BB6824">
        <w:t xml:space="preserve"> 9, 37. doi: </w:t>
      </w:r>
      <w:hyperlink r:id="rId287" w:history="1">
        <w:r w:rsidRPr="00BB6824">
          <w:rPr>
            <w:rStyle w:val="Hyperlink"/>
            <w:rFonts w:ascii="Times New Roman" w:hAnsi="Times New Roman"/>
          </w:rPr>
          <w:t>10.1186/s40168-020-00990-y</w:t>
        </w:r>
      </w:hyperlink>
    </w:p>
    <w:p w14:paraId="74F06CF0" w14:textId="77777777" w:rsidR="005F62EA" w:rsidRPr="00BB6824" w:rsidRDefault="005F62EA" w:rsidP="00562BA2">
      <w:pPr>
        <w:pStyle w:val="Rerences"/>
      </w:pPr>
      <w:r w:rsidRPr="00BB6824">
        <w:t xml:space="preserve">Gurevich, A., Saveliev, V., Vyahhi, N., and Tesler, G. (2013). QUAST: quality assessment tool for genome assemblies. </w:t>
      </w:r>
      <w:r w:rsidRPr="00BB6824">
        <w:rPr>
          <w:i/>
          <w:iCs/>
        </w:rPr>
        <w:t>Bioinformatics</w:t>
      </w:r>
      <w:r w:rsidRPr="00BB6824">
        <w:t xml:space="preserve"> 29, 1072–1075. doi: </w:t>
      </w:r>
      <w:hyperlink r:id="rId288" w:history="1">
        <w:r w:rsidRPr="00BB6824">
          <w:rPr>
            <w:rStyle w:val="Hyperlink"/>
            <w:rFonts w:ascii="Times New Roman" w:hAnsi="Times New Roman"/>
          </w:rPr>
          <w:t>10.1093/bioinformatics/btt086</w:t>
        </w:r>
      </w:hyperlink>
    </w:p>
    <w:p w14:paraId="46901D83" w14:textId="77777777" w:rsidR="005F62EA" w:rsidRPr="00BB6824" w:rsidRDefault="005F62EA" w:rsidP="00562BA2">
      <w:pPr>
        <w:pStyle w:val="Rerences"/>
      </w:pPr>
      <w:r w:rsidRPr="00BB6824">
        <w:t xml:space="preserve">Habash, S. S., Brass, H. U. C., Klein, A. S., Klebl, D. P., Weber, T. M., Classen, T., et al. (2020). Novel Prodiginine Derivatives Demonstrate Bioactivities on Plants, Nematodes, and Fungi. </w:t>
      </w:r>
      <w:r w:rsidRPr="00BB6824">
        <w:rPr>
          <w:i/>
          <w:iCs/>
        </w:rPr>
        <w:t>Frontiers in Plant Science</w:t>
      </w:r>
      <w:r w:rsidRPr="00BB6824">
        <w:t xml:space="preserve"> 11. Available at: </w:t>
      </w:r>
      <w:hyperlink r:id="rId289" w:history="1">
        <w:r w:rsidRPr="00BB6824">
          <w:rPr>
            <w:rStyle w:val="Hyperlink"/>
            <w:rFonts w:ascii="Times New Roman" w:hAnsi="Times New Roman"/>
          </w:rPr>
          <w:t>https://www.frontiersin.org/articles/10.3389/fpls.2020.579807</w:t>
        </w:r>
      </w:hyperlink>
      <w:r w:rsidRPr="00BB6824">
        <w:t xml:space="preserve"> (Accessed January 27, 2023).</w:t>
      </w:r>
    </w:p>
    <w:p w14:paraId="21C8FAD7" w14:textId="77777777" w:rsidR="005F62EA" w:rsidRPr="00BB6824" w:rsidRDefault="005F62EA" w:rsidP="00562BA2">
      <w:pPr>
        <w:pStyle w:val="Rerences"/>
      </w:pPr>
      <w:r w:rsidRPr="00BB6824">
        <w:lastRenderedPageBreak/>
        <w:t xml:space="preserve">Haddix, P. L., and Shanks, R. M. Q. (2018). Prodigiosin pigment of </w:t>
      </w:r>
      <w:r w:rsidRPr="00BB6824">
        <w:rPr>
          <w:i/>
          <w:iCs/>
        </w:rPr>
        <w:t>Serratia marcescens</w:t>
      </w:r>
      <w:r w:rsidRPr="00BB6824">
        <w:t xml:space="preserve"> is associated with increased biomass production. </w:t>
      </w:r>
      <w:r w:rsidRPr="00BB6824">
        <w:rPr>
          <w:i/>
          <w:iCs/>
        </w:rPr>
        <w:t>Arch Microbiol</w:t>
      </w:r>
      <w:r w:rsidRPr="00BB6824">
        <w:t xml:space="preserve"> 200, 989–999. doi: </w:t>
      </w:r>
      <w:hyperlink r:id="rId290" w:history="1">
        <w:r w:rsidRPr="00BB6824">
          <w:rPr>
            <w:rStyle w:val="Hyperlink"/>
            <w:rFonts w:ascii="Times New Roman" w:hAnsi="Times New Roman"/>
          </w:rPr>
          <w:t>10.1007/s00203-018-1508-0</w:t>
        </w:r>
      </w:hyperlink>
    </w:p>
    <w:p w14:paraId="364BD230" w14:textId="77777777" w:rsidR="005F62EA" w:rsidRPr="00BB6824" w:rsidRDefault="005F62EA" w:rsidP="00562BA2">
      <w:pPr>
        <w:pStyle w:val="Rerences"/>
      </w:pPr>
      <w:r w:rsidRPr="00BB6824">
        <w:t xml:space="preserve">Harris, A. K. P., Williamson, N. R., Slater, H., Cox, A., Abbasi, S., Foulds, I., et al. (2004). The </w:t>
      </w:r>
      <w:r w:rsidRPr="00BB6824">
        <w:rPr>
          <w:i/>
          <w:iCs/>
        </w:rPr>
        <w:t>Serratia</w:t>
      </w:r>
      <w:r w:rsidRPr="00BB6824">
        <w:t xml:space="preserve"> gene cluster encoding biosynthesis of the red antibiotic, prodigiosin, shows species- and strain-dependent genome context variation. </w:t>
      </w:r>
      <w:r w:rsidRPr="00BB6824">
        <w:rPr>
          <w:i/>
          <w:iCs/>
        </w:rPr>
        <w:t>Microbiology</w:t>
      </w:r>
      <w:r w:rsidRPr="00BB6824">
        <w:t xml:space="preserve"> 150, 3547–3560. doi: </w:t>
      </w:r>
      <w:hyperlink r:id="rId291" w:history="1">
        <w:r w:rsidRPr="00BB6824">
          <w:rPr>
            <w:rStyle w:val="Hyperlink"/>
            <w:rFonts w:ascii="Times New Roman" w:hAnsi="Times New Roman"/>
          </w:rPr>
          <w:t>10.1099/mic.0.27222-0</w:t>
        </w:r>
      </w:hyperlink>
    </w:p>
    <w:p w14:paraId="15CB4B3D" w14:textId="77777777" w:rsidR="005F62EA" w:rsidRPr="00BB6824" w:rsidRDefault="005F62EA" w:rsidP="00562BA2">
      <w:pPr>
        <w:pStyle w:val="Rerences"/>
      </w:pPr>
      <w:r w:rsidRPr="00BB6824">
        <w:t xml:space="preserve">He, S., Li, P., Wang, J., Zhang, Y., Lu, H., Shi, L., et al. (2022). Discovery of New Secondary Metabolites from Marine Bacteria </w:t>
      </w:r>
      <w:r w:rsidRPr="00BB6824">
        <w:rPr>
          <w:i/>
          <w:iCs/>
        </w:rPr>
        <w:t>Hahella</w:t>
      </w:r>
      <w:r w:rsidRPr="00BB6824">
        <w:t xml:space="preserve"> Based on an Omics Strategy. </w:t>
      </w:r>
      <w:r w:rsidRPr="00BB6824">
        <w:rPr>
          <w:i/>
          <w:iCs/>
        </w:rPr>
        <w:t>Marine Drugs</w:t>
      </w:r>
      <w:r w:rsidRPr="00BB6824">
        <w:t xml:space="preserve"> 20, 269. doi: </w:t>
      </w:r>
      <w:hyperlink r:id="rId292" w:history="1">
        <w:r w:rsidRPr="00BB6824">
          <w:rPr>
            <w:rStyle w:val="Hyperlink"/>
            <w:rFonts w:ascii="Times New Roman" w:hAnsi="Times New Roman"/>
          </w:rPr>
          <w:t>10.3390/md20040269</w:t>
        </w:r>
      </w:hyperlink>
    </w:p>
    <w:p w14:paraId="331227CC" w14:textId="77777777" w:rsidR="005F62EA" w:rsidRPr="00BB6824" w:rsidRDefault="005F62EA" w:rsidP="00562BA2">
      <w:pPr>
        <w:pStyle w:val="Rerences"/>
      </w:pPr>
      <w:r w:rsidRPr="00BB6824">
        <w:t xml:space="preserve">Hirsch, P., Gallikowski, C. A., Siebert, J., Peissl, K., Kroppenstedt, R., Schumann, P., et al. (2004). </w:t>
      </w:r>
      <w:r w:rsidRPr="00BB6824">
        <w:rPr>
          <w:i/>
          <w:iCs/>
        </w:rPr>
        <w:t>Deinococcus frigens</w:t>
      </w:r>
      <w:r w:rsidRPr="00BB6824">
        <w:t xml:space="preserve"> sp. nov., </w:t>
      </w:r>
      <w:r w:rsidRPr="00BB6824">
        <w:rPr>
          <w:i/>
          <w:iCs/>
        </w:rPr>
        <w:t>Deinococcus saxicola</w:t>
      </w:r>
      <w:r w:rsidRPr="00BB6824">
        <w:t xml:space="preserve"> sp. nov., and </w:t>
      </w:r>
      <w:r w:rsidRPr="00BB6824">
        <w:rPr>
          <w:i/>
          <w:iCs/>
        </w:rPr>
        <w:t>Deinococcus marmoris</w:t>
      </w:r>
      <w:r w:rsidRPr="00BB6824">
        <w:t xml:space="preserve"> sp. nov., Low Temperature and Draught-tolerating, UV-resistant Bacteria from Continental Antarctica. </w:t>
      </w:r>
      <w:r w:rsidRPr="00BB6824">
        <w:rPr>
          <w:i/>
          <w:iCs/>
        </w:rPr>
        <w:t>Systematic and Applied Microbiology</w:t>
      </w:r>
      <w:r w:rsidRPr="00BB6824">
        <w:t xml:space="preserve"> 27, 636–645. doi: </w:t>
      </w:r>
      <w:hyperlink r:id="rId293" w:history="1">
        <w:r w:rsidRPr="00BB6824">
          <w:rPr>
            <w:rStyle w:val="Hyperlink"/>
            <w:rFonts w:ascii="Times New Roman" w:hAnsi="Times New Roman"/>
          </w:rPr>
          <w:t>10.1078/0723202042370008</w:t>
        </w:r>
      </w:hyperlink>
    </w:p>
    <w:p w14:paraId="5A8D7F45" w14:textId="77777777" w:rsidR="005F62EA" w:rsidRPr="00BB6824" w:rsidRDefault="005F62EA" w:rsidP="00562BA2">
      <w:pPr>
        <w:pStyle w:val="Rerences"/>
      </w:pPr>
      <w:r w:rsidRPr="00BB6824">
        <w:t xml:space="preserve">Holochová, P., Mašlaňová, I., Sedláček, I., Švec, P., Králová, S., Kovařovic, V., et al. (2020). Description of </w:t>
      </w:r>
      <w:r w:rsidRPr="00BB6824">
        <w:rPr>
          <w:i/>
          <w:iCs/>
        </w:rPr>
        <w:t>Massilia rubra</w:t>
      </w:r>
      <w:r w:rsidRPr="00BB6824">
        <w:t xml:space="preserve"> sp. nov., </w:t>
      </w:r>
      <w:r w:rsidRPr="00BB6824">
        <w:rPr>
          <w:i/>
          <w:iCs/>
        </w:rPr>
        <w:t>Massilia aquatica</w:t>
      </w:r>
      <w:r w:rsidRPr="00BB6824">
        <w:t xml:space="preserve"> sp. nov., </w:t>
      </w:r>
      <w:r w:rsidRPr="00BB6824">
        <w:rPr>
          <w:i/>
          <w:iCs/>
        </w:rPr>
        <w:t>Massilia mucilaginosa</w:t>
      </w:r>
      <w:r w:rsidRPr="00BB6824">
        <w:t xml:space="preserve"> sp. nov., </w:t>
      </w:r>
      <w:r w:rsidRPr="00BB6824">
        <w:rPr>
          <w:i/>
          <w:iCs/>
        </w:rPr>
        <w:t>Massilia frigida</w:t>
      </w:r>
      <w:r w:rsidRPr="00BB6824">
        <w:t xml:space="preserve"> sp. nov., and one </w:t>
      </w:r>
      <w:r w:rsidRPr="00BB6824">
        <w:rPr>
          <w:i/>
          <w:iCs/>
        </w:rPr>
        <w:t>Massilia</w:t>
      </w:r>
      <w:r w:rsidRPr="00BB6824">
        <w:t xml:space="preserve"> genomospecies isolated from Antarctic streams, lakes and regoliths. </w:t>
      </w:r>
      <w:r w:rsidRPr="00BB6824">
        <w:rPr>
          <w:i/>
          <w:iCs/>
        </w:rPr>
        <w:t>Systematic and Applied Microbiology</w:t>
      </w:r>
      <w:r w:rsidRPr="00BB6824">
        <w:t xml:space="preserve"> 43, 126112. doi: </w:t>
      </w:r>
      <w:hyperlink r:id="rId294" w:history="1">
        <w:r w:rsidRPr="00BB6824">
          <w:rPr>
            <w:rStyle w:val="Hyperlink"/>
            <w:rFonts w:ascii="Times New Roman" w:hAnsi="Times New Roman"/>
          </w:rPr>
          <w:t>10.1016/j.syapm.2020.126112</w:t>
        </w:r>
      </w:hyperlink>
    </w:p>
    <w:p w14:paraId="015862D2" w14:textId="77777777" w:rsidR="005F62EA" w:rsidRPr="00BB6824" w:rsidRDefault="005F62EA" w:rsidP="00562BA2">
      <w:pPr>
        <w:pStyle w:val="Rerences"/>
      </w:pPr>
      <w:r w:rsidRPr="00BB6824">
        <w:t xml:space="preserve">Ju, J., Lim, S.-K., Jiang, H., and Shen, B. (2005). Migrastatin and Dorrigocins Are Shunt Metabolites of Iso-Migrastatin. </w:t>
      </w:r>
      <w:r w:rsidRPr="00BB6824">
        <w:rPr>
          <w:i/>
          <w:iCs/>
        </w:rPr>
        <w:t>J. Am. Chem. Soc.</w:t>
      </w:r>
      <w:r w:rsidRPr="00BB6824">
        <w:t xml:space="preserve"> 127, 1622–1623. doi: </w:t>
      </w:r>
      <w:hyperlink r:id="rId295" w:history="1">
        <w:r w:rsidRPr="00BB6824">
          <w:rPr>
            <w:rStyle w:val="Hyperlink"/>
            <w:rFonts w:ascii="Times New Roman" w:hAnsi="Times New Roman"/>
          </w:rPr>
          <w:t>10.1021/ja043808i</w:t>
        </w:r>
      </w:hyperlink>
    </w:p>
    <w:p w14:paraId="36D3C338" w14:textId="77777777" w:rsidR="005F62EA" w:rsidRPr="00BB6824" w:rsidRDefault="005F62EA" w:rsidP="00562BA2">
      <w:pPr>
        <w:pStyle w:val="Rerences"/>
      </w:pPr>
      <w:r w:rsidRPr="00BB6824">
        <w:t xml:space="preserve">Kämpfer, P., Lodders, N., Martin, K., and Falsen, E. (2012). </w:t>
      </w:r>
      <w:r w:rsidRPr="00BB6824">
        <w:rPr>
          <w:i/>
          <w:iCs/>
        </w:rPr>
        <w:t>Massilia oculi</w:t>
      </w:r>
      <w:r w:rsidRPr="00BB6824">
        <w:t xml:space="preserve"> sp. nov., isolated from a human clinical specimen. </w:t>
      </w:r>
      <w:r w:rsidRPr="00BB6824">
        <w:rPr>
          <w:i/>
          <w:iCs/>
        </w:rPr>
        <w:t>International Journal of Systematic and Evolutionary Microbiology</w:t>
      </w:r>
      <w:r w:rsidRPr="00BB6824">
        <w:t xml:space="preserve"> 62, 364–369. doi: </w:t>
      </w:r>
      <w:hyperlink r:id="rId296" w:history="1">
        <w:r w:rsidRPr="00BB6824">
          <w:rPr>
            <w:rStyle w:val="Hyperlink"/>
            <w:rFonts w:ascii="Times New Roman" w:hAnsi="Times New Roman"/>
          </w:rPr>
          <w:t>10.1099/ijs.0.032441-0</w:t>
        </w:r>
      </w:hyperlink>
    </w:p>
    <w:p w14:paraId="74F50645" w14:textId="77777777" w:rsidR="005F62EA" w:rsidRPr="00BB6824" w:rsidRDefault="005F62EA" w:rsidP="00562BA2">
      <w:pPr>
        <w:pStyle w:val="Rerences"/>
      </w:pPr>
      <w:r w:rsidRPr="00BB6824">
        <w:t xml:space="preserve">Kanehisa, M., Sato, Y., and Morishima, K. (2016). BlastKOALA and GhostKOALA: KEGG Tools for Functional Characterization of Genome and Metagenome </w:t>
      </w:r>
      <w:r w:rsidRPr="00BB6824">
        <w:lastRenderedPageBreak/>
        <w:t xml:space="preserve">Sequences. </w:t>
      </w:r>
      <w:r w:rsidRPr="00BB6824">
        <w:rPr>
          <w:i/>
          <w:iCs/>
        </w:rPr>
        <w:t>Journal of Molecular Biology</w:t>
      </w:r>
      <w:r w:rsidRPr="00BB6824">
        <w:t xml:space="preserve"> 428, 726–731. doi: </w:t>
      </w:r>
      <w:hyperlink r:id="rId297" w:history="1">
        <w:r w:rsidRPr="00BB6824">
          <w:rPr>
            <w:rStyle w:val="Hyperlink"/>
            <w:rFonts w:ascii="Times New Roman" w:hAnsi="Times New Roman"/>
          </w:rPr>
          <w:t>10.1016/j.jmb.2015.11.006</w:t>
        </w:r>
      </w:hyperlink>
    </w:p>
    <w:p w14:paraId="76FE82F1" w14:textId="77777777" w:rsidR="005F62EA" w:rsidRPr="00BB6824" w:rsidRDefault="005F62EA" w:rsidP="00562BA2">
      <w:pPr>
        <w:pStyle w:val="Rerences"/>
      </w:pPr>
      <w:r w:rsidRPr="00BB6824">
        <w:t xml:space="preserve">Kearse, M., Moir, R., Wilson, A., Stones-Havas, S., Cheung, M., Sturrock, S., et al. (2012). Geneious Basic: An integrated and extendable desktop software platform for the organization and analysis of sequence data. </w:t>
      </w:r>
      <w:r w:rsidRPr="00BB6824">
        <w:rPr>
          <w:i/>
          <w:iCs/>
        </w:rPr>
        <w:t>Bioinformatics</w:t>
      </w:r>
      <w:r w:rsidRPr="00BB6824">
        <w:t xml:space="preserve"> 28, 1647–1649. doi: </w:t>
      </w:r>
      <w:hyperlink r:id="rId298" w:history="1">
        <w:r w:rsidRPr="00BB6824">
          <w:rPr>
            <w:rStyle w:val="Hyperlink"/>
            <w:rFonts w:ascii="Times New Roman" w:hAnsi="Times New Roman"/>
          </w:rPr>
          <w:t>10.1093/bioinformatics/bts199</w:t>
        </w:r>
      </w:hyperlink>
    </w:p>
    <w:p w14:paraId="1CF25DC0" w14:textId="77777777" w:rsidR="005F62EA" w:rsidRPr="00BB6824" w:rsidRDefault="005F62EA" w:rsidP="00562BA2">
      <w:pPr>
        <w:pStyle w:val="Rerences"/>
      </w:pPr>
      <w:r w:rsidRPr="00BB6824">
        <w:t xml:space="preserve">Kim, M., Oh, H.-S., Park, S.-C., and Chun, J. (2014). Towards a taxonomic coherence between average nucleotide identity and 16S rRNA gene sequence similarity for species demarcation of prokaryotes. </w:t>
      </w:r>
      <w:r w:rsidRPr="00BB6824">
        <w:rPr>
          <w:i/>
          <w:iCs/>
        </w:rPr>
        <w:t>International Journal of Systematic and Evolutionary Microbiology</w:t>
      </w:r>
      <w:r w:rsidRPr="00BB6824">
        <w:t xml:space="preserve"> 64, 346–351. doi: </w:t>
      </w:r>
      <w:hyperlink r:id="rId299" w:history="1">
        <w:r w:rsidRPr="00BB6824">
          <w:rPr>
            <w:rStyle w:val="Hyperlink"/>
            <w:rFonts w:ascii="Times New Roman" w:hAnsi="Times New Roman"/>
          </w:rPr>
          <w:t>10.1099/ijs.0.059774-0</w:t>
        </w:r>
      </w:hyperlink>
    </w:p>
    <w:p w14:paraId="19034E84" w14:textId="77777777" w:rsidR="005F62EA" w:rsidRPr="00BB6824" w:rsidRDefault="005F62EA" w:rsidP="00562BA2">
      <w:pPr>
        <w:pStyle w:val="Rerences"/>
      </w:pPr>
      <w:r w:rsidRPr="00BB6824">
        <w:t xml:space="preserve">Konstantinidis, K. T., Ramette, A., and Tiedje, J. M. (2006). The bacterial species definition in the genomic era. </w:t>
      </w:r>
      <w:r w:rsidRPr="00BB6824">
        <w:rPr>
          <w:i/>
          <w:iCs/>
        </w:rPr>
        <w:t>Philosophical Transactions of the Royal Society B: Biological Sciences</w:t>
      </w:r>
      <w:r w:rsidRPr="00BB6824">
        <w:t xml:space="preserve"> 361, 1929–1940. doi: </w:t>
      </w:r>
      <w:hyperlink r:id="rId300" w:history="1">
        <w:r w:rsidRPr="00BB6824">
          <w:rPr>
            <w:rStyle w:val="Hyperlink"/>
            <w:rFonts w:ascii="Times New Roman" w:hAnsi="Times New Roman"/>
          </w:rPr>
          <w:t>10.1098/rstb.2006.1920</w:t>
        </w:r>
      </w:hyperlink>
    </w:p>
    <w:p w14:paraId="2EE7E789" w14:textId="77777777" w:rsidR="005F62EA" w:rsidRPr="00BB6824" w:rsidRDefault="005F62EA" w:rsidP="00562BA2">
      <w:pPr>
        <w:pStyle w:val="Rerences"/>
      </w:pPr>
      <w:r w:rsidRPr="00BB6824">
        <w:t xml:space="preserve">Konstantinidis, K. T., and Tiedje, J. M. (2005). Genomic insights that advance the species definition for prokaryotes. </w:t>
      </w:r>
      <w:r w:rsidRPr="00BB6824">
        <w:rPr>
          <w:i/>
          <w:iCs/>
        </w:rPr>
        <w:t>Proceedings of the National Academy of Sciences</w:t>
      </w:r>
      <w:r w:rsidRPr="00BB6824">
        <w:t xml:space="preserve"> 102, 2567–2572. doi: </w:t>
      </w:r>
      <w:hyperlink r:id="rId301" w:history="1">
        <w:r w:rsidRPr="00BB6824">
          <w:rPr>
            <w:rStyle w:val="Hyperlink"/>
            <w:rFonts w:ascii="Times New Roman" w:hAnsi="Times New Roman"/>
          </w:rPr>
          <w:t>10.1073/pnas.0409727102</w:t>
        </w:r>
      </w:hyperlink>
    </w:p>
    <w:p w14:paraId="11AA347C" w14:textId="77777777" w:rsidR="005F62EA" w:rsidRPr="00BB6824" w:rsidRDefault="005F62EA" w:rsidP="00562BA2">
      <w:pPr>
        <w:pStyle w:val="Rerences"/>
      </w:pPr>
      <w:r w:rsidRPr="00BB6824">
        <w:t xml:space="preserve">Kunze, B., Kohl, W., Höfle, G., and Reichenbach, H. (1989). Myxochelin A, a new iron-chelating compound from </w:t>
      </w:r>
      <w:r w:rsidRPr="00BB6824">
        <w:rPr>
          <w:i/>
          <w:iCs/>
        </w:rPr>
        <w:t>Angiococcus disciformis</w:t>
      </w:r>
      <w:r w:rsidRPr="00BB6824">
        <w:t xml:space="preserve"> (Myxobacterales). </w:t>
      </w:r>
      <w:r w:rsidRPr="00BB6824">
        <w:rPr>
          <w:i/>
          <w:iCs/>
        </w:rPr>
        <w:t>The Journal of Antibiotics</w:t>
      </w:r>
      <w:r w:rsidRPr="00BB6824">
        <w:t xml:space="preserve"> XLII, 14–17.</w:t>
      </w:r>
    </w:p>
    <w:p w14:paraId="49AC37FD" w14:textId="77777777" w:rsidR="005F62EA" w:rsidRPr="00BB6824" w:rsidRDefault="005F62EA" w:rsidP="00562BA2">
      <w:pPr>
        <w:pStyle w:val="Rerences"/>
      </w:pPr>
      <w:r w:rsidRPr="00BB6824">
        <w:t xml:space="preserve">Kuroda, T., Mizushima, T., and Tsuchiya, T. (2005). Physiological Roles of Three Na+/H+ Antiporters in the Halophilic Bacterium </w:t>
      </w:r>
      <w:r w:rsidRPr="00BB6824">
        <w:rPr>
          <w:i/>
          <w:iCs/>
        </w:rPr>
        <w:t>Vibrio parahaemolyticus</w:t>
      </w:r>
      <w:r w:rsidRPr="00BB6824">
        <w:t xml:space="preserve">. </w:t>
      </w:r>
      <w:r w:rsidRPr="00BB6824">
        <w:rPr>
          <w:i/>
          <w:iCs/>
        </w:rPr>
        <w:t>Microbiology and Immunology</w:t>
      </w:r>
      <w:r w:rsidRPr="00BB6824">
        <w:t xml:space="preserve"> 49, 711–719. doi: </w:t>
      </w:r>
      <w:hyperlink r:id="rId302" w:history="1">
        <w:r w:rsidRPr="00BB6824">
          <w:rPr>
            <w:rStyle w:val="Hyperlink"/>
            <w:rFonts w:ascii="Times New Roman" w:hAnsi="Times New Roman"/>
          </w:rPr>
          <w:t>10.1111/j.1348-0421.2005.tb03662.x</w:t>
        </w:r>
      </w:hyperlink>
    </w:p>
    <w:p w14:paraId="6EECAE90" w14:textId="77777777" w:rsidR="005F62EA" w:rsidRPr="00BB6824" w:rsidRDefault="005F62EA" w:rsidP="00562BA2">
      <w:pPr>
        <w:pStyle w:val="Rerences"/>
      </w:pPr>
      <w:r w:rsidRPr="00BB6824">
        <w:t xml:space="preserve">La Scola, B., Birtles, R. J., Mallet, M.-N., and Raoult, D. (1998). </w:t>
      </w:r>
      <w:r w:rsidRPr="00BB6824">
        <w:rPr>
          <w:i/>
          <w:iCs/>
        </w:rPr>
        <w:t>Massilia timonae</w:t>
      </w:r>
      <w:r w:rsidRPr="00BB6824">
        <w:t xml:space="preserve"> gen. nov., sp. nov., Isolated from Blood of an Immunocompromised Patient with Cerebellar Lesions. </w:t>
      </w:r>
      <w:r w:rsidRPr="00BB6824">
        <w:rPr>
          <w:i/>
          <w:iCs/>
        </w:rPr>
        <w:t>J Clin Microbiol</w:t>
      </w:r>
      <w:r w:rsidRPr="00BB6824">
        <w:t xml:space="preserve"> 36, 2847–2852.</w:t>
      </w:r>
    </w:p>
    <w:p w14:paraId="08F1B95C" w14:textId="77777777" w:rsidR="005F62EA" w:rsidRPr="00BB6824" w:rsidRDefault="005F62EA" w:rsidP="00562BA2">
      <w:pPr>
        <w:pStyle w:val="Rerences"/>
      </w:pPr>
      <w:r w:rsidRPr="00BB6824">
        <w:t xml:space="preserve">La Teana, A., Brandi, A., Falconi, M., Spurio, R., Pon, C. L., and Gualerzi, C. O. (1991). Identification of a cold shock transcriptional enhancer of the </w:t>
      </w:r>
      <w:r w:rsidRPr="00BB6824">
        <w:rPr>
          <w:i/>
          <w:iCs/>
        </w:rPr>
        <w:t>Escherichia coli</w:t>
      </w:r>
      <w:r w:rsidRPr="00BB6824">
        <w:t xml:space="preserve"> </w:t>
      </w:r>
      <w:r w:rsidRPr="00BB6824">
        <w:lastRenderedPageBreak/>
        <w:t xml:space="preserve">gene encoding nucleoid protein H-NS. </w:t>
      </w:r>
      <w:r w:rsidRPr="00BB6824">
        <w:rPr>
          <w:i/>
          <w:iCs/>
        </w:rPr>
        <w:t>Proceedings of the National Academy of Sciences</w:t>
      </w:r>
      <w:r w:rsidRPr="00BB6824">
        <w:t xml:space="preserve"> 88, 10907–10911. doi: </w:t>
      </w:r>
      <w:hyperlink r:id="rId303" w:history="1">
        <w:r w:rsidRPr="00BB6824">
          <w:rPr>
            <w:rStyle w:val="Hyperlink"/>
            <w:rFonts w:ascii="Times New Roman" w:hAnsi="Times New Roman"/>
          </w:rPr>
          <w:t>10.1073/pnas.88.23.10907</w:t>
        </w:r>
      </w:hyperlink>
    </w:p>
    <w:p w14:paraId="3C60B964" w14:textId="77777777" w:rsidR="005F62EA" w:rsidRPr="00BB6824" w:rsidRDefault="005F62EA" w:rsidP="00562BA2">
      <w:pPr>
        <w:pStyle w:val="Rerences"/>
      </w:pPr>
      <w:r w:rsidRPr="00BB6824">
        <w:t xml:space="preserve">Lenz, G., and Ron, E. Z. (2014). Novel interaction between the major bacterial heat shock chaperone (GroESL) and an RNA chaperone (CspC). </w:t>
      </w:r>
      <w:r w:rsidRPr="00BB6824">
        <w:rPr>
          <w:i/>
          <w:iCs/>
        </w:rPr>
        <w:t>J Mol Biol</w:t>
      </w:r>
      <w:r w:rsidRPr="00BB6824">
        <w:t xml:space="preserve"> 426, 460–466. doi: </w:t>
      </w:r>
      <w:hyperlink r:id="rId304" w:history="1">
        <w:r w:rsidRPr="00BB6824">
          <w:rPr>
            <w:rStyle w:val="Hyperlink"/>
            <w:rFonts w:ascii="Times New Roman" w:hAnsi="Times New Roman"/>
          </w:rPr>
          <w:t>10.1016/j.jmb.2013.10.018</w:t>
        </w:r>
      </w:hyperlink>
    </w:p>
    <w:p w14:paraId="65B5094B" w14:textId="77777777" w:rsidR="005F62EA" w:rsidRPr="00BB6824" w:rsidRDefault="005F62EA" w:rsidP="00562BA2">
      <w:pPr>
        <w:pStyle w:val="Rerences"/>
      </w:pPr>
      <w:r w:rsidRPr="00BB6824">
        <w:t xml:space="preserve">Levy, J. (2013). How big are the McMurdo Dry Valleys? Estimating ice-free area using Landsat image data. </w:t>
      </w:r>
      <w:r w:rsidRPr="00BB6824">
        <w:rPr>
          <w:i/>
          <w:iCs/>
        </w:rPr>
        <w:t>Antarctic Science</w:t>
      </w:r>
      <w:r w:rsidRPr="00BB6824">
        <w:t xml:space="preserve"> 25, 119–120. doi: </w:t>
      </w:r>
      <w:hyperlink r:id="rId305" w:history="1">
        <w:r w:rsidRPr="00BB6824">
          <w:rPr>
            <w:rStyle w:val="Hyperlink"/>
            <w:rFonts w:ascii="Times New Roman" w:hAnsi="Times New Roman"/>
          </w:rPr>
          <w:t>10.1017/S0954102012000727</w:t>
        </w:r>
      </w:hyperlink>
    </w:p>
    <w:p w14:paraId="6D326586" w14:textId="77777777" w:rsidR="005F62EA" w:rsidRPr="00BB6824" w:rsidRDefault="005F62EA" w:rsidP="00562BA2">
      <w:pPr>
        <w:pStyle w:val="Rerences"/>
      </w:pPr>
      <w:r w:rsidRPr="00BB6824">
        <w:t xml:space="preserve">Lewin, S., Francioli, D., Ulrich, A., and Kolb, S. (2021). Crop host signatures reflected by co-association patterns of keystone Bacteria in the rhizosphere microbiota. </w:t>
      </w:r>
      <w:r w:rsidRPr="00BB6824">
        <w:rPr>
          <w:i/>
          <w:iCs/>
        </w:rPr>
        <w:t>Environmental Microbiome</w:t>
      </w:r>
      <w:r w:rsidRPr="00BB6824">
        <w:t xml:space="preserve"> 16, 18. doi: </w:t>
      </w:r>
      <w:hyperlink r:id="rId306" w:history="1">
        <w:r w:rsidRPr="00BB6824">
          <w:rPr>
            <w:rStyle w:val="Hyperlink"/>
            <w:rFonts w:ascii="Times New Roman" w:hAnsi="Times New Roman"/>
          </w:rPr>
          <w:t>10.1186/s40793-021-00387-w</w:t>
        </w:r>
      </w:hyperlink>
    </w:p>
    <w:p w14:paraId="416DB95F" w14:textId="77777777" w:rsidR="005F62EA" w:rsidRPr="00BB6824" w:rsidRDefault="005F62EA" w:rsidP="00562BA2">
      <w:pPr>
        <w:pStyle w:val="Rerences"/>
      </w:pPr>
      <w:r w:rsidRPr="00BB6824">
        <w:t xml:space="preserve">Li, Y., Weissman, K. J., and Müller, R. (2008). Myxochelin Biosynthesis: Direct Evidence for Two- and Four-Electron Reduction of a Carrier Protein-Bound Thioester. </w:t>
      </w:r>
      <w:r w:rsidRPr="00BB6824">
        <w:rPr>
          <w:i/>
          <w:iCs/>
        </w:rPr>
        <w:t>J. Am. Chem. Soc.</w:t>
      </w:r>
      <w:r w:rsidRPr="00BB6824">
        <w:t xml:space="preserve"> 130, 7554–7555. doi: </w:t>
      </w:r>
      <w:hyperlink r:id="rId307" w:history="1">
        <w:r w:rsidRPr="00BB6824">
          <w:rPr>
            <w:rStyle w:val="Hyperlink"/>
            <w:rFonts w:ascii="Times New Roman" w:hAnsi="Times New Roman"/>
          </w:rPr>
          <w:t>10.1021/ja8025278</w:t>
        </w:r>
      </w:hyperlink>
    </w:p>
    <w:p w14:paraId="296D365F" w14:textId="77777777" w:rsidR="005F62EA" w:rsidRPr="00BB6824" w:rsidRDefault="005F62EA" w:rsidP="00562BA2">
      <w:pPr>
        <w:pStyle w:val="Rerences"/>
      </w:pPr>
      <w:r w:rsidRPr="00BB6824">
        <w:t xml:space="preserve">Li, Y., Xu, X., Dietrich, M., Urlacher, V. B., Schmid, R. D., Ouyang, P., et al. (2009). Identification and functional expression of a Δ9 fatty acid desaturase from the marine bacterium </w:t>
      </w:r>
      <w:r w:rsidRPr="00BB6824">
        <w:rPr>
          <w:i/>
          <w:iCs/>
        </w:rPr>
        <w:t>Pseudoalteromonas</w:t>
      </w:r>
      <w:r w:rsidRPr="00BB6824">
        <w:t xml:space="preserve"> sp. MLY15. </w:t>
      </w:r>
      <w:r w:rsidRPr="00BB6824">
        <w:rPr>
          <w:i/>
          <w:iCs/>
        </w:rPr>
        <w:t>Journal of Molecular Catalysis B: Enzymatic</w:t>
      </w:r>
      <w:r w:rsidRPr="00BB6824">
        <w:t xml:space="preserve"> 56, 96–101. doi: </w:t>
      </w:r>
      <w:hyperlink r:id="rId308" w:history="1">
        <w:r w:rsidRPr="00BB6824">
          <w:rPr>
            <w:rStyle w:val="Hyperlink"/>
            <w:rFonts w:ascii="Times New Roman" w:hAnsi="Times New Roman"/>
          </w:rPr>
          <w:t>10.1016/j.molcatb.2008.07.012</w:t>
        </w:r>
      </w:hyperlink>
    </w:p>
    <w:p w14:paraId="5DCBB194" w14:textId="77777777" w:rsidR="005F62EA" w:rsidRPr="00BB6824" w:rsidRDefault="005F62EA" w:rsidP="00562BA2">
      <w:pPr>
        <w:pStyle w:val="Rerences"/>
      </w:pPr>
      <w:r w:rsidRPr="00BB6824">
        <w:t xml:space="preserve">Lu, H., Song, D., Deng, T., Mei, C., and Xu, M. (2022). Duganella vulcania sp. nov., Rugamonas fusca sp. nov., Rugamonas brunnea sp. nov. and Rugamonas apoptosis sp. nov., isolated from subtropical streams, and phylogenomic analyses of the genera Janthinobacterium, Duganella, Rugamonas, Pseudoduganella and Massilia. </w:t>
      </w:r>
      <w:r w:rsidRPr="00BB6824">
        <w:rPr>
          <w:i/>
          <w:iCs/>
        </w:rPr>
        <w:t>International Journal of Systematic and Evolutionary Microbiology</w:t>
      </w:r>
      <w:r w:rsidRPr="00BB6824">
        <w:t xml:space="preserve"> 72, 005407. doi: </w:t>
      </w:r>
      <w:hyperlink r:id="rId309" w:history="1">
        <w:r w:rsidRPr="00BB6824">
          <w:rPr>
            <w:rStyle w:val="Hyperlink"/>
            <w:rFonts w:ascii="Times New Roman" w:hAnsi="Times New Roman"/>
          </w:rPr>
          <w:t>10.1099/ijsem.0.005407</w:t>
        </w:r>
      </w:hyperlink>
    </w:p>
    <w:p w14:paraId="6A685726" w14:textId="77777777" w:rsidR="005F62EA" w:rsidRPr="00BB6824" w:rsidRDefault="005F62EA" w:rsidP="00562BA2">
      <w:pPr>
        <w:pStyle w:val="Rerences"/>
      </w:pPr>
      <w:r w:rsidRPr="00BB6824">
        <w:t xml:space="preserve">Lu, H.-B., Cai, Z.-P., Yang, Y.-G., and Xu, M.-Y. (2020). </w:t>
      </w:r>
      <w:r w:rsidRPr="00BB6824">
        <w:rPr>
          <w:i/>
          <w:iCs/>
        </w:rPr>
        <w:t>Duganella rivus</w:t>
      </w:r>
      <w:r w:rsidRPr="00BB6824">
        <w:t xml:space="preserve"> sp. nov., </w:t>
      </w:r>
      <w:r w:rsidRPr="00BB6824">
        <w:rPr>
          <w:i/>
          <w:iCs/>
        </w:rPr>
        <w:t>Duganella fentianensis</w:t>
      </w:r>
      <w:r w:rsidRPr="00BB6824">
        <w:t xml:space="preserve"> sp. nov., </w:t>
      </w:r>
      <w:r w:rsidRPr="00BB6824">
        <w:rPr>
          <w:i/>
          <w:iCs/>
        </w:rPr>
        <w:t>Duganella qianjiadongensis</w:t>
      </w:r>
      <w:r w:rsidRPr="00BB6824">
        <w:t xml:space="preserve"> sp. nov. and </w:t>
      </w:r>
      <w:r w:rsidRPr="00BB6824">
        <w:rPr>
          <w:i/>
          <w:iCs/>
        </w:rPr>
        <w:t>Massilia guangdongensis</w:t>
      </w:r>
      <w:r w:rsidRPr="00BB6824">
        <w:t xml:space="preserve"> sp. nov., isolated from subtropical streams in China and reclassification of all species within genus </w:t>
      </w:r>
      <w:r w:rsidRPr="00BB6824">
        <w:rPr>
          <w:i/>
          <w:iCs/>
        </w:rPr>
        <w:t>Pseudoduganella</w:t>
      </w:r>
      <w:r w:rsidRPr="00BB6824">
        <w:t xml:space="preserve">. </w:t>
      </w:r>
      <w:r w:rsidRPr="00BB6824">
        <w:rPr>
          <w:i/>
          <w:iCs/>
        </w:rPr>
        <w:t>Antonie van Leeuwenhoek</w:t>
      </w:r>
      <w:r w:rsidRPr="00BB6824">
        <w:t xml:space="preserve"> 113, 1155–1165. doi: </w:t>
      </w:r>
      <w:hyperlink r:id="rId310" w:history="1">
        <w:r w:rsidRPr="00BB6824">
          <w:rPr>
            <w:rStyle w:val="Hyperlink"/>
            <w:rFonts w:ascii="Times New Roman" w:hAnsi="Times New Roman"/>
          </w:rPr>
          <w:t>10.1007/s10482-020-01422-5</w:t>
        </w:r>
      </w:hyperlink>
    </w:p>
    <w:p w14:paraId="3FE44B95" w14:textId="77777777" w:rsidR="005F62EA" w:rsidRPr="00BB6824" w:rsidRDefault="005F62EA" w:rsidP="00562BA2">
      <w:pPr>
        <w:pStyle w:val="Rerences"/>
      </w:pPr>
      <w:r w:rsidRPr="00BB6824">
        <w:lastRenderedPageBreak/>
        <w:t xml:space="preserve">Lynch, M. D. J., and Neufeld, J. D. (2015). Ecology and exploration of the rare biosphere. </w:t>
      </w:r>
      <w:r w:rsidRPr="00BB6824">
        <w:rPr>
          <w:i/>
          <w:iCs/>
        </w:rPr>
        <w:t>Nat Rev Microbiol</w:t>
      </w:r>
      <w:r w:rsidRPr="00BB6824">
        <w:t xml:space="preserve"> 13, 217–229. doi: </w:t>
      </w:r>
      <w:hyperlink r:id="rId311" w:history="1">
        <w:r w:rsidRPr="00BB6824">
          <w:rPr>
            <w:rStyle w:val="Hyperlink"/>
            <w:rFonts w:ascii="Times New Roman" w:hAnsi="Times New Roman"/>
          </w:rPr>
          <w:t>10.1038/nrmicro3400</w:t>
        </w:r>
      </w:hyperlink>
    </w:p>
    <w:p w14:paraId="343479DB" w14:textId="77777777" w:rsidR="005F62EA" w:rsidRPr="00BB6824" w:rsidRDefault="005F62EA" w:rsidP="00562BA2">
      <w:pPr>
        <w:pStyle w:val="Rerences"/>
      </w:pPr>
      <w:r w:rsidRPr="00BB6824">
        <w:t xml:space="preserve">McKnight, D. M., Tate, C. M., Andrews, E. D., Niyogi, D. K., Cozzetto, K., Welch, K., et al. (2007). Reactivation of a cryptobiotic stream ecosystem in the McMurdo Dry Valleys, Antarctica: A long-term geomorphological experiment. </w:t>
      </w:r>
      <w:r w:rsidRPr="00BB6824">
        <w:rPr>
          <w:i/>
          <w:iCs/>
        </w:rPr>
        <w:t>Geomorphology</w:t>
      </w:r>
      <w:r w:rsidRPr="00BB6824">
        <w:t xml:space="preserve"> 89, 186–204. doi: </w:t>
      </w:r>
      <w:hyperlink r:id="rId312" w:history="1">
        <w:r w:rsidRPr="00BB6824">
          <w:rPr>
            <w:rStyle w:val="Hyperlink"/>
            <w:rFonts w:ascii="Times New Roman" w:hAnsi="Times New Roman"/>
          </w:rPr>
          <w:t>10.1016/j.geomorph.2006.07.025</w:t>
        </w:r>
      </w:hyperlink>
    </w:p>
    <w:p w14:paraId="5C33A185" w14:textId="77777777" w:rsidR="005F62EA" w:rsidRPr="00BB6824" w:rsidRDefault="005F62EA" w:rsidP="00562BA2">
      <w:pPr>
        <w:pStyle w:val="Rerences"/>
      </w:pPr>
      <w:r w:rsidRPr="00BB6824">
        <w:t xml:space="preserve">Meier-Kolthoff, J. P., Carbasse, J. S., Peinado-Olarte, R. L., and Göker, M. (2022). TYGS and LPSN: a database tandem for fast and reliable genome-based classification and nomenclature of prokaryotes. </w:t>
      </w:r>
      <w:r w:rsidRPr="00BB6824">
        <w:rPr>
          <w:i/>
          <w:iCs/>
        </w:rPr>
        <w:t>Nucleic Acids Research</w:t>
      </w:r>
      <w:r w:rsidRPr="00BB6824">
        <w:t xml:space="preserve"> 50, D801–D807. doi: </w:t>
      </w:r>
      <w:hyperlink r:id="rId313" w:history="1">
        <w:r w:rsidRPr="00BB6824">
          <w:rPr>
            <w:rStyle w:val="Hyperlink"/>
            <w:rFonts w:ascii="Times New Roman" w:hAnsi="Times New Roman"/>
          </w:rPr>
          <w:t>10.1093/nar/gkab902</w:t>
        </w:r>
      </w:hyperlink>
    </w:p>
    <w:p w14:paraId="43C858C9" w14:textId="77777777" w:rsidR="005F62EA" w:rsidRPr="00BB6824" w:rsidRDefault="005F62EA" w:rsidP="00562BA2">
      <w:pPr>
        <w:pStyle w:val="Rerences"/>
      </w:pPr>
      <w:r w:rsidRPr="00BB6824">
        <w:t xml:space="preserve">Mikucki, J., Lyons, W. B., Hawes, I., Lanoil, B. D., and Doran, P. T. (2010). “Saline lakes and ponds in the McMurdo Dry Valleys: ecological analogs to martian paleolake environments,” in </w:t>
      </w:r>
      <w:r w:rsidRPr="00BB6824">
        <w:rPr>
          <w:i/>
          <w:iCs/>
        </w:rPr>
        <w:t>Life in Antarctic Deserts and other Cold Dry Environments: Astrobiological Analogs</w:t>
      </w:r>
      <w:r w:rsidRPr="00BB6824">
        <w:t>, eds. P. T. Doran, W. B. Lyons, and D. M. McKnight (Cambridge, Massachusetts: Cambridge University Press), 160–194.</w:t>
      </w:r>
    </w:p>
    <w:p w14:paraId="7802FF51" w14:textId="77777777" w:rsidR="005F62EA" w:rsidRPr="00BB6824" w:rsidRDefault="005F62EA" w:rsidP="00562BA2">
      <w:pPr>
        <w:pStyle w:val="Rerences"/>
      </w:pPr>
      <w:r w:rsidRPr="00BB6824">
        <w:t xml:space="preserve">Mogk, A., Schlieker, C., Strub, C., Rist, W., Weibezahn, J., and Bukau, B. (2003). Roles of Individual Domains and Conserved Motifs of the AAA+ Chaperone ClpB in Oligomerization, ATP Hydrolysis, and Chaperone Activity *. </w:t>
      </w:r>
      <w:r w:rsidRPr="00BB6824">
        <w:rPr>
          <w:i/>
          <w:iCs/>
        </w:rPr>
        <w:t>Journal of Biological Chemistry</w:t>
      </w:r>
      <w:r w:rsidRPr="00BB6824">
        <w:t xml:space="preserve"> 278, 17615–17624. doi: </w:t>
      </w:r>
      <w:hyperlink r:id="rId314" w:history="1">
        <w:r w:rsidRPr="00BB6824">
          <w:rPr>
            <w:rStyle w:val="Hyperlink"/>
            <w:rFonts w:ascii="Times New Roman" w:hAnsi="Times New Roman"/>
          </w:rPr>
          <w:t>10.1074/jbc.M209686200</w:t>
        </w:r>
      </w:hyperlink>
    </w:p>
    <w:p w14:paraId="2609C0A3" w14:textId="77777777" w:rsidR="005F62EA" w:rsidRPr="00BB6824" w:rsidRDefault="005F62EA" w:rsidP="00562BA2">
      <w:pPr>
        <w:pStyle w:val="Rerences"/>
      </w:pPr>
      <w:r w:rsidRPr="00BB6824">
        <w:t xml:space="preserve">Montgomery, K., Charlesworth, J. C., LeBard, R., Visscher, P. T., and Burns, B. P. (2013). Quorum Sensing in Extreme Environments. </w:t>
      </w:r>
      <w:r w:rsidRPr="00BB6824">
        <w:rPr>
          <w:i/>
          <w:iCs/>
        </w:rPr>
        <w:t>Life</w:t>
      </w:r>
      <w:r w:rsidRPr="00BB6824">
        <w:t xml:space="preserve"> 3, 131–148. doi: </w:t>
      </w:r>
      <w:hyperlink r:id="rId315" w:history="1">
        <w:r w:rsidRPr="00BB6824">
          <w:rPr>
            <w:rStyle w:val="Hyperlink"/>
            <w:rFonts w:ascii="Times New Roman" w:hAnsi="Times New Roman"/>
          </w:rPr>
          <w:t>10.3390/life3010131</w:t>
        </w:r>
      </w:hyperlink>
    </w:p>
    <w:p w14:paraId="5F2FEA94" w14:textId="77777777" w:rsidR="005F62EA" w:rsidRPr="00BB6824" w:rsidRDefault="005F62EA" w:rsidP="00562BA2">
      <w:pPr>
        <w:pStyle w:val="Rerences"/>
      </w:pPr>
      <w:r w:rsidRPr="00BB6824">
        <w:t xml:space="preserve">Myeong, N. R., Seong, H. J., Kim, H.-J., and Sul, W. J. (2016). Complete genome sequence of antibiotic and anticancer agent violacein producing </w:t>
      </w:r>
      <w:r w:rsidRPr="00BB6824">
        <w:rPr>
          <w:i/>
          <w:iCs/>
        </w:rPr>
        <w:t>Massilia</w:t>
      </w:r>
      <w:r w:rsidRPr="00BB6824">
        <w:t xml:space="preserve"> sp. strain NR 4-1. </w:t>
      </w:r>
      <w:r w:rsidRPr="00BB6824">
        <w:rPr>
          <w:i/>
          <w:iCs/>
        </w:rPr>
        <w:t>Journal of Biotechnology</w:t>
      </w:r>
      <w:r w:rsidRPr="00BB6824">
        <w:t xml:space="preserve"> 223, 36–37. doi: </w:t>
      </w:r>
      <w:hyperlink r:id="rId316" w:history="1">
        <w:r w:rsidRPr="00BB6824">
          <w:rPr>
            <w:rStyle w:val="Hyperlink"/>
            <w:rFonts w:ascii="Times New Roman" w:hAnsi="Times New Roman"/>
          </w:rPr>
          <w:t>10.1016/j.jbiotec.2016.02.027</w:t>
        </w:r>
      </w:hyperlink>
    </w:p>
    <w:p w14:paraId="4C4726E7" w14:textId="77777777" w:rsidR="005F62EA" w:rsidRPr="00BB6824" w:rsidRDefault="005F62EA" w:rsidP="00562BA2">
      <w:pPr>
        <w:pStyle w:val="Rerences"/>
      </w:pPr>
      <w:r w:rsidRPr="00BB6824">
        <w:t xml:space="preserve">Niehs, S. P., Kumpfmüller, J., Dose, B., Little, R. F., Ishida, K., Flórez, L. V., et al. (2020). Insect-Associated Bacteria Assemble the Antifungal Butenolide </w:t>
      </w:r>
      <w:r w:rsidRPr="00BB6824">
        <w:lastRenderedPageBreak/>
        <w:t xml:space="preserve">Gladiofungin by Non-Canonical Polyketide Chain Termination. </w:t>
      </w:r>
      <w:r w:rsidRPr="00BB6824">
        <w:rPr>
          <w:i/>
          <w:iCs/>
        </w:rPr>
        <w:t>Angewandte Chemie International Edition</w:t>
      </w:r>
      <w:r w:rsidRPr="00BB6824">
        <w:t xml:space="preserve"> 59, 23122–23126. doi: </w:t>
      </w:r>
      <w:hyperlink r:id="rId317" w:history="1">
        <w:r w:rsidRPr="00BB6824">
          <w:rPr>
            <w:rStyle w:val="Hyperlink"/>
            <w:rFonts w:ascii="Times New Roman" w:hAnsi="Times New Roman"/>
          </w:rPr>
          <w:t>10.1002/anie.202005711</w:t>
        </w:r>
      </w:hyperlink>
    </w:p>
    <w:p w14:paraId="60AC3E6A" w14:textId="77777777" w:rsidR="005F62EA" w:rsidRPr="00BB6824" w:rsidRDefault="005F62EA" w:rsidP="00562BA2">
      <w:pPr>
        <w:pStyle w:val="Rerences"/>
      </w:pPr>
      <w:r w:rsidRPr="00BB6824">
        <w:t xml:space="preserve">Obryk, M. K., Doran, P. T., Fountain, A. G., Myers, M., and McKay, C. P. (2020). Climate From the McMurdo Dry Valleys, Antarctica, 1986–2017: Surface Air Temperature Trends and Redefined Summer Season. </w:t>
      </w:r>
      <w:r w:rsidRPr="00BB6824">
        <w:rPr>
          <w:i/>
          <w:iCs/>
        </w:rPr>
        <w:t>J. Geophys. Res. Atmos.</w:t>
      </w:r>
      <w:r w:rsidRPr="00BB6824">
        <w:t xml:space="preserve"> 125, e2019JD032180. doi: </w:t>
      </w:r>
      <w:hyperlink r:id="rId318" w:history="1">
        <w:r w:rsidRPr="00BB6824">
          <w:rPr>
            <w:rStyle w:val="Hyperlink"/>
            <w:rFonts w:ascii="Times New Roman" w:hAnsi="Times New Roman"/>
          </w:rPr>
          <w:t>10.1029/2019JD032180</w:t>
        </w:r>
      </w:hyperlink>
    </w:p>
    <w:p w14:paraId="4AE341D2" w14:textId="77777777" w:rsidR="005F62EA" w:rsidRPr="00BB6824" w:rsidRDefault="005F62EA" w:rsidP="00562BA2">
      <w:pPr>
        <w:pStyle w:val="Rerences"/>
      </w:pPr>
      <w:r w:rsidRPr="00BB6824">
        <w:t xml:space="preserve">Obryk, M. K., Fountain, A. G., Doran, P. T., Lyons, W. B., and Eastman, R. (2018). Drivers of solar radiation variability in the McMurdo Dry Valleys, Antarctica. </w:t>
      </w:r>
      <w:r w:rsidRPr="00BB6824">
        <w:rPr>
          <w:i/>
          <w:iCs/>
        </w:rPr>
        <w:t>Sci Rep</w:t>
      </w:r>
      <w:r w:rsidRPr="00BB6824">
        <w:t xml:space="preserve"> 8, 5002. doi: </w:t>
      </w:r>
      <w:hyperlink r:id="rId319" w:history="1">
        <w:r w:rsidRPr="00BB6824">
          <w:rPr>
            <w:rStyle w:val="Hyperlink"/>
            <w:rFonts w:ascii="Times New Roman" w:hAnsi="Times New Roman"/>
          </w:rPr>
          <w:t>10.1038/s41598-018-23390-7</w:t>
        </w:r>
      </w:hyperlink>
    </w:p>
    <w:p w14:paraId="0B6102EA" w14:textId="77777777" w:rsidR="005F62EA" w:rsidRPr="00BB6824" w:rsidRDefault="005F62EA" w:rsidP="00562BA2">
      <w:pPr>
        <w:pStyle w:val="Rerences"/>
      </w:pPr>
      <w:r w:rsidRPr="00BB6824">
        <w:t xml:space="preserve">O’Leary, N. A., Wright, M. W., Brister, J. R., Ciufo, S., Haddad, D., McVeigh, R., et al. (2016). Reference sequence (RefSeq) database at NCBI: current status, taxonomic expansion, and functional annotation. </w:t>
      </w:r>
      <w:r w:rsidRPr="00BB6824">
        <w:rPr>
          <w:i/>
          <w:iCs/>
        </w:rPr>
        <w:t>Nucleic Acids Research</w:t>
      </w:r>
      <w:r w:rsidRPr="00BB6824">
        <w:t xml:space="preserve"> 44, D733–D745. doi: </w:t>
      </w:r>
      <w:hyperlink r:id="rId320" w:history="1">
        <w:r w:rsidRPr="00BB6824">
          <w:rPr>
            <w:rStyle w:val="Hyperlink"/>
            <w:rFonts w:ascii="Times New Roman" w:hAnsi="Times New Roman"/>
          </w:rPr>
          <w:t>10.1093/nar/gkv1189</w:t>
        </w:r>
      </w:hyperlink>
    </w:p>
    <w:p w14:paraId="23B97485" w14:textId="77777777" w:rsidR="005F62EA" w:rsidRPr="00BB6824" w:rsidRDefault="005F62EA" w:rsidP="00562BA2">
      <w:pPr>
        <w:pStyle w:val="Rerences"/>
      </w:pPr>
      <w:r w:rsidRPr="00BB6824">
        <w:t xml:space="preserve">Parks, D. H., Imelfort, M., Skennerton, C. T., Hugenholtz, P., and Tyson, G. W. (2015). CheckM: assessing the quality of microbial genomes recovered from isolates, single cells, and metagenomes. </w:t>
      </w:r>
      <w:r w:rsidRPr="00BB6824">
        <w:rPr>
          <w:i/>
          <w:iCs/>
        </w:rPr>
        <w:t>Genome Res.</w:t>
      </w:r>
      <w:r w:rsidRPr="00BB6824">
        <w:t xml:space="preserve"> 25, 1043–1055. doi: </w:t>
      </w:r>
      <w:hyperlink r:id="rId321" w:history="1">
        <w:r w:rsidRPr="00BB6824">
          <w:rPr>
            <w:rStyle w:val="Hyperlink"/>
            <w:rFonts w:ascii="Times New Roman" w:hAnsi="Times New Roman"/>
          </w:rPr>
          <w:t>10.1101/gr.186072.114</w:t>
        </w:r>
      </w:hyperlink>
    </w:p>
    <w:p w14:paraId="1CB7DDEC" w14:textId="77777777" w:rsidR="005F62EA" w:rsidRPr="00BB6824" w:rsidRDefault="005F62EA" w:rsidP="00562BA2">
      <w:pPr>
        <w:pStyle w:val="Rerences"/>
      </w:pPr>
      <w:r w:rsidRPr="00BB6824">
        <w:t xml:space="preserve">Peeters, K., Verleyen, E., Hodgson, D. A., Convey, P., Ertz, D., Vyverman, W., et al. (2012). Heterotrophic bacterial diversity in aquatic microbial mat communities from Antarctica. </w:t>
      </w:r>
      <w:r w:rsidRPr="00BB6824">
        <w:rPr>
          <w:i/>
          <w:iCs/>
        </w:rPr>
        <w:t>Polar Biol</w:t>
      </w:r>
      <w:r w:rsidRPr="00BB6824">
        <w:t xml:space="preserve"> 35, 543–554. doi: </w:t>
      </w:r>
      <w:hyperlink r:id="rId322" w:history="1">
        <w:r w:rsidRPr="00BB6824">
          <w:rPr>
            <w:rStyle w:val="Hyperlink"/>
            <w:rFonts w:ascii="Times New Roman" w:hAnsi="Times New Roman"/>
          </w:rPr>
          <w:t>10.1007/s00300-011-1100-4</w:t>
        </w:r>
      </w:hyperlink>
    </w:p>
    <w:p w14:paraId="54C964C6" w14:textId="77777777" w:rsidR="005F62EA" w:rsidRPr="00BB6824" w:rsidRDefault="005F62EA" w:rsidP="00562BA2">
      <w:pPr>
        <w:pStyle w:val="Rerences"/>
      </w:pPr>
      <w:r w:rsidRPr="00BB6824">
        <w:t xml:space="preserve">Peng, J., Chou, K., Li, C., and Lee, S. (2011). Generation kinetics of color centers in irradiated poly(4-methyl-1-pentene). </w:t>
      </w:r>
      <w:r w:rsidRPr="00BB6824">
        <w:rPr>
          <w:i/>
          <w:iCs/>
        </w:rPr>
        <w:t>Journal of Applied Physics</w:t>
      </w:r>
      <w:r w:rsidRPr="00BB6824">
        <w:t xml:space="preserve"> 110, 063529. doi: </w:t>
      </w:r>
      <w:hyperlink r:id="rId323" w:history="1">
        <w:r w:rsidRPr="00BB6824">
          <w:rPr>
            <w:rStyle w:val="Hyperlink"/>
            <w:rFonts w:ascii="Times New Roman" w:hAnsi="Times New Roman"/>
          </w:rPr>
          <w:t>10.1063/1.3642957</w:t>
        </w:r>
      </w:hyperlink>
    </w:p>
    <w:p w14:paraId="4D2BE90E" w14:textId="77777777" w:rsidR="005F62EA" w:rsidRPr="00BB6824" w:rsidRDefault="005F62EA" w:rsidP="00562BA2">
      <w:pPr>
        <w:pStyle w:val="Rerences"/>
      </w:pPr>
      <w:r w:rsidRPr="00BB6824">
        <w:t xml:space="preserve">Postle, K., and Good, R. F. (1985). A bidirectional rho-independent transcription terminator between the </w:t>
      </w:r>
      <w:r w:rsidRPr="00BB6824">
        <w:rPr>
          <w:i/>
          <w:iCs/>
        </w:rPr>
        <w:t>E. coli</w:t>
      </w:r>
      <w:r w:rsidRPr="00BB6824">
        <w:t xml:space="preserve"> tonB gene and an opposing gene. </w:t>
      </w:r>
      <w:r w:rsidRPr="00BB6824">
        <w:rPr>
          <w:i/>
          <w:iCs/>
        </w:rPr>
        <w:t>Cell</w:t>
      </w:r>
      <w:r w:rsidRPr="00BB6824">
        <w:t xml:space="preserve"> 41, 577–585. doi: </w:t>
      </w:r>
      <w:hyperlink r:id="rId324" w:history="1">
        <w:r w:rsidRPr="00BB6824">
          <w:rPr>
            <w:rStyle w:val="Hyperlink"/>
            <w:rFonts w:ascii="Times New Roman" w:hAnsi="Times New Roman"/>
          </w:rPr>
          <w:t>10.1016/s0092-8674(85)80030-1</w:t>
        </w:r>
      </w:hyperlink>
    </w:p>
    <w:p w14:paraId="289891DC" w14:textId="77777777" w:rsidR="005F62EA" w:rsidRPr="00BB6824" w:rsidRDefault="005F62EA" w:rsidP="00562BA2">
      <w:pPr>
        <w:pStyle w:val="Rerences"/>
      </w:pPr>
      <w:r w:rsidRPr="00BB6824">
        <w:t xml:space="preserve">Power, S. N., Salvatore, M. R., Sokol, E. R., Stanish, L. F., and Barrett, J. E. (2020). Estimating microbial mat biomass in the McMurdo Dry Valleys, Antarctica using </w:t>
      </w:r>
      <w:r w:rsidRPr="00BB6824">
        <w:lastRenderedPageBreak/>
        <w:t xml:space="preserve">satellite imagery and ground surveys. </w:t>
      </w:r>
      <w:r w:rsidRPr="00BB6824">
        <w:rPr>
          <w:i/>
          <w:iCs/>
        </w:rPr>
        <w:t>Polar Biol</w:t>
      </w:r>
      <w:r w:rsidRPr="00BB6824">
        <w:t xml:space="preserve"> 43, 1753–1767. doi: </w:t>
      </w:r>
      <w:hyperlink r:id="rId325" w:history="1">
        <w:r w:rsidRPr="00BB6824">
          <w:rPr>
            <w:rStyle w:val="Hyperlink"/>
            <w:rFonts w:ascii="Times New Roman" w:hAnsi="Times New Roman"/>
          </w:rPr>
          <w:t>10.1007/s00300-020-02742-y</w:t>
        </w:r>
      </w:hyperlink>
    </w:p>
    <w:p w14:paraId="00205B40" w14:textId="77777777" w:rsidR="005F62EA" w:rsidRPr="00BB6824" w:rsidRDefault="005F62EA" w:rsidP="00562BA2">
      <w:pPr>
        <w:pStyle w:val="Rerences"/>
      </w:pPr>
      <w:r w:rsidRPr="00BB6824">
        <w:t xml:space="preserve">Prud’homme-Généreux, A., Beran, R. K., Iost, I., Ramey, C. S., Mackie, G. A., and Simons, R. W. (2004). Physical and functional interactions among RNase E, polynucleotide phosphorylase and the cold-shock protein, CsdA: evidence for a ‘cold shock degradosome.’ </w:t>
      </w:r>
      <w:r w:rsidRPr="00BB6824">
        <w:rPr>
          <w:i/>
          <w:iCs/>
        </w:rPr>
        <w:t>Molecular Microbiology</w:t>
      </w:r>
      <w:r w:rsidRPr="00BB6824">
        <w:t xml:space="preserve"> 54, 1409–1421. doi: </w:t>
      </w:r>
      <w:hyperlink r:id="rId326" w:history="1">
        <w:r w:rsidRPr="00BB6824">
          <w:rPr>
            <w:rStyle w:val="Hyperlink"/>
            <w:rFonts w:ascii="Times New Roman" w:hAnsi="Times New Roman"/>
          </w:rPr>
          <w:t>10.1111/j.1365-2958.2004.04360.x</w:t>
        </w:r>
      </w:hyperlink>
    </w:p>
    <w:p w14:paraId="74594DCF" w14:textId="77777777" w:rsidR="005F62EA" w:rsidRPr="00BB6824" w:rsidRDefault="005F62EA" w:rsidP="00562BA2">
      <w:pPr>
        <w:pStyle w:val="Rerences"/>
      </w:pPr>
      <w:r w:rsidRPr="00BB6824">
        <w:t xml:space="preserve">Pulschen, A. A., Bendia, A. G., Fricker, A. D., Pellizari, V. H., Galante, D., and Rodrigues, F. (2017). Isolation of Uncultured Bacteria from Antarctica Using Long Incubation Periods and Low Nutritional Media. </w:t>
      </w:r>
      <w:r w:rsidRPr="00BB6824">
        <w:rPr>
          <w:i/>
          <w:iCs/>
        </w:rPr>
        <w:t>Front Microbiol</w:t>
      </w:r>
      <w:r w:rsidRPr="00BB6824">
        <w:t xml:space="preserve"> 8, 1346. doi: </w:t>
      </w:r>
      <w:hyperlink r:id="rId327" w:history="1">
        <w:r w:rsidRPr="00BB6824">
          <w:rPr>
            <w:rStyle w:val="Hyperlink"/>
            <w:rFonts w:ascii="Times New Roman" w:hAnsi="Times New Roman"/>
          </w:rPr>
          <w:t>10.3389/fmicb.2017.01346</w:t>
        </w:r>
      </w:hyperlink>
    </w:p>
    <w:p w14:paraId="210AFACF" w14:textId="77777777" w:rsidR="005F62EA" w:rsidRPr="00BB6824" w:rsidRDefault="005F62EA" w:rsidP="00562BA2">
      <w:pPr>
        <w:pStyle w:val="Rerences"/>
      </w:pPr>
      <w:r w:rsidRPr="00BB6824">
        <w:t xml:space="preserve">Qiu, X.-B., Shao, Y.-M., Miao, S., and Wang, L. (2006). The diversity of the DnaJ/Hsp40 family, the crucial partners for Hsp70 chaperones. </w:t>
      </w:r>
      <w:r w:rsidRPr="00BB6824">
        <w:rPr>
          <w:i/>
          <w:iCs/>
        </w:rPr>
        <w:t>Cell. Mol. Life Sci.</w:t>
      </w:r>
      <w:r w:rsidRPr="00BB6824">
        <w:t xml:space="preserve"> 63, 2560–2570. doi: </w:t>
      </w:r>
      <w:hyperlink r:id="rId328" w:history="1">
        <w:r w:rsidRPr="00BB6824">
          <w:rPr>
            <w:rStyle w:val="Hyperlink"/>
            <w:rFonts w:ascii="Times New Roman" w:hAnsi="Times New Roman"/>
          </w:rPr>
          <w:t>10.1007/s00018-006-6192-6</w:t>
        </w:r>
      </w:hyperlink>
    </w:p>
    <w:p w14:paraId="3D449BC2" w14:textId="77777777" w:rsidR="005F62EA" w:rsidRPr="00BB6824" w:rsidRDefault="005F62EA" w:rsidP="00562BA2">
      <w:pPr>
        <w:pStyle w:val="Rerences"/>
      </w:pPr>
      <w:r w:rsidRPr="00BB6824">
        <w:t xml:space="preserve">R Core Team (2023). R: A language and environment for statistical computing. Available at: </w:t>
      </w:r>
      <w:hyperlink r:id="rId329" w:history="1">
        <w:r w:rsidRPr="00BB6824">
          <w:rPr>
            <w:rStyle w:val="Hyperlink"/>
            <w:rFonts w:ascii="Times New Roman" w:hAnsi="Times New Roman"/>
          </w:rPr>
          <w:t>https://www.R-project.org/</w:t>
        </w:r>
      </w:hyperlink>
    </w:p>
    <w:p w14:paraId="0C184309" w14:textId="77777777" w:rsidR="005F62EA" w:rsidRPr="00BB6824" w:rsidRDefault="005F62EA" w:rsidP="00562BA2">
      <w:pPr>
        <w:pStyle w:val="Rerences"/>
      </w:pPr>
      <w:r w:rsidRPr="00BB6824">
        <w:t xml:space="preserve">Rodriguez-R, L. M., and Konstantinidis, K. T. (2016). The enveomics collection: a toolbox for specialized analyses of microbial genomes and metagenomes. PeerJ Preprints. doi: </w:t>
      </w:r>
      <w:hyperlink r:id="rId330" w:history="1">
        <w:r w:rsidRPr="00BB6824">
          <w:rPr>
            <w:rStyle w:val="Hyperlink"/>
            <w:rFonts w:ascii="Times New Roman" w:hAnsi="Times New Roman"/>
          </w:rPr>
          <w:t>10.7287/peerj.preprints.1900v1</w:t>
        </w:r>
      </w:hyperlink>
    </w:p>
    <w:p w14:paraId="19D076C8" w14:textId="77777777" w:rsidR="005F62EA" w:rsidRPr="00BB6824" w:rsidRDefault="005F62EA" w:rsidP="00562BA2">
      <w:pPr>
        <w:pStyle w:val="Rerences"/>
      </w:pPr>
      <w:r w:rsidRPr="00BB6824">
        <w:t xml:space="preserve">Rosselló-Móra, R., and Amann, R. (2015). Past and future species definitions for Bacteria and Archaea. </w:t>
      </w:r>
      <w:r w:rsidRPr="00BB6824">
        <w:rPr>
          <w:i/>
          <w:iCs/>
        </w:rPr>
        <w:t>Systematic and Applied Microbiology</w:t>
      </w:r>
      <w:r w:rsidRPr="00BB6824">
        <w:t xml:space="preserve"> 38, 209–216. doi: </w:t>
      </w:r>
      <w:hyperlink r:id="rId331" w:history="1">
        <w:r w:rsidRPr="00BB6824">
          <w:rPr>
            <w:rStyle w:val="Hyperlink"/>
            <w:rFonts w:ascii="Times New Roman" w:hAnsi="Times New Roman"/>
          </w:rPr>
          <w:t>10.1016/j.syapm.2015.02.001</w:t>
        </w:r>
      </w:hyperlink>
    </w:p>
    <w:p w14:paraId="6D698735" w14:textId="77777777" w:rsidR="005F62EA" w:rsidRPr="00BB6824" w:rsidRDefault="005F62EA" w:rsidP="00562BA2">
      <w:pPr>
        <w:pStyle w:val="Rerences"/>
      </w:pPr>
      <w:r w:rsidRPr="00BB6824">
        <w:t xml:space="preserve">Samples, R. M., Puckett, S. P., and Balunas, M. J. (2023). Metabolomics Peak Analysis Computational Tool (MPACT): An Advanced Informatics Tool for Metabolomics and Data Visualization of Molecules from Complex Biological Samples. </w:t>
      </w:r>
      <w:r w:rsidRPr="00BB6824">
        <w:rPr>
          <w:i/>
          <w:iCs/>
        </w:rPr>
        <w:t>Anal. Chem.</w:t>
      </w:r>
      <w:r w:rsidRPr="00BB6824">
        <w:t xml:space="preserve"> 95, 8770–8779. doi: </w:t>
      </w:r>
      <w:hyperlink r:id="rId332" w:history="1">
        <w:r w:rsidRPr="00BB6824">
          <w:rPr>
            <w:rStyle w:val="Hyperlink"/>
            <w:rFonts w:ascii="Times New Roman" w:hAnsi="Times New Roman"/>
          </w:rPr>
          <w:t>10.1021/acs.analchem.2c04632</w:t>
        </w:r>
      </w:hyperlink>
    </w:p>
    <w:p w14:paraId="0474F112" w14:textId="77777777" w:rsidR="005F62EA" w:rsidRPr="00BB6824" w:rsidRDefault="005F62EA" w:rsidP="00562BA2">
      <w:pPr>
        <w:pStyle w:val="Rerences"/>
      </w:pPr>
      <w:r w:rsidRPr="00BB6824">
        <w:t xml:space="preserve">Sancar, G. B., Smith, F. W., Lorence, M. C., Rupert, C. S., and Sancar, A. (1984). Sequences of the </w:t>
      </w:r>
      <w:r w:rsidRPr="00BB6824">
        <w:rPr>
          <w:i/>
          <w:iCs/>
        </w:rPr>
        <w:t>Escherichia coli</w:t>
      </w:r>
      <w:r w:rsidRPr="00BB6824">
        <w:t xml:space="preserve"> photolyase gene and protein. </w:t>
      </w:r>
      <w:r w:rsidRPr="00BB6824">
        <w:rPr>
          <w:i/>
          <w:iCs/>
        </w:rPr>
        <w:t>J Biol Chem</w:t>
      </w:r>
      <w:r w:rsidRPr="00BB6824">
        <w:t xml:space="preserve"> 259, 6033–6038.</w:t>
      </w:r>
    </w:p>
    <w:p w14:paraId="1550F9E9" w14:textId="77777777" w:rsidR="005F62EA" w:rsidRPr="00BB6824" w:rsidRDefault="005F62EA" w:rsidP="00562BA2">
      <w:pPr>
        <w:pStyle w:val="Rerences"/>
      </w:pPr>
      <w:r w:rsidRPr="00BB6824">
        <w:lastRenderedPageBreak/>
        <w:t xml:space="preserve">Sanyal, A., Antony, R., Samui, G., and Thamban, M. (2018). Microbial communities and their potential for degradation of dissolved organic carbon in cryoconite hole environments of Himalaya and Antarctica. </w:t>
      </w:r>
      <w:r w:rsidRPr="00BB6824">
        <w:rPr>
          <w:i/>
          <w:iCs/>
        </w:rPr>
        <w:t>Microbiological Research</w:t>
      </w:r>
      <w:r w:rsidRPr="00BB6824">
        <w:t xml:space="preserve"> 208, 32–42. doi: </w:t>
      </w:r>
      <w:hyperlink r:id="rId333" w:history="1">
        <w:r w:rsidRPr="00BB6824">
          <w:rPr>
            <w:rStyle w:val="Hyperlink"/>
            <w:rFonts w:ascii="Times New Roman" w:hAnsi="Times New Roman"/>
          </w:rPr>
          <w:t>10.1016/j.micres.2018.01.004</w:t>
        </w:r>
      </w:hyperlink>
    </w:p>
    <w:p w14:paraId="5E90263A" w14:textId="77777777" w:rsidR="005F62EA" w:rsidRPr="00BB6824" w:rsidRDefault="005F62EA" w:rsidP="00562BA2">
      <w:pPr>
        <w:pStyle w:val="Rerences"/>
      </w:pPr>
      <w:r w:rsidRPr="00BB6824">
        <w:t xml:space="preserve">Saum, S. H., and Müller, V. (2008). Regulation of osmoadaptation in the moderate halophile </w:t>
      </w:r>
      <w:r w:rsidRPr="00BB6824">
        <w:rPr>
          <w:i/>
          <w:iCs/>
        </w:rPr>
        <w:t>Halobacillus halophilus</w:t>
      </w:r>
      <w:r w:rsidRPr="00BB6824">
        <w:t xml:space="preserve">: chloride, glutamate and switching osmolyte strategies. </w:t>
      </w:r>
      <w:r w:rsidRPr="00BB6824">
        <w:rPr>
          <w:i/>
          <w:iCs/>
        </w:rPr>
        <w:t>Saline Systems</w:t>
      </w:r>
      <w:r w:rsidRPr="00BB6824">
        <w:t xml:space="preserve"> 4, 4. doi: </w:t>
      </w:r>
      <w:hyperlink r:id="rId334" w:history="1">
        <w:r w:rsidRPr="00BB6824">
          <w:rPr>
            <w:rStyle w:val="Hyperlink"/>
            <w:rFonts w:ascii="Times New Roman" w:hAnsi="Times New Roman"/>
          </w:rPr>
          <w:t>10.1186/1746-1448-4-4</w:t>
        </w:r>
      </w:hyperlink>
    </w:p>
    <w:p w14:paraId="5B175CF4" w14:textId="77777777" w:rsidR="005F62EA" w:rsidRPr="00BB6824" w:rsidRDefault="005F62EA" w:rsidP="00562BA2">
      <w:pPr>
        <w:pStyle w:val="Rerences"/>
      </w:pPr>
      <w:r w:rsidRPr="00BB6824">
        <w:t xml:space="preserve">Saum, S. H., Sydow, J. F., Palm, P., Pfeiffer, F., Oesterhelt, D., and Müller, V. (2006). Biochemical and Molecular Characterization of the Biosynthesis of Glutamine and Glutamate, Two Major Compatible Solutes in the Moderately Halophilic Bacterium </w:t>
      </w:r>
      <w:r w:rsidRPr="00BB6824">
        <w:rPr>
          <w:i/>
          <w:iCs/>
        </w:rPr>
        <w:t>Halobacillus halophilus</w:t>
      </w:r>
      <w:r w:rsidRPr="00BB6824">
        <w:t xml:space="preserve">. </w:t>
      </w:r>
      <w:r w:rsidRPr="00BB6824">
        <w:rPr>
          <w:i/>
          <w:iCs/>
        </w:rPr>
        <w:t>J Bacteriol</w:t>
      </w:r>
      <w:r w:rsidRPr="00BB6824">
        <w:t xml:space="preserve"> 188, 6808–6815. doi: </w:t>
      </w:r>
      <w:hyperlink r:id="rId335" w:history="1">
        <w:r w:rsidRPr="00BB6824">
          <w:rPr>
            <w:rStyle w:val="Hyperlink"/>
            <w:rFonts w:ascii="Times New Roman" w:hAnsi="Times New Roman"/>
          </w:rPr>
          <w:t>10.1128/JB.00781-06</w:t>
        </w:r>
      </w:hyperlink>
    </w:p>
    <w:p w14:paraId="2A55ED56" w14:textId="77777777" w:rsidR="005F62EA" w:rsidRPr="00BB6824" w:rsidRDefault="005F62EA" w:rsidP="00562BA2">
      <w:pPr>
        <w:pStyle w:val="Rerences"/>
      </w:pPr>
      <w:r w:rsidRPr="00BB6824">
        <w:t xml:space="preserve">Sayed, A. M., Hassan, M. H. A., Alhadrami, H. A., Hassan, H. M., Goodfellow, M., and Rateb, M. E. (2020). Extreme environments: microbiology leading to specialized metabolites. </w:t>
      </w:r>
      <w:r w:rsidRPr="00BB6824">
        <w:rPr>
          <w:i/>
          <w:iCs/>
        </w:rPr>
        <w:t>Journal of Applied Microbiology</w:t>
      </w:r>
      <w:r w:rsidRPr="00BB6824">
        <w:t xml:space="preserve"> 128, 630–657. doi: </w:t>
      </w:r>
      <w:hyperlink r:id="rId336" w:history="1">
        <w:r w:rsidRPr="00BB6824">
          <w:rPr>
            <w:rStyle w:val="Hyperlink"/>
            <w:rFonts w:ascii="Times New Roman" w:hAnsi="Times New Roman"/>
          </w:rPr>
          <w:t>10.1111/jam.14386</w:t>
        </w:r>
      </w:hyperlink>
    </w:p>
    <w:p w14:paraId="3D7EB6E9" w14:textId="77777777" w:rsidR="005F62EA" w:rsidRPr="00BB6824" w:rsidRDefault="005F62EA" w:rsidP="00562BA2">
      <w:pPr>
        <w:pStyle w:val="Rerences"/>
      </w:pPr>
      <w:r w:rsidRPr="00BB6824">
        <w:t xml:space="preserve">Schlatter, D. C., Yin, C., Hulbert, S., and Paulitz, T. C. (2020). Core Rhizosphere Microbiomes of Dryland Wheat Are Influenced by Location and Land Use History. </w:t>
      </w:r>
      <w:r w:rsidRPr="00BB6824">
        <w:rPr>
          <w:i/>
          <w:iCs/>
        </w:rPr>
        <w:t>Appl Environ Microbiol</w:t>
      </w:r>
      <w:r w:rsidRPr="00BB6824">
        <w:t xml:space="preserve"> 86, e02135-19. doi: </w:t>
      </w:r>
      <w:hyperlink r:id="rId337" w:history="1">
        <w:r w:rsidRPr="00BB6824">
          <w:rPr>
            <w:rStyle w:val="Hyperlink"/>
            <w:rFonts w:ascii="Times New Roman" w:hAnsi="Times New Roman"/>
          </w:rPr>
          <w:t>10.1128/AEM.02135-19</w:t>
        </w:r>
      </w:hyperlink>
    </w:p>
    <w:p w14:paraId="413BEB1A" w14:textId="77777777" w:rsidR="005F62EA" w:rsidRPr="00BB6824" w:rsidRDefault="005F62EA" w:rsidP="00562BA2">
      <w:pPr>
        <w:pStyle w:val="Rerences"/>
      </w:pPr>
      <w:r w:rsidRPr="00BB6824">
        <w:t>Schuler, C. (2023). Astrobiological Analogs: Exploring the Microbial Ecology of Cryptic Cryosphere Habitats. Knoxville, Tennessee: University of Tennessee.</w:t>
      </w:r>
    </w:p>
    <w:p w14:paraId="32B711D9" w14:textId="77777777" w:rsidR="005F62EA" w:rsidRPr="00BB6824" w:rsidRDefault="005F62EA" w:rsidP="00562BA2">
      <w:pPr>
        <w:pStyle w:val="Rerences"/>
      </w:pPr>
      <w:r w:rsidRPr="00BB6824">
        <w:t xml:space="preserve">Sedláček, I., Holochová, P., Busse, H.-J., Koublová, V., Králová, S., Švec, P., et al. (2022). Characterisation of Waterborne Psychrophilic </w:t>
      </w:r>
      <w:r w:rsidRPr="00BB6824">
        <w:rPr>
          <w:i/>
          <w:iCs/>
        </w:rPr>
        <w:t>Massilia</w:t>
      </w:r>
      <w:r w:rsidRPr="00BB6824">
        <w:t xml:space="preserve"> Isolates with Violacein Production and Description of </w:t>
      </w:r>
      <w:r w:rsidRPr="00BB6824">
        <w:rPr>
          <w:i/>
          <w:iCs/>
        </w:rPr>
        <w:t>Massilia antarctica</w:t>
      </w:r>
      <w:r w:rsidRPr="00BB6824">
        <w:t xml:space="preserve"> sp. nov. </w:t>
      </w:r>
      <w:r w:rsidRPr="00BB6824">
        <w:rPr>
          <w:i/>
          <w:iCs/>
        </w:rPr>
        <w:t>Microorganisms</w:t>
      </w:r>
      <w:r w:rsidRPr="00BB6824">
        <w:t xml:space="preserve"> 10, 704. doi: </w:t>
      </w:r>
      <w:hyperlink r:id="rId338" w:history="1">
        <w:r w:rsidRPr="00BB6824">
          <w:rPr>
            <w:rStyle w:val="Hyperlink"/>
            <w:rFonts w:ascii="Times New Roman" w:hAnsi="Times New Roman"/>
          </w:rPr>
          <w:t>10.3390/microorganisms10040704</w:t>
        </w:r>
      </w:hyperlink>
    </w:p>
    <w:p w14:paraId="34347DA9" w14:textId="77777777" w:rsidR="005F62EA" w:rsidRPr="00BB6824" w:rsidRDefault="005F62EA" w:rsidP="00562BA2">
      <w:pPr>
        <w:pStyle w:val="Rerences"/>
      </w:pPr>
      <w:r w:rsidRPr="00BB6824">
        <w:t xml:space="preserve">Seemann, T. (2014). Prokka: rapid prokaryotic genome annotation. </w:t>
      </w:r>
      <w:r w:rsidRPr="00BB6824">
        <w:rPr>
          <w:i/>
          <w:iCs/>
        </w:rPr>
        <w:t>Bioinformatics</w:t>
      </w:r>
      <w:r w:rsidRPr="00BB6824">
        <w:t xml:space="preserve"> 30, 2068–2069. doi: </w:t>
      </w:r>
      <w:hyperlink r:id="rId339" w:history="1">
        <w:r w:rsidRPr="00BB6824">
          <w:rPr>
            <w:rStyle w:val="Hyperlink"/>
            <w:rFonts w:ascii="Times New Roman" w:hAnsi="Times New Roman"/>
          </w:rPr>
          <w:t>10.1093/bioinformatics/btu153</w:t>
        </w:r>
      </w:hyperlink>
    </w:p>
    <w:p w14:paraId="5CC58F57" w14:textId="77777777" w:rsidR="005F62EA" w:rsidRPr="00BB6824" w:rsidRDefault="005F62EA" w:rsidP="00562BA2">
      <w:pPr>
        <w:pStyle w:val="Rerences"/>
      </w:pPr>
      <w:r w:rsidRPr="00BB6824">
        <w:t xml:space="preserve">Shen, L., Liu, Y., Gu, Z., Xu, B., Wang, N., Jiao, N., et al. (2015). </w:t>
      </w:r>
      <w:r w:rsidRPr="00BB6824">
        <w:rPr>
          <w:i/>
          <w:iCs/>
        </w:rPr>
        <w:t>Massilia eurypsychrophila</w:t>
      </w:r>
      <w:r w:rsidRPr="00BB6824">
        <w:t xml:space="preserve"> sp. nov. a facultatively psychrophilic bacteria isolated from ice </w:t>
      </w:r>
      <w:r w:rsidRPr="00BB6824">
        <w:lastRenderedPageBreak/>
        <w:t xml:space="preserve">core. </w:t>
      </w:r>
      <w:r w:rsidRPr="00BB6824">
        <w:rPr>
          <w:i/>
          <w:iCs/>
        </w:rPr>
        <w:t>International Journal of Systematic and Evolutionary Microbiology,</w:t>
      </w:r>
      <w:r w:rsidRPr="00BB6824">
        <w:t xml:space="preserve"> 65, 2124–2129. doi: </w:t>
      </w:r>
      <w:hyperlink r:id="rId340" w:history="1">
        <w:r w:rsidRPr="00BB6824">
          <w:rPr>
            <w:rStyle w:val="Hyperlink"/>
            <w:rFonts w:ascii="Times New Roman" w:hAnsi="Times New Roman"/>
          </w:rPr>
          <w:t>10.1099/ijs.0.000229</w:t>
        </w:r>
      </w:hyperlink>
    </w:p>
    <w:p w14:paraId="2218D95E" w14:textId="77777777" w:rsidR="005F62EA" w:rsidRPr="00BB6824" w:rsidRDefault="005F62EA" w:rsidP="00562BA2">
      <w:pPr>
        <w:pStyle w:val="Rerences"/>
      </w:pPr>
      <w:r w:rsidRPr="00BB6824">
        <w:t xml:space="preserve">Shen, L., Liu, Y., Wang, N., Yao, T., Jiao, N., Liu, H., et al. (2013). </w:t>
      </w:r>
      <w:r w:rsidRPr="00BB6824">
        <w:rPr>
          <w:i/>
          <w:iCs/>
        </w:rPr>
        <w:t>Massilia yuzhufengensis</w:t>
      </w:r>
      <w:r w:rsidRPr="00BB6824">
        <w:t xml:space="preserve"> sp. nov., isolated from an ice core. </w:t>
      </w:r>
      <w:r w:rsidRPr="00BB6824">
        <w:rPr>
          <w:i/>
          <w:iCs/>
        </w:rPr>
        <w:t>International Journal of Systematic and Evolutionary Microbiology</w:t>
      </w:r>
      <w:r w:rsidRPr="00BB6824">
        <w:t xml:space="preserve"> 63, 1285–1290. doi: </w:t>
      </w:r>
      <w:hyperlink r:id="rId341" w:history="1">
        <w:r w:rsidRPr="00BB6824">
          <w:rPr>
            <w:rStyle w:val="Hyperlink"/>
            <w:rFonts w:ascii="Times New Roman" w:hAnsi="Times New Roman"/>
          </w:rPr>
          <w:t>10.1099/ijs.0.042101-0</w:t>
        </w:r>
      </w:hyperlink>
    </w:p>
    <w:p w14:paraId="2E57C00B" w14:textId="77777777" w:rsidR="005F62EA" w:rsidRPr="00BB6824" w:rsidRDefault="005F62EA" w:rsidP="00562BA2">
      <w:pPr>
        <w:pStyle w:val="Rerences"/>
      </w:pPr>
      <w:r w:rsidRPr="00BB6824">
        <w:t xml:space="preserve">Siddiqui, K. S., Williams, T. J., Wilkins, D., Yau, S., Allen, M. A., Brown, M. V., et al. (2013). Psychrophiles. </w:t>
      </w:r>
      <w:r w:rsidRPr="00BB6824">
        <w:rPr>
          <w:i/>
          <w:iCs/>
        </w:rPr>
        <w:t>Annu. Rev. Earth Planet. Sci.</w:t>
      </w:r>
      <w:r w:rsidRPr="00BB6824">
        <w:t xml:space="preserve"> 41, 87–115. doi: </w:t>
      </w:r>
      <w:hyperlink r:id="rId342" w:history="1">
        <w:r w:rsidRPr="00BB6824">
          <w:rPr>
            <w:rStyle w:val="Hyperlink"/>
            <w:rFonts w:ascii="Times New Roman" w:hAnsi="Times New Roman"/>
          </w:rPr>
          <w:t>10.1146/annurev-earth-040610-133514</w:t>
        </w:r>
      </w:hyperlink>
    </w:p>
    <w:p w14:paraId="776F381D" w14:textId="77777777" w:rsidR="005F62EA" w:rsidRPr="00BB6824" w:rsidRDefault="005F62EA" w:rsidP="00562BA2">
      <w:pPr>
        <w:pStyle w:val="Rerences"/>
      </w:pPr>
      <w:r w:rsidRPr="00BB6824">
        <w:t xml:space="preserve">Siegel, B. Z., Mcmurty, G., Siegel, S. M., Chen, J., and Larock, P. (1979). Life in the calcium chloride environment of Don Juan Pond, Antarctica. </w:t>
      </w:r>
      <w:r w:rsidRPr="00BB6824">
        <w:rPr>
          <w:i/>
          <w:iCs/>
        </w:rPr>
        <w:t>Nature</w:t>
      </w:r>
      <w:r w:rsidRPr="00BB6824">
        <w:t xml:space="preserve"> 280, 828–829. doi: </w:t>
      </w:r>
      <w:hyperlink r:id="rId343" w:history="1">
        <w:r w:rsidRPr="00BB6824">
          <w:rPr>
            <w:rStyle w:val="Hyperlink"/>
            <w:rFonts w:ascii="Times New Roman" w:hAnsi="Times New Roman"/>
          </w:rPr>
          <w:t>10.1038/280828a0</w:t>
        </w:r>
      </w:hyperlink>
    </w:p>
    <w:p w14:paraId="00C8B3BD" w14:textId="77777777" w:rsidR="005F62EA" w:rsidRPr="00BB6824" w:rsidRDefault="005F62EA" w:rsidP="00562BA2">
      <w:pPr>
        <w:pStyle w:val="Rerences"/>
      </w:pPr>
      <w:r w:rsidRPr="00BB6824">
        <w:t xml:space="preserve">Siegel, B. Z., Siegel, S. M., Chen, J., and LaRock, P. (1983). An extraterrestrial habitat on earth: The algal mat of Don Jaun Pond. </w:t>
      </w:r>
      <w:r w:rsidRPr="00BB6824">
        <w:rPr>
          <w:i/>
          <w:iCs/>
        </w:rPr>
        <w:t>Advances in Space Research</w:t>
      </w:r>
      <w:r w:rsidRPr="00BB6824">
        <w:t xml:space="preserve"> 3, 39–42. doi: </w:t>
      </w:r>
      <w:hyperlink r:id="rId344" w:history="1">
        <w:r w:rsidRPr="00BB6824">
          <w:rPr>
            <w:rStyle w:val="Hyperlink"/>
            <w:rFonts w:ascii="Times New Roman" w:hAnsi="Times New Roman"/>
          </w:rPr>
          <w:t>10.1016/0273-1177(83)90171-0</w:t>
        </w:r>
      </w:hyperlink>
    </w:p>
    <w:p w14:paraId="2EA40F3C" w14:textId="77777777" w:rsidR="005F62EA" w:rsidRPr="00BB6824" w:rsidRDefault="005F62EA" w:rsidP="00562BA2">
      <w:pPr>
        <w:pStyle w:val="Rerences"/>
      </w:pPr>
      <w:r w:rsidRPr="00BB6824">
        <w:t xml:space="preserve">Skinnider, M. A., Johnston, C. W., Gunabalasingam, M., Merwin, N. J., Kieliszek, A. M., MacLellan, R. J., et al. (2020). Comprehensive prediction of secondary metabolite structure and biological activity from microbial genome sequences. </w:t>
      </w:r>
      <w:r w:rsidRPr="00BB6824">
        <w:rPr>
          <w:i/>
          <w:iCs/>
        </w:rPr>
        <w:t>Nat Commun</w:t>
      </w:r>
      <w:r w:rsidRPr="00BB6824">
        <w:t xml:space="preserve"> 11, 6058. doi: </w:t>
      </w:r>
      <w:hyperlink r:id="rId345" w:history="1">
        <w:r w:rsidRPr="00BB6824">
          <w:rPr>
            <w:rStyle w:val="Hyperlink"/>
            <w:rFonts w:ascii="Times New Roman" w:hAnsi="Times New Roman"/>
          </w:rPr>
          <w:t>10.1038/s41467-020-19986-1</w:t>
        </w:r>
      </w:hyperlink>
    </w:p>
    <w:p w14:paraId="66E945C4" w14:textId="77777777" w:rsidR="005F62EA" w:rsidRPr="00BB6824" w:rsidRDefault="005F62EA" w:rsidP="00562BA2">
      <w:pPr>
        <w:pStyle w:val="Rerences"/>
      </w:pPr>
      <w:r w:rsidRPr="00BB6824">
        <w:t>Smith, A. C., and Hussey, M. A. (2005). Gram Stain Protocols.</w:t>
      </w:r>
    </w:p>
    <w:p w14:paraId="1E2654CC" w14:textId="77777777" w:rsidR="005F62EA" w:rsidRPr="00BB6824" w:rsidRDefault="005F62EA" w:rsidP="00562BA2">
      <w:pPr>
        <w:pStyle w:val="Rerences"/>
      </w:pPr>
      <w:r w:rsidRPr="00BB6824">
        <w:t xml:space="preserve">Sommers, P., Darcy, J. L., Porazinska, D. L., Gendron, E. M. S., Fountain, A. G., Zamora, F., et al. (2019). Comparison of Microbial Communities in the Sediments and Water Columns of Frozen Cryoconite Holes in the McMurdo Dry Valleys, Antarctica. </w:t>
      </w:r>
      <w:r w:rsidRPr="00BB6824">
        <w:rPr>
          <w:i/>
          <w:iCs/>
        </w:rPr>
        <w:t>Frontiers in Microbiology</w:t>
      </w:r>
      <w:r w:rsidRPr="00BB6824">
        <w:t xml:space="preserve"> 10. Available at: </w:t>
      </w:r>
      <w:hyperlink r:id="rId346" w:history="1">
        <w:r w:rsidRPr="00BB6824">
          <w:rPr>
            <w:rStyle w:val="Hyperlink"/>
            <w:rFonts w:ascii="Times New Roman" w:hAnsi="Times New Roman"/>
          </w:rPr>
          <w:t>https://www.frontiersin.org/articles/10.3389/fmicb.2019.00065</w:t>
        </w:r>
      </w:hyperlink>
      <w:r w:rsidRPr="00BB6824">
        <w:t xml:space="preserve"> (Accessed January 26, 2023).</w:t>
      </w:r>
    </w:p>
    <w:p w14:paraId="3F8FD726" w14:textId="57905A24" w:rsidR="005F62EA" w:rsidRPr="00BB6824" w:rsidRDefault="005F62EA" w:rsidP="00562BA2">
      <w:pPr>
        <w:pStyle w:val="Rerences"/>
      </w:pPr>
      <w:r w:rsidRPr="00BB6824">
        <w:t xml:space="preserve">Son, J., Lee, H., Kim, M., Kim, D.-U., and Ka, J.-O. (2021). </w:t>
      </w:r>
      <w:r w:rsidRPr="00BB6824">
        <w:rPr>
          <w:i/>
          <w:iCs/>
        </w:rPr>
        <w:t>Massilia aromaticivorans</w:t>
      </w:r>
      <w:r w:rsidRPr="00BB6824">
        <w:t xml:space="preserve"> sp. nov., a BTEX Degrading Bacterium Isolated from Arctic Soil. </w:t>
      </w:r>
      <w:r w:rsidRPr="00BB6824">
        <w:rPr>
          <w:i/>
          <w:iCs/>
        </w:rPr>
        <w:t>Curr Microbiol</w:t>
      </w:r>
      <w:r w:rsidRPr="00BB6824">
        <w:t xml:space="preserve"> 78, 2143–2150. doi: </w:t>
      </w:r>
      <w:hyperlink r:id="rId347" w:history="1">
        <w:r w:rsidRPr="00BB6824">
          <w:rPr>
            <w:rStyle w:val="Hyperlink"/>
            <w:rFonts w:ascii="Times New Roman" w:hAnsi="Times New Roman"/>
          </w:rPr>
          <w:t>10.1007/s00284-021-02379-y</w:t>
        </w:r>
      </w:hyperlink>
    </w:p>
    <w:p w14:paraId="0C3D99C2" w14:textId="77777777" w:rsidR="005F62EA" w:rsidRPr="00BB6824" w:rsidRDefault="005F62EA" w:rsidP="00562BA2">
      <w:pPr>
        <w:pStyle w:val="Rerences"/>
      </w:pPr>
      <w:r w:rsidRPr="00BB6824">
        <w:lastRenderedPageBreak/>
        <w:t xml:space="preserve">Stankovic, N., Radulovic, V., Petkovic, M., Vuckovic, I., Jadranin, M., Vasiljevic, B., et al. (2012). </w:t>
      </w:r>
      <w:r w:rsidRPr="00BB6824">
        <w:rPr>
          <w:i/>
          <w:iCs/>
        </w:rPr>
        <w:t>Streptomyces</w:t>
      </w:r>
      <w:r w:rsidRPr="00BB6824">
        <w:t xml:space="preserve"> sp. JS520 produces exceptionally high quantities of undecylprodigiosin with antibacterial, antioxidative, and UV-protective properties. </w:t>
      </w:r>
      <w:r w:rsidRPr="00BB6824">
        <w:rPr>
          <w:i/>
          <w:iCs/>
        </w:rPr>
        <w:t>Appl Microbiol Biotechnol</w:t>
      </w:r>
      <w:r w:rsidRPr="00BB6824">
        <w:t xml:space="preserve"> 96, 1217–1231. doi: </w:t>
      </w:r>
      <w:hyperlink r:id="rId348" w:history="1">
        <w:r w:rsidRPr="00BB6824">
          <w:rPr>
            <w:rStyle w:val="Hyperlink"/>
            <w:rFonts w:ascii="Times New Roman" w:hAnsi="Times New Roman"/>
          </w:rPr>
          <w:t>10.1007/s00253-012-4237-3</w:t>
        </w:r>
      </w:hyperlink>
    </w:p>
    <w:p w14:paraId="32406FDC" w14:textId="77777777" w:rsidR="005F62EA" w:rsidRPr="00BB6824" w:rsidRDefault="005F62EA" w:rsidP="00562BA2">
      <w:pPr>
        <w:pStyle w:val="Rerences"/>
      </w:pPr>
      <w:r w:rsidRPr="00BB6824">
        <w:t xml:space="preserve">Suryawanshi, R. K., Patil, C. D., Borase, H. P., Narkhede, C. P., Stevenson, A., Hallsworth, J. E., et al. (2015). Towards an understanding of bacterial metabolites prodigiosin and violacein and their potential for use in commercial sunscreens. </w:t>
      </w:r>
      <w:r w:rsidRPr="00BB6824">
        <w:rPr>
          <w:i/>
          <w:iCs/>
        </w:rPr>
        <w:t>International Journal of Cosmetic Science</w:t>
      </w:r>
      <w:r w:rsidRPr="00BB6824">
        <w:t xml:space="preserve"> 37, 98–107. doi: </w:t>
      </w:r>
      <w:hyperlink r:id="rId349" w:history="1">
        <w:r w:rsidRPr="00BB6824">
          <w:rPr>
            <w:rStyle w:val="Hyperlink"/>
            <w:rFonts w:ascii="Times New Roman" w:hAnsi="Times New Roman"/>
          </w:rPr>
          <w:t>10.1111/ics.12175</w:t>
        </w:r>
      </w:hyperlink>
    </w:p>
    <w:p w14:paraId="6D10103A" w14:textId="77777777" w:rsidR="005F62EA" w:rsidRPr="00BB6824" w:rsidRDefault="005F62EA" w:rsidP="00562BA2">
      <w:pPr>
        <w:pStyle w:val="Rerences"/>
      </w:pPr>
      <w:r w:rsidRPr="00BB6824">
        <w:t xml:space="preserve">Takei, Y., Iizuka, R., Ueno, T., and Funatsu, T. (2012). Single-molecule Observation of Protein Folding in Symmetric GroEL-(GroES)2 Complexes *. </w:t>
      </w:r>
      <w:r w:rsidRPr="00BB6824">
        <w:rPr>
          <w:i/>
          <w:iCs/>
        </w:rPr>
        <w:t>Journal of Biological Chemistry</w:t>
      </w:r>
      <w:r w:rsidRPr="00BB6824">
        <w:t xml:space="preserve"> 287, 41118–41125. doi: </w:t>
      </w:r>
      <w:hyperlink r:id="rId350" w:history="1">
        <w:r w:rsidRPr="00BB6824">
          <w:rPr>
            <w:rStyle w:val="Hyperlink"/>
            <w:rFonts w:ascii="Times New Roman" w:hAnsi="Times New Roman"/>
          </w:rPr>
          <w:t>10.1074/jbc.M112.398628</w:t>
        </w:r>
      </w:hyperlink>
    </w:p>
    <w:p w14:paraId="1C4B81F3" w14:textId="77777777" w:rsidR="005F62EA" w:rsidRPr="00BB6824" w:rsidRDefault="005F62EA" w:rsidP="00562BA2">
      <w:pPr>
        <w:pStyle w:val="Rerences"/>
      </w:pPr>
      <w:r w:rsidRPr="00BB6824">
        <w:t xml:space="preserve">Tamura, K., Stecher, G., and Kumar, S. (2021). MEGA11: Molecular Evolutionary Genetics Analysis Version 11. </w:t>
      </w:r>
      <w:r w:rsidRPr="00BB6824">
        <w:rPr>
          <w:i/>
          <w:iCs/>
        </w:rPr>
        <w:t>Molecular Biology and Evolution</w:t>
      </w:r>
      <w:r w:rsidRPr="00BB6824">
        <w:t xml:space="preserve"> 38, 3022–3027. doi: </w:t>
      </w:r>
      <w:hyperlink r:id="rId351" w:history="1">
        <w:r w:rsidRPr="00BB6824">
          <w:rPr>
            <w:rStyle w:val="Hyperlink"/>
            <w:rFonts w:ascii="Times New Roman" w:hAnsi="Times New Roman"/>
          </w:rPr>
          <w:t>10.1093/molbev/msab120</w:t>
        </w:r>
      </w:hyperlink>
    </w:p>
    <w:p w14:paraId="17C50AF1" w14:textId="77777777" w:rsidR="005F62EA" w:rsidRPr="00BB6824" w:rsidRDefault="005F62EA" w:rsidP="00562BA2">
      <w:pPr>
        <w:pStyle w:val="Rerences"/>
      </w:pPr>
      <w:r w:rsidRPr="00BB6824">
        <w:t xml:space="preserve">Thompson, A. D., Bernard, S. M., Skiniotis, G., and Gestwicki, J. E. (2012). Visualization and functional analysis of the oligomeric states of </w:t>
      </w:r>
      <w:r w:rsidRPr="00BB6824">
        <w:rPr>
          <w:i/>
          <w:iCs/>
        </w:rPr>
        <w:t>Escherichia coli</w:t>
      </w:r>
      <w:r w:rsidRPr="00BB6824">
        <w:t xml:space="preserve"> heat shock protein 70 (Hsp70/DnaK). </w:t>
      </w:r>
      <w:r w:rsidRPr="00BB6824">
        <w:rPr>
          <w:i/>
          <w:iCs/>
        </w:rPr>
        <w:t>Cell Stress and Chaperones</w:t>
      </w:r>
      <w:r w:rsidRPr="00BB6824">
        <w:t xml:space="preserve"> 17, 313–327. doi: </w:t>
      </w:r>
      <w:hyperlink r:id="rId352" w:history="1">
        <w:r w:rsidRPr="00BB6824">
          <w:rPr>
            <w:rStyle w:val="Hyperlink"/>
            <w:rFonts w:ascii="Times New Roman" w:hAnsi="Times New Roman"/>
          </w:rPr>
          <w:t>10.1007/s12192-011-0307-1</w:t>
        </w:r>
      </w:hyperlink>
    </w:p>
    <w:p w14:paraId="7D4173D9" w14:textId="77777777" w:rsidR="005F62EA" w:rsidRPr="00BB6824" w:rsidRDefault="005F62EA" w:rsidP="00562BA2">
      <w:pPr>
        <w:pStyle w:val="Rerences"/>
      </w:pPr>
      <w:r w:rsidRPr="00BB6824">
        <w:t xml:space="preserve">Tindall, B. J., Rosselló-Móra, R., Busse, H.-J., Ludwig, W., and Kämpfer, P. (2010). Notes on the characterization of prokaryote strains for taxonomic purposes. </w:t>
      </w:r>
      <w:r w:rsidRPr="00BB6824">
        <w:rPr>
          <w:i/>
          <w:iCs/>
        </w:rPr>
        <w:t>International Journal of Systematic and Evolutionary Microbiology</w:t>
      </w:r>
      <w:r w:rsidRPr="00BB6824">
        <w:t xml:space="preserve"> 60, 249–266. doi: </w:t>
      </w:r>
      <w:hyperlink r:id="rId353" w:history="1">
        <w:r w:rsidRPr="00BB6824">
          <w:rPr>
            <w:rStyle w:val="Hyperlink"/>
            <w:rFonts w:ascii="Times New Roman" w:hAnsi="Times New Roman"/>
          </w:rPr>
          <w:t>10.1099/ijs.0.016949-0</w:t>
        </w:r>
      </w:hyperlink>
    </w:p>
    <w:p w14:paraId="530643CB" w14:textId="77777777" w:rsidR="005F62EA" w:rsidRPr="00BB6824" w:rsidRDefault="005F62EA" w:rsidP="00562BA2">
      <w:pPr>
        <w:pStyle w:val="Rerences"/>
      </w:pPr>
      <w:r w:rsidRPr="00BB6824">
        <w:t xml:space="preserve">Tkacz, A., Cheema, J., Chandra, G., Grant, A., and Poole, P. S. (2015). Stability and succession of the rhizosphere microbiota depends upon plant type and soil composition. </w:t>
      </w:r>
      <w:r w:rsidRPr="00BB6824">
        <w:rPr>
          <w:i/>
          <w:iCs/>
        </w:rPr>
        <w:t>ISME J</w:t>
      </w:r>
      <w:r w:rsidRPr="00BB6824">
        <w:t xml:space="preserve"> 9, 2349–2359. doi: </w:t>
      </w:r>
      <w:hyperlink r:id="rId354" w:history="1">
        <w:r w:rsidRPr="00BB6824">
          <w:rPr>
            <w:rStyle w:val="Hyperlink"/>
            <w:rFonts w:ascii="Times New Roman" w:hAnsi="Times New Roman"/>
          </w:rPr>
          <w:t>10.1038/ismej.2015.41</w:t>
        </w:r>
      </w:hyperlink>
    </w:p>
    <w:p w14:paraId="3263953E" w14:textId="77777777" w:rsidR="005F62EA" w:rsidRPr="00BB6824" w:rsidRDefault="005F62EA" w:rsidP="00562BA2">
      <w:pPr>
        <w:pStyle w:val="Rerences"/>
      </w:pPr>
      <w:r w:rsidRPr="00BB6824">
        <w:t xml:space="preserve">Toma, C., Kuroki, H., Nakasone, N., Ehara, M., and Iwanaga, M. (2002). Minor pilin subunits are conserved in Vibrio cholerae type IV pili. </w:t>
      </w:r>
      <w:r w:rsidRPr="00BB6824">
        <w:rPr>
          <w:i/>
          <w:iCs/>
        </w:rPr>
        <w:t>FEMS Immunology &amp; Medical Microbiology</w:t>
      </w:r>
      <w:r w:rsidRPr="00BB6824">
        <w:t xml:space="preserve"> 33, 35–40. doi: </w:t>
      </w:r>
      <w:hyperlink r:id="rId355" w:history="1">
        <w:r w:rsidRPr="00BB6824">
          <w:rPr>
            <w:rStyle w:val="Hyperlink"/>
            <w:rFonts w:ascii="Times New Roman" w:hAnsi="Times New Roman"/>
          </w:rPr>
          <w:t>10.1111/j.1574-695X.2002.tb00569.x</w:t>
        </w:r>
      </w:hyperlink>
    </w:p>
    <w:p w14:paraId="316144D7" w14:textId="77777777" w:rsidR="005F62EA" w:rsidRPr="00BB6824" w:rsidRDefault="005F62EA" w:rsidP="00562BA2">
      <w:pPr>
        <w:pStyle w:val="Rerences"/>
      </w:pPr>
      <w:r w:rsidRPr="00BB6824">
        <w:lastRenderedPageBreak/>
        <w:t xml:space="preserve">Toner, J. D., Catling, D. C., and Sletten, R. S. (2017). The geochemistry of Don Juan Pond: Evidence for a deep groundwater flow system in Wright Valley, Antarctica. </w:t>
      </w:r>
      <w:r w:rsidRPr="00BB6824">
        <w:rPr>
          <w:i/>
          <w:iCs/>
        </w:rPr>
        <w:t>Earth and Planetary Science Letters</w:t>
      </w:r>
      <w:r w:rsidRPr="00BB6824">
        <w:t xml:space="preserve"> 474, 190–197. doi: </w:t>
      </w:r>
      <w:hyperlink r:id="rId356" w:history="1">
        <w:r w:rsidRPr="00BB6824">
          <w:rPr>
            <w:rStyle w:val="Hyperlink"/>
            <w:rFonts w:ascii="Times New Roman" w:hAnsi="Times New Roman"/>
          </w:rPr>
          <w:t>10.1016/j.epsl.2017.06.039</w:t>
        </w:r>
      </w:hyperlink>
    </w:p>
    <w:p w14:paraId="7B9AB35C" w14:textId="77777777" w:rsidR="005F62EA" w:rsidRPr="00BB6824" w:rsidRDefault="005F62EA" w:rsidP="00562BA2">
      <w:pPr>
        <w:pStyle w:val="Rerences"/>
      </w:pPr>
      <w:r w:rsidRPr="00BB6824">
        <w:t xml:space="preserve">Tosi, S., Onofri, S., Brusoni, M., Zucconi, L., and Vishniac, H. (2005). Response of Antarctic soil fungal assemblages to experimental warming and reduction of UV radiation. </w:t>
      </w:r>
      <w:r w:rsidRPr="00BB6824">
        <w:rPr>
          <w:i/>
          <w:iCs/>
        </w:rPr>
        <w:t>Polar Biol</w:t>
      </w:r>
      <w:r w:rsidRPr="00BB6824">
        <w:t xml:space="preserve"> 28, 470–482. doi: </w:t>
      </w:r>
      <w:hyperlink r:id="rId357" w:history="1">
        <w:r w:rsidRPr="00BB6824">
          <w:rPr>
            <w:rStyle w:val="Hyperlink"/>
            <w:rFonts w:ascii="Times New Roman" w:hAnsi="Times New Roman"/>
          </w:rPr>
          <w:t>10.1007/s00300-004-0698-x</w:t>
        </w:r>
      </w:hyperlink>
    </w:p>
    <w:p w14:paraId="78DFC6A8" w14:textId="77777777" w:rsidR="005F62EA" w:rsidRPr="00BB6824" w:rsidRDefault="005F62EA" w:rsidP="00562BA2">
      <w:pPr>
        <w:pStyle w:val="Rerences"/>
      </w:pPr>
      <w:r w:rsidRPr="00BB6824">
        <w:t xml:space="preserve">Tsu, C. A., Kossen, K., and Uhlenbeck, O. C. (2001). The </w:t>
      </w:r>
      <w:r w:rsidRPr="00BB6824">
        <w:rPr>
          <w:i/>
          <w:iCs/>
        </w:rPr>
        <w:t>Escherichia coli</w:t>
      </w:r>
      <w:r w:rsidRPr="00BB6824">
        <w:t xml:space="preserve"> DEAD protein DbpA recognizes a small RNA hairpin in 23S rRNA. </w:t>
      </w:r>
      <w:r w:rsidRPr="00BB6824">
        <w:rPr>
          <w:i/>
          <w:iCs/>
        </w:rPr>
        <w:t>RNA</w:t>
      </w:r>
      <w:r w:rsidRPr="00BB6824">
        <w:t xml:space="preserve"> 7, 702–709. doi: </w:t>
      </w:r>
      <w:hyperlink r:id="rId358" w:history="1">
        <w:r w:rsidRPr="00BB6824">
          <w:rPr>
            <w:rStyle w:val="Hyperlink"/>
            <w:rFonts w:ascii="Times New Roman" w:hAnsi="Times New Roman"/>
          </w:rPr>
          <w:t>10.1017/S1355838201010135</w:t>
        </w:r>
      </w:hyperlink>
    </w:p>
    <w:p w14:paraId="3BD50D26" w14:textId="77777777" w:rsidR="005F62EA" w:rsidRPr="00BB6824" w:rsidRDefault="005F62EA" w:rsidP="00562BA2">
      <w:pPr>
        <w:pStyle w:val="Rerences"/>
      </w:pPr>
      <w:r w:rsidRPr="00BB6824">
        <w:t xml:space="preserve">Tsugawa, H., Cajka, T., Kind, T., Ma, Y., Higgins, B., Ikeda, K., et al. (2015). MS-DIAL: data-independent MS/MS deconvolution for comprehensive metabolome analysis. </w:t>
      </w:r>
      <w:r w:rsidRPr="00BB6824">
        <w:rPr>
          <w:i/>
          <w:iCs/>
        </w:rPr>
        <w:t>Nat Methods</w:t>
      </w:r>
      <w:r w:rsidRPr="00BB6824">
        <w:t xml:space="preserve"> 12, 523–526. doi: </w:t>
      </w:r>
      <w:hyperlink r:id="rId359" w:history="1">
        <w:r w:rsidRPr="00BB6824">
          <w:rPr>
            <w:rStyle w:val="Hyperlink"/>
            <w:rFonts w:ascii="Times New Roman" w:hAnsi="Times New Roman"/>
          </w:rPr>
          <w:t>10.1038/nmeth.3393</w:t>
        </w:r>
      </w:hyperlink>
    </w:p>
    <w:p w14:paraId="776636DB" w14:textId="77777777" w:rsidR="005F62EA" w:rsidRPr="00BB6824" w:rsidRDefault="005F62EA" w:rsidP="00562BA2">
      <w:pPr>
        <w:pStyle w:val="Rerences"/>
      </w:pPr>
      <w:r w:rsidRPr="00BB6824">
        <w:t xml:space="preserve">Utsugi, J., Inaba, K., Kuroda, T., Tsuda, M., and Tsuchiya, T. (1998). Cloning and sequencing of a novel Na+/H+ antiporter gene from </w:t>
      </w:r>
      <w:r w:rsidRPr="00BB6824">
        <w:rPr>
          <w:i/>
          <w:iCs/>
        </w:rPr>
        <w:t>Pseudomonas aeruginosa</w:t>
      </w:r>
      <w:r w:rsidRPr="00BB6824">
        <w:t xml:space="preserve">1. </w:t>
      </w:r>
      <w:r w:rsidRPr="00BB6824">
        <w:rPr>
          <w:i/>
          <w:iCs/>
        </w:rPr>
        <w:t>Biochimica et Biophysica Acta (BBA) - Gene Structure and Expression</w:t>
      </w:r>
      <w:r w:rsidRPr="00BB6824">
        <w:t xml:space="preserve"> 1398, 330–334. doi: </w:t>
      </w:r>
      <w:hyperlink r:id="rId360" w:history="1">
        <w:r w:rsidRPr="00BB6824">
          <w:rPr>
            <w:rStyle w:val="Hyperlink"/>
            <w:rFonts w:ascii="Times New Roman" w:hAnsi="Times New Roman"/>
          </w:rPr>
          <w:t>10.1016/S0167-4781(98)00058-X</w:t>
        </w:r>
      </w:hyperlink>
    </w:p>
    <w:p w14:paraId="27535769" w14:textId="77777777" w:rsidR="005F62EA" w:rsidRPr="00BB6824" w:rsidRDefault="005F62EA" w:rsidP="00562BA2">
      <w:pPr>
        <w:pStyle w:val="Rerences"/>
      </w:pPr>
      <w:r w:rsidRPr="00BB6824">
        <w:t xml:space="preserve">Van Craenenbroeck, A. H., Camps, K., Zachée, P., and Wu, K. L. (2011). </w:t>
      </w:r>
      <w:r w:rsidRPr="00BB6824">
        <w:rPr>
          <w:i/>
          <w:iCs/>
        </w:rPr>
        <w:t>Massilia timonae</w:t>
      </w:r>
      <w:r w:rsidRPr="00BB6824">
        <w:t xml:space="preserve"> Infection Presenting as Generalized Lymphadenopathy in a Man Returning to Belgium from Nigeria </w:t>
      </w:r>
      <w:r w:rsidRPr="00BB6824">
        <w:rPr>
          <w:rFonts w:ascii="Cambria Math" w:hAnsi="Cambria Math" w:cs="Cambria Math"/>
        </w:rPr>
        <w:t>▿</w:t>
      </w:r>
      <w:r w:rsidRPr="00BB6824">
        <w:t xml:space="preserve">. </w:t>
      </w:r>
      <w:r w:rsidRPr="00BB6824">
        <w:rPr>
          <w:i/>
          <w:iCs/>
        </w:rPr>
        <w:t>J Clin Microbiol</w:t>
      </w:r>
      <w:r w:rsidRPr="00BB6824">
        <w:t xml:space="preserve"> 49, 2763–2765. doi: </w:t>
      </w:r>
      <w:hyperlink r:id="rId361" w:history="1">
        <w:r w:rsidRPr="00BB6824">
          <w:rPr>
            <w:rStyle w:val="Hyperlink"/>
            <w:rFonts w:ascii="Times New Roman" w:hAnsi="Times New Roman"/>
          </w:rPr>
          <w:t>10.1128/JCM.00160-11</w:t>
        </w:r>
      </w:hyperlink>
    </w:p>
    <w:p w14:paraId="434D27B1" w14:textId="77777777" w:rsidR="005F62EA" w:rsidRPr="00BB6824" w:rsidRDefault="005F62EA" w:rsidP="00562BA2">
      <w:pPr>
        <w:pStyle w:val="Rerences"/>
      </w:pPr>
      <w:r w:rsidRPr="00BB6824">
        <w:t xml:space="preserve">Veltri, D., Wight, M. M., and Crouch, J. A. (2016). SimpleSynteny: a web-based tool for visualization of microsynteny across multiple species. </w:t>
      </w:r>
      <w:r w:rsidRPr="00BB6824">
        <w:rPr>
          <w:i/>
          <w:iCs/>
        </w:rPr>
        <w:t>Nucleic Acids Res</w:t>
      </w:r>
      <w:r w:rsidRPr="00BB6824">
        <w:t xml:space="preserve"> 44, W41–W45. doi: </w:t>
      </w:r>
      <w:hyperlink r:id="rId362" w:history="1">
        <w:r w:rsidRPr="00BB6824">
          <w:rPr>
            <w:rStyle w:val="Hyperlink"/>
            <w:rFonts w:ascii="Times New Roman" w:hAnsi="Times New Roman"/>
          </w:rPr>
          <w:t>10.1093/nar/gkw330</w:t>
        </w:r>
      </w:hyperlink>
    </w:p>
    <w:p w14:paraId="01F89542" w14:textId="77777777" w:rsidR="005F62EA" w:rsidRPr="00BB6824" w:rsidRDefault="005F62EA" w:rsidP="00562BA2">
      <w:pPr>
        <w:pStyle w:val="Rerences"/>
      </w:pPr>
      <w:r w:rsidRPr="00BB6824">
        <w:t xml:space="preserve">Vimont, S., and Berche, P. (2000). NhaA, an Na(+)/H(+) antiporter involved in environmental survival of </w:t>
      </w:r>
      <w:r w:rsidRPr="00BB6824">
        <w:rPr>
          <w:i/>
          <w:iCs/>
        </w:rPr>
        <w:t>Vibrio cholerae</w:t>
      </w:r>
      <w:r w:rsidRPr="00BB6824">
        <w:t xml:space="preserve">. </w:t>
      </w:r>
      <w:r w:rsidRPr="00BB6824">
        <w:rPr>
          <w:i/>
          <w:iCs/>
        </w:rPr>
        <w:t>J Bacteriol</w:t>
      </w:r>
      <w:r w:rsidRPr="00BB6824">
        <w:t xml:space="preserve"> 182, 2937–2944. doi: </w:t>
      </w:r>
      <w:hyperlink r:id="rId363" w:history="1">
        <w:r w:rsidRPr="00BB6824">
          <w:rPr>
            <w:rStyle w:val="Hyperlink"/>
            <w:rFonts w:ascii="Times New Roman" w:hAnsi="Times New Roman"/>
          </w:rPr>
          <w:t>10.1128/JB.182.10.2937-2944.2000</w:t>
        </w:r>
      </w:hyperlink>
    </w:p>
    <w:p w14:paraId="3882C44B" w14:textId="77777777" w:rsidR="005F62EA" w:rsidRPr="00BB6824" w:rsidRDefault="005F62EA" w:rsidP="00562BA2">
      <w:pPr>
        <w:pStyle w:val="Rerences"/>
      </w:pPr>
      <w:r w:rsidRPr="00BB6824">
        <w:lastRenderedPageBreak/>
        <w:t xml:space="preserve">von Ossowski, I., Mulvey, M. R., Leco, P. A., Borys, A., and Loewen, P. C. (1991). Nucleotide sequence of </w:t>
      </w:r>
      <w:r w:rsidRPr="00BB6824">
        <w:rPr>
          <w:i/>
          <w:iCs/>
        </w:rPr>
        <w:t>Escherichia coli</w:t>
      </w:r>
      <w:r w:rsidRPr="00BB6824">
        <w:t xml:space="preserve"> katE, which encodes catalase HPII. </w:t>
      </w:r>
      <w:r w:rsidRPr="00BB6824">
        <w:rPr>
          <w:i/>
          <w:iCs/>
        </w:rPr>
        <w:t>J Bacteriol</w:t>
      </w:r>
      <w:r w:rsidRPr="00BB6824">
        <w:t xml:space="preserve"> 173, 514–520. doi: </w:t>
      </w:r>
      <w:hyperlink r:id="rId364" w:history="1">
        <w:r w:rsidRPr="00BB6824">
          <w:rPr>
            <w:rStyle w:val="Hyperlink"/>
            <w:rFonts w:ascii="Times New Roman" w:hAnsi="Times New Roman"/>
          </w:rPr>
          <w:t>10.1128/jb.173.2.514-520.1991</w:t>
        </w:r>
      </w:hyperlink>
    </w:p>
    <w:p w14:paraId="0BB13763" w14:textId="4B41D26E" w:rsidR="005F62EA" w:rsidRPr="00BB6824" w:rsidRDefault="005F62EA" w:rsidP="00562BA2">
      <w:pPr>
        <w:pStyle w:val="Rerences"/>
      </w:pPr>
      <w:r w:rsidRPr="00BB6824">
        <w:t xml:space="preserve">Wang, H., Zhang, X., Wang, S., Zhao, B., Lou, K., and Xing, X.-H. (2018). </w:t>
      </w:r>
      <w:r w:rsidRPr="00BB6824">
        <w:rPr>
          <w:i/>
          <w:iCs/>
        </w:rPr>
        <w:t>Massilia violaceinigra</w:t>
      </w:r>
      <w:r w:rsidRPr="00BB6824">
        <w:t xml:space="preserve"> sp. nov., a nvel purple-pigmented bacterium isolated from glacier permafrost. </w:t>
      </w:r>
      <w:r w:rsidRPr="00BB6824">
        <w:rPr>
          <w:i/>
          <w:iCs/>
        </w:rPr>
        <w:t>International Journal of Systematic and Evolutionary Microbiology</w:t>
      </w:r>
      <w:r w:rsidRPr="00BB6824">
        <w:t xml:space="preserve"> 68, 2271–2278. doi: </w:t>
      </w:r>
      <w:hyperlink r:id="rId365" w:history="1">
        <w:r w:rsidRPr="00BB6824">
          <w:rPr>
            <w:rStyle w:val="Hyperlink"/>
            <w:rFonts w:ascii="Times New Roman" w:hAnsi="Times New Roman"/>
          </w:rPr>
          <w:t>10.1099/ijsem.0.002826</w:t>
        </w:r>
      </w:hyperlink>
    </w:p>
    <w:p w14:paraId="28A675AE" w14:textId="77777777" w:rsidR="005F62EA" w:rsidRPr="00BB6824" w:rsidRDefault="005F62EA" w:rsidP="00562BA2">
      <w:pPr>
        <w:pStyle w:val="Rerences"/>
      </w:pPr>
      <w:r w:rsidRPr="00BB6824">
        <w:t xml:space="preserve">Weber, A., Kögl, S. A., and Jung, K. (2006). Time-dependent proteome alterations under osmotic stress during aerobic and anaerobic growth in </w:t>
      </w:r>
      <w:r w:rsidRPr="00BB6824">
        <w:rPr>
          <w:i/>
          <w:iCs/>
        </w:rPr>
        <w:t>Escherichia coli</w:t>
      </w:r>
      <w:r w:rsidRPr="00BB6824">
        <w:t xml:space="preserve">. </w:t>
      </w:r>
      <w:r w:rsidRPr="00BB6824">
        <w:rPr>
          <w:i/>
          <w:iCs/>
        </w:rPr>
        <w:t>J Bacteriol</w:t>
      </w:r>
      <w:r w:rsidRPr="00BB6824">
        <w:t xml:space="preserve"> 188, 7165–7175. doi: </w:t>
      </w:r>
      <w:hyperlink r:id="rId366" w:history="1">
        <w:r w:rsidRPr="00BB6824">
          <w:rPr>
            <w:rStyle w:val="Hyperlink"/>
            <w:rFonts w:ascii="Times New Roman" w:hAnsi="Times New Roman"/>
          </w:rPr>
          <w:t>10.1128/JB.00508-06</w:t>
        </w:r>
      </w:hyperlink>
    </w:p>
    <w:p w14:paraId="14FD6E34" w14:textId="77777777" w:rsidR="005F62EA" w:rsidRPr="00BB6824" w:rsidRDefault="005F62EA" w:rsidP="00562BA2">
      <w:pPr>
        <w:pStyle w:val="Rerences"/>
      </w:pPr>
      <w:r w:rsidRPr="00BB6824">
        <w:t xml:space="preserve">Weisburg, W. G., Barns, S. M., Pelletier, D. A., and Lane, D. J. (1991). 16S ribosomal DNA amplification for phylogenetic study. </w:t>
      </w:r>
      <w:r w:rsidRPr="00BB6824">
        <w:rPr>
          <w:i/>
          <w:iCs/>
        </w:rPr>
        <w:t>J. Bacteriol.</w:t>
      </w:r>
      <w:r w:rsidRPr="00BB6824">
        <w:t xml:space="preserve"> 173, 697–703. doi: </w:t>
      </w:r>
      <w:hyperlink r:id="rId367" w:history="1">
        <w:r w:rsidRPr="00BB6824">
          <w:rPr>
            <w:rStyle w:val="Hyperlink"/>
            <w:rFonts w:ascii="Times New Roman" w:hAnsi="Times New Roman"/>
          </w:rPr>
          <w:t>10.1128/jb.173.2.697-703.1991</w:t>
        </w:r>
      </w:hyperlink>
    </w:p>
    <w:p w14:paraId="59797A22" w14:textId="77777777" w:rsidR="005F62EA" w:rsidRPr="00BB6824" w:rsidRDefault="005F62EA" w:rsidP="00562BA2">
      <w:pPr>
        <w:pStyle w:val="Rerences"/>
      </w:pPr>
      <w:r w:rsidRPr="00BB6824">
        <w:t xml:space="preserve">Wick, R. R., Judd, L. M., Gorrie, C. L., and Holt, K. E. (2017). Unicycler: Resolving bacterial genome assemblies from short and long sequencing reads. </w:t>
      </w:r>
      <w:r w:rsidRPr="00BB6824">
        <w:rPr>
          <w:i/>
          <w:iCs/>
        </w:rPr>
        <w:t>PLOS Computational Biology</w:t>
      </w:r>
      <w:r w:rsidRPr="00BB6824">
        <w:t xml:space="preserve"> 13, e1005595. doi: </w:t>
      </w:r>
      <w:hyperlink r:id="rId368" w:history="1">
        <w:r w:rsidRPr="00BB6824">
          <w:rPr>
            <w:rStyle w:val="Hyperlink"/>
            <w:rFonts w:ascii="Times New Roman" w:hAnsi="Times New Roman"/>
          </w:rPr>
          <w:t>10.1371/journal.pcbi.1005595</w:t>
        </w:r>
      </w:hyperlink>
    </w:p>
    <w:p w14:paraId="244F61DD" w14:textId="77777777" w:rsidR="005F62EA" w:rsidRPr="00BB6824" w:rsidRDefault="005F62EA" w:rsidP="00562BA2">
      <w:pPr>
        <w:pStyle w:val="Rerences"/>
      </w:pPr>
      <w:r w:rsidRPr="00BB6824">
        <w:t xml:space="preserve">Woodhams, D. C., LaBumbard, B. C., Barnhart, K. L., Becker, M. H., Bletz, M. C., Escobar, L. A., et al. (2018). Prodigiosin, Violacein, and Volatile Organic Compounds Produced by Widespread Cutaneous Bacteria of Amphibians Can Inhibit Two Batrachochytrium Fungal Pathogens. </w:t>
      </w:r>
      <w:r w:rsidRPr="00BB6824">
        <w:rPr>
          <w:i/>
          <w:iCs/>
        </w:rPr>
        <w:t>Microb Ecol</w:t>
      </w:r>
      <w:r w:rsidRPr="00BB6824">
        <w:t xml:space="preserve"> 75, 1049–1062. doi: </w:t>
      </w:r>
      <w:hyperlink r:id="rId369" w:history="1">
        <w:r w:rsidRPr="00BB6824">
          <w:rPr>
            <w:rStyle w:val="Hyperlink"/>
            <w:rFonts w:ascii="Times New Roman" w:hAnsi="Times New Roman"/>
          </w:rPr>
          <w:t>10.1007/s00248-017-1095-7</w:t>
        </w:r>
      </w:hyperlink>
    </w:p>
    <w:p w14:paraId="146A2A43" w14:textId="77777777" w:rsidR="005F62EA" w:rsidRPr="00BB6824" w:rsidRDefault="005F62EA" w:rsidP="00562BA2">
      <w:pPr>
        <w:pStyle w:val="Rerences"/>
      </w:pPr>
      <w:r w:rsidRPr="00BB6824">
        <w:t xml:space="preserve">Wu, B., Wawrzynow, A., Zylicz, M., and Georgopoulos, C. (1996). Structure-function analysis of the Escherichia coli GrpE heat shock protein. </w:t>
      </w:r>
      <w:r w:rsidRPr="00BB6824">
        <w:rPr>
          <w:i/>
          <w:iCs/>
        </w:rPr>
        <w:t>EMBO J</w:t>
      </w:r>
      <w:r w:rsidRPr="00BB6824">
        <w:t xml:space="preserve"> 15, 4806–4816.</w:t>
      </w:r>
    </w:p>
    <w:p w14:paraId="47E4110D" w14:textId="77777777" w:rsidR="005F62EA" w:rsidRPr="00BB6824" w:rsidRDefault="005F62EA" w:rsidP="00562BA2">
      <w:pPr>
        <w:pStyle w:val="Rerences"/>
      </w:pPr>
      <w:r w:rsidRPr="00BB6824">
        <w:t xml:space="preserve">Xu, P., Li, W.-J., Tang, S.-K., Zhang, Y.-Q., Chen, G.-Z., Chen, H.-H., et al. (2005). </w:t>
      </w:r>
      <w:r w:rsidRPr="00BB6824">
        <w:rPr>
          <w:i/>
          <w:iCs/>
        </w:rPr>
        <w:t>Naxibacter alkalitolerans</w:t>
      </w:r>
      <w:r w:rsidRPr="00BB6824">
        <w:t xml:space="preserve"> gen. nov., sp. nov., a novel member of the family ‘Oxalobacteraceae’ isolated from China. </w:t>
      </w:r>
      <w:r w:rsidRPr="00BB6824">
        <w:rPr>
          <w:i/>
          <w:iCs/>
        </w:rPr>
        <w:t>International Journal of Systematic and Evolutionary Microbiology</w:t>
      </w:r>
      <w:r w:rsidRPr="00BB6824">
        <w:t xml:space="preserve"> 55, 1149–1153. doi: </w:t>
      </w:r>
      <w:hyperlink r:id="rId370" w:history="1">
        <w:r w:rsidRPr="00BB6824">
          <w:rPr>
            <w:rStyle w:val="Hyperlink"/>
            <w:rFonts w:ascii="Times New Roman" w:hAnsi="Times New Roman"/>
          </w:rPr>
          <w:t>10.1099/ijs.0.63407-0</w:t>
        </w:r>
      </w:hyperlink>
    </w:p>
    <w:p w14:paraId="136EE8DB" w14:textId="77777777" w:rsidR="005F62EA" w:rsidRPr="00BB6824" w:rsidRDefault="005F62EA" w:rsidP="00562BA2">
      <w:pPr>
        <w:pStyle w:val="Rerences"/>
      </w:pPr>
      <w:r w:rsidRPr="00BB6824">
        <w:t xml:space="preserve">Yang, E., Zhao, M., Li, S., Wang, Y., Sun, L., Liu, J., et al. (2019). </w:t>
      </w:r>
      <w:r w:rsidRPr="00BB6824">
        <w:rPr>
          <w:i/>
          <w:iCs/>
        </w:rPr>
        <w:t>Massilia atriviolacea</w:t>
      </w:r>
      <w:r w:rsidRPr="00BB6824">
        <w:t xml:space="preserve"> sp. nov., a dark purple-pigmented bacterium isolated from soil. </w:t>
      </w:r>
      <w:r w:rsidRPr="00BB6824">
        <w:rPr>
          <w:i/>
          <w:iCs/>
        </w:rPr>
        <w:t xml:space="preserve">International </w:t>
      </w:r>
      <w:r w:rsidRPr="00BB6824">
        <w:rPr>
          <w:i/>
          <w:iCs/>
        </w:rPr>
        <w:lastRenderedPageBreak/>
        <w:t>Journal of Systematic and Evolutionary Microbiology</w:t>
      </w:r>
      <w:r w:rsidRPr="00BB6824">
        <w:t xml:space="preserve"> 69, 2135–2141. doi: </w:t>
      </w:r>
      <w:hyperlink r:id="rId371" w:history="1">
        <w:r w:rsidRPr="00BB6824">
          <w:rPr>
            <w:rStyle w:val="Hyperlink"/>
            <w:rFonts w:ascii="Times New Roman" w:hAnsi="Times New Roman"/>
          </w:rPr>
          <w:t>10.1099/ijsem.0.003449</w:t>
        </w:r>
      </w:hyperlink>
    </w:p>
    <w:p w14:paraId="20E7D7D4" w14:textId="77777777" w:rsidR="005F62EA" w:rsidRPr="00BB6824" w:rsidRDefault="005F62EA" w:rsidP="00562BA2">
      <w:pPr>
        <w:pStyle w:val="Rerences"/>
      </w:pPr>
      <w:r w:rsidRPr="00BB6824">
        <w:t xml:space="preserve">Zhang, F., Scheerer, P., Oberpichler, I., Lamparter, T., and Krauß, N. (2013). Crystal structure of a prokaryotic (6-4) photolyase with an Fe-S cluster and a 6,7-dimethyl-8-ribityllumazine antenna chromophore. </w:t>
      </w:r>
      <w:r w:rsidRPr="00BB6824">
        <w:rPr>
          <w:i/>
          <w:iCs/>
        </w:rPr>
        <w:t>Proc Natl Acad Sci U S A</w:t>
      </w:r>
      <w:r w:rsidRPr="00BB6824">
        <w:t xml:space="preserve"> 110, 7217–7222. doi: </w:t>
      </w:r>
      <w:hyperlink r:id="rId372" w:history="1">
        <w:r w:rsidRPr="00BB6824">
          <w:rPr>
            <w:rStyle w:val="Hyperlink"/>
            <w:rFonts w:ascii="Times New Roman" w:hAnsi="Times New Roman"/>
          </w:rPr>
          <w:t>10.1073/pnas.1302377110</w:t>
        </w:r>
      </w:hyperlink>
    </w:p>
    <w:p w14:paraId="794F9151" w14:textId="77777777" w:rsidR="005F62EA" w:rsidRPr="00BB6824" w:rsidRDefault="005F62EA" w:rsidP="00562BA2">
      <w:pPr>
        <w:pStyle w:val="Rerences"/>
      </w:pPr>
      <w:r w:rsidRPr="00BB6824">
        <w:t xml:space="preserve">Zhang, Y.-Q., Li, W.-J., Zhang, K.-Y., Tian, X.-P., Jiang, Y., Xu, L.-H., et al. (2006). </w:t>
      </w:r>
      <w:r w:rsidRPr="00BB6824">
        <w:rPr>
          <w:i/>
          <w:iCs/>
        </w:rPr>
        <w:t>Massilia dura</w:t>
      </w:r>
      <w:r w:rsidRPr="00BB6824">
        <w:t xml:space="preserve"> sp. nov., </w:t>
      </w:r>
      <w:r w:rsidRPr="00BB6824">
        <w:rPr>
          <w:i/>
          <w:iCs/>
        </w:rPr>
        <w:t>Massilia albidiflava</w:t>
      </w:r>
      <w:r w:rsidRPr="00BB6824">
        <w:t xml:space="preserve"> sp. nov., </w:t>
      </w:r>
      <w:r w:rsidRPr="00BB6824">
        <w:rPr>
          <w:i/>
          <w:iCs/>
        </w:rPr>
        <w:t>Massilia plicata</w:t>
      </w:r>
      <w:r w:rsidRPr="00BB6824">
        <w:t xml:space="preserve"> sp. nov. and </w:t>
      </w:r>
      <w:r w:rsidRPr="00BB6824">
        <w:rPr>
          <w:i/>
          <w:iCs/>
        </w:rPr>
        <w:t>Massilia lutea</w:t>
      </w:r>
      <w:r w:rsidRPr="00BB6824">
        <w:t xml:space="preserve"> sp. nov., isolated from soils in China. </w:t>
      </w:r>
      <w:r w:rsidRPr="00BB6824">
        <w:rPr>
          <w:i/>
          <w:iCs/>
        </w:rPr>
        <w:t>Int J Syst Evol Microbiol</w:t>
      </w:r>
      <w:r w:rsidRPr="00BB6824">
        <w:t xml:space="preserve"> 56, 459–463. doi: </w:t>
      </w:r>
      <w:hyperlink r:id="rId373" w:history="1">
        <w:r w:rsidRPr="00BB6824">
          <w:rPr>
            <w:rStyle w:val="Hyperlink"/>
            <w:rFonts w:ascii="Times New Roman" w:hAnsi="Times New Roman"/>
          </w:rPr>
          <w:t>10.1099/ijs.0.64083-0</w:t>
        </w:r>
      </w:hyperlink>
    </w:p>
    <w:p w14:paraId="7C86BE31" w14:textId="77777777" w:rsidR="005F62EA" w:rsidRPr="00BB6824" w:rsidRDefault="005F62EA" w:rsidP="00562BA2">
      <w:pPr>
        <w:pStyle w:val="Rerences"/>
      </w:pPr>
      <w:r w:rsidRPr="00BB6824">
        <w:t xml:space="preserve">Zoumplis, A., Kolody, B., Kaul, D., Zheng, H., Venepally, P., McKnight, D. M., et al. (2023). Impact of meltwater flow intensity on the spatiotemporal heterogeneity of microbial mats in the McMurdo Dry Valleys, Antarctica. </w:t>
      </w:r>
      <w:r w:rsidRPr="00BB6824">
        <w:rPr>
          <w:i/>
          <w:iCs/>
        </w:rPr>
        <w:t>ISME COMMUN.</w:t>
      </w:r>
      <w:r w:rsidRPr="00BB6824">
        <w:t xml:space="preserve"> 3, 1–11. doi: </w:t>
      </w:r>
      <w:hyperlink r:id="rId374" w:history="1">
        <w:r w:rsidRPr="00BB6824">
          <w:rPr>
            <w:rStyle w:val="Hyperlink"/>
            <w:rFonts w:ascii="Times New Roman" w:hAnsi="Times New Roman"/>
          </w:rPr>
          <w:t>10.1038/s43705-022-00202-8</w:t>
        </w:r>
      </w:hyperlink>
    </w:p>
    <w:p w14:paraId="5F4CF773" w14:textId="77777777" w:rsidR="00804B86" w:rsidRDefault="00804B86" w:rsidP="00562BA2">
      <w:pPr>
        <w:ind w:firstLine="0"/>
        <w:rPr>
          <w:b/>
          <w:bCs/>
          <w:iCs/>
          <w:szCs w:val="28"/>
        </w:rPr>
      </w:pPr>
      <w:bookmarkStart w:id="136" w:name="_Toc420995913"/>
      <w:bookmarkStart w:id="137" w:name="_Toc422997500"/>
      <w:bookmarkStart w:id="138" w:name="_Toc427156485"/>
      <w:r>
        <w:br w:type="page"/>
      </w:r>
    </w:p>
    <w:p w14:paraId="50024679" w14:textId="3F8EEAB2" w:rsidR="00C427A7" w:rsidRDefault="008C5889" w:rsidP="001D6E31">
      <w:pPr>
        <w:pStyle w:val="Heading2"/>
      </w:pPr>
      <w:bookmarkStart w:id="139" w:name="_Toc196256892"/>
      <w:r>
        <w:rPr>
          <w:noProof/>
        </w:rPr>
        <w:lastRenderedPageBreak/>
        <w:drawing>
          <wp:anchor distT="0" distB="0" distL="114300" distR="114300" simplePos="0" relativeHeight="251660288" behindDoc="0" locked="0" layoutInCell="1" allowOverlap="1" wp14:anchorId="30CE9D9A" wp14:editId="61A57231">
            <wp:simplePos x="0" y="0"/>
            <wp:positionH relativeFrom="margin">
              <wp:posOffset>-20320</wp:posOffset>
            </wp:positionH>
            <wp:positionV relativeFrom="margin">
              <wp:posOffset>234950</wp:posOffset>
            </wp:positionV>
            <wp:extent cx="5454650" cy="3771900"/>
            <wp:effectExtent l="0" t="0" r="0" b="0"/>
            <wp:wrapSquare wrapText="bothSides"/>
            <wp:docPr id="5190772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77265" name="Picture 2"/>
                    <pic:cNvPicPr>
                      <a:picLocks noChangeAspect="1" noChangeArrowheads="1"/>
                    </pic:cNvPicPr>
                  </pic:nvPicPr>
                  <pic:blipFill>
                    <a:blip r:embed="rId375" cstate="print">
                      <a:extLst>
                        <a:ext uri="{28A0092B-C50C-407E-A947-70E740481C1C}">
                          <a14:useLocalDpi xmlns:a14="http://schemas.microsoft.com/office/drawing/2010/main" val="0"/>
                        </a:ext>
                      </a:extLst>
                    </a:blip>
                    <a:stretch>
                      <a:fillRect/>
                    </a:stretch>
                  </pic:blipFill>
                  <pic:spPr bwMode="auto">
                    <a:xfrm>
                      <a:off x="0" y="0"/>
                      <a:ext cx="5454650" cy="3771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62A0">
        <w:t xml:space="preserve"> </w:t>
      </w:r>
      <w:r w:rsidR="00C427A7">
        <w:t>Appendix: Figures</w:t>
      </w:r>
      <w:bookmarkEnd w:id="139"/>
    </w:p>
    <w:p w14:paraId="499B107C" w14:textId="6EE59C17" w:rsidR="00794A4D" w:rsidRPr="00C671A0" w:rsidRDefault="00605623" w:rsidP="00B72BE1">
      <w:pPr>
        <w:spacing w:line="240" w:lineRule="auto"/>
        <w:ind w:firstLine="0"/>
        <w:rPr>
          <w:rFonts w:cs="Times New Roman"/>
        </w:rPr>
      </w:pPr>
      <w:r>
        <w:rPr>
          <w:noProof/>
        </w:rPr>
        <mc:AlternateContent>
          <mc:Choice Requires="wps">
            <w:drawing>
              <wp:anchor distT="0" distB="0" distL="114300" distR="114300" simplePos="0" relativeHeight="251708416" behindDoc="0" locked="0" layoutInCell="1" allowOverlap="1" wp14:anchorId="500BA64C" wp14:editId="27136A5B">
                <wp:simplePos x="0" y="0"/>
                <wp:positionH relativeFrom="column">
                  <wp:posOffset>-27940</wp:posOffset>
                </wp:positionH>
                <wp:positionV relativeFrom="paragraph">
                  <wp:posOffset>3829050</wp:posOffset>
                </wp:positionV>
                <wp:extent cx="5511800" cy="635"/>
                <wp:effectExtent l="0" t="0" r="0" b="0"/>
                <wp:wrapTopAndBottom/>
                <wp:docPr id="511223239" name="Text Box 1"/>
                <wp:cNvGraphicFramePr/>
                <a:graphic xmlns:a="http://schemas.openxmlformats.org/drawingml/2006/main">
                  <a:graphicData uri="http://schemas.microsoft.com/office/word/2010/wordprocessingShape">
                    <wps:wsp>
                      <wps:cNvSpPr txBox="1"/>
                      <wps:spPr>
                        <a:xfrm>
                          <a:off x="0" y="0"/>
                          <a:ext cx="5511800" cy="635"/>
                        </a:xfrm>
                        <a:prstGeom prst="rect">
                          <a:avLst/>
                        </a:prstGeom>
                        <a:solidFill>
                          <a:prstClr val="white"/>
                        </a:solidFill>
                        <a:ln>
                          <a:noFill/>
                        </a:ln>
                      </wps:spPr>
                      <wps:txbx>
                        <w:txbxContent>
                          <w:p w14:paraId="1546E245" w14:textId="6DA7068E" w:rsidR="00605623" w:rsidRPr="00B365C7" w:rsidRDefault="00605623" w:rsidP="00F13F6D">
                            <w:pPr>
                              <w:pStyle w:val="Caption"/>
                              <w:rPr>
                                <w:noProof/>
                              </w:rPr>
                            </w:pPr>
                            <w:bookmarkStart w:id="140" w:name="_Toc193695159"/>
                            <w:r>
                              <w:t xml:space="preserve">Figure </w:t>
                            </w:r>
                            <w:fldSimple w:instr=" STYLEREF 1 \s ">
                              <w:r w:rsidR="00971287">
                                <w:rPr>
                                  <w:noProof/>
                                </w:rPr>
                                <w:t>2</w:t>
                              </w:r>
                            </w:fldSimple>
                            <w:r w:rsidR="00F13F6D">
                              <w:t>.</w:t>
                            </w:r>
                            <w:fldSimple w:instr=" SEQ Figure \* ARABIC \s 1 ">
                              <w:r w:rsidR="00971287">
                                <w:rPr>
                                  <w:noProof/>
                                </w:rPr>
                                <w:t>1</w:t>
                              </w:r>
                            </w:fldSimple>
                            <w:r>
                              <w:t xml:space="preserve">. The Don Juan Pond (DJP) microbial mat. </w:t>
                            </w:r>
                            <w:r w:rsidRPr="00560FAB">
                              <w:rPr>
                                <w:b w:val="0"/>
                                <w:bCs w:val="0"/>
                              </w:rPr>
                              <w:t>(A) Location of the microbial mat within DJP basin. Approximate location of the basin in Antarctica is inset. (B) Close up of the DJP basin microbial mat collected for enrichment cultures that yielded strain DJPM01.</w:t>
                            </w:r>
                            <w:bookmarkEnd w:id="140"/>
                          </w:p>
                          <w:p w14:paraId="52C69C57" w14:textId="5B632AFC" w:rsidR="00605623" w:rsidRPr="00B007CD" w:rsidRDefault="00605623" w:rsidP="00F13F6D">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00BA64C" id="_x0000_t202" coordsize="21600,21600" o:spt="202" path="m,l,21600r21600,l21600,xe">
                <v:stroke joinstyle="miter"/>
                <v:path gradientshapeok="t" o:connecttype="rect"/>
              </v:shapetype>
              <v:shape id="Text Box 1" o:spid="_x0000_s1026" type="#_x0000_t202" style="position:absolute;margin-left:-2.2pt;margin-top:301.5pt;width:434pt;height:.0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" stroked="f">
                <v:textbox style="mso-fit-shape-to-text:t" inset="0,0,0,0">
                  <w:txbxContent>
                    <w:p w14:paraId="1546E245" w14:textId="6DA7068E" w:rsidR="00605623" w:rsidRPr="00B365C7" w:rsidRDefault="00605623" w:rsidP="00F13F6D">
                      <w:pPr>
                        <w:pStyle w:val="Caption"/>
                        <w:rPr>
                          <w:noProof/>
                        </w:rPr>
                      </w:pPr>
                      <w:bookmarkStart w:id="141" w:name="_Toc193695159"/>
                      <w:r>
                        <w:t xml:space="preserve">Figure </w:t>
                      </w:r>
                      <w:r w:rsidR="00971287">
                        <w:fldChar w:fldCharType="begin"/>
                      </w:r>
                      <w:r w:rsidR="00971287">
                        <w:instrText xml:space="preserve"> STYLEREF 1 \s </w:instrText>
                      </w:r>
                      <w:r w:rsidR="00971287">
                        <w:fldChar w:fldCharType="separate"/>
                      </w:r>
                      <w:r w:rsidR="00971287">
                        <w:rPr>
                          <w:noProof/>
                        </w:rPr>
                        <w:t>2</w:t>
                      </w:r>
                      <w:r w:rsidR="00971287">
                        <w:rPr>
                          <w:noProof/>
                        </w:rPr>
                        <w:fldChar w:fldCharType="end"/>
                      </w:r>
                      <w:r w:rsidR="00F13F6D">
                        <w:t>.</w:t>
                      </w:r>
                      <w:r w:rsidR="00971287">
                        <w:fldChar w:fldCharType="begin"/>
                      </w:r>
                      <w:r w:rsidR="00971287">
                        <w:instrText xml:space="preserve"> SEQ Figure \* ARABIC \s 1 </w:instrText>
                      </w:r>
                      <w:r w:rsidR="00971287">
                        <w:fldChar w:fldCharType="separate"/>
                      </w:r>
                      <w:r w:rsidR="00971287">
                        <w:rPr>
                          <w:noProof/>
                        </w:rPr>
                        <w:t>1</w:t>
                      </w:r>
                      <w:r w:rsidR="00971287">
                        <w:rPr>
                          <w:noProof/>
                        </w:rPr>
                        <w:fldChar w:fldCharType="end"/>
                      </w:r>
                      <w:r>
                        <w:t xml:space="preserve">. The Don Juan Pond (DJP) microbial mat. </w:t>
                      </w:r>
                      <w:r w:rsidRPr="00560FAB">
                        <w:rPr>
                          <w:b w:val="0"/>
                          <w:bCs w:val="0"/>
                        </w:rPr>
                        <w:t>(A) Location of the microbial mat within DJP basin. Approximate location of the basin in Antarctica is inset. (B) Close up of the DJP basin microbial mat collected for enrichment cultures that yielded strain DJPM01.</w:t>
                      </w:r>
                      <w:bookmarkEnd w:id="141"/>
                    </w:p>
                    <w:p w14:paraId="52C69C57" w14:textId="5B632AFC" w:rsidR="00605623" w:rsidRPr="00B007CD" w:rsidRDefault="00605623" w:rsidP="00F13F6D">
                      <w:pPr>
                        <w:pStyle w:val="Caption"/>
                        <w:rPr>
                          <w:noProof/>
                        </w:rPr>
                      </w:pPr>
                    </w:p>
                  </w:txbxContent>
                </v:textbox>
                <w10:wrap type="topAndBottom"/>
              </v:shape>
            </w:pict>
          </mc:Fallback>
        </mc:AlternateContent>
      </w:r>
      <w:bookmarkStart w:id="141" w:name="_Hlk190158594"/>
    </w:p>
    <w:p w14:paraId="2632C306" w14:textId="70636B67" w:rsidR="00F012CE" w:rsidRPr="008C5889" w:rsidRDefault="00794A4D" w:rsidP="008C5889">
      <w:pPr>
        <w:spacing w:line="240" w:lineRule="auto"/>
        <w:ind w:firstLine="0"/>
        <w:rPr>
          <w:b/>
          <w:bCs/>
        </w:rPr>
      </w:pPr>
      <w:r w:rsidRPr="008C5889">
        <w:rPr>
          <w:rFonts w:cs="Times New Roman"/>
        </w:rPr>
        <w:br w:type="page"/>
      </w:r>
      <w:r w:rsidR="009512C0">
        <w:rPr>
          <w:noProof/>
        </w:rPr>
        <w:lastRenderedPageBreak/>
        <w:drawing>
          <wp:anchor distT="0" distB="0" distL="114300" distR="114300" simplePos="0" relativeHeight="251663360" behindDoc="0" locked="0" layoutInCell="1" allowOverlap="1" wp14:anchorId="747298C1" wp14:editId="744915D4">
            <wp:simplePos x="0" y="0"/>
            <wp:positionH relativeFrom="margin">
              <wp:posOffset>-11430</wp:posOffset>
            </wp:positionH>
            <wp:positionV relativeFrom="margin">
              <wp:posOffset>0</wp:posOffset>
            </wp:positionV>
            <wp:extent cx="5513070" cy="4074160"/>
            <wp:effectExtent l="0" t="0" r="0" b="2540"/>
            <wp:wrapSquare wrapText="bothSides"/>
            <wp:docPr id="4251804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80454" name="Picture 3"/>
                    <pic:cNvPicPr>
                      <a:picLocks noChangeAspect="1" noChangeArrowheads="1"/>
                    </pic:cNvPicPr>
                  </pic:nvPicPr>
                  <pic:blipFill rotWithShape="1">
                    <a:blip r:embed="rId376" cstate="print">
                      <a:extLst>
                        <a:ext uri="{28A0092B-C50C-407E-A947-70E740481C1C}">
                          <a14:useLocalDpi xmlns:a14="http://schemas.microsoft.com/office/drawing/2010/main" val="0"/>
                        </a:ext>
                      </a:extLst>
                    </a:blip>
                    <a:srcRect l="345" r="-355"/>
                    <a:stretch/>
                  </pic:blipFill>
                  <pic:spPr bwMode="auto">
                    <a:xfrm>
                      <a:off x="0" y="0"/>
                      <a:ext cx="5513070" cy="40741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434D">
        <w:rPr>
          <w:noProof/>
        </w:rPr>
        <mc:AlternateContent>
          <mc:Choice Requires="wps">
            <w:drawing>
              <wp:anchor distT="0" distB="0" distL="114300" distR="114300" simplePos="0" relativeHeight="251682816" behindDoc="0" locked="0" layoutInCell="1" allowOverlap="1" wp14:anchorId="6CD04054" wp14:editId="311C3260">
                <wp:simplePos x="0" y="0"/>
                <wp:positionH relativeFrom="column">
                  <wp:posOffset>-12700</wp:posOffset>
                </wp:positionH>
                <wp:positionV relativeFrom="paragraph">
                  <wp:posOffset>4131310</wp:posOffset>
                </wp:positionV>
                <wp:extent cx="5474970" cy="635"/>
                <wp:effectExtent l="0" t="0" r="0" b="0"/>
                <wp:wrapSquare wrapText="bothSides"/>
                <wp:docPr id="1438244292" name="Text Box 1"/>
                <wp:cNvGraphicFramePr/>
                <a:graphic xmlns:a="http://schemas.openxmlformats.org/drawingml/2006/main">
                  <a:graphicData uri="http://schemas.microsoft.com/office/word/2010/wordprocessingShape">
                    <wps:wsp>
                      <wps:cNvSpPr txBox="1"/>
                      <wps:spPr>
                        <a:xfrm>
                          <a:off x="0" y="0"/>
                          <a:ext cx="5474970" cy="635"/>
                        </a:xfrm>
                        <a:prstGeom prst="rect">
                          <a:avLst/>
                        </a:prstGeom>
                        <a:solidFill>
                          <a:prstClr val="white"/>
                        </a:solidFill>
                        <a:ln>
                          <a:noFill/>
                        </a:ln>
                      </wps:spPr>
                      <wps:txbx>
                        <w:txbxContent>
                          <w:p w14:paraId="75BACD01" w14:textId="5521DFEF" w:rsidR="004C434D" w:rsidRPr="00560FAB" w:rsidRDefault="004C434D" w:rsidP="00F13F6D">
                            <w:pPr>
                              <w:pStyle w:val="Caption"/>
                              <w:rPr>
                                <w:b w:val="0"/>
                                <w:bCs w:val="0"/>
                                <w:noProof/>
                              </w:rPr>
                            </w:pPr>
                            <w:bookmarkStart w:id="142" w:name="_Toc193695160"/>
                            <w:r>
                              <w:t xml:space="preserve">Figure </w:t>
                            </w:r>
                            <w:fldSimple w:instr=" STYLEREF 1 \s ">
                              <w:r w:rsidR="00971287">
                                <w:rPr>
                                  <w:noProof/>
                                </w:rPr>
                                <w:t>2</w:t>
                              </w:r>
                            </w:fldSimple>
                            <w:r w:rsidR="00F13F6D">
                              <w:t>.</w:t>
                            </w:r>
                            <w:fldSimple w:instr=" SEQ Figure \* ARABIC \s 1 ">
                              <w:r w:rsidR="00971287">
                                <w:rPr>
                                  <w:noProof/>
                                </w:rPr>
                                <w:t>2</w:t>
                              </w:r>
                            </w:fldSimple>
                            <w:r>
                              <w:t xml:space="preserve"> </w:t>
                            </w:r>
                            <w:r w:rsidRPr="00426C99">
                              <w:t>Morphology of strain DJPM01</w:t>
                            </w:r>
                            <w:r w:rsidRPr="00560FAB">
                              <w:rPr>
                                <w:b w:val="0"/>
                                <w:bCs w:val="0"/>
                              </w:rPr>
                              <w:t>. (A) Light microscopy image of strain DJPM01 using phase shift. Cells were rods and 4.65 μm in length on average. (B,C) Strain DJPM01 grown on R2A agar at 10 (B) and 15 (C) °C. Colonies were robust and resisted removal from the agar. Bright red pigmentation was present at all temperatures. (D) Pellicle formation by strain DJPM01 in R2A broth, held at an angle.</w:t>
                            </w:r>
                            <w:bookmarkEnd w:id="1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D04054" id="_x0000_s1027" type="#_x0000_t202" style="position:absolute;margin-left:-1pt;margin-top:325.3pt;width:431.1pt;height:.0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" stroked="f">
                <v:textbox style="mso-fit-shape-to-text:t" inset="0,0,0,0">
                  <w:txbxContent>
                    <w:p w14:paraId="75BACD01" w14:textId="5521DFEF" w:rsidR="004C434D" w:rsidRPr="00560FAB" w:rsidRDefault="004C434D" w:rsidP="00F13F6D">
                      <w:pPr>
                        <w:pStyle w:val="Caption"/>
                        <w:rPr>
                          <w:b w:val="0"/>
                          <w:bCs w:val="0"/>
                          <w:noProof/>
                        </w:rPr>
                      </w:pPr>
                      <w:bookmarkStart w:id="144" w:name="_Toc193695160"/>
                      <w:r>
                        <w:t xml:space="preserve">Figure </w:t>
                      </w:r>
                      <w:r w:rsidR="00971287">
                        <w:fldChar w:fldCharType="begin"/>
                      </w:r>
                      <w:r w:rsidR="00971287">
                        <w:instrText xml:space="preserve"> STYLEREF 1 \s </w:instrText>
                      </w:r>
                      <w:r w:rsidR="00971287">
                        <w:fldChar w:fldCharType="separate"/>
                      </w:r>
                      <w:r w:rsidR="00971287">
                        <w:rPr>
                          <w:noProof/>
                        </w:rPr>
                        <w:t>2</w:t>
                      </w:r>
                      <w:r w:rsidR="00971287">
                        <w:rPr>
                          <w:noProof/>
                        </w:rPr>
                        <w:fldChar w:fldCharType="end"/>
                      </w:r>
                      <w:r w:rsidR="00F13F6D">
                        <w:t>.</w:t>
                      </w:r>
                      <w:r w:rsidR="00971287">
                        <w:fldChar w:fldCharType="begin"/>
                      </w:r>
                      <w:r w:rsidR="00971287">
                        <w:instrText xml:space="preserve"> SEQ Figure \* ARABIC \s 1 </w:instrText>
                      </w:r>
                      <w:r w:rsidR="00971287">
                        <w:fldChar w:fldCharType="separate"/>
                      </w:r>
                      <w:r w:rsidR="00971287">
                        <w:rPr>
                          <w:noProof/>
                        </w:rPr>
                        <w:t>2</w:t>
                      </w:r>
                      <w:r w:rsidR="00971287">
                        <w:rPr>
                          <w:noProof/>
                        </w:rPr>
                        <w:fldChar w:fldCharType="end"/>
                      </w:r>
                      <w:r>
                        <w:t xml:space="preserve"> </w:t>
                      </w:r>
                      <w:r w:rsidRPr="00426C99">
                        <w:t>Morphology of strain DJPM01</w:t>
                      </w:r>
                      <w:r w:rsidRPr="00560FAB">
                        <w:rPr>
                          <w:b w:val="0"/>
                          <w:bCs w:val="0"/>
                        </w:rPr>
                        <w:t>. (A) Light microscopy image of strain DJPM01 using phase shift. Cells were rods and 4.65 </w:t>
                      </w:r>
                      <w:proofErr w:type="spellStart"/>
                      <w:r w:rsidRPr="00560FAB">
                        <w:rPr>
                          <w:b w:val="0"/>
                          <w:bCs w:val="0"/>
                        </w:rPr>
                        <w:t>μm</w:t>
                      </w:r>
                      <w:proofErr w:type="spellEnd"/>
                      <w:r w:rsidRPr="00560FAB">
                        <w:rPr>
                          <w:b w:val="0"/>
                          <w:bCs w:val="0"/>
                        </w:rPr>
                        <w:t xml:space="preserve"> in length on average. (</w:t>
                      </w:r>
                      <w:proofErr w:type="gramStart"/>
                      <w:r w:rsidRPr="00560FAB">
                        <w:rPr>
                          <w:b w:val="0"/>
                          <w:bCs w:val="0"/>
                        </w:rPr>
                        <w:t>B,C</w:t>
                      </w:r>
                      <w:proofErr w:type="gramEnd"/>
                      <w:r w:rsidRPr="00560FAB">
                        <w:rPr>
                          <w:b w:val="0"/>
                          <w:bCs w:val="0"/>
                        </w:rPr>
                        <w:t>) Strain DJPM01 grown on R2A agar at 10 (B) and 15 (C) °C. Colonies were robust and resisted removal from the agar. Bright red pigmentation was present at all temperatures. (D) Pellicle formation by strain DJPM01 in R2A broth, held at an angle.</w:t>
                      </w:r>
                      <w:bookmarkEnd w:id="144"/>
                    </w:p>
                  </w:txbxContent>
                </v:textbox>
                <w10:wrap type="square"/>
              </v:shape>
            </w:pict>
          </mc:Fallback>
        </mc:AlternateContent>
      </w:r>
      <w:r w:rsidR="00B72BE1">
        <w:rPr>
          <w:b/>
          <w:bCs/>
        </w:rPr>
        <w:br w:type="page"/>
      </w:r>
    </w:p>
    <w:p w14:paraId="175FBD42" w14:textId="71E0F815" w:rsidR="00F012CE" w:rsidRDefault="009512C0" w:rsidP="00B72BE1">
      <w:pPr>
        <w:spacing w:line="240" w:lineRule="auto"/>
        <w:ind w:firstLine="0"/>
        <w:rPr>
          <w:color w:val="000000"/>
        </w:rPr>
      </w:pPr>
      <w:r w:rsidRPr="00F012CE">
        <w:rPr>
          <w:b/>
          <w:bCs/>
          <w:noProof/>
        </w:rPr>
        <w:lastRenderedPageBreak/>
        <w:drawing>
          <wp:anchor distT="0" distB="0" distL="114300" distR="114300" simplePos="0" relativeHeight="251664384" behindDoc="0" locked="0" layoutInCell="1" allowOverlap="1" wp14:anchorId="431B760E" wp14:editId="5B94BDFA">
            <wp:simplePos x="0" y="0"/>
            <wp:positionH relativeFrom="margin">
              <wp:posOffset>320040</wp:posOffset>
            </wp:positionH>
            <wp:positionV relativeFrom="margin">
              <wp:posOffset>0</wp:posOffset>
            </wp:positionV>
            <wp:extent cx="4878070" cy="4800600"/>
            <wp:effectExtent l="0" t="0" r="0" b="0"/>
            <wp:wrapSquare wrapText="bothSides"/>
            <wp:docPr id="19351753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175304" name="Picture 1"/>
                    <pic:cNvPicPr>
                      <a:picLocks noChangeAspect="1" noChangeArrowheads="1"/>
                    </pic:cNvPicPr>
                  </pic:nvPicPr>
                  <pic:blipFill>
                    <a:blip r:embed="rId377" cstate="print">
                      <a:extLst>
                        <a:ext uri="{28A0092B-C50C-407E-A947-70E740481C1C}">
                          <a14:useLocalDpi xmlns:a14="http://schemas.microsoft.com/office/drawing/2010/main" val="0"/>
                        </a:ext>
                      </a:extLst>
                    </a:blip>
                    <a:stretch>
                      <a:fillRect/>
                    </a:stretch>
                  </pic:blipFill>
                  <pic:spPr bwMode="auto">
                    <a:xfrm>
                      <a:off x="0" y="0"/>
                      <a:ext cx="4878070" cy="480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5889">
        <w:rPr>
          <w:noProof/>
        </w:rPr>
        <mc:AlternateContent>
          <mc:Choice Requires="wps">
            <w:drawing>
              <wp:anchor distT="0" distB="0" distL="114300" distR="114300" simplePos="0" relativeHeight="251688960" behindDoc="0" locked="0" layoutInCell="1" allowOverlap="1" wp14:anchorId="0BF21FBF" wp14:editId="18951F72">
                <wp:simplePos x="0" y="0"/>
                <wp:positionH relativeFrom="column">
                  <wp:posOffset>-21964</wp:posOffset>
                </wp:positionH>
                <wp:positionV relativeFrom="paragraph">
                  <wp:posOffset>4996927</wp:posOffset>
                </wp:positionV>
                <wp:extent cx="5408295" cy="635"/>
                <wp:effectExtent l="0" t="0" r="0" b="0"/>
                <wp:wrapSquare wrapText="bothSides"/>
                <wp:docPr id="1431271498" name="Text Box 1"/>
                <wp:cNvGraphicFramePr/>
                <a:graphic xmlns:a="http://schemas.openxmlformats.org/drawingml/2006/main">
                  <a:graphicData uri="http://schemas.microsoft.com/office/word/2010/wordprocessingShape">
                    <wps:wsp>
                      <wps:cNvSpPr txBox="1"/>
                      <wps:spPr>
                        <a:xfrm>
                          <a:off x="0" y="0"/>
                          <a:ext cx="5408295" cy="635"/>
                        </a:xfrm>
                        <a:prstGeom prst="rect">
                          <a:avLst/>
                        </a:prstGeom>
                        <a:solidFill>
                          <a:prstClr val="white"/>
                        </a:solidFill>
                        <a:ln>
                          <a:noFill/>
                        </a:ln>
                      </wps:spPr>
                      <wps:txbx>
                        <w:txbxContent>
                          <w:p w14:paraId="26702AB4" w14:textId="484B9492" w:rsidR="00596514" w:rsidRPr="00560FAB" w:rsidRDefault="00596514" w:rsidP="00F13F6D">
                            <w:pPr>
                              <w:pStyle w:val="Caption"/>
                              <w:rPr>
                                <w:b w:val="0"/>
                                <w:bCs w:val="0"/>
                                <w:noProof/>
                              </w:rPr>
                            </w:pPr>
                            <w:bookmarkStart w:id="143" w:name="_Toc193695161"/>
                            <w:r>
                              <w:t xml:space="preserve">Figure </w:t>
                            </w:r>
                            <w:fldSimple w:instr=" STYLEREF 1 \s ">
                              <w:r w:rsidR="00971287">
                                <w:rPr>
                                  <w:noProof/>
                                </w:rPr>
                                <w:t>2</w:t>
                              </w:r>
                            </w:fldSimple>
                            <w:r w:rsidR="00F13F6D">
                              <w:t>.</w:t>
                            </w:r>
                            <w:fldSimple w:instr=" SEQ Figure \* ARABIC \s 1 ">
                              <w:r w:rsidR="00971287">
                                <w:rPr>
                                  <w:noProof/>
                                </w:rPr>
                                <w:t>3</w:t>
                              </w:r>
                            </w:fldSimple>
                            <w:r>
                              <w:t xml:space="preserve"> </w:t>
                            </w:r>
                            <w:r w:rsidRPr="00F012CE">
                              <w:t xml:space="preserve">Multiple-gene tree of </w:t>
                            </w:r>
                            <w:r w:rsidRPr="00173169">
                              <w:rPr>
                                <w:i/>
                                <w:iCs w:val="0"/>
                              </w:rPr>
                              <w:t>Oxalobacteraceae</w:t>
                            </w:r>
                            <w:r w:rsidRPr="00F012CE">
                              <w:t xml:space="preserve"> family members. </w:t>
                            </w:r>
                            <w:r w:rsidRPr="00560FAB">
                              <w:rPr>
                                <w:b w:val="0"/>
                                <w:bCs w:val="0"/>
                              </w:rPr>
                              <w:t xml:space="preserve">Tree </w:t>
                            </w:r>
                            <w:r w:rsidR="00BB0840">
                              <w:rPr>
                                <w:b w:val="0"/>
                                <w:bCs w:val="0"/>
                              </w:rPr>
                              <w:t xml:space="preserve">was </w:t>
                            </w:r>
                            <w:r w:rsidRPr="00560FAB">
                              <w:rPr>
                                <w:b w:val="0"/>
                                <w:bCs w:val="0"/>
                              </w:rPr>
                              <w:t xml:space="preserve">constructed using OrthoFinder v2.5.4 (Emms and Kelly, 2019). All </w:t>
                            </w:r>
                            <w:r w:rsidRPr="00560FAB">
                              <w:rPr>
                                <w:b w:val="0"/>
                                <w:bCs w:val="0"/>
                                <w:i/>
                              </w:rPr>
                              <w:t>Massilia</w:t>
                            </w:r>
                            <w:r w:rsidRPr="00560FAB">
                              <w:rPr>
                                <w:b w:val="0"/>
                                <w:bCs w:val="0"/>
                              </w:rPr>
                              <w:t xml:space="preserve"> with phenotypic and genotypic evidence for red (prodigiosin) or purple-violet (violacein) pigment production form a clade with &gt;87% ANI between any given pair. All members of this clade were isolated cryosphere environments, including all five Antarctic </w:t>
                            </w:r>
                            <w:r w:rsidRPr="00560FAB">
                              <w:rPr>
                                <w:b w:val="0"/>
                                <w:bCs w:val="0"/>
                                <w:i/>
                              </w:rPr>
                              <w:t>Massilia</w:t>
                            </w:r>
                            <w:r w:rsidRPr="00560FAB">
                              <w:rPr>
                                <w:b w:val="0"/>
                                <w:bCs w:val="0"/>
                              </w:rPr>
                              <w:t xml:space="preserve">. All </w:t>
                            </w:r>
                            <w:r w:rsidRPr="00560FAB">
                              <w:rPr>
                                <w:b w:val="0"/>
                                <w:bCs w:val="0"/>
                                <w:i/>
                              </w:rPr>
                              <w:t>Massilia</w:t>
                            </w:r>
                            <w:r w:rsidRPr="00560FAB">
                              <w:rPr>
                                <w:b w:val="0"/>
                                <w:bCs w:val="0"/>
                              </w:rPr>
                              <w:t xml:space="preserve"> genomes cluster into a single clade, with the exception of </w:t>
                            </w:r>
                            <w:r w:rsidRPr="00560FAB">
                              <w:rPr>
                                <w:b w:val="0"/>
                                <w:bCs w:val="0"/>
                                <w:i/>
                              </w:rPr>
                              <w:t>M. eburnea</w:t>
                            </w:r>
                            <w:r w:rsidRPr="00560FAB">
                              <w:rPr>
                                <w:b w:val="0"/>
                                <w:bCs w:val="0"/>
                              </w:rPr>
                              <w:t xml:space="preserve">, originally identified as a species of </w:t>
                            </w:r>
                            <w:r w:rsidRPr="00560FAB">
                              <w:rPr>
                                <w:b w:val="0"/>
                                <w:bCs w:val="0"/>
                                <w:i/>
                              </w:rPr>
                              <w:t>Pseudoduganella</w:t>
                            </w:r>
                            <w:r w:rsidRPr="00560FAB">
                              <w:rPr>
                                <w:b w:val="0"/>
                                <w:bCs w:val="0"/>
                              </w:rPr>
                              <w:t xml:space="preserve"> (Lu et al., 2020). Node values represent bipartition support values &gt;50. An Antarctic </w:t>
                            </w:r>
                            <w:r w:rsidRPr="00560FAB">
                              <w:rPr>
                                <w:b w:val="0"/>
                                <w:bCs w:val="0"/>
                                <w:i/>
                              </w:rPr>
                              <w:t>Shewanella</w:t>
                            </w:r>
                            <w:r w:rsidRPr="00560FAB">
                              <w:rPr>
                                <w:b w:val="0"/>
                                <w:bCs w:val="0"/>
                              </w:rPr>
                              <w:t xml:space="preserve"> species (strain BF02_Schw) was used as an outgroup (DQ677870.1).</w:t>
                            </w:r>
                            <w:bookmarkEnd w:id="1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BF21FBF" id="_x0000_s1028" type="#_x0000_t202" style="position:absolute;margin-left:-1.75pt;margin-top:393.45pt;width:425.85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" stroked="f">
                <v:textbox style="mso-fit-shape-to-text:t" inset="0,0,0,0">
                  <w:txbxContent>
                    <w:p w14:paraId="26702AB4" w14:textId="484B9492" w:rsidR="00596514" w:rsidRPr="00560FAB" w:rsidRDefault="00596514" w:rsidP="00F13F6D">
                      <w:pPr>
                        <w:pStyle w:val="Caption"/>
                        <w:rPr>
                          <w:b w:val="0"/>
                          <w:bCs w:val="0"/>
                          <w:noProof/>
                        </w:rPr>
                      </w:pPr>
                      <w:bookmarkStart w:id="146" w:name="_Toc193695161"/>
                      <w:r>
                        <w:t xml:space="preserve">Figure </w:t>
                      </w:r>
                      <w:r w:rsidR="00971287">
                        <w:fldChar w:fldCharType="begin"/>
                      </w:r>
                      <w:r w:rsidR="00971287">
                        <w:instrText xml:space="preserve"> STYLEREF 1 \s </w:instrText>
                      </w:r>
                      <w:r w:rsidR="00971287">
                        <w:fldChar w:fldCharType="separate"/>
                      </w:r>
                      <w:r w:rsidR="00971287">
                        <w:rPr>
                          <w:noProof/>
                        </w:rPr>
                        <w:t>2</w:t>
                      </w:r>
                      <w:r w:rsidR="00971287">
                        <w:rPr>
                          <w:noProof/>
                        </w:rPr>
                        <w:fldChar w:fldCharType="end"/>
                      </w:r>
                      <w:r w:rsidR="00F13F6D">
                        <w:t>.</w:t>
                      </w:r>
                      <w:r w:rsidR="00971287">
                        <w:fldChar w:fldCharType="begin"/>
                      </w:r>
                      <w:r w:rsidR="00971287">
                        <w:instrText xml:space="preserve"> SEQ Figure \* ARABIC \s 1 </w:instrText>
                      </w:r>
                      <w:r w:rsidR="00971287">
                        <w:fldChar w:fldCharType="separate"/>
                      </w:r>
                      <w:r w:rsidR="00971287">
                        <w:rPr>
                          <w:noProof/>
                        </w:rPr>
                        <w:t>3</w:t>
                      </w:r>
                      <w:r w:rsidR="00971287">
                        <w:rPr>
                          <w:noProof/>
                        </w:rPr>
                        <w:fldChar w:fldCharType="end"/>
                      </w:r>
                      <w:r>
                        <w:t xml:space="preserve"> </w:t>
                      </w:r>
                      <w:r w:rsidRPr="00F012CE">
                        <w:t xml:space="preserve">Multiple-gene tree of </w:t>
                      </w:r>
                      <w:r w:rsidRPr="00173169">
                        <w:rPr>
                          <w:i/>
                          <w:iCs w:val="0"/>
                        </w:rPr>
                        <w:t>Oxalobacteraceae</w:t>
                      </w:r>
                      <w:r w:rsidRPr="00F012CE">
                        <w:t xml:space="preserve"> family members. </w:t>
                      </w:r>
                      <w:r w:rsidRPr="00560FAB">
                        <w:rPr>
                          <w:b w:val="0"/>
                          <w:bCs w:val="0"/>
                        </w:rPr>
                        <w:t xml:space="preserve">Tree </w:t>
                      </w:r>
                      <w:r w:rsidR="00BB0840">
                        <w:rPr>
                          <w:b w:val="0"/>
                          <w:bCs w:val="0"/>
                        </w:rPr>
                        <w:t xml:space="preserve">was </w:t>
                      </w:r>
                      <w:r w:rsidRPr="00560FAB">
                        <w:rPr>
                          <w:b w:val="0"/>
                          <w:bCs w:val="0"/>
                        </w:rPr>
                        <w:t xml:space="preserve">constructed using </w:t>
                      </w:r>
                      <w:proofErr w:type="spellStart"/>
                      <w:r w:rsidRPr="00560FAB">
                        <w:rPr>
                          <w:b w:val="0"/>
                          <w:bCs w:val="0"/>
                        </w:rPr>
                        <w:t>OrthoFinder</w:t>
                      </w:r>
                      <w:proofErr w:type="spellEnd"/>
                      <w:r w:rsidRPr="00560FAB">
                        <w:rPr>
                          <w:b w:val="0"/>
                          <w:bCs w:val="0"/>
                        </w:rPr>
                        <w:t xml:space="preserve"> v2.5.4 (Emms and Kelly, 2019). All </w:t>
                      </w:r>
                      <w:r w:rsidRPr="00560FAB">
                        <w:rPr>
                          <w:b w:val="0"/>
                          <w:bCs w:val="0"/>
                          <w:i/>
                        </w:rPr>
                        <w:t>Massilia</w:t>
                      </w:r>
                      <w:r w:rsidRPr="00560FAB">
                        <w:rPr>
                          <w:b w:val="0"/>
                          <w:bCs w:val="0"/>
                        </w:rPr>
                        <w:t xml:space="preserve"> with phenotypic and genotypic evidence for red (prodigiosin) or purple-violet (violacein) pigment production form a clade with &gt;87% ANI between any given pair. All members of this clade were isolated cryosphere environments, including all five Antarctic </w:t>
                      </w:r>
                      <w:r w:rsidRPr="00560FAB">
                        <w:rPr>
                          <w:b w:val="0"/>
                          <w:bCs w:val="0"/>
                          <w:i/>
                        </w:rPr>
                        <w:t>Massilia</w:t>
                      </w:r>
                      <w:r w:rsidRPr="00560FAB">
                        <w:rPr>
                          <w:b w:val="0"/>
                          <w:bCs w:val="0"/>
                        </w:rPr>
                        <w:t xml:space="preserve">. All </w:t>
                      </w:r>
                      <w:r w:rsidRPr="00560FAB">
                        <w:rPr>
                          <w:b w:val="0"/>
                          <w:bCs w:val="0"/>
                          <w:i/>
                        </w:rPr>
                        <w:t>Massilia</w:t>
                      </w:r>
                      <w:r w:rsidRPr="00560FAB">
                        <w:rPr>
                          <w:b w:val="0"/>
                          <w:bCs w:val="0"/>
                        </w:rPr>
                        <w:t xml:space="preserve"> genomes cluster into a single clade, </w:t>
                      </w:r>
                      <w:proofErr w:type="gramStart"/>
                      <w:r w:rsidRPr="00560FAB">
                        <w:rPr>
                          <w:b w:val="0"/>
                          <w:bCs w:val="0"/>
                        </w:rPr>
                        <w:t>with the exception of</w:t>
                      </w:r>
                      <w:proofErr w:type="gramEnd"/>
                      <w:r w:rsidRPr="00560FAB">
                        <w:rPr>
                          <w:b w:val="0"/>
                          <w:bCs w:val="0"/>
                        </w:rPr>
                        <w:t xml:space="preserve"> </w:t>
                      </w:r>
                      <w:r w:rsidRPr="00560FAB">
                        <w:rPr>
                          <w:b w:val="0"/>
                          <w:bCs w:val="0"/>
                          <w:i/>
                        </w:rPr>
                        <w:t xml:space="preserve">M. </w:t>
                      </w:r>
                      <w:proofErr w:type="spellStart"/>
                      <w:r w:rsidRPr="00560FAB">
                        <w:rPr>
                          <w:b w:val="0"/>
                          <w:bCs w:val="0"/>
                          <w:i/>
                        </w:rPr>
                        <w:t>eburnea</w:t>
                      </w:r>
                      <w:proofErr w:type="spellEnd"/>
                      <w:r w:rsidRPr="00560FAB">
                        <w:rPr>
                          <w:b w:val="0"/>
                          <w:bCs w:val="0"/>
                        </w:rPr>
                        <w:t xml:space="preserve">, originally identified as a species of </w:t>
                      </w:r>
                      <w:proofErr w:type="spellStart"/>
                      <w:r w:rsidRPr="00560FAB">
                        <w:rPr>
                          <w:b w:val="0"/>
                          <w:bCs w:val="0"/>
                          <w:i/>
                        </w:rPr>
                        <w:t>Pseudoduganella</w:t>
                      </w:r>
                      <w:proofErr w:type="spellEnd"/>
                      <w:r w:rsidRPr="00560FAB">
                        <w:rPr>
                          <w:b w:val="0"/>
                          <w:bCs w:val="0"/>
                        </w:rPr>
                        <w:t xml:space="preserve"> (Lu et al., 2020). Node values represent bipartition support values &gt;50. An Antarctic </w:t>
                      </w:r>
                      <w:r w:rsidRPr="00560FAB">
                        <w:rPr>
                          <w:b w:val="0"/>
                          <w:bCs w:val="0"/>
                          <w:i/>
                        </w:rPr>
                        <w:t>Shewanella</w:t>
                      </w:r>
                      <w:r w:rsidRPr="00560FAB">
                        <w:rPr>
                          <w:b w:val="0"/>
                          <w:bCs w:val="0"/>
                        </w:rPr>
                        <w:t xml:space="preserve"> species (strain BF02_Schw) was used as an outgroup (DQ677870.1).</w:t>
                      </w:r>
                      <w:bookmarkEnd w:id="146"/>
                    </w:p>
                  </w:txbxContent>
                </v:textbox>
                <w10:wrap type="square"/>
              </v:shape>
            </w:pict>
          </mc:Fallback>
        </mc:AlternateContent>
      </w:r>
    </w:p>
    <w:p w14:paraId="055D9D1E" w14:textId="477F18A3" w:rsidR="00F012CE" w:rsidRDefault="00F012CE" w:rsidP="00B72BE1">
      <w:pPr>
        <w:spacing w:line="240" w:lineRule="auto"/>
        <w:ind w:firstLine="0"/>
      </w:pPr>
      <w:r>
        <w:rPr>
          <w:b/>
          <w:bCs/>
        </w:rPr>
        <w:t xml:space="preserve"> </w:t>
      </w:r>
    </w:p>
    <w:p w14:paraId="12622CC4" w14:textId="024A50EB" w:rsidR="00F012CE" w:rsidRDefault="00F012CE" w:rsidP="00B72BE1">
      <w:pPr>
        <w:spacing w:line="240" w:lineRule="auto"/>
        <w:ind w:firstLine="0"/>
      </w:pPr>
      <w:r>
        <w:br w:type="page"/>
      </w:r>
    </w:p>
    <w:p w14:paraId="15899D16" w14:textId="5A664132" w:rsidR="00D637AC" w:rsidRPr="00596514" w:rsidRDefault="008C5889" w:rsidP="00596514">
      <w:pPr>
        <w:spacing w:line="240" w:lineRule="auto"/>
        <w:ind w:firstLine="0"/>
        <w:rPr>
          <w:color w:val="000000"/>
        </w:rPr>
      </w:pPr>
      <w:r>
        <w:rPr>
          <w:noProof/>
        </w:rPr>
        <w:lastRenderedPageBreak/>
        <w:drawing>
          <wp:anchor distT="0" distB="0" distL="114300" distR="114300" simplePos="0" relativeHeight="251672576" behindDoc="0" locked="0" layoutInCell="1" allowOverlap="1" wp14:anchorId="3B803416" wp14:editId="0C380140">
            <wp:simplePos x="0" y="0"/>
            <wp:positionH relativeFrom="margin">
              <wp:posOffset>3810</wp:posOffset>
            </wp:positionH>
            <wp:positionV relativeFrom="margin">
              <wp:posOffset>37465</wp:posOffset>
            </wp:positionV>
            <wp:extent cx="5462270" cy="3618230"/>
            <wp:effectExtent l="0" t="0" r="5080" b="1270"/>
            <wp:wrapSquare wrapText="bothSides"/>
            <wp:docPr id="9260249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024987" name="Picture 4"/>
                    <pic:cNvPicPr>
                      <a:picLocks noChangeAspect="1" noChangeArrowheads="1"/>
                    </pic:cNvPicPr>
                  </pic:nvPicPr>
                  <pic:blipFill>
                    <a:blip r:embed="rId378" cstate="print">
                      <a:extLst>
                        <a:ext uri="{28A0092B-C50C-407E-A947-70E740481C1C}">
                          <a14:useLocalDpi xmlns:a14="http://schemas.microsoft.com/office/drawing/2010/main" val="0"/>
                        </a:ext>
                      </a:extLst>
                    </a:blip>
                    <a:stretch>
                      <a:fillRect/>
                    </a:stretch>
                  </pic:blipFill>
                  <pic:spPr bwMode="auto">
                    <a:xfrm>
                      <a:off x="0" y="0"/>
                      <a:ext cx="5462270" cy="3618230"/>
                    </a:xfrm>
                    <a:prstGeom prst="rect">
                      <a:avLst/>
                    </a:prstGeom>
                    <a:noFill/>
                    <a:ln>
                      <a:noFill/>
                    </a:ln>
                  </pic:spPr>
                </pic:pic>
              </a:graphicData>
            </a:graphic>
            <wp14:sizeRelV relativeFrom="margin">
              <wp14:pctHeight>0</wp14:pctHeight>
            </wp14:sizeRelV>
          </wp:anchor>
        </w:drawing>
      </w:r>
      <w:r>
        <w:rPr>
          <w:noProof/>
        </w:rPr>
        <mc:AlternateContent>
          <mc:Choice Requires="wps">
            <w:drawing>
              <wp:anchor distT="0" distB="0" distL="114300" distR="114300" simplePos="0" relativeHeight="251691008" behindDoc="0" locked="0" layoutInCell="1" allowOverlap="1" wp14:anchorId="6EE23BCC" wp14:editId="09873913">
                <wp:simplePos x="0" y="0"/>
                <wp:positionH relativeFrom="column">
                  <wp:posOffset>7508</wp:posOffset>
                </wp:positionH>
                <wp:positionV relativeFrom="paragraph">
                  <wp:posOffset>3949887</wp:posOffset>
                </wp:positionV>
                <wp:extent cx="5462270" cy="635"/>
                <wp:effectExtent l="0" t="0" r="0" b="0"/>
                <wp:wrapSquare wrapText="bothSides"/>
                <wp:docPr id="1717866953" name="Text Box 1"/>
                <wp:cNvGraphicFramePr/>
                <a:graphic xmlns:a="http://schemas.openxmlformats.org/drawingml/2006/main">
                  <a:graphicData uri="http://schemas.microsoft.com/office/word/2010/wordprocessingShape">
                    <wps:wsp>
                      <wps:cNvSpPr txBox="1"/>
                      <wps:spPr>
                        <a:xfrm>
                          <a:off x="0" y="0"/>
                          <a:ext cx="5462270" cy="635"/>
                        </a:xfrm>
                        <a:prstGeom prst="rect">
                          <a:avLst/>
                        </a:prstGeom>
                        <a:solidFill>
                          <a:prstClr val="white"/>
                        </a:solidFill>
                        <a:ln>
                          <a:noFill/>
                        </a:ln>
                      </wps:spPr>
                      <wps:txbx>
                        <w:txbxContent>
                          <w:p w14:paraId="46A6BA78" w14:textId="5A3DA5A3" w:rsidR="00596514" w:rsidRPr="00560FAB" w:rsidRDefault="00596514" w:rsidP="00F13F6D">
                            <w:pPr>
                              <w:pStyle w:val="Caption"/>
                              <w:rPr>
                                <w:b w:val="0"/>
                                <w:bCs w:val="0"/>
                                <w:noProof/>
                              </w:rPr>
                            </w:pPr>
                            <w:bookmarkStart w:id="144" w:name="_Toc193695162"/>
                            <w:r>
                              <w:t xml:space="preserve">Figure </w:t>
                            </w:r>
                            <w:fldSimple w:instr=" STYLEREF 1 \s ">
                              <w:r w:rsidR="00971287">
                                <w:rPr>
                                  <w:noProof/>
                                </w:rPr>
                                <w:t>2</w:t>
                              </w:r>
                            </w:fldSimple>
                            <w:r w:rsidR="00F13F6D">
                              <w:t>.</w:t>
                            </w:r>
                            <w:fldSimple w:instr=" SEQ Figure \* ARABIC \s 1 ">
                              <w:r w:rsidR="00971287">
                                <w:rPr>
                                  <w:noProof/>
                                </w:rPr>
                                <w:t>4</w:t>
                              </w:r>
                            </w:fldSimple>
                            <w:r>
                              <w:t xml:space="preserve"> </w:t>
                            </w:r>
                            <w:r w:rsidRPr="00F012CE">
                              <w:t xml:space="preserve">Gene map for strain DJPM01 highlighting proposed environmentally-relevant genes. </w:t>
                            </w:r>
                            <w:r w:rsidR="00B60F6E">
                              <w:rPr>
                                <w:b w:val="0"/>
                                <w:bCs w:val="0"/>
                              </w:rPr>
                              <w:t>Linear c</w:t>
                            </w:r>
                            <w:r w:rsidRPr="00560FAB">
                              <w:rPr>
                                <w:b w:val="0"/>
                                <w:bCs w:val="0"/>
                              </w:rPr>
                              <w:t>ontigs are sorted by length and represented by grey arrows. Outer tracks depict coding sequences as annotated by Prokka v1.13.7 (Seemann, 2014), separated by strand. Genes related to environmentally-relevant stress adaptation and response are highlighted and labeled. Results of VirSorter2 v2.2.3 (Guo et al., 2021) and CRISPRCasFinder v4.2.20 (Couvin et al., 2018) are present on the inner ring.</w:t>
                            </w:r>
                            <w:bookmarkEnd w:id="144"/>
                            <w:r w:rsidR="00B60F6E">
                              <w:rPr>
                                <w:b w:val="0"/>
                                <w:bCs w:val="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EE23BCC" id="_x0000_s1029" type="#_x0000_t202" style="position:absolute;margin-left:.6pt;margin-top:311pt;width:430.1pt;height:.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" stroked="f">
                <v:textbox style="mso-fit-shape-to-text:t" inset="0,0,0,0">
                  <w:txbxContent>
                    <w:p w14:paraId="46A6BA78" w14:textId="5A3DA5A3" w:rsidR="00596514" w:rsidRPr="00560FAB" w:rsidRDefault="00596514" w:rsidP="00F13F6D">
                      <w:pPr>
                        <w:pStyle w:val="Caption"/>
                        <w:rPr>
                          <w:b w:val="0"/>
                          <w:bCs w:val="0"/>
                          <w:noProof/>
                        </w:rPr>
                      </w:pPr>
                      <w:bookmarkStart w:id="148" w:name="_Toc193695162"/>
                      <w:r>
                        <w:t xml:space="preserve">Figure </w:t>
                      </w:r>
                      <w:r w:rsidR="00971287">
                        <w:fldChar w:fldCharType="begin"/>
                      </w:r>
                      <w:r w:rsidR="00971287">
                        <w:instrText xml:space="preserve"> STYLEREF 1 \s </w:instrText>
                      </w:r>
                      <w:r w:rsidR="00971287">
                        <w:fldChar w:fldCharType="separate"/>
                      </w:r>
                      <w:r w:rsidR="00971287">
                        <w:rPr>
                          <w:noProof/>
                        </w:rPr>
                        <w:t>2</w:t>
                      </w:r>
                      <w:r w:rsidR="00971287">
                        <w:rPr>
                          <w:noProof/>
                        </w:rPr>
                        <w:fldChar w:fldCharType="end"/>
                      </w:r>
                      <w:r w:rsidR="00F13F6D">
                        <w:t>.</w:t>
                      </w:r>
                      <w:r w:rsidR="00971287">
                        <w:fldChar w:fldCharType="begin"/>
                      </w:r>
                      <w:r w:rsidR="00971287">
                        <w:instrText xml:space="preserve"> SEQ Figure \* ARABIC \s 1 </w:instrText>
                      </w:r>
                      <w:r w:rsidR="00971287">
                        <w:fldChar w:fldCharType="separate"/>
                      </w:r>
                      <w:r w:rsidR="00971287">
                        <w:rPr>
                          <w:noProof/>
                        </w:rPr>
                        <w:t>4</w:t>
                      </w:r>
                      <w:r w:rsidR="00971287">
                        <w:rPr>
                          <w:noProof/>
                        </w:rPr>
                        <w:fldChar w:fldCharType="end"/>
                      </w:r>
                      <w:r>
                        <w:t xml:space="preserve"> </w:t>
                      </w:r>
                      <w:r w:rsidRPr="00F012CE">
                        <w:t xml:space="preserve">Gene map for strain DJPM01 highlighting proposed </w:t>
                      </w:r>
                      <w:proofErr w:type="gramStart"/>
                      <w:r w:rsidRPr="00F012CE">
                        <w:t>environmentally-relevant</w:t>
                      </w:r>
                      <w:proofErr w:type="gramEnd"/>
                      <w:r w:rsidRPr="00F012CE">
                        <w:t xml:space="preserve"> genes. </w:t>
                      </w:r>
                      <w:r w:rsidR="00B60F6E">
                        <w:rPr>
                          <w:b w:val="0"/>
                          <w:bCs w:val="0"/>
                        </w:rPr>
                        <w:t>Linear c</w:t>
                      </w:r>
                      <w:r w:rsidRPr="00560FAB">
                        <w:rPr>
                          <w:b w:val="0"/>
                          <w:bCs w:val="0"/>
                        </w:rPr>
                        <w:t xml:space="preserve">ontigs are sorted by length and represented by grey arrows. Outer tracks depict coding sequences as annotated by Prokka v1.13.7 (Seemann, 2014), separated by strand. Genes related to </w:t>
                      </w:r>
                      <w:proofErr w:type="gramStart"/>
                      <w:r w:rsidRPr="00560FAB">
                        <w:rPr>
                          <w:b w:val="0"/>
                          <w:bCs w:val="0"/>
                        </w:rPr>
                        <w:t>environmentally-relevant</w:t>
                      </w:r>
                      <w:proofErr w:type="gramEnd"/>
                      <w:r w:rsidRPr="00560FAB">
                        <w:rPr>
                          <w:b w:val="0"/>
                          <w:bCs w:val="0"/>
                        </w:rPr>
                        <w:t xml:space="preserve"> stress adaptation and response are highlighted and labeled. Results of VirSorter2 v2.2.3 (Guo et al., 2021) and </w:t>
                      </w:r>
                      <w:proofErr w:type="spellStart"/>
                      <w:r w:rsidRPr="00560FAB">
                        <w:rPr>
                          <w:b w:val="0"/>
                          <w:bCs w:val="0"/>
                        </w:rPr>
                        <w:t>CRISPRCasFinder</w:t>
                      </w:r>
                      <w:proofErr w:type="spellEnd"/>
                      <w:r w:rsidRPr="00560FAB">
                        <w:rPr>
                          <w:b w:val="0"/>
                          <w:bCs w:val="0"/>
                        </w:rPr>
                        <w:t xml:space="preserve"> v4.2.20 (</w:t>
                      </w:r>
                      <w:proofErr w:type="spellStart"/>
                      <w:r w:rsidRPr="00560FAB">
                        <w:rPr>
                          <w:b w:val="0"/>
                          <w:bCs w:val="0"/>
                        </w:rPr>
                        <w:t>Couvin</w:t>
                      </w:r>
                      <w:proofErr w:type="spellEnd"/>
                      <w:r w:rsidRPr="00560FAB">
                        <w:rPr>
                          <w:b w:val="0"/>
                          <w:bCs w:val="0"/>
                        </w:rPr>
                        <w:t xml:space="preserve"> et al., 2018) are present on the inner ring.</w:t>
                      </w:r>
                      <w:bookmarkEnd w:id="148"/>
                      <w:r w:rsidR="00B60F6E">
                        <w:rPr>
                          <w:b w:val="0"/>
                          <w:bCs w:val="0"/>
                        </w:rPr>
                        <w:t xml:space="preserve"> </w:t>
                      </w:r>
                    </w:p>
                  </w:txbxContent>
                </v:textbox>
                <w10:wrap type="square"/>
              </v:shape>
            </w:pict>
          </mc:Fallback>
        </mc:AlternateContent>
      </w:r>
      <w:r w:rsidR="00E745EC">
        <w:rPr>
          <w:color w:val="000000"/>
        </w:rPr>
        <w:t>it’</w:t>
      </w:r>
    </w:p>
    <w:p w14:paraId="4521FE0A" w14:textId="79680042" w:rsidR="00D637AC" w:rsidRDefault="00D637AC" w:rsidP="00B72BE1">
      <w:pPr>
        <w:spacing w:line="240" w:lineRule="auto"/>
        <w:ind w:firstLine="0"/>
      </w:pPr>
    </w:p>
    <w:p w14:paraId="70F47EBF" w14:textId="1199F6BF" w:rsidR="00D637AC" w:rsidRDefault="00D637AC" w:rsidP="00596514">
      <w:pPr>
        <w:spacing w:line="240" w:lineRule="auto"/>
        <w:ind w:firstLine="0"/>
        <w:jc w:val="center"/>
      </w:pPr>
    </w:p>
    <w:p w14:paraId="1071130B" w14:textId="6B95FB1C" w:rsidR="008C5889" w:rsidRDefault="00D637AC">
      <w:pPr>
        <w:spacing w:line="240" w:lineRule="auto"/>
        <w:ind w:firstLine="0"/>
      </w:pPr>
      <w:r>
        <w:br w:type="page"/>
      </w:r>
      <w:r w:rsidR="009512C0">
        <w:rPr>
          <w:noProof/>
        </w:rPr>
        <w:lastRenderedPageBreak/>
        <w:drawing>
          <wp:anchor distT="0" distB="0" distL="114300" distR="114300" simplePos="0" relativeHeight="251732992" behindDoc="0" locked="0" layoutInCell="1" allowOverlap="1" wp14:anchorId="63BEBFB2" wp14:editId="0446095E">
            <wp:simplePos x="0" y="0"/>
            <wp:positionH relativeFrom="margin">
              <wp:posOffset>20320</wp:posOffset>
            </wp:positionH>
            <wp:positionV relativeFrom="margin">
              <wp:posOffset>0</wp:posOffset>
            </wp:positionV>
            <wp:extent cx="5441315" cy="4479925"/>
            <wp:effectExtent l="0" t="0" r="0" b="0"/>
            <wp:wrapSquare wrapText="bothSides"/>
            <wp:docPr id="1303489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48916" name="Picture 5"/>
                    <pic:cNvPicPr>
                      <a:picLocks noChangeAspect="1" noChangeArrowheads="1"/>
                    </pic:cNvPicPr>
                  </pic:nvPicPr>
                  <pic:blipFill rotWithShape="1">
                    <a:blip r:embed="rId379">
                      <a:extLst>
                        <a:ext uri="{96DAC541-7B7A-43D3-8B79-37D633B846F1}">
                          <asvg:svgBlip xmlns:asvg="http://schemas.microsoft.com/office/drawing/2016/SVG/main" r:embed="rId380"/>
                        </a:ext>
                      </a:extLst>
                    </a:blip>
                    <a:srcRect l="3067" r="-437"/>
                    <a:stretch/>
                  </pic:blipFill>
                  <pic:spPr bwMode="auto">
                    <a:xfrm>
                      <a:off x="0" y="0"/>
                      <a:ext cx="5441315" cy="4479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5889">
        <w:rPr>
          <w:noProof/>
        </w:rPr>
        <mc:AlternateContent>
          <mc:Choice Requires="wps">
            <w:drawing>
              <wp:anchor distT="0" distB="0" distL="114300" distR="114300" simplePos="0" relativeHeight="251693056" behindDoc="0" locked="0" layoutInCell="1" allowOverlap="1" wp14:anchorId="78D8B069" wp14:editId="73CF60D9">
                <wp:simplePos x="0" y="0"/>
                <wp:positionH relativeFrom="column">
                  <wp:posOffset>15875</wp:posOffset>
                </wp:positionH>
                <wp:positionV relativeFrom="paragraph">
                  <wp:posOffset>4686449</wp:posOffset>
                </wp:positionV>
                <wp:extent cx="5487035" cy="635"/>
                <wp:effectExtent l="0" t="0" r="0" b="3810"/>
                <wp:wrapSquare wrapText="bothSides"/>
                <wp:docPr id="437595430" name="Text Box 1"/>
                <wp:cNvGraphicFramePr/>
                <a:graphic xmlns:a="http://schemas.openxmlformats.org/drawingml/2006/main">
                  <a:graphicData uri="http://schemas.microsoft.com/office/word/2010/wordprocessingShape">
                    <wps:wsp>
                      <wps:cNvSpPr txBox="1"/>
                      <wps:spPr>
                        <a:xfrm>
                          <a:off x="0" y="0"/>
                          <a:ext cx="5487035" cy="635"/>
                        </a:xfrm>
                        <a:prstGeom prst="rect">
                          <a:avLst/>
                        </a:prstGeom>
                        <a:solidFill>
                          <a:prstClr val="white"/>
                        </a:solidFill>
                        <a:ln>
                          <a:noFill/>
                        </a:ln>
                      </wps:spPr>
                      <wps:txbx>
                        <w:txbxContent>
                          <w:p w14:paraId="22E4AC2C" w14:textId="328402E2" w:rsidR="00596514" w:rsidRPr="00173169" w:rsidRDefault="00596514" w:rsidP="00F13F6D">
                            <w:pPr>
                              <w:pStyle w:val="Caption"/>
                              <w:rPr>
                                <w:b w:val="0"/>
                                <w:bCs w:val="0"/>
                                <w:iCs w:val="0"/>
                                <w:noProof/>
                              </w:rPr>
                            </w:pPr>
                            <w:bookmarkStart w:id="145" w:name="_Toc193695163"/>
                            <w:r>
                              <w:t xml:space="preserve">Figure </w:t>
                            </w:r>
                            <w:fldSimple w:instr=" STYLEREF 1 \s ">
                              <w:r w:rsidR="00971287">
                                <w:rPr>
                                  <w:noProof/>
                                </w:rPr>
                                <w:t>2</w:t>
                              </w:r>
                            </w:fldSimple>
                            <w:r w:rsidR="00F13F6D">
                              <w:t>.</w:t>
                            </w:r>
                            <w:fldSimple w:instr=" SEQ Figure \* ARABIC \s 1 ">
                              <w:r w:rsidR="00971287">
                                <w:rPr>
                                  <w:noProof/>
                                </w:rPr>
                                <w:t>5</w:t>
                              </w:r>
                            </w:fldSimple>
                            <w:r>
                              <w:t xml:space="preserve"> </w:t>
                            </w:r>
                            <w:r w:rsidRPr="00F012CE">
                              <w:t>Annotated secondary metabolite BG</w:t>
                            </w:r>
                            <w:r>
                              <w:t>Cs</w:t>
                            </w:r>
                            <w:r w:rsidRPr="00F012CE">
                              <w:t xml:space="preserve"> in </w:t>
                            </w:r>
                            <w:r w:rsidRPr="00B82C17">
                              <w:rPr>
                                <w:i/>
                              </w:rPr>
                              <w:t>Massilia</w:t>
                            </w:r>
                            <w:r w:rsidRPr="00F012CE">
                              <w:t xml:space="preserve"> reference genomes, sorted by isolation environment. </w:t>
                            </w:r>
                            <w:r w:rsidR="00B60F6E">
                              <w:rPr>
                                <w:b w:val="0"/>
                                <w:bCs w:val="0"/>
                              </w:rPr>
                              <w:t>AntiSMASH-annotated c</w:t>
                            </w:r>
                            <w:r w:rsidRPr="00560FAB">
                              <w:rPr>
                                <w:b w:val="0"/>
                                <w:bCs w:val="0"/>
                              </w:rPr>
                              <w:t>lusters have been sorted into broad categories, with hybrid clusters containing motifs of multiple categories (i.e., PKS-NRPS). Numbers represent the total abundance of clusters when multiple are present within the genome. Prodigiosin and violacein BGCs were confirmed via BLAST. Absolute abundance of clusters are plotted to the right of the figure and are significantly different between isolation environments (Tukey</w:t>
                            </w:r>
                            <w:r w:rsidR="00B60F6E">
                              <w:rPr>
                                <w:b w:val="0"/>
                                <w:bCs w:val="0"/>
                              </w:rPr>
                              <w:t xml:space="preserve"> test, *** = p &lt; 0.001</w:t>
                            </w:r>
                            <w:r w:rsidRPr="00560FAB">
                              <w:rPr>
                                <w:b w:val="0"/>
                                <w:bCs w:val="0"/>
                              </w:rPr>
                              <w:t xml:space="preserve">). </w:t>
                            </w:r>
                            <w:r w:rsidRPr="00560FAB">
                              <w:rPr>
                                <w:b w:val="0"/>
                                <w:bCs w:val="0"/>
                                <w:i/>
                              </w:rPr>
                              <w:t>NRPS - nonribosomal peptide synthetase; PKS - polyketide synthase; RiPP - ribosomally synthesized and post-translationally modified peptide.</w:t>
                            </w:r>
                            <w:bookmarkEnd w:id="1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8D8B069" id="_x0000_s1030" type="#_x0000_t202" style="position:absolute;margin-left:1.25pt;margin-top:369pt;width:432.05pt;height:.0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" stroked="f">
                <v:textbox style="mso-fit-shape-to-text:t" inset="0,0,0,0">
                  <w:txbxContent>
                    <w:p w14:paraId="22E4AC2C" w14:textId="328402E2" w:rsidR="00596514" w:rsidRPr="00173169" w:rsidRDefault="00596514" w:rsidP="00F13F6D">
                      <w:pPr>
                        <w:pStyle w:val="Caption"/>
                        <w:rPr>
                          <w:b w:val="0"/>
                          <w:bCs w:val="0"/>
                          <w:iCs w:val="0"/>
                          <w:noProof/>
                        </w:rPr>
                      </w:pPr>
                      <w:bookmarkStart w:id="150" w:name="_Toc193695163"/>
                      <w:r>
                        <w:t xml:space="preserve">Figure </w:t>
                      </w:r>
                      <w:r w:rsidR="00971287">
                        <w:fldChar w:fldCharType="begin"/>
                      </w:r>
                      <w:r w:rsidR="00971287">
                        <w:instrText xml:space="preserve"> STYLEREF 1 \s </w:instrText>
                      </w:r>
                      <w:r w:rsidR="00971287">
                        <w:fldChar w:fldCharType="separate"/>
                      </w:r>
                      <w:r w:rsidR="00971287">
                        <w:rPr>
                          <w:noProof/>
                        </w:rPr>
                        <w:t>2</w:t>
                      </w:r>
                      <w:r w:rsidR="00971287">
                        <w:rPr>
                          <w:noProof/>
                        </w:rPr>
                        <w:fldChar w:fldCharType="end"/>
                      </w:r>
                      <w:r w:rsidR="00F13F6D">
                        <w:t>.</w:t>
                      </w:r>
                      <w:r w:rsidR="00971287">
                        <w:fldChar w:fldCharType="begin"/>
                      </w:r>
                      <w:r w:rsidR="00971287">
                        <w:instrText xml:space="preserve"> SEQ Figure \* ARABIC \s 1 </w:instrText>
                      </w:r>
                      <w:r w:rsidR="00971287">
                        <w:fldChar w:fldCharType="separate"/>
                      </w:r>
                      <w:r w:rsidR="00971287">
                        <w:rPr>
                          <w:noProof/>
                        </w:rPr>
                        <w:t>5</w:t>
                      </w:r>
                      <w:r w:rsidR="00971287">
                        <w:rPr>
                          <w:noProof/>
                        </w:rPr>
                        <w:fldChar w:fldCharType="end"/>
                      </w:r>
                      <w:r>
                        <w:t xml:space="preserve"> </w:t>
                      </w:r>
                      <w:r w:rsidRPr="00F012CE">
                        <w:t>Annotated secondary metabolite BG</w:t>
                      </w:r>
                      <w:r>
                        <w:t>Cs</w:t>
                      </w:r>
                      <w:r w:rsidRPr="00F012CE">
                        <w:t xml:space="preserve"> in </w:t>
                      </w:r>
                      <w:r w:rsidRPr="00B82C17">
                        <w:rPr>
                          <w:i/>
                        </w:rPr>
                        <w:t>Massilia</w:t>
                      </w:r>
                      <w:r w:rsidRPr="00F012CE">
                        <w:t xml:space="preserve"> reference genomes, sorted by isolation environment. </w:t>
                      </w:r>
                      <w:proofErr w:type="spellStart"/>
                      <w:r w:rsidR="00B60F6E">
                        <w:rPr>
                          <w:b w:val="0"/>
                          <w:bCs w:val="0"/>
                        </w:rPr>
                        <w:t>AntiSMASH</w:t>
                      </w:r>
                      <w:proofErr w:type="spellEnd"/>
                      <w:r w:rsidR="00B60F6E">
                        <w:rPr>
                          <w:b w:val="0"/>
                          <w:bCs w:val="0"/>
                        </w:rPr>
                        <w:t>-annotated c</w:t>
                      </w:r>
                      <w:r w:rsidRPr="00560FAB">
                        <w:rPr>
                          <w:b w:val="0"/>
                          <w:bCs w:val="0"/>
                        </w:rPr>
                        <w:t xml:space="preserve">lusters have been sorted into broad categories, with hybrid clusters containing motifs of multiple categories (i.e., PKS-NRPS). Numbers represent the total abundance of clusters when multiple are present within the genome. Prodigiosin and violacein BGCs were confirmed via BLAST. Absolute abundance of clusters </w:t>
                      </w:r>
                      <w:proofErr w:type="gramStart"/>
                      <w:r w:rsidRPr="00560FAB">
                        <w:rPr>
                          <w:b w:val="0"/>
                          <w:bCs w:val="0"/>
                        </w:rPr>
                        <w:t>are</w:t>
                      </w:r>
                      <w:proofErr w:type="gramEnd"/>
                      <w:r w:rsidRPr="00560FAB">
                        <w:rPr>
                          <w:b w:val="0"/>
                          <w:bCs w:val="0"/>
                        </w:rPr>
                        <w:t xml:space="preserve"> plotted to the right of the figure and are significantly different between isolation environments (Tukey</w:t>
                      </w:r>
                      <w:r w:rsidR="00B60F6E">
                        <w:rPr>
                          <w:b w:val="0"/>
                          <w:bCs w:val="0"/>
                        </w:rPr>
                        <w:t xml:space="preserve"> test, *** = p &lt; 0.001</w:t>
                      </w:r>
                      <w:r w:rsidRPr="00560FAB">
                        <w:rPr>
                          <w:b w:val="0"/>
                          <w:bCs w:val="0"/>
                        </w:rPr>
                        <w:t xml:space="preserve">). </w:t>
                      </w:r>
                      <w:r w:rsidRPr="00560FAB">
                        <w:rPr>
                          <w:b w:val="0"/>
                          <w:bCs w:val="0"/>
                          <w:i/>
                        </w:rPr>
                        <w:t xml:space="preserve">NRPS - </w:t>
                      </w:r>
                      <w:proofErr w:type="spellStart"/>
                      <w:r w:rsidRPr="00560FAB">
                        <w:rPr>
                          <w:b w:val="0"/>
                          <w:bCs w:val="0"/>
                          <w:i/>
                        </w:rPr>
                        <w:t>nonribosomal</w:t>
                      </w:r>
                      <w:proofErr w:type="spellEnd"/>
                      <w:r w:rsidRPr="00560FAB">
                        <w:rPr>
                          <w:b w:val="0"/>
                          <w:bCs w:val="0"/>
                          <w:i/>
                        </w:rPr>
                        <w:t xml:space="preserve"> peptide synthetase; PKS - polyketide synthase; </w:t>
                      </w:r>
                      <w:proofErr w:type="spellStart"/>
                      <w:r w:rsidRPr="00560FAB">
                        <w:rPr>
                          <w:b w:val="0"/>
                          <w:bCs w:val="0"/>
                          <w:i/>
                        </w:rPr>
                        <w:t>RiPP</w:t>
                      </w:r>
                      <w:proofErr w:type="spellEnd"/>
                      <w:r w:rsidRPr="00560FAB">
                        <w:rPr>
                          <w:b w:val="0"/>
                          <w:bCs w:val="0"/>
                          <w:i/>
                        </w:rPr>
                        <w:t xml:space="preserve"> - </w:t>
                      </w:r>
                      <w:proofErr w:type="spellStart"/>
                      <w:r w:rsidRPr="00560FAB">
                        <w:rPr>
                          <w:b w:val="0"/>
                          <w:bCs w:val="0"/>
                          <w:i/>
                        </w:rPr>
                        <w:t>ribosomally</w:t>
                      </w:r>
                      <w:proofErr w:type="spellEnd"/>
                      <w:r w:rsidRPr="00560FAB">
                        <w:rPr>
                          <w:b w:val="0"/>
                          <w:bCs w:val="0"/>
                          <w:i/>
                        </w:rPr>
                        <w:t xml:space="preserve"> synthesized and post-translationally modified peptide.</w:t>
                      </w:r>
                      <w:bookmarkEnd w:id="150"/>
                    </w:p>
                  </w:txbxContent>
                </v:textbox>
                <w10:wrap type="square"/>
              </v:shape>
            </w:pict>
          </mc:Fallback>
        </mc:AlternateContent>
      </w:r>
      <w:r w:rsidR="008C5889">
        <w:br w:type="page"/>
      </w:r>
    </w:p>
    <w:p w14:paraId="5050DA9E" w14:textId="55623253" w:rsidR="00D637AC" w:rsidRDefault="008C5889" w:rsidP="00B72BE1">
      <w:pPr>
        <w:spacing w:line="240" w:lineRule="auto"/>
        <w:ind w:firstLine="0"/>
      </w:pPr>
      <w:r>
        <w:rPr>
          <w:noProof/>
        </w:rPr>
        <w:lastRenderedPageBreak/>
        <mc:AlternateContent>
          <mc:Choice Requires="wps">
            <w:drawing>
              <wp:anchor distT="0" distB="0" distL="114300" distR="114300" simplePos="0" relativeHeight="251697152" behindDoc="0" locked="0" layoutInCell="1" allowOverlap="1" wp14:anchorId="61558890" wp14:editId="7B0B14B7">
                <wp:simplePos x="0" y="0"/>
                <wp:positionH relativeFrom="margin">
                  <wp:posOffset>2129</wp:posOffset>
                </wp:positionH>
                <wp:positionV relativeFrom="margin">
                  <wp:posOffset>-91440</wp:posOffset>
                </wp:positionV>
                <wp:extent cx="5459095" cy="635"/>
                <wp:effectExtent l="0" t="0" r="8255" b="0"/>
                <wp:wrapSquare wrapText="bothSides"/>
                <wp:docPr id="560158017" name="Text Box 1"/>
                <wp:cNvGraphicFramePr/>
                <a:graphic xmlns:a="http://schemas.openxmlformats.org/drawingml/2006/main">
                  <a:graphicData uri="http://schemas.microsoft.com/office/word/2010/wordprocessingShape">
                    <wps:wsp>
                      <wps:cNvSpPr txBox="1"/>
                      <wps:spPr>
                        <a:xfrm>
                          <a:off x="0" y="0"/>
                          <a:ext cx="5459095" cy="635"/>
                        </a:xfrm>
                        <a:prstGeom prst="rect">
                          <a:avLst/>
                        </a:prstGeom>
                        <a:solidFill>
                          <a:prstClr val="white"/>
                        </a:solidFill>
                        <a:ln>
                          <a:noFill/>
                        </a:ln>
                      </wps:spPr>
                      <wps:txbx>
                        <w:txbxContent>
                          <w:p w14:paraId="78963E66" w14:textId="5C4BD8E6" w:rsidR="00596514" w:rsidRPr="00F012CE" w:rsidRDefault="00596514" w:rsidP="00596514">
                            <w:pPr>
                              <w:spacing w:line="240" w:lineRule="auto"/>
                              <w:ind w:firstLine="0"/>
                            </w:pPr>
                            <w:bookmarkStart w:id="146" w:name="_Toc193695164"/>
                            <w:r w:rsidRPr="00596514">
                              <w:rPr>
                                <w:b/>
                                <w:bCs/>
                              </w:rPr>
                              <w:t xml:space="preserve">Figure </w:t>
                            </w:r>
                            <w:r w:rsidR="00F13F6D">
                              <w:rPr>
                                <w:b/>
                                <w:bCs/>
                              </w:rPr>
                              <w:fldChar w:fldCharType="begin"/>
                            </w:r>
                            <w:r w:rsidR="00F13F6D">
                              <w:rPr>
                                <w:b/>
                                <w:bCs/>
                              </w:rPr>
                              <w:instrText xml:space="preserve"> STYLEREF 1 \s </w:instrText>
                            </w:r>
                            <w:r w:rsidR="00F13F6D">
                              <w:rPr>
                                <w:b/>
                                <w:bCs/>
                              </w:rPr>
                              <w:fldChar w:fldCharType="separate"/>
                            </w:r>
                            <w:r w:rsidR="00971287">
                              <w:rPr>
                                <w:b/>
                                <w:bCs/>
                                <w:noProof/>
                              </w:rPr>
                              <w:t>2</w:t>
                            </w:r>
                            <w:r w:rsidR="00F13F6D">
                              <w:rPr>
                                <w:b/>
                                <w:bCs/>
                              </w:rPr>
                              <w:fldChar w:fldCharType="end"/>
                            </w:r>
                            <w:r w:rsidR="00F13F6D">
                              <w:rPr>
                                <w:b/>
                                <w:bCs/>
                              </w:rPr>
                              <w:t>.</w:t>
                            </w:r>
                            <w:r w:rsidR="00F13F6D">
                              <w:rPr>
                                <w:b/>
                                <w:bCs/>
                              </w:rPr>
                              <w:fldChar w:fldCharType="begin"/>
                            </w:r>
                            <w:r w:rsidR="00F13F6D">
                              <w:rPr>
                                <w:b/>
                                <w:bCs/>
                              </w:rPr>
                              <w:instrText xml:space="preserve"> SEQ Figure \* ARABIC \s 1 </w:instrText>
                            </w:r>
                            <w:r w:rsidR="00F13F6D">
                              <w:rPr>
                                <w:b/>
                                <w:bCs/>
                              </w:rPr>
                              <w:fldChar w:fldCharType="separate"/>
                            </w:r>
                            <w:r w:rsidR="00971287">
                              <w:rPr>
                                <w:b/>
                                <w:bCs/>
                                <w:noProof/>
                              </w:rPr>
                              <w:t>6</w:t>
                            </w:r>
                            <w:r w:rsidR="00F13F6D">
                              <w:rPr>
                                <w:b/>
                                <w:bCs/>
                              </w:rPr>
                              <w:fldChar w:fldCharType="end"/>
                            </w:r>
                            <w:r>
                              <w:t xml:space="preserve"> </w:t>
                            </w:r>
                            <w:r w:rsidRPr="00F012CE">
                              <w:rPr>
                                <w:b/>
                                <w:bCs/>
                              </w:rPr>
                              <w:t>Detection of prodigiosin and derivatives in strain DJPM01 extracts. (</w:t>
                            </w:r>
                            <w:r w:rsidRPr="00F012CE">
                              <w:t>A) Extracted ion chromatograms (m/z 324.208) of prodigiosin (1) in DJPM01 R2A agar extracts (black) compared to a prodigiosin standard (green). (B) Mirrored MS/MS mass spectra of prodigiosin (1) in DJPM01 agar extracts and prodigiosin standard. UV–Vis spectra of prodigiosin (1) in DJPM01 agar extracts (black) and prodigiosin standard (green) showing identical spectra. (C) Stacked UV trace diagram for plate extracts from control and UV-treated cultures. Dominant peaks corresponding to prodigiosin (1) and 2-methyl3-butyl-prodiginine (3). Images of UV-exposed (left) and control (right) plates following 11 days of incubation. (D) Molecular structures of detected prodigiosin derivatives.</w:t>
                            </w:r>
                            <w:bookmarkEnd w:id="146"/>
                          </w:p>
                          <w:p w14:paraId="187C0C86" w14:textId="36E4BA34" w:rsidR="00596514" w:rsidRPr="00B432AE" w:rsidRDefault="00596514" w:rsidP="00F13F6D">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1558890" id="_x0000_s1031" type="#_x0000_t202" style="position:absolute;margin-left:.15pt;margin-top:-7.2pt;width:429.85pt;height:.05pt;z-index:251697152;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" stroked="f">
                <v:textbox style="mso-fit-shape-to-text:t" inset="0,0,0,0">
                  <w:txbxContent>
                    <w:p w14:paraId="78963E66" w14:textId="5C4BD8E6" w:rsidR="00596514" w:rsidRPr="00F012CE" w:rsidRDefault="00596514" w:rsidP="00596514">
                      <w:pPr>
                        <w:spacing w:line="240" w:lineRule="auto"/>
                        <w:ind w:firstLine="0"/>
                      </w:pPr>
                      <w:bookmarkStart w:id="152" w:name="_Toc193695164"/>
                      <w:r w:rsidRPr="00596514">
                        <w:rPr>
                          <w:b/>
                          <w:bCs/>
                        </w:rPr>
                        <w:t xml:space="preserve">Figure </w:t>
                      </w:r>
                      <w:r w:rsidR="00F13F6D">
                        <w:rPr>
                          <w:b/>
                          <w:bCs/>
                        </w:rPr>
                        <w:fldChar w:fldCharType="begin"/>
                      </w:r>
                      <w:r w:rsidR="00F13F6D">
                        <w:rPr>
                          <w:b/>
                          <w:bCs/>
                        </w:rPr>
                        <w:instrText xml:space="preserve"> STYLEREF 1 \s </w:instrText>
                      </w:r>
                      <w:r w:rsidR="00F13F6D">
                        <w:rPr>
                          <w:b/>
                          <w:bCs/>
                        </w:rPr>
                        <w:fldChar w:fldCharType="separate"/>
                      </w:r>
                      <w:r w:rsidR="00971287">
                        <w:rPr>
                          <w:b/>
                          <w:bCs/>
                          <w:noProof/>
                        </w:rPr>
                        <w:t>2</w:t>
                      </w:r>
                      <w:r w:rsidR="00F13F6D">
                        <w:rPr>
                          <w:b/>
                          <w:bCs/>
                        </w:rPr>
                        <w:fldChar w:fldCharType="end"/>
                      </w:r>
                      <w:r w:rsidR="00F13F6D">
                        <w:rPr>
                          <w:b/>
                          <w:bCs/>
                        </w:rPr>
                        <w:t>.</w:t>
                      </w:r>
                      <w:r w:rsidR="00F13F6D">
                        <w:rPr>
                          <w:b/>
                          <w:bCs/>
                        </w:rPr>
                        <w:fldChar w:fldCharType="begin"/>
                      </w:r>
                      <w:r w:rsidR="00F13F6D">
                        <w:rPr>
                          <w:b/>
                          <w:bCs/>
                        </w:rPr>
                        <w:instrText xml:space="preserve"> SEQ Figure \* ARABIC \s 1 </w:instrText>
                      </w:r>
                      <w:r w:rsidR="00F13F6D">
                        <w:rPr>
                          <w:b/>
                          <w:bCs/>
                        </w:rPr>
                        <w:fldChar w:fldCharType="separate"/>
                      </w:r>
                      <w:r w:rsidR="00971287">
                        <w:rPr>
                          <w:b/>
                          <w:bCs/>
                          <w:noProof/>
                        </w:rPr>
                        <w:t>6</w:t>
                      </w:r>
                      <w:r w:rsidR="00F13F6D">
                        <w:rPr>
                          <w:b/>
                          <w:bCs/>
                        </w:rPr>
                        <w:fldChar w:fldCharType="end"/>
                      </w:r>
                      <w:r>
                        <w:t xml:space="preserve"> </w:t>
                      </w:r>
                      <w:r w:rsidRPr="00F012CE">
                        <w:rPr>
                          <w:b/>
                          <w:bCs/>
                        </w:rPr>
                        <w:t>Detection of prodigiosin and derivatives in strain DJPM01 extracts. (</w:t>
                      </w:r>
                      <w:r w:rsidRPr="00F012CE">
                        <w:t>A) Extracted ion chromatograms (m/z 324.208) of prodigiosin (1) in DJPM01 R2A agar extracts (black) compared to a prodigiosin standard (green). (B) Mirrored MS/MS mass spectra of prodigiosin (1) in DJPM01 agar extracts and prodigiosin standard. UV–</w:t>
                      </w:r>
                      <w:proofErr w:type="gramStart"/>
                      <w:r w:rsidRPr="00F012CE">
                        <w:t>Vis</w:t>
                      </w:r>
                      <w:proofErr w:type="gramEnd"/>
                      <w:r w:rsidRPr="00F012CE">
                        <w:t xml:space="preserve"> spectra of prodigiosin (1) in DJPM01 agar extracts (black) and prodigiosin standard (green) showing identical spectra. (C) Stacked UV trace diagram for plate extracts from control and UV-treated cultures. Dominant peaks corresponding to prodigiosin (1) and 2-methyl3-butyl-prodiginine (3). Images of UV-exposed (left) and control (right) plates following 11 days of incubation. (D) Molecular structures of detected prodigiosin derivatives.</w:t>
                      </w:r>
                      <w:bookmarkEnd w:id="152"/>
                    </w:p>
                    <w:p w14:paraId="187C0C86" w14:textId="36E4BA34" w:rsidR="00596514" w:rsidRPr="00B432AE" w:rsidRDefault="00596514" w:rsidP="00F13F6D">
                      <w:pPr>
                        <w:pStyle w:val="Caption"/>
                        <w:rPr>
                          <w:noProof/>
                        </w:rPr>
                      </w:pPr>
                    </w:p>
                  </w:txbxContent>
                </v:textbox>
                <w10:wrap type="square" anchorx="margin" anchory="margin"/>
              </v:shape>
            </w:pict>
          </mc:Fallback>
        </mc:AlternateContent>
      </w:r>
    </w:p>
    <w:p w14:paraId="5219B510" w14:textId="6315C638" w:rsidR="00D637AC" w:rsidRDefault="00F012CE" w:rsidP="00B72BE1">
      <w:pPr>
        <w:spacing w:line="240" w:lineRule="auto"/>
        <w:ind w:firstLine="0"/>
        <w:rPr>
          <w:b/>
          <w:bCs/>
        </w:rPr>
      </w:pPr>
      <w:r>
        <w:rPr>
          <w:b/>
          <w:bCs/>
        </w:rPr>
        <w:t xml:space="preserve"> </w:t>
      </w:r>
    </w:p>
    <w:p w14:paraId="053E1FB3" w14:textId="1C51C926" w:rsidR="009174C0" w:rsidRPr="008C5889" w:rsidRDefault="00D637AC" w:rsidP="00B72BE1">
      <w:pPr>
        <w:spacing w:line="240" w:lineRule="auto"/>
        <w:ind w:firstLine="0"/>
      </w:pPr>
      <w:r>
        <w:rPr>
          <w:b/>
          <w:bCs/>
        </w:rPr>
        <w:br w:type="page"/>
      </w:r>
      <w:r w:rsidR="00016683">
        <w:rPr>
          <w:b/>
          <w:bCs/>
          <w:noProof/>
        </w:rPr>
        <w:lastRenderedPageBreak/>
        <w:drawing>
          <wp:anchor distT="0" distB="0" distL="114300" distR="114300" simplePos="0" relativeHeight="251671552" behindDoc="0" locked="0" layoutInCell="1" allowOverlap="1" wp14:anchorId="5CE7720F" wp14:editId="5BF560BB">
            <wp:simplePos x="0" y="0"/>
            <wp:positionH relativeFrom="margin">
              <wp:posOffset>612140</wp:posOffset>
            </wp:positionH>
            <wp:positionV relativeFrom="margin">
              <wp:posOffset>1905</wp:posOffset>
            </wp:positionV>
            <wp:extent cx="4630420" cy="7652385"/>
            <wp:effectExtent l="0" t="0" r="0" b="0"/>
            <wp:wrapTopAndBottom/>
            <wp:docPr id="7845125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512538" name="Picture 9"/>
                    <pic:cNvPicPr>
                      <a:picLocks noChangeAspect="1" noChangeArrowheads="1"/>
                    </pic:cNvPicPr>
                  </pic:nvPicPr>
                  <pic:blipFill rotWithShape="1">
                    <a:blip r:embed="rId381" cstate="print">
                      <a:extLst>
                        <a:ext uri="{28A0092B-C50C-407E-A947-70E740481C1C}">
                          <a14:useLocalDpi xmlns:a14="http://schemas.microsoft.com/office/drawing/2010/main" val="0"/>
                        </a:ext>
                      </a:extLst>
                    </a:blip>
                    <a:srcRect r="4531"/>
                    <a:stretch/>
                  </pic:blipFill>
                  <pic:spPr bwMode="auto">
                    <a:xfrm>
                      <a:off x="0" y="0"/>
                      <a:ext cx="4630420" cy="7652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imes New Roman"/>
        </w:rPr>
        <w:br w:type="page"/>
      </w:r>
    </w:p>
    <w:p w14:paraId="37362E68" w14:textId="39DF2460" w:rsidR="009174C0" w:rsidRPr="00F012CE" w:rsidRDefault="00F86EDC" w:rsidP="00B72BE1">
      <w:pPr>
        <w:spacing w:line="240" w:lineRule="auto"/>
        <w:ind w:firstLine="0"/>
      </w:pPr>
      <w:r>
        <w:rPr>
          <w:noProof/>
        </w:rPr>
        <w:lastRenderedPageBreak/>
        <w:drawing>
          <wp:anchor distT="0" distB="0" distL="114300" distR="114300" simplePos="0" relativeHeight="251668480" behindDoc="0" locked="0" layoutInCell="1" allowOverlap="0" wp14:anchorId="0F9B1510" wp14:editId="04BCD99F">
            <wp:simplePos x="0" y="0"/>
            <wp:positionH relativeFrom="margin">
              <wp:posOffset>102870</wp:posOffset>
            </wp:positionH>
            <wp:positionV relativeFrom="margin">
              <wp:posOffset>0</wp:posOffset>
            </wp:positionV>
            <wp:extent cx="5201920" cy="3657600"/>
            <wp:effectExtent l="0" t="0" r="0" b="0"/>
            <wp:wrapSquare wrapText="bothSides"/>
            <wp:docPr id="19680966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96610" name="Picture 7"/>
                    <pic:cNvPicPr>
                      <a:picLocks noChangeAspect="1" noChangeArrowheads="1"/>
                    </pic:cNvPicPr>
                  </pic:nvPicPr>
                  <pic:blipFill rotWithShape="1">
                    <a:blip r:embed="rId382">
                      <a:extLst>
                        <a:ext uri="{28A0092B-C50C-407E-A947-70E740481C1C}">
                          <a14:useLocalDpi xmlns:a14="http://schemas.microsoft.com/office/drawing/2010/main" val="0"/>
                        </a:ext>
                      </a:extLst>
                    </a:blip>
                    <a:srcRect l="5996" r="6943"/>
                    <a:stretch/>
                  </pic:blipFill>
                  <pic:spPr bwMode="auto">
                    <a:xfrm>
                      <a:off x="0" y="0"/>
                      <a:ext cx="5201920" cy="3657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6514">
        <w:rPr>
          <w:noProof/>
        </w:rPr>
        <mc:AlternateContent>
          <mc:Choice Requires="wps">
            <w:drawing>
              <wp:anchor distT="0" distB="0" distL="114300" distR="114300" simplePos="0" relativeHeight="251701248" behindDoc="0" locked="0" layoutInCell="1" allowOverlap="1" wp14:anchorId="799D9D93" wp14:editId="40834301">
                <wp:simplePos x="0" y="0"/>
                <wp:positionH relativeFrom="column">
                  <wp:posOffset>45720</wp:posOffset>
                </wp:positionH>
                <wp:positionV relativeFrom="paragraph">
                  <wp:posOffset>3513455</wp:posOffset>
                </wp:positionV>
                <wp:extent cx="5394960" cy="635"/>
                <wp:effectExtent l="0" t="0" r="0" b="0"/>
                <wp:wrapSquare wrapText="bothSides"/>
                <wp:docPr id="1793369536" name="Text Box 1"/>
                <wp:cNvGraphicFramePr/>
                <a:graphic xmlns:a="http://schemas.openxmlformats.org/drawingml/2006/main">
                  <a:graphicData uri="http://schemas.microsoft.com/office/word/2010/wordprocessingShape">
                    <wps:wsp>
                      <wps:cNvSpPr txBox="1"/>
                      <wps:spPr>
                        <a:xfrm>
                          <a:off x="0" y="0"/>
                          <a:ext cx="5394960" cy="635"/>
                        </a:xfrm>
                        <a:prstGeom prst="rect">
                          <a:avLst/>
                        </a:prstGeom>
                        <a:solidFill>
                          <a:prstClr val="white"/>
                        </a:solidFill>
                        <a:ln>
                          <a:noFill/>
                        </a:ln>
                      </wps:spPr>
                      <wps:txbx>
                        <w:txbxContent>
                          <w:p w14:paraId="02811D4C" w14:textId="6BA1EB41" w:rsidR="00596514" w:rsidRPr="00560FAB" w:rsidRDefault="00596514" w:rsidP="00F13F6D">
                            <w:pPr>
                              <w:pStyle w:val="Caption"/>
                              <w:rPr>
                                <w:b w:val="0"/>
                                <w:bCs w:val="0"/>
                                <w:noProof/>
                              </w:rPr>
                            </w:pPr>
                            <w:bookmarkStart w:id="147" w:name="_Toc193695165"/>
                            <w:r>
                              <w:t xml:space="preserve">Figure </w:t>
                            </w:r>
                            <w:fldSimple w:instr=" STYLEREF 1 \s ">
                              <w:r w:rsidR="00971287">
                                <w:rPr>
                                  <w:noProof/>
                                </w:rPr>
                                <w:t>2</w:t>
                              </w:r>
                            </w:fldSimple>
                            <w:r w:rsidR="00F13F6D">
                              <w:t>.</w:t>
                            </w:r>
                            <w:fldSimple w:instr=" SEQ Figure \* ARABIC \s 1 ">
                              <w:r w:rsidR="00971287">
                                <w:rPr>
                                  <w:noProof/>
                                </w:rPr>
                                <w:t>7</w:t>
                              </w:r>
                            </w:fldSimple>
                            <w:r>
                              <w:t xml:space="preserve"> </w:t>
                            </w:r>
                            <w:r w:rsidRPr="00F012CE">
                              <w:t xml:space="preserve">Differential </w:t>
                            </w:r>
                            <w:r w:rsidR="00B60F6E">
                              <w:t xml:space="preserve">metabolite </w:t>
                            </w:r>
                            <w:r w:rsidRPr="00F012CE">
                              <w:t xml:space="preserve">features observed under UV treatment. </w:t>
                            </w:r>
                            <w:r w:rsidRPr="00560FAB">
                              <w:rPr>
                                <w:b w:val="0"/>
                                <w:bCs w:val="0"/>
                              </w:rPr>
                              <w:t>Volcano plot showing statistically significant (q &lt; 0.05) features in DJPM01 grown on R2A agar that are either increased (red) or decreased (blue) relative to control samples that were not irradiated with UV-A light. Numbered and unnumbered yellow dots correspond to known features and unknown, prodiginine-related features, respectively.</w:t>
                            </w:r>
                            <w:bookmarkEnd w:id="14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99D9D93" id="_x0000_s1032" type="#_x0000_t202" style="position:absolute;margin-left:3.6pt;margin-top:276.65pt;width:424.8pt;height:.05pt;z-index:251701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" stroked="f">
                <v:textbox style="mso-fit-shape-to-text:t" inset="0,0,0,0">
                  <w:txbxContent>
                    <w:p w14:paraId="02811D4C" w14:textId="6BA1EB41" w:rsidR="00596514" w:rsidRPr="00560FAB" w:rsidRDefault="00596514" w:rsidP="00F13F6D">
                      <w:pPr>
                        <w:pStyle w:val="Caption"/>
                        <w:rPr>
                          <w:b w:val="0"/>
                          <w:bCs w:val="0"/>
                          <w:noProof/>
                        </w:rPr>
                      </w:pPr>
                      <w:bookmarkStart w:id="154" w:name="_Toc193695165"/>
                      <w:r>
                        <w:t xml:space="preserve">Figure </w:t>
                      </w:r>
                      <w:r w:rsidR="00971287">
                        <w:fldChar w:fldCharType="begin"/>
                      </w:r>
                      <w:r w:rsidR="00971287">
                        <w:instrText xml:space="preserve"> STYLEREF 1 \s </w:instrText>
                      </w:r>
                      <w:r w:rsidR="00971287">
                        <w:fldChar w:fldCharType="separate"/>
                      </w:r>
                      <w:r w:rsidR="00971287">
                        <w:rPr>
                          <w:noProof/>
                        </w:rPr>
                        <w:t>2</w:t>
                      </w:r>
                      <w:r w:rsidR="00971287">
                        <w:rPr>
                          <w:noProof/>
                        </w:rPr>
                        <w:fldChar w:fldCharType="end"/>
                      </w:r>
                      <w:r w:rsidR="00F13F6D">
                        <w:t>.</w:t>
                      </w:r>
                      <w:r w:rsidR="00971287">
                        <w:fldChar w:fldCharType="begin"/>
                      </w:r>
                      <w:r w:rsidR="00971287">
                        <w:instrText xml:space="preserve"> SEQ Figure \* ARABIC \s 1 </w:instrText>
                      </w:r>
                      <w:r w:rsidR="00971287">
                        <w:fldChar w:fldCharType="separate"/>
                      </w:r>
                      <w:r w:rsidR="00971287">
                        <w:rPr>
                          <w:noProof/>
                        </w:rPr>
                        <w:t>7</w:t>
                      </w:r>
                      <w:r w:rsidR="00971287">
                        <w:rPr>
                          <w:noProof/>
                        </w:rPr>
                        <w:fldChar w:fldCharType="end"/>
                      </w:r>
                      <w:r>
                        <w:t xml:space="preserve"> </w:t>
                      </w:r>
                      <w:r w:rsidRPr="00F012CE">
                        <w:t xml:space="preserve">Differential </w:t>
                      </w:r>
                      <w:r w:rsidR="00B60F6E">
                        <w:t xml:space="preserve">metabolite </w:t>
                      </w:r>
                      <w:r w:rsidRPr="00F012CE">
                        <w:t xml:space="preserve">features observed under UV treatment. </w:t>
                      </w:r>
                      <w:r w:rsidRPr="00560FAB">
                        <w:rPr>
                          <w:b w:val="0"/>
                          <w:bCs w:val="0"/>
                        </w:rPr>
                        <w:t>Volcano plot showing statistically significant (q &lt; 0.05) features in DJPM01 grown on R2A agar that are either increased (red) or decreased (blue) relative to control samples that were not irradiated with UV-A light. Numbered and unnumbered yellow dots correspond to known features and unknown, prodiginine-related features, respectively.</w:t>
                      </w:r>
                      <w:bookmarkEnd w:id="154"/>
                    </w:p>
                  </w:txbxContent>
                </v:textbox>
                <w10:wrap type="square"/>
              </v:shape>
            </w:pict>
          </mc:Fallback>
        </mc:AlternateContent>
      </w:r>
      <w:r w:rsidR="00F012CE">
        <w:rPr>
          <w:b/>
          <w:bCs/>
        </w:rPr>
        <w:t xml:space="preserve"> </w:t>
      </w:r>
    </w:p>
    <w:p w14:paraId="7ACC6041" w14:textId="77777777" w:rsidR="009174C0" w:rsidRDefault="009174C0" w:rsidP="00B72BE1">
      <w:pPr>
        <w:spacing w:line="240" w:lineRule="auto"/>
        <w:ind w:firstLine="0"/>
        <w:rPr>
          <w:b/>
          <w:bCs/>
        </w:rPr>
      </w:pPr>
      <w:r>
        <w:rPr>
          <w:b/>
          <w:bCs/>
        </w:rPr>
        <w:br w:type="page"/>
      </w:r>
    </w:p>
    <w:p w14:paraId="0D468F12" w14:textId="5479CCE9" w:rsidR="009174C0" w:rsidRDefault="00B62014" w:rsidP="00B72BE1">
      <w:pPr>
        <w:spacing w:line="240" w:lineRule="auto"/>
        <w:ind w:firstLine="0"/>
        <w:rPr>
          <w:b/>
          <w:bCs/>
        </w:rPr>
      </w:pPr>
      <w:r>
        <w:rPr>
          <w:noProof/>
        </w:rPr>
        <w:lastRenderedPageBreak/>
        <w:drawing>
          <wp:anchor distT="0" distB="0" distL="114300" distR="114300" simplePos="0" relativeHeight="251666432" behindDoc="0" locked="0" layoutInCell="1" allowOverlap="1" wp14:anchorId="64B6A22F" wp14:editId="6CA3D3DF">
            <wp:simplePos x="0" y="0"/>
            <wp:positionH relativeFrom="margin">
              <wp:posOffset>76200</wp:posOffset>
            </wp:positionH>
            <wp:positionV relativeFrom="margin">
              <wp:posOffset>0</wp:posOffset>
            </wp:positionV>
            <wp:extent cx="5304790" cy="3694430"/>
            <wp:effectExtent l="0" t="0" r="0" b="1270"/>
            <wp:wrapSquare wrapText="bothSides"/>
            <wp:docPr id="1727016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01642" name="Picture 8"/>
                    <pic:cNvPicPr>
                      <a:picLocks noChangeAspect="1" noChangeArrowheads="1"/>
                    </pic:cNvPicPr>
                  </pic:nvPicPr>
                  <pic:blipFill rotWithShape="1">
                    <a:blip r:embed="rId383" cstate="print">
                      <a:extLst>
                        <a:ext uri="{28A0092B-C50C-407E-A947-70E740481C1C}">
                          <a14:useLocalDpi xmlns:a14="http://schemas.microsoft.com/office/drawing/2010/main" val="0"/>
                        </a:ext>
                      </a:extLst>
                    </a:blip>
                    <a:srcRect t="1658" r="4341" b="7790"/>
                    <a:stretch/>
                  </pic:blipFill>
                  <pic:spPr bwMode="auto">
                    <a:xfrm>
                      <a:off x="0" y="0"/>
                      <a:ext cx="5304790" cy="36944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A11EBC" w14:textId="0B116E08" w:rsidR="00F1781C" w:rsidRDefault="00724FF6">
      <w:pPr>
        <w:spacing w:line="240" w:lineRule="auto"/>
        <w:ind w:firstLine="0"/>
        <w:sectPr w:rsidR="00F1781C" w:rsidSect="00A23FDC">
          <w:pgSz w:w="12240" w:h="15840" w:code="1"/>
          <w:pgMar w:top="1440" w:right="1800" w:bottom="1872" w:left="1800" w:header="720" w:footer="1440" w:gutter="0"/>
          <w:cols w:space="720"/>
          <w:noEndnote/>
          <w:docGrid w:linePitch="360"/>
        </w:sectPr>
      </w:pPr>
      <w:r>
        <w:rPr>
          <w:noProof/>
        </w:rPr>
        <mc:AlternateContent>
          <mc:Choice Requires="wps">
            <w:drawing>
              <wp:anchor distT="0" distB="0" distL="114300" distR="114300" simplePos="0" relativeHeight="251705344" behindDoc="0" locked="0" layoutInCell="1" allowOverlap="1" wp14:anchorId="16FF65D6" wp14:editId="5FB6F77C">
                <wp:simplePos x="0" y="0"/>
                <wp:positionH relativeFrom="column">
                  <wp:posOffset>78105</wp:posOffset>
                </wp:positionH>
                <wp:positionV relativeFrom="paragraph">
                  <wp:posOffset>201930</wp:posOffset>
                </wp:positionV>
                <wp:extent cx="5462270" cy="635"/>
                <wp:effectExtent l="0" t="0" r="0" b="0"/>
                <wp:wrapSquare wrapText="bothSides"/>
                <wp:docPr id="88979521" name="Text Box 1"/>
                <wp:cNvGraphicFramePr/>
                <a:graphic xmlns:a="http://schemas.openxmlformats.org/drawingml/2006/main">
                  <a:graphicData uri="http://schemas.microsoft.com/office/word/2010/wordprocessingShape">
                    <wps:wsp>
                      <wps:cNvSpPr txBox="1"/>
                      <wps:spPr>
                        <a:xfrm>
                          <a:off x="0" y="0"/>
                          <a:ext cx="5462270" cy="635"/>
                        </a:xfrm>
                        <a:prstGeom prst="rect">
                          <a:avLst/>
                        </a:prstGeom>
                        <a:solidFill>
                          <a:prstClr val="white"/>
                        </a:solidFill>
                        <a:ln>
                          <a:noFill/>
                        </a:ln>
                      </wps:spPr>
                      <wps:txbx>
                        <w:txbxContent>
                          <w:p w14:paraId="1AF1F40A" w14:textId="5AA8834C" w:rsidR="00724FF6" w:rsidRPr="00F012CE" w:rsidRDefault="00724FF6" w:rsidP="00724FF6">
                            <w:pPr>
                              <w:spacing w:line="240" w:lineRule="auto"/>
                              <w:ind w:firstLine="0"/>
                            </w:pPr>
                            <w:bookmarkStart w:id="148" w:name="_Toc193695166"/>
                            <w:r w:rsidRPr="00B82C17">
                              <w:rPr>
                                <w:b/>
                                <w:bCs/>
                              </w:rPr>
                              <w:t>Figure</w:t>
                            </w:r>
                            <w:r w:rsidR="00605623">
                              <w:rPr>
                                <w:b/>
                                <w:bCs/>
                              </w:rPr>
                              <w:t xml:space="preserve"> </w:t>
                            </w:r>
                            <w:r w:rsidR="00F13F6D">
                              <w:rPr>
                                <w:b/>
                                <w:bCs/>
                              </w:rPr>
                              <w:fldChar w:fldCharType="begin"/>
                            </w:r>
                            <w:r w:rsidR="00F13F6D">
                              <w:rPr>
                                <w:b/>
                                <w:bCs/>
                              </w:rPr>
                              <w:instrText xml:space="preserve"> STYLEREF 1 \s </w:instrText>
                            </w:r>
                            <w:r w:rsidR="00F13F6D">
                              <w:rPr>
                                <w:b/>
                                <w:bCs/>
                              </w:rPr>
                              <w:fldChar w:fldCharType="separate"/>
                            </w:r>
                            <w:r w:rsidR="00971287">
                              <w:rPr>
                                <w:b/>
                                <w:bCs/>
                                <w:noProof/>
                              </w:rPr>
                              <w:t>2</w:t>
                            </w:r>
                            <w:r w:rsidR="00F13F6D">
                              <w:rPr>
                                <w:b/>
                                <w:bCs/>
                              </w:rPr>
                              <w:fldChar w:fldCharType="end"/>
                            </w:r>
                            <w:r w:rsidR="00F13F6D">
                              <w:rPr>
                                <w:b/>
                                <w:bCs/>
                              </w:rPr>
                              <w:t>.</w:t>
                            </w:r>
                            <w:r w:rsidR="00F13F6D">
                              <w:rPr>
                                <w:b/>
                                <w:bCs/>
                              </w:rPr>
                              <w:fldChar w:fldCharType="begin"/>
                            </w:r>
                            <w:r w:rsidR="00F13F6D">
                              <w:rPr>
                                <w:b/>
                                <w:bCs/>
                              </w:rPr>
                              <w:instrText xml:space="preserve"> SEQ Figure \* ARABIC \s 1 </w:instrText>
                            </w:r>
                            <w:r w:rsidR="00F13F6D">
                              <w:rPr>
                                <w:b/>
                                <w:bCs/>
                              </w:rPr>
                              <w:fldChar w:fldCharType="separate"/>
                            </w:r>
                            <w:r w:rsidR="00971287">
                              <w:rPr>
                                <w:b/>
                                <w:bCs/>
                                <w:noProof/>
                              </w:rPr>
                              <w:t>8</w:t>
                            </w:r>
                            <w:r w:rsidR="00F13F6D">
                              <w:rPr>
                                <w:b/>
                                <w:bCs/>
                              </w:rPr>
                              <w:fldChar w:fldCharType="end"/>
                            </w:r>
                            <w:r>
                              <w:t xml:space="preserve"> </w:t>
                            </w:r>
                            <w:r w:rsidRPr="00F012CE">
                              <w:rPr>
                                <w:b/>
                                <w:bCs/>
                              </w:rPr>
                              <w:t xml:space="preserve">Mass defect plot showing features hypothesized to be prodiginines. </w:t>
                            </w:r>
                            <w:r w:rsidRPr="00F012CE">
                              <w:t xml:space="preserve">Features seen in either both </w:t>
                            </w:r>
                            <w:r w:rsidR="00B60F6E">
                              <w:t xml:space="preserve">treatments </w:t>
                            </w:r>
                            <w:r w:rsidRPr="00F012CE">
                              <w:t>(black dots) or control plate extracts only (blue dots). No unique prodiginine features were seen in UV-treated plates. Arrows represent mass defect vectors, with red denoting the addition of oxygen (+16), black the addition of a methyl group (+15), and gray a loss of hydrogen possibly indicating cyclization.</w:t>
                            </w:r>
                            <w:bookmarkEnd w:id="148"/>
                          </w:p>
                          <w:p w14:paraId="1E558973" w14:textId="4F2BE68B" w:rsidR="00724FF6" w:rsidRPr="002F19DC" w:rsidRDefault="00724FF6" w:rsidP="00F13F6D">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FF65D6" id="_x0000_s1033" type="#_x0000_t202" style="position:absolute;margin-left:6.15pt;margin-top:15.9pt;width:430.1pt;height:.0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" stroked="f">
                <v:textbox style="mso-fit-shape-to-text:t" inset="0,0,0,0">
                  <w:txbxContent>
                    <w:p w14:paraId="1AF1F40A" w14:textId="5AA8834C" w:rsidR="00724FF6" w:rsidRPr="00F012CE" w:rsidRDefault="00724FF6" w:rsidP="00724FF6">
                      <w:pPr>
                        <w:spacing w:line="240" w:lineRule="auto"/>
                        <w:ind w:firstLine="0"/>
                      </w:pPr>
                      <w:bookmarkStart w:id="156" w:name="_Toc193695166"/>
                      <w:r w:rsidRPr="00B82C17">
                        <w:rPr>
                          <w:b/>
                          <w:bCs/>
                        </w:rPr>
                        <w:t>Figure</w:t>
                      </w:r>
                      <w:r w:rsidR="00605623">
                        <w:rPr>
                          <w:b/>
                          <w:bCs/>
                        </w:rPr>
                        <w:t xml:space="preserve"> </w:t>
                      </w:r>
                      <w:r w:rsidR="00F13F6D">
                        <w:rPr>
                          <w:b/>
                          <w:bCs/>
                        </w:rPr>
                        <w:fldChar w:fldCharType="begin"/>
                      </w:r>
                      <w:r w:rsidR="00F13F6D">
                        <w:rPr>
                          <w:b/>
                          <w:bCs/>
                        </w:rPr>
                        <w:instrText xml:space="preserve"> STYLEREF 1 \s </w:instrText>
                      </w:r>
                      <w:r w:rsidR="00F13F6D">
                        <w:rPr>
                          <w:b/>
                          <w:bCs/>
                        </w:rPr>
                        <w:fldChar w:fldCharType="separate"/>
                      </w:r>
                      <w:r w:rsidR="00971287">
                        <w:rPr>
                          <w:b/>
                          <w:bCs/>
                          <w:noProof/>
                        </w:rPr>
                        <w:t>2</w:t>
                      </w:r>
                      <w:r w:rsidR="00F13F6D">
                        <w:rPr>
                          <w:b/>
                          <w:bCs/>
                        </w:rPr>
                        <w:fldChar w:fldCharType="end"/>
                      </w:r>
                      <w:r w:rsidR="00F13F6D">
                        <w:rPr>
                          <w:b/>
                          <w:bCs/>
                        </w:rPr>
                        <w:t>.</w:t>
                      </w:r>
                      <w:r w:rsidR="00F13F6D">
                        <w:rPr>
                          <w:b/>
                          <w:bCs/>
                        </w:rPr>
                        <w:fldChar w:fldCharType="begin"/>
                      </w:r>
                      <w:r w:rsidR="00F13F6D">
                        <w:rPr>
                          <w:b/>
                          <w:bCs/>
                        </w:rPr>
                        <w:instrText xml:space="preserve"> SEQ Figure \* ARABIC \s 1 </w:instrText>
                      </w:r>
                      <w:r w:rsidR="00F13F6D">
                        <w:rPr>
                          <w:b/>
                          <w:bCs/>
                        </w:rPr>
                        <w:fldChar w:fldCharType="separate"/>
                      </w:r>
                      <w:r w:rsidR="00971287">
                        <w:rPr>
                          <w:b/>
                          <w:bCs/>
                          <w:noProof/>
                        </w:rPr>
                        <w:t>8</w:t>
                      </w:r>
                      <w:r w:rsidR="00F13F6D">
                        <w:rPr>
                          <w:b/>
                          <w:bCs/>
                        </w:rPr>
                        <w:fldChar w:fldCharType="end"/>
                      </w:r>
                      <w:r>
                        <w:t xml:space="preserve"> </w:t>
                      </w:r>
                      <w:r w:rsidRPr="00F012CE">
                        <w:rPr>
                          <w:b/>
                          <w:bCs/>
                        </w:rPr>
                        <w:t xml:space="preserve">Mass defect plot showing features hypothesized to be prodiginines. </w:t>
                      </w:r>
                      <w:r w:rsidRPr="00F012CE">
                        <w:t xml:space="preserve">Features seen in either both </w:t>
                      </w:r>
                      <w:r w:rsidR="00B60F6E">
                        <w:t xml:space="preserve">treatments </w:t>
                      </w:r>
                      <w:r w:rsidRPr="00F012CE">
                        <w:t>(black dots) or control plate extracts only (blue dots). No unique prodiginine features were seen in UV-treated plates. Arrows represent mass defect vectors, with red denoting the addition of oxygen (+16), black the addition of a methyl group (+15), and gray a loss of hydrogen possibly indicating cyclization.</w:t>
                      </w:r>
                      <w:bookmarkEnd w:id="156"/>
                    </w:p>
                    <w:p w14:paraId="1E558973" w14:textId="4F2BE68B" w:rsidR="00724FF6" w:rsidRPr="002F19DC" w:rsidRDefault="00724FF6" w:rsidP="00F13F6D">
                      <w:pPr>
                        <w:pStyle w:val="Caption"/>
                        <w:rPr>
                          <w:noProof/>
                        </w:rPr>
                      </w:pPr>
                    </w:p>
                  </w:txbxContent>
                </v:textbox>
                <w10:wrap type="square"/>
              </v:shape>
            </w:pict>
          </mc:Fallback>
        </mc:AlternateContent>
      </w:r>
    </w:p>
    <w:p w14:paraId="171ACE6B" w14:textId="4F1ADFDE" w:rsidR="00A46B68" w:rsidRPr="00A46B68" w:rsidRDefault="001A14AF" w:rsidP="008420A0">
      <w:pPr>
        <w:pStyle w:val="Heading1"/>
      </w:pPr>
      <w:bookmarkStart w:id="149" w:name="_Toc196256893"/>
      <w:r>
        <w:lastRenderedPageBreak/>
        <w:t xml:space="preserve">CHAPTER THREE </w:t>
      </w:r>
      <w:r w:rsidR="00A46B68" w:rsidRPr="00A46B68">
        <w:t>COMMUNITY ADAPTATION AND RESPONSE OF AN ECOLOGICALLY-RELEVANT POLAR DESERT BACTERIUM TO SUBTLE CHANGES IN SALINITY</w:t>
      </w:r>
      <w:bookmarkEnd w:id="149"/>
    </w:p>
    <w:p w14:paraId="156067FE" w14:textId="77777777" w:rsidR="007122C3" w:rsidRPr="007122C3" w:rsidRDefault="007122C3" w:rsidP="00562BA2"/>
    <w:p w14:paraId="5C43C029" w14:textId="6C3ECC6B" w:rsidR="00A46B68" w:rsidRPr="00A46B68" w:rsidRDefault="00016683" w:rsidP="00562BA2">
      <w:pPr>
        <w:ind w:firstLine="0"/>
        <w:rPr>
          <w:rFonts w:cs="Times New Roman"/>
          <w:b/>
          <w:bCs/>
          <w:caps/>
          <w:color w:val="000000" w:themeColor="text1"/>
        </w:rPr>
      </w:pPr>
      <w:r>
        <w:br w:type="page"/>
      </w:r>
    </w:p>
    <w:p w14:paraId="539BE441" w14:textId="7C160B44" w:rsidR="00544AE2" w:rsidRDefault="00544AE2" w:rsidP="001A14AF">
      <w:pPr>
        <w:pStyle w:val="Heading2"/>
        <w:spacing w:before="0" w:after="0"/>
      </w:pPr>
      <w:bookmarkStart w:id="150" w:name="_Toc196256894"/>
      <w:r>
        <w:lastRenderedPageBreak/>
        <w:t>Publication Note</w:t>
      </w:r>
      <w:bookmarkEnd w:id="150"/>
    </w:p>
    <w:p w14:paraId="49BCC4F6" w14:textId="102A486F" w:rsidR="00544AE2" w:rsidRDefault="00544AE2" w:rsidP="001A14AF">
      <w:pPr>
        <w:ind w:firstLine="0"/>
      </w:pPr>
      <w:r>
        <w:t>This chapter is in preparation for submission to a peer-reviewed journal. The contributors are Jacob Shaffer, Robert Samples, Lesley-Ann Giddings, Becky Ball, Ross Virginia, and Jill Mikucki</w:t>
      </w:r>
    </w:p>
    <w:p w14:paraId="4235485D" w14:textId="77777777" w:rsidR="00544AE2" w:rsidRPr="00544AE2" w:rsidRDefault="00544AE2" w:rsidP="001A14AF">
      <w:pPr>
        <w:ind w:firstLine="0"/>
      </w:pPr>
    </w:p>
    <w:p w14:paraId="0B6D9118" w14:textId="5AA3A89D" w:rsidR="00A46B68" w:rsidRPr="00DD3B0B" w:rsidRDefault="00A46B68" w:rsidP="001A14AF">
      <w:pPr>
        <w:ind w:firstLine="0"/>
      </w:pPr>
      <w:r>
        <w:t>Microbial ecology analyses including biomass description, microbial cultivation work, DNA and RNA extraction, and bioinformatic analyses were all performed by J</w:t>
      </w:r>
      <w:r w:rsidR="00544AE2">
        <w:t>acob</w:t>
      </w:r>
      <w:r>
        <w:t xml:space="preserve"> Shaffer. Metabolite extraction was performed by L</w:t>
      </w:r>
      <w:r w:rsidR="00544AE2">
        <w:t>esley-Ann</w:t>
      </w:r>
      <w:r>
        <w:t xml:space="preserve"> Giddings, and metabolite data were generated by R</w:t>
      </w:r>
      <w:r w:rsidR="00544AE2">
        <w:t>obert</w:t>
      </w:r>
      <w:r>
        <w:t xml:space="preserve"> Samples, with resulting data analyses performed by J</w:t>
      </w:r>
      <w:r w:rsidR="00544AE2">
        <w:t>acob</w:t>
      </w:r>
      <w:r>
        <w:t xml:space="preserve"> Shaffer. Samples utilized in this study were originally collected by B</w:t>
      </w:r>
      <w:r w:rsidR="00544AE2">
        <w:t>ecky</w:t>
      </w:r>
      <w:r>
        <w:t xml:space="preserve"> Ball and R</w:t>
      </w:r>
      <w:r w:rsidR="00544AE2">
        <w:t>oss</w:t>
      </w:r>
      <w:r>
        <w:t xml:space="preserve"> Virginia, who also performed the geochemical analyses.</w:t>
      </w:r>
      <w:r w:rsidRPr="00B12321">
        <w:t xml:space="preserve"> </w:t>
      </w:r>
      <w:r>
        <w:t>This chapter was written by J</w:t>
      </w:r>
      <w:r w:rsidR="00544AE2">
        <w:t>acob</w:t>
      </w:r>
      <w:r>
        <w:t xml:space="preserve"> Shaffer with editorial assistance from J</w:t>
      </w:r>
      <w:r w:rsidR="00544AE2">
        <w:t>ill</w:t>
      </w:r>
      <w:r>
        <w:t xml:space="preserve"> Mikucki.</w:t>
      </w:r>
    </w:p>
    <w:p w14:paraId="0563EA36" w14:textId="627F22DC" w:rsidR="00A46B68" w:rsidRDefault="00A46B68" w:rsidP="001A14AF">
      <w:pPr>
        <w:pStyle w:val="Heading2"/>
        <w:spacing w:before="0" w:after="0"/>
      </w:pPr>
      <w:bookmarkStart w:id="151" w:name="_Toc196256895"/>
      <w:r>
        <w:t>Abstract</w:t>
      </w:r>
      <w:bookmarkEnd w:id="151"/>
    </w:p>
    <w:p w14:paraId="651CDEB3" w14:textId="344236D6" w:rsidR="00A46B68" w:rsidRPr="00362639" w:rsidRDefault="00A46B68" w:rsidP="001A14AF">
      <w:pPr>
        <w:rPr>
          <w:rFonts w:asciiTheme="minorHAnsi" w:hAnsiTheme="minorHAnsi"/>
        </w:rPr>
      </w:pPr>
      <w:r>
        <w:t>Microbial communities in the polar desert soils of McMurdo Dry Valleys (MDV) of Antarctica are largely structured by abiotic factors. In the dry mineral soils, the melting of near surface permafrost leads to the formation of soil seeps, characterized by subtle increases in soil moisture and salinity. Here we describe the microbial community structure and functional potential along a MDV moisture and salinity gradient within a soil seep. This natural gradient reflects the subtle changes likely to occur under steadily warming conditions. Amplicon sequencing of 16S rRNA genes identified increases in the phyla Bacillota and Bacteroidota correlated with soil conductivity, and a higher relative abundance of salt stress related genes</w:t>
      </w:r>
      <w:r w:rsidR="009C328D">
        <w:t xml:space="preserve"> were present in metagenomes from</w:t>
      </w:r>
      <w:r>
        <w:t xml:space="preserve"> moderately saline soils. A potentially novel </w:t>
      </w:r>
      <w:r>
        <w:rPr>
          <w:i/>
          <w:iCs/>
        </w:rPr>
        <w:t xml:space="preserve">Gillisia </w:t>
      </w:r>
      <w:r>
        <w:t>sp. (strain FRX26; phylum Bacteroidota) present in several saline MDV basins, was isolated from the seep soils and contains several genomic adaptions to elevated salinity. Using a combination of transcriptomic and metabolomic analyses, we found that the production of extracellular polymeric substances (EPS) increases in response to subtle changes in salinity (0.2 M vs 0.5 M NaCl) which may provide protection against osmotic stress in the seep environment. Together, these results highlight the impact of subtle environmental change on soil communities in a region experiencing increases in melt.</w:t>
      </w:r>
    </w:p>
    <w:p w14:paraId="1F986500" w14:textId="77777777" w:rsidR="00A46B68" w:rsidRDefault="00A46B68" w:rsidP="001A14AF">
      <w:pPr>
        <w:pStyle w:val="Heading2"/>
        <w:spacing w:before="0" w:after="0"/>
      </w:pPr>
      <w:bookmarkStart w:id="152" w:name="_Toc196256896"/>
      <w:r>
        <w:lastRenderedPageBreak/>
        <w:t>Introduction</w:t>
      </w:r>
      <w:bookmarkEnd w:id="152"/>
    </w:p>
    <w:p w14:paraId="34678106" w14:textId="77777777" w:rsidR="00A46B68" w:rsidRDefault="00A46B68" w:rsidP="001A14AF">
      <w:r>
        <w:t xml:space="preserve">The McMurdo Dry Valleys (MDV) are the largest ice free region of the continent </w:t>
      </w:r>
      <w:r w:rsidRPr="00CA259D">
        <w:t>(Lee et al., 2017)</w:t>
      </w:r>
      <w:r>
        <w:t xml:space="preserve">, and receive less than 50 mm of precipitation annually </w:t>
      </w:r>
      <w:r w:rsidRPr="00742EDA">
        <w:t>(Fountain et al., 2009)</w:t>
      </w:r>
      <w:r>
        <w:t xml:space="preserve">. Regional air temperatures range from -50 °C in the winter to &gt; 10 °C in the summer (average -15 to -30 °C, dependent on location; </w:t>
      </w:r>
      <w:r w:rsidRPr="00742EDA">
        <w:t>Obryk et al., 2020)</w:t>
      </w:r>
      <w:r>
        <w:t xml:space="preserve">. Communities within the MDV are microbially dominated and lack both vertebrates and vascular plants </w:t>
      </w:r>
      <w:r w:rsidRPr="00044CD8">
        <w:t>(Cary et al., 2010)</w:t>
      </w:r>
      <w:r>
        <w:t xml:space="preserve">. Together, these factors make the MDV a unique natural laboratory for studying how microbial life both responds and adapts to environmental challenges. </w:t>
      </w:r>
    </w:p>
    <w:p w14:paraId="01CD9CB9" w14:textId="77777777" w:rsidR="00A46B68" w:rsidRDefault="00A46B68" w:rsidP="001A14AF">
      <w:r>
        <w:t xml:space="preserve">The soils of the ice-free regions of Antarctic host diverse microbial communities structured largely by abiotic factors </w:t>
      </w:r>
      <w:r w:rsidRPr="002700C2">
        <w:t>(Cary et al., 2010; Lee et al., 2012; Bottos et al., 2020)</w:t>
      </w:r>
      <w:r>
        <w:t xml:space="preserve">. While the vast majority of water in the MDV is frozen in the form of glacier ice, lake ice, or near surface permafrost, seasonal melt </w:t>
      </w:r>
      <w:r w:rsidRPr="00D2357B">
        <w:t>(Barrett et al., 2009; Ball et al., 2011)</w:t>
      </w:r>
      <w:r>
        <w:t xml:space="preserve"> from perennial glacial streams creating well defined microbial hotspots both in the stream channels and in the surrounding hyporheic zones</w:t>
      </w:r>
      <w:r>
        <w:rPr>
          <w:b/>
          <w:bCs/>
        </w:rPr>
        <w:t xml:space="preserve"> </w:t>
      </w:r>
      <w:r w:rsidRPr="00953CAA">
        <w:t>(Barrett et al., 2006; Zeglin et al., 2009; Stanish et al., 2013)</w:t>
      </w:r>
      <w:r w:rsidRPr="00DD3B0B">
        <w:t xml:space="preserve">. </w:t>
      </w:r>
      <w:r>
        <w:t xml:space="preserve">Hydration of the arid soils leads to a redistribution of both nutrients and salts, such that soils in the wetted margins of streams and lakes tend to have lower salinity than nearby dry soils </w:t>
      </w:r>
      <w:r w:rsidRPr="008D6BDE">
        <w:t>(Gooseff et al., 2007; Northcott et al., 2009)</w:t>
      </w:r>
      <w:r>
        <w:t>. Other hydrological processes within the MDV, such as the melting of near surface, ice cemented</w:t>
      </w:r>
      <w:r>
        <w:rPr>
          <w:bCs/>
        </w:rPr>
        <w:t xml:space="preserve"> </w:t>
      </w:r>
      <w:r w:rsidRPr="008D6BDE">
        <w:t>permafrost</w:t>
      </w:r>
      <w:r>
        <w:t xml:space="preserve"> (</w:t>
      </w:r>
      <w:r>
        <w:rPr>
          <w:bCs/>
        </w:rPr>
        <w:t>&lt; 70 cm</w:t>
      </w:r>
      <w:r>
        <w:rPr>
          <w:b/>
        </w:rPr>
        <w:t xml:space="preserve">; </w:t>
      </w:r>
      <w:r w:rsidRPr="0086198E">
        <w:t>Bockheim et al., 2007, 2008)</w:t>
      </w:r>
      <w:r>
        <w:rPr>
          <w:bCs/>
        </w:rPr>
        <w:t xml:space="preserve"> or deliquescence by hygroscopic salts </w:t>
      </w:r>
      <w:r w:rsidRPr="0086198E">
        <w:t>(Levy et al., 2011; Gough et al., 2017)</w:t>
      </w:r>
      <w:r>
        <w:rPr>
          <w:bCs/>
        </w:rPr>
        <w:t xml:space="preserve">, create transiently wetted soils in the form of water tracks and seeps. As with hyporheic zones, formation of these features lead to the redistribution of salts; however, because wet patches do not flow to a terminal location for salt deposition (e.g., a lake or pond; </w:t>
      </w:r>
      <w:r w:rsidRPr="008D7566">
        <w:t>Foreman et al., 2004)</w:t>
      </w:r>
      <w:r>
        <w:rPr>
          <w:bCs/>
        </w:rPr>
        <w:t xml:space="preserve">, mobilized salts become concentrated at the surface following evaporation </w:t>
      </w:r>
      <w:r w:rsidRPr="008D7566">
        <w:t>(Ball et al., 2011; Ball and Virginia, 2012; Ball and Levy, 2015)</w:t>
      </w:r>
      <w:r>
        <w:rPr>
          <w:bCs/>
        </w:rPr>
        <w:t xml:space="preserve">. Thus, the formation of seeps and water tracks lead to increases in geochemical heterogeneity, and therefore habitat suitability, for soil microbial communities </w:t>
      </w:r>
      <w:r w:rsidRPr="008D7566">
        <w:t>(Ball and Virginia, 2012)</w:t>
      </w:r>
      <w:r>
        <w:rPr>
          <w:bCs/>
        </w:rPr>
        <w:t xml:space="preserve">. As increases in ice and permafrost melt within the MDV are leading to changes in geomorphology and community dynamics </w:t>
      </w:r>
      <w:r w:rsidRPr="00B545AD">
        <w:t>(Gooseff et al., 2017; Barrett et al., 2024)</w:t>
      </w:r>
      <w:r>
        <w:rPr>
          <w:bCs/>
        </w:rPr>
        <w:t>, these natural gradients of moisture and salinity can be utilized to investigate both abiotic controls and the impact of a changing climate on soil community diversity and function.</w:t>
      </w:r>
    </w:p>
    <w:p w14:paraId="48021B01" w14:textId="068D9F9A" w:rsidR="00A46B68" w:rsidRDefault="00A46B68" w:rsidP="001A14AF">
      <w:r>
        <w:t xml:space="preserve">Soil communities in the MDV are spatially distributed along abiotic gradients, largely of moisture, salinity, and pH </w:t>
      </w:r>
      <w:r w:rsidRPr="002700C2">
        <w:t xml:space="preserve">(Cary et al., 2010; Lee et al., 2012; Geyer et al., 2014; Van Horn et al., </w:t>
      </w:r>
      <w:r w:rsidRPr="002700C2">
        <w:lastRenderedPageBreak/>
        <w:t>2014; Bottos et al., 2020)</w:t>
      </w:r>
      <w:r>
        <w:t xml:space="preserve">. Phototrophic primary production occurs largely through cyanobacteria in microbial mats and biocrusts </w:t>
      </w:r>
      <w:r w:rsidRPr="002700C2">
        <w:t>(Cary et al., 2010; Power et al., 2024)</w:t>
      </w:r>
      <w:r>
        <w:t xml:space="preserve">, bacterial community members are grazed upon by tardigrades and nematodes </w:t>
      </w:r>
      <w:r w:rsidRPr="002700C2">
        <w:t>(Adams et al., 2006)</w:t>
      </w:r>
      <w:r>
        <w:t xml:space="preserve">, and nematodes of the genus </w:t>
      </w:r>
      <w:r>
        <w:rPr>
          <w:i/>
          <w:iCs/>
        </w:rPr>
        <w:t xml:space="preserve">Eudorylaimus </w:t>
      </w:r>
      <w:r>
        <w:t xml:space="preserve">serve as the apex predators for the region </w:t>
      </w:r>
      <w:r w:rsidRPr="002700C2">
        <w:t>(Shaw et al., 2018)</w:t>
      </w:r>
      <w:r>
        <w:t xml:space="preserve">. Fungi and archaea are both present, though at relatively low abundance compared to bacteria </w:t>
      </w:r>
      <w:r w:rsidRPr="00E10A7E">
        <w:t>(Dreesens et al., 2014; Richter et al., 2014)</w:t>
      </w:r>
      <w:r>
        <w:t xml:space="preserve">. Nutrient and water amendment studies within the MDV show that soil communities respond quickly to environmental changes. Following the amendment of either water or dilute organic matter sourced from cyanobacterial mats, communities within the Fryxell </w:t>
      </w:r>
      <w:r w:rsidR="00A1792D">
        <w:t xml:space="preserve">basin </w:t>
      </w:r>
      <w:r>
        <w:t xml:space="preserve">showed decreases in community diversity following 30 days, with final community structure dependent on the conductivity of the soils </w:t>
      </w:r>
      <w:r w:rsidRPr="00EB3311">
        <w:t>(Van Horn et al., 2014)</w:t>
      </w:r>
      <w:r>
        <w:t xml:space="preserve">. Pseudomonadota and Bacteroidota increased in soils ranging from ~ 100 to 500 </w:t>
      </w:r>
      <w:r>
        <w:rPr>
          <w:lang w:val="el-GR"/>
        </w:rPr>
        <w:t>μ</w:t>
      </w:r>
      <w:r>
        <w:t>S cm</w:t>
      </w:r>
      <w:r>
        <w:rPr>
          <w:vertAlign w:val="superscript"/>
        </w:rPr>
        <w:t>-1</w:t>
      </w:r>
      <w:r>
        <w:rPr>
          <w:vertAlign w:val="subscript"/>
        </w:rPr>
        <w:t xml:space="preserve"> </w:t>
      </w:r>
      <w:r>
        <w:t xml:space="preserve">following either water or organic matter amendment, and members of the Bacillota phylum increased significantly following organic matter treatment, and constituted nearly the entire community of organic-amended high salinity (4800 </w:t>
      </w:r>
      <w:r>
        <w:rPr>
          <w:lang w:val="el-GR"/>
        </w:rPr>
        <w:t>μ</w:t>
      </w:r>
      <w:r>
        <w:t>S cm</w:t>
      </w:r>
      <w:r>
        <w:rPr>
          <w:vertAlign w:val="superscript"/>
        </w:rPr>
        <w:t>-1</w:t>
      </w:r>
      <w:r>
        <w:t xml:space="preserve">) soils. In a follow-up study conducted on 100 </w:t>
      </w:r>
      <w:r>
        <w:rPr>
          <w:lang w:val="el-GR"/>
        </w:rPr>
        <w:t>μ</w:t>
      </w:r>
      <w:r>
        <w:t>S cm</w:t>
      </w:r>
      <w:r>
        <w:rPr>
          <w:vertAlign w:val="superscript"/>
        </w:rPr>
        <w:t>-1</w:t>
      </w:r>
      <w:r>
        <w:rPr>
          <w:vertAlign w:val="subscript"/>
        </w:rPr>
        <w:t xml:space="preserve"> </w:t>
      </w:r>
      <w:r>
        <w:t xml:space="preserve">soils, </w:t>
      </w:r>
      <w:r w:rsidRPr="00B06938">
        <w:t xml:space="preserve">Buelow et al. </w:t>
      </w:r>
      <w:r>
        <w:t>(</w:t>
      </w:r>
      <w:r w:rsidRPr="00B06938">
        <w:t>2016)</w:t>
      </w:r>
      <w:r>
        <w:t xml:space="preserve"> sequenced community RNA following amendments and identified differential responses within Pseudomonadota and Bacteroidota, and a similar increase in Bacillota following organic amendment. Additionally, transcripts associated with the transport and utilization of organic matter by Actinobacteriota, Bacteroidota, Bacillota, and Pseudomonadota were significantly more abundant following organic matter amendment, suggesting that rapid community response to nutrient input is dominated by members of a few phyla. In a longer-term study within the same basin, community composition was shown to be dramatically altered following 6 years of C, N, or P amendments, though treatment by water alone did not have lasting impacts on community structure </w:t>
      </w:r>
      <w:r w:rsidRPr="00351F0B">
        <w:t>(Aanderud et al., 2018)</w:t>
      </w:r>
      <w:r>
        <w:t xml:space="preserve">. Because ice and permafrost melt redistribute both legacy organic matter and salts within soils, similar changes in community structure, and therefore function, will likely occur throughout the MDV </w:t>
      </w:r>
      <w:r w:rsidRPr="00D826FD">
        <w:t>(Fountain et al., 2014)</w:t>
      </w:r>
      <w:r>
        <w:t xml:space="preserve">. Thus, we can utilize extant naturally occurring features, such as permafrost melt seeps, to describe the impact of environmental change on soil communities. </w:t>
      </w:r>
    </w:p>
    <w:p w14:paraId="13D2DF3E" w14:textId="57DEF317" w:rsidR="00A46B68" w:rsidRPr="00DD62C8" w:rsidRDefault="00A46B68" w:rsidP="001A14AF">
      <w:r w:rsidRPr="005E06B0">
        <w:t>To assess how subtle changes in moisture and salinity impact natural soil communities in the MDV, we analyzed soil profiles from the F</w:t>
      </w:r>
      <w:r>
        <w:t>r</w:t>
      </w:r>
      <w:r w:rsidRPr="005E06B0">
        <w:t xml:space="preserve">yxell basin </w:t>
      </w:r>
      <w:r>
        <w:t>in wet seep soils and dry soils from outside of the seep boundary</w:t>
      </w:r>
      <w:r w:rsidRPr="005E06B0">
        <w:t xml:space="preserve">. </w:t>
      </w:r>
      <w:r>
        <w:t xml:space="preserve">Community structure of the seep was described via amplicon sequencing of the 16S rRNA gene, and genomic potential was examined via metagenomic </w:t>
      </w:r>
      <w:r>
        <w:lastRenderedPageBreak/>
        <w:t xml:space="preserve">sequencing. We then examine </w:t>
      </w:r>
      <w:r w:rsidR="009C328D">
        <w:t xml:space="preserve">the transcriptome and metabolome </w:t>
      </w:r>
      <w:r>
        <w:t xml:space="preserve">of an ecologically relevant isolate from seep sediments, a yellow pigmented </w:t>
      </w:r>
      <w:r>
        <w:rPr>
          <w:i/>
          <w:iCs/>
        </w:rPr>
        <w:t xml:space="preserve">Gillisia </w:t>
      </w:r>
      <w:r>
        <w:t>sp. (strain FRX26)</w:t>
      </w:r>
      <w:r w:rsidR="009C328D">
        <w:t>,</w:t>
      </w:r>
      <w:r>
        <w:t xml:space="preserve"> to describe how an individual community member responds to salt stress. Collectively, this approach provides insight into both the current impact of seep formation on MDV soil communities, as well as how ecologically-relevant bacteria may respond to changes in its local environment as a consequence of environmental change.</w:t>
      </w:r>
    </w:p>
    <w:p w14:paraId="1BCB0AE4" w14:textId="77777777" w:rsidR="00A46B68" w:rsidRDefault="00A46B68" w:rsidP="001A14AF">
      <w:pPr>
        <w:pStyle w:val="Heading2"/>
        <w:spacing w:before="0" w:after="0"/>
      </w:pPr>
      <w:bookmarkStart w:id="153" w:name="_Toc196256897"/>
      <w:r>
        <w:t>Materials and Methods</w:t>
      </w:r>
      <w:bookmarkEnd w:id="153"/>
      <w:r>
        <w:t xml:space="preserve"> </w:t>
      </w:r>
    </w:p>
    <w:p w14:paraId="576D9D9A" w14:textId="77777777" w:rsidR="00A46B68" w:rsidRDefault="00A46B68" w:rsidP="001A14AF">
      <w:pPr>
        <w:pStyle w:val="Heading3"/>
        <w:spacing w:before="0" w:after="0"/>
      </w:pPr>
      <w:bookmarkStart w:id="154" w:name="_Toc196256898"/>
      <w:r>
        <w:t>Site description and s</w:t>
      </w:r>
      <w:r w:rsidRPr="001C0BDE">
        <w:t xml:space="preserve">ample </w:t>
      </w:r>
      <w:r>
        <w:t>c</w:t>
      </w:r>
      <w:r w:rsidRPr="001C0BDE">
        <w:t>ollection</w:t>
      </w:r>
      <w:r>
        <w:t>.</w:t>
      </w:r>
      <w:bookmarkEnd w:id="154"/>
      <w:r>
        <w:t xml:space="preserve"> </w:t>
      </w:r>
    </w:p>
    <w:p w14:paraId="2343EF72" w14:textId="351E4556" w:rsidR="00A46B68" w:rsidRDefault="00A46B68" w:rsidP="001A14AF">
      <w:r>
        <w:t>Lake Fryxell occupies the eastern most basin within the Taylor Valley (</w:t>
      </w:r>
      <w:r w:rsidRPr="004D6087">
        <w:t>77</w:t>
      </w:r>
      <w:r>
        <w:t>°</w:t>
      </w:r>
      <w:r w:rsidRPr="004D6087">
        <w:t>37</w:t>
      </w:r>
      <w:r>
        <w:t>’</w:t>
      </w:r>
      <w:r w:rsidRPr="004D6087">
        <w:t>S, 163</w:t>
      </w:r>
      <w:r>
        <w:t>°</w:t>
      </w:r>
      <w:r w:rsidRPr="004D6087">
        <w:t>12–13</w:t>
      </w:r>
      <w:r>
        <w:t>’</w:t>
      </w:r>
      <w:r w:rsidRPr="004D6087">
        <w:t>E</w:t>
      </w:r>
      <w:r>
        <w:t xml:space="preserve">; </w:t>
      </w:r>
      <w:r w:rsidRPr="00A9602E">
        <w:rPr>
          <w:b/>
          <w:bCs/>
        </w:rPr>
        <w:t>Figure</w:t>
      </w:r>
      <w:r>
        <w:t xml:space="preserve"> </w:t>
      </w:r>
      <w:r w:rsidR="00CF16BC" w:rsidRPr="00CF16BC">
        <w:rPr>
          <w:b/>
          <w:bCs/>
        </w:rPr>
        <w:t>3.</w:t>
      </w:r>
      <w:r w:rsidRPr="00CF16BC">
        <w:rPr>
          <w:b/>
          <w:bCs/>
        </w:rPr>
        <w:t>1a</w:t>
      </w:r>
      <w:r w:rsidR="008420A0">
        <w:t xml:space="preserve">; </w:t>
      </w:r>
      <w:r w:rsidR="008420A0" w:rsidRPr="00954AAF">
        <w:t xml:space="preserve">tables and figures in this chapter can be found </w:t>
      </w:r>
      <w:r w:rsidR="008420A0">
        <w:t xml:space="preserve">in the </w:t>
      </w:r>
      <w:r w:rsidR="008420A0" w:rsidRPr="008420A0">
        <w:rPr>
          <w:b/>
          <w:bCs/>
        </w:rPr>
        <w:t>Chapter Three Appendix</w:t>
      </w:r>
      <w:r w:rsidRPr="004D6087">
        <w:t>)</w:t>
      </w:r>
      <w:r>
        <w:t>. Taylor Valley is glacially-carved, with relatively shallow walls in the east compared to the steep-walled basins in the western upper Valley. Not including the ice-covered lake, the Fryxell basin is approximately 61 km</w:t>
      </w:r>
      <w:r>
        <w:rPr>
          <w:vertAlign w:val="superscript"/>
        </w:rPr>
        <w:t>2</w:t>
      </w:r>
      <w:r>
        <w:t xml:space="preserve"> </w:t>
      </w:r>
      <w:r w:rsidRPr="003446CB">
        <w:t>(Salvatore et al., 2021)</w:t>
      </w:r>
      <w:r>
        <w:t xml:space="preserve"> with an estimated average soil moisture of ~ 1.5% </w:t>
      </w:r>
      <w:r w:rsidRPr="003446CB">
        <w:t>(Salvatore et al., 2023)</w:t>
      </w:r>
      <w:r>
        <w:t>. Soils in the Fryxell basin are generally highly oligotrophic (0.1 – 0.3 mg organic C g soil</w:t>
      </w:r>
      <w:r>
        <w:rPr>
          <w:vertAlign w:val="superscript"/>
        </w:rPr>
        <w:t>-1</w:t>
      </w:r>
      <w:r>
        <w:t xml:space="preserve">), dry (&lt; 1-5% moisture), poorly developed (95 – 99% sand), and heterogeneously saline </w:t>
      </w:r>
      <w:r w:rsidRPr="007976E8">
        <w:t>(Campbell and Claridge, 1987; Campbell et al., 1998; Burkins et al., 2000)</w:t>
      </w:r>
      <w:r>
        <w:t xml:space="preserve">. The active layer within the Fryxell basin is shallow, averaging 10 – 70 cm depth to ice-cemented permafrost boundary </w:t>
      </w:r>
      <w:r w:rsidRPr="004D6087">
        <w:t>(Bockheim et al., 2007, 2008)</w:t>
      </w:r>
      <w:r>
        <w:t>.</w:t>
      </w:r>
    </w:p>
    <w:p w14:paraId="00459B5F" w14:textId="1F20954B" w:rsidR="00A46B68" w:rsidRPr="00DD3B0B" w:rsidRDefault="00A46B68" w:rsidP="001A14AF">
      <w:pPr>
        <w:rPr>
          <w:b/>
          <w:bCs/>
        </w:rPr>
      </w:pPr>
      <w:r>
        <w:t xml:space="preserve">Soils were collected on 13 December 2009 in </w:t>
      </w:r>
      <w:r w:rsidRPr="00A077D0">
        <w:t>triplicate both the inside and outside of a reoccurring meltwater seep (77°36.578’S 163°15.950’E</w:t>
      </w:r>
      <w:r>
        <w:t xml:space="preserve">; </w:t>
      </w:r>
      <w:r>
        <w:rPr>
          <w:b/>
          <w:bCs/>
        </w:rPr>
        <w:t xml:space="preserve">Figure </w:t>
      </w:r>
      <w:r w:rsidR="00CF16BC">
        <w:rPr>
          <w:b/>
          <w:bCs/>
        </w:rPr>
        <w:t>3.</w:t>
      </w:r>
      <w:r>
        <w:rPr>
          <w:b/>
          <w:bCs/>
        </w:rPr>
        <w:t>1b</w:t>
      </w:r>
      <w:r w:rsidRPr="00A077D0">
        <w:t xml:space="preserve">) previously characterized by Ball and Virginia (2012). At each sampling site, depth to permafrost was determined using a T-bar probe, and a pit was dug with samples collected at regular depths throughout the active layer (summarized in </w:t>
      </w:r>
      <w:r w:rsidRPr="00A077D0">
        <w:rPr>
          <w:b/>
          <w:bCs/>
        </w:rPr>
        <w:t xml:space="preserve">Table </w:t>
      </w:r>
      <w:r w:rsidR="00CF16BC">
        <w:rPr>
          <w:b/>
          <w:bCs/>
        </w:rPr>
        <w:t>3.</w:t>
      </w:r>
      <w:r w:rsidRPr="00A077D0">
        <w:rPr>
          <w:b/>
          <w:bCs/>
        </w:rPr>
        <w:t>2</w:t>
      </w:r>
      <w:r w:rsidRPr="00A077D0">
        <w:t xml:space="preserve">). Soil temperature </w:t>
      </w:r>
      <w:r>
        <w:t>was</w:t>
      </w:r>
      <w:r w:rsidRPr="00A077D0">
        <w:t xml:space="preserve"> measured by inserting </w:t>
      </w:r>
      <w:r>
        <w:t xml:space="preserve">a </w:t>
      </w:r>
      <w:r w:rsidRPr="00A077D0">
        <w:t xml:space="preserve">thermistor probe several inches </w:t>
      </w:r>
      <w:r>
        <w:t xml:space="preserve">horizontally </w:t>
      </w:r>
      <w:r w:rsidRPr="00A077D0">
        <w:t xml:space="preserve">into the soil </w:t>
      </w:r>
      <w:r>
        <w:t>at each depth</w:t>
      </w:r>
      <w:r w:rsidRPr="00A077D0">
        <w:t xml:space="preserve">. </w:t>
      </w:r>
      <w:r>
        <w:t>Soils were</w:t>
      </w:r>
      <w:r w:rsidRPr="00A077D0">
        <w:t xml:space="preserve"> placed into </w:t>
      </w:r>
      <w:r>
        <w:t xml:space="preserve">sterile </w:t>
      </w:r>
      <w:r w:rsidRPr="00A077D0">
        <w:t>Whirl-pak bags</w:t>
      </w:r>
      <w:r>
        <w:t xml:space="preserve">, </w:t>
      </w:r>
      <w:r w:rsidRPr="00A077D0">
        <w:t xml:space="preserve">transported to Crary Laboratory in coolers and frozen </w:t>
      </w:r>
      <w:r>
        <w:t xml:space="preserve">at </w:t>
      </w:r>
      <w:r w:rsidRPr="00A077D0">
        <w:t xml:space="preserve">-20 °C before shipment to Dartmouth College for </w:t>
      </w:r>
      <w:r>
        <w:t>storage and</w:t>
      </w:r>
      <w:r w:rsidRPr="00A077D0">
        <w:t xml:space="preserve"> analysis.</w:t>
      </w:r>
      <w:r>
        <w:t xml:space="preserve"> </w:t>
      </w:r>
    </w:p>
    <w:p w14:paraId="09662C69" w14:textId="77777777" w:rsidR="00A46B68" w:rsidRDefault="00A46B68" w:rsidP="001A14AF">
      <w:pPr>
        <w:pStyle w:val="Heading3"/>
        <w:spacing w:before="0" w:after="0"/>
      </w:pPr>
      <w:bookmarkStart w:id="155" w:name="_Toc196256899"/>
      <w:r w:rsidRPr="00A077D0">
        <w:t>Soil geochemistry and biomass.</w:t>
      </w:r>
      <w:bookmarkEnd w:id="155"/>
      <w:r w:rsidRPr="00A077D0">
        <w:t xml:space="preserve"> </w:t>
      </w:r>
    </w:p>
    <w:p w14:paraId="2FC261A8" w14:textId="77777777" w:rsidR="00A46B68" w:rsidRPr="00A077D0" w:rsidRDefault="00A46B68" w:rsidP="001A14AF">
      <w:r>
        <w:t>T</w:t>
      </w:r>
      <w:r w:rsidRPr="00A077D0">
        <w:t xml:space="preserve">he standard </w:t>
      </w:r>
      <w:r>
        <w:t xml:space="preserve">soil </w:t>
      </w:r>
      <w:r w:rsidRPr="00A077D0">
        <w:t>methods of the McMurdo Long Term Ecological Research program</w:t>
      </w:r>
      <w:r>
        <w:t xml:space="preserve"> were followed for geochemistry</w:t>
      </w:r>
      <w:r w:rsidRPr="00A077D0">
        <w:t xml:space="preserve"> </w:t>
      </w:r>
      <w:r>
        <w:t xml:space="preserve">(as described by </w:t>
      </w:r>
      <w:r w:rsidRPr="001142FC">
        <w:t>Ball and Virginia, 2012)</w:t>
      </w:r>
      <w:r w:rsidRPr="00A077D0">
        <w:t xml:space="preserve">. </w:t>
      </w:r>
      <w:r>
        <w:t>Briefly, s</w:t>
      </w:r>
      <w:r w:rsidRPr="00A077D0">
        <w:t>oil moisture (as gravimetric water content) was estimated from a 20 g soil sample dried at 105 °C and recorded as g water g soil</w:t>
      </w:r>
      <w:r w:rsidRPr="00A077D0">
        <w:rPr>
          <w:vertAlign w:val="superscript"/>
        </w:rPr>
        <w:t>-1</w:t>
      </w:r>
      <w:r w:rsidRPr="00A077D0">
        <w:t>. Soil pH from a 1:2 slurry of soil:deionized H</w:t>
      </w:r>
      <w:r w:rsidRPr="00A077D0">
        <w:rPr>
          <w:vertAlign w:val="subscript"/>
        </w:rPr>
        <w:t>2</w:t>
      </w:r>
      <w:r w:rsidRPr="00A077D0">
        <w:t xml:space="preserve">O using a pH meter </w:t>
      </w:r>
      <w:r w:rsidRPr="00A077D0">
        <w:lastRenderedPageBreak/>
        <w:t>(VWR) and electrical conductivity was measured using a 1:5 soil:deionized H</w:t>
      </w:r>
      <w:r w:rsidRPr="00A077D0">
        <w:rPr>
          <w:vertAlign w:val="subscript"/>
        </w:rPr>
        <w:t>2</w:t>
      </w:r>
      <w:r w:rsidRPr="00A077D0">
        <w:t>O slurry and a conductivity meter (Orion Research). Soluble anions (SO</w:t>
      </w:r>
      <w:r w:rsidRPr="00A077D0">
        <w:rPr>
          <w:vertAlign w:val="subscript"/>
        </w:rPr>
        <w:t>4</w:t>
      </w:r>
      <w:r w:rsidRPr="00A077D0">
        <w:rPr>
          <w:vertAlign w:val="superscript"/>
        </w:rPr>
        <w:t>-</w:t>
      </w:r>
      <w:r w:rsidRPr="00A077D0">
        <w:t>, PO</w:t>
      </w:r>
      <w:r w:rsidRPr="00A077D0">
        <w:rPr>
          <w:vertAlign w:val="subscript"/>
        </w:rPr>
        <w:t>4</w:t>
      </w:r>
      <w:r w:rsidRPr="00A077D0">
        <w:rPr>
          <w:vertAlign w:val="superscript"/>
        </w:rPr>
        <w:t>-</w:t>
      </w:r>
      <w:r w:rsidRPr="00A077D0">
        <w:t>, NO</w:t>
      </w:r>
      <w:r w:rsidRPr="00A077D0">
        <w:rPr>
          <w:vertAlign w:val="subscript"/>
        </w:rPr>
        <w:t>3</w:t>
      </w:r>
      <w:r w:rsidRPr="00A077D0">
        <w:rPr>
          <w:vertAlign w:val="superscript"/>
        </w:rPr>
        <w:t>-</w:t>
      </w:r>
      <w:r w:rsidRPr="00A077D0">
        <w:t>, NO</w:t>
      </w:r>
      <w:r w:rsidRPr="00A077D0">
        <w:rPr>
          <w:vertAlign w:val="subscript"/>
        </w:rPr>
        <w:t>2</w:t>
      </w:r>
      <w:r w:rsidRPr="00A077D0">
        <w:rPr>
          <w:vertAlign w:val="superscript"/>
        </w:rPr>
        <w:t>-</w:t>
      </w:r>
      <w:r w:rsidRPr="00A077D0">
        <w:t>, Br</w:t>
      </w:r>
      <w:r w:rsidRPr="00A077D0">
        <w:rPr>
          <w:vertAlign w:val="superscript"/>
        </w:rPr>
        <w:t>-</w:t>
      </w:r>
      <w:r w:rsidRPr="00A077D0">
        <w:t>, and Cl</w:t>
      </w:r>
      <w:r w:rsidRPr="00A077D0">
        <w:rPr>
          <w:vertAlign w:val="superscript"/>
        </w:rPr>
        <w:t>-</w:t>
      </w:r>
      <w:r w:rsidRPr="00A077D0">
        <w:t>) were extracted from 10 g of soil in 50 mL of deionized water for 60 min on an orbital shaker, decanted, and centrifuged (25,250 × g; 10 min). Extracts were measured on a DX-120 ion chromatograph (Dionex Corporation). C and N were determined for air-dried and ground subsamples (75 mg) using a Carlo Erba 1500 elemental analyzer, and an additional subsample was acidified with 50</w:t>
      </w:r>
      <w:r>
        <w:t>%</w:t>
      </w:r>
      <w:r w:rsidRPr="00A077D0">
        <w:t xml:space="preserve"> HCl, died, and ground to determine organic C content.</w:t>
      </w:r>
    </w:p>
    <w:p w14:paraId="4F294403" w14:textId="77777777" w:rsidR="00A46B68" w:rsidRPr="00A077D0" w:rsidRDefault="00A46B68" w:rsidP="001A14AF">
      <w:r w:rsidRPr="00A077D0">
        <w:t>Total microbial cells were enumerated via direct microscopic counts of stained cells as per Mikucki and Priscu (2007). Soils (~1 g) were homogenized with 1X PBS buffer (final ratio 1:10) and fixed with paraformaldehyde (final concentration 4</w:t>
      </w:r>
      <w:r>
        <w:t>%</w:t>
      </w:r>
      <w:r w:rsidRPr="00A077D0">
        <w:t xml:space="preserve">). Slurries were shaken horizontally at 100 rpm for 30 min (4 °C) and centrifuged at 50 × </w:t>
      </w:r>
      <w:r w:rsidRPr="00A077D0">
        <w:rPr>
          <w:i/>
          <w:iCs/>
        </w:rPr>
        <w:t>g</w:t>
      </w:r>
      <w:r w:rsidRPr="00A077D0">
        <w:t xml:space="preserve"> (1 h at 4 °C) to settle larger particles. Resulting supernatants were filtered onto 0.2 </w:t>
      </w:r>
      <w:r w:rsidRPr="00A077D0">
        <w:rPr>
          <w:lang w:val="el-GR"/>
        </w:rPr>
        <w:t>μ</w:t>
      </w:r>
      <w:r w:rsidRPr="00A077D0">
        <w:t>m black polycarbonate filters and stained with 25X SYBR Gold nucleic acid stain (Invitrogen) for 15 min. Filters were rinsed with 1 mL of filter-sterilized MilliQ water and enumerated</w:t>
      </w:r>
      <w:r>
        <w:t xml:space="preserve"> by fluorescence microscopy on </w:t>
      </w:r>
      <w:r w:rsidRPr="00A077D0">
        <w:t>a Ziess Axio Imager.M2 microscope.</w:t>
      </w:r>
    </w:p>
    <w:p w14:paraId="7D22F772" w14:textId="77777777" w:rsidR="00A46B68" w:rsidRDefault="00A46B68" w:rsidP="001A14AF">
      <w:pPr>
        <w:pStyle w:val="Heading3"/>
        <w:spacing w:before="0" w:after="0"/>
      </w:pPr>
      <w:bookmarkStart w:id="156" w:name="_Toc196256900"/>
      <w:r w:rsidRPr="00A077D0">
        <w:t>Soil DNA extraction and analysis.</w:t>
      </w:r>
      <w:bookmarkEnd w:id="156"/>
      <w:r w:rsidRPr="00A077D0">
        <w:t xml:space="preserve"> </w:t>
      </w:r>
    </w:p>
    <w:p w14:paraId="417BDC88" w14:textId="77777777" w:rsidR="00A46B68" w:rsidRDefault="00A46B68" w:rsidP="001A14AF">
      <w:r w:rsidRPr="00A077D0">
        <w:t>DNA was extracted from soils using a DNeasy Powerlyzer PowerSoil Kit (Qiagen) following manufacturer’s protocol with an amended bead beating step. Approx. 0.5 g soil were added to Lysing Matrix E bead beating tubes (MP Biomedical) and homogenized twice on a FastPrep-24 Bead Beater (MP Biomedical) at 4 m s</w:t>
      </w:r>
      <w:r w:rsidRPr="00A077D0">
        <w:rPr>
          <w:vertAlign w:val="superscript"/>
        </w:rPr>
        <w:t>-1</w:t>
      </w:r>
      <w:r w:rsidRPr="00A077D0">
        <w:rPr>
          <w:vertAlign w:val="subscript"/>
        </w:rPr>
        <w:t xml:space="preserve"> </w:t>
      </w:r>
      <w:r w:rsidRPr="00A077D0">
        <w:t xml:space="preserve">for 35 s followed by 5 min rest on ice. DNA was eluted in 25 </w:t>
      </w:r>
      <w:r w:rsidRPr="00A077D0">
        <w:rPr>
          <w:lang w:val="el-GR"/>
        </w:rPr>
        <w:t>μ</w:t>
      </w:r>
      <w:r w:rsidRPr="00A077D0">
        <w:t>L molecular grade water and quantified via Qubit fluorometer (Invitrogen). Eluent from at least 8 extractions were pooled and concentrated via vacuum centrifugation</w:t>
      </w:r>
      <w:r>
        <w:t xml:space="preserve">, and shipped to Novogene </w:t>
      </w:r>
      <w:r w:rsidRPr="002E2961">
        <w:t>Corporation Inc.</w:t>
      </w:r>
      <w:r>
        <w:t xml:space="preserve"> </w:t>
      </w:r>
      <w:r w:rsidRPr="00A077D0">
        <w:t xml:space="preserve">for either 16S rRNA gene amplicon sequencing or metagenomic sequencing. Amplicon sequencing targeted the </w:t>
      </w:r>
      <w:r w:rsidRPr="00DD3B0B">
        <w:t>V3-V4</w:t>
      </w:r>
      <w:r w:rsidRPr="00A077D0">
        <w:t xml:space="preserve"> region (341F-CCTAYGGGRBGCASCAG and 806R-GGACTACNNGGGTATCTAAT; Caporaso et al., 2011; Klindworth et al., 2012) using the NovaSeq 6000 platform (Illumina) with 250 bp paired-end reads at 100,000 raw reads per sample. Shotgun metagenomic sequencing was performed with 150</w:t>
      </w:r>
      <w:r>
        <w:t xml:space="preserve"> bp paired-end reads </w:t>
      </w:r>
      <w:r w:rsidRPr="00A077D0">
        <w:t>at ≥ 20 million raw reads per sample</w:t>
      </w:r>
      <w:r>
        <w:t>.</w:t>
      </w:r>
    </w:p>
    <w:p w14:paraId="47C81AA8" w14:textId="77777777" w:rsidR="00A46B68" w:rsidRPr="00562077" w:rsidRDefault="00A46B68" w:rsidP="001A14AF">
      <w:r>
        <w:t>Initial amplicon read filtering was performed using an in-house Novogene pipeline. S</w:t>
      </w:r>
      <w:r w:rsidRPr="001E3427">
        <w:t xml:space="preserve">equencing adapters and barcodes were trimmed for all samples, and paired-end reads were merged using FLASH </w:t>
      </w:r>
      <w:r>
        <w:t>v</w:t>
      </w:r>
      <w:r w:rsidRPr="001E3427">
        <w:t>1.2.11</w:t>
      </w:r>
      <w:r>
        <w:t xml:space="preserve"> (</w:t>
      </w:r>
      <w:r w:rsidRPr="001E3427">
        <w:t xml:space="preserve">Magoč and Salzberg, 2011) and quality filtered using fastp </w:t>
      </w:r>
      <w:r>
        <w:lastRenderedPageBreak/>
        <w:t>v</w:t>
      </w:r>
      <w:r w:rsidRPr="001E3427">
        <w:t xml:space="preserve">0.23.1 </w:t>
      </w:r>
      <w:r>
        <w:t>(</w:t>
      </w:r>
      <w:r w:rsidRPr="001E3427">
        <w:t xml:space="preserve">Bokulich et al., 2013). </w:t>
      </w:r>
      <w:r>
        <w:t xml:space="preserve">Analysis of amplicon libraries was performed in R v4.4.1 </w:t>
      </w:r>
      <w:r w:rsidRPr="001E3427">
        <w:t>(R Core Team, 2023)</w:t>
      </w:r>
      <w:r>
        <w:t xml:space="preserve"> using the DADA2 v1.32.0 </w:t>
      </w:r>
      <w:r w:rsidRPr="001E3427">
        <w:t>(Callahan et al., 2016)</w:t>
      </w:r>
      <w:r>
        <w:t xml:space="preserve"> and phyloseq v1.48.0 packages </w:t>
      </w:r>
      <w:r w:rsidRPr="001E3427">
        <w:t>(McMurdie and Holmes, 2013)</w:t>
      </w:r>
      <w:r>
        <w:t xml:space="preserve">. Reads were filtered to remove all sequences containing Ns and with expected errors &gt;2. Paired ends were aligned and chimeric sequences were removed. Taxonomic identity was assigned using the Silva database v138.2 </w:t>
      </w:r>
      <w:r w:rsidRPr="001E3427">
        <w:t>(Quast et al., 2013)</w:t>
      </w:r>
      <w:r>
        <w:t xml:space="preserve">. Sequences belonging to chloroplast or mitochondria were removed before analyses. Amplicon sequence variants (ASVs) were clustered at 97% similarity via DECIPHER v3.0.0 </w:t>
      </w:r>
      <w:r w:rsidRPr="00F7517C">
        <w:t>(Wright, 2016)</w:t>
      </w:r>
      <w:r>
        <w:rPr>
          <w:b/>
          <w:bCs/>
        </w:rPr>
        <w:t xml:space="preserve"> </w:t>
      </w:r>
      <w:r>
        <w:t xml:space="preserve">and speedyseq v0.5.3.9021 </w:t>
      </w:r>
      <w:r w:rsidRPr="00F7517C">
        <w:t>(McLaren, 2020)</w:t>
      </w:r>
      <w:r>
        <w:rPr>
          <w:b/>
          <w:bCs/>
        </w:rPr>
        <w:t xml:space="preserve"> </w:t>
      </w:r>
      <w:r>
        <w:t xml:space="preserve">to generate operational taxonomic units (OTUs) for comparison to previously published MDV datasets. Diversity metrics were calculated for both ASVs and OTUs using the vegan package v2.6-10 and analyses were visualized using ggplot2 v3.5.1 </w:t>
      </w:r>
      <w:r w:rsidRPr="002712CD">
        <w:t>(Hadley Wickham, 2016)</w:t>
      </w:r>
      <w:r>
        <w:t>.</w:t>
      </w:r>
    </w:p>
    <w:p w14:paraId="62B38349" w14:textId="77777777" w:rsidR="00A46B68" w:rsidRPr="00611EF8" w:rsidRDefault="00A46B68" w:rsidP="001A14AF">
      <w:r>
        <w:t xml:space="preserve">Shotgun metagenomic reads were trimmed and filtered using Trimmomatic v0.36 </w:t>
      </w:r>
      <w:r w:rsidRPr="00562077">
        <w:t>(Bolger et al., 2014)</w:t>
      </w:r>
      <w:r>
        <w:t xml:space="preserve"> and assembled using metaSPAdes v3.11.0 </w:t>
      </w:r>
      <w:r w:rsidRPr="00562077">
        <w:t>(Nurk et al., 2017)</w:t>
      </w:r>
      <w:r>
        <w:t>.</w:t>
      </w:r>
      <w:r>
        <w:rPr>
          <w:b/>
          <w:bCs/>
        </w:rPr>
        <w:t xml:space="preserve"> </w:t>
      </w:r>
      <w:r w:rsidRPr="006573A7">
        <w:t>Quality was assessed via QUAST v4.4</w:t>
      </w:r>
      <w:r>
        <w:rPr>
          <w:b/>
          <w:bCs/>
        </w:rPr>
        <w:t xml:space="preserve"> </w:t>
      </w:r>
      <w:r w:rsidRPr="006573A7">
        <w:t>(Gurevich et al., 2013).</w:t>
      </w:r>
      <w:r>
        <w:rPr>
          <w:b/>
          <w:bCs/>
        </w:rPr>
        <w:t xml:space="preserve"> </w:t>
      </w:r>
      <w:r w:rsidRPr="00B061F9">
        <w:t>Assembled</w:t>
      </w:r>
      <w:r>
        <w:t xml:space="preserve"> metagenomes were annotated using metaprokka v1.15 </w:t>
      </w:r>
      <w:r w:rsidRPr="00C01B12">
        <w:t>(Seemann, 2014; Ryan Cook and Andrea Telatin, 2023)</w:t>
      </w:r>
      <w:r>
        <w:t xml:space="preserve">, and resulting coding sequences were further analyzed via the KEGG </w:t>
      </w:r>
      <w:r w:rsidRPr="00B061F9">
        <w:t>(Kanehisa and Goto, 2000)</w:t>
      </w:r>
      <w:r>
        <w:t xml:space="preserve"> database using GhostKOALA v3.1 </w:t>
      </w:r>
      <w:r w:rsidRPr="00B061F9">
        <w:t>(Kanehisa et al., 2016)</w:t>
      </w:r>
      <w:r>
        <w:t>. Putative secondary metabolite biosynthetic gene clusters (BGCs) were identified using antiSMASH v</w:t>
      </w:r>
      <w:r w:rsidRPr="006573A7">
        <w:t xml:space="preserve"> 7.1.0</w:t>
      </w:r>
      <w:r>
        <w:t xml:space="preserve"> </w:t>
      </w:r>
      <w:r w:rsidRPr="00B061F9">
        <w:t>(Blin et al., 2021)</w:t>
      </w:r>
      <w:r>
        <w:t>.</w:t>
      </w:r>
    </w:p>
    <w:p w14:paraId="1BC062B6" w14:textId="77777777" w:rsidR="00A46B68" w:rsidRDefault="00A46B68" w:rsidP="001A14AF">
      <w:pPr>
        <w:pStyle w:val="Heading3"/>
        <w:spacing w:before="0" w:after="0"/>
      </w:pPr>
      <w:bookmarkStart w:id="157" w:name="_Toc196256901"/>
      <w:r>
        <w:t>Isolation and genomic analyses of strain FRX26.</w:t>
      </w:r>
      <w:bookmarkEnd w:id="157"/>
    </w:p>
    <w:p w14:paraId="3E9795C4" w14:textId="77777777" w:rsidR="00A46B68" w:rsidRDefault="00A46B68" w:rsidP="001A14AF">
      <w:pPr>
        <w:rPr>
          <w:b/>
          <w:bCs/>
        </w:rPr>
      </w:pPr>
      <w:r w:rsidRPr="00DD3B0B">
        <w:t>Strain</w:t>
      </w:r>
      <w:r>
        <w:rPr>
          <w:i/>
          <w:iCs/>
        </w:rPr>
        <w:t xml:space="preserve"> </w:t>
      </w:r>
      <w:r>
        <w:t xml:space="preserve">FRX26 was isolated from a sediment slurry of sample WB1 using the </w:t>
      </w:r>
      <w:r w:rsidRPr="00A077D0">
        <w:t>methods described in Shaffer et al. (2023)</w:t>
      </w:r>
      <w:r>
        <w:t xml:space="preserve">. Briefly, 10 mL of filtered 1X PBS was added to 1 g of soil and shaken horizontally at 10 °C for 30 min. Soil particles were settled via gentle centrifugation (50 x g, 1 hr, 4 °C) and the resulting supernatant was serially diluted and plated on either Difco Marine 2216 (BD) or R2A agar. Plates were incubated at 10 °C for up to 1 month, after which colonies of with distinct phenotypes were aseptically picked and streaked for isolation. Strain taxonomy was determined via amplification and Sanger sequencing of the 16S rRNA gene using 515F (GTGCCAGCMGCCGCGGTAA; </w:t>
      </w:r>
      <w:r w:rsidRPr="00163C2D">
        <w:t>Caporaso et al., 2011)</w:t>
      </w:r>
      <w:r>
        <w:t xml:space="preserve"> and 1391R primers (GACGGGCGGTGTGTRCA; </w:t>
      </w:r>
      <w:r w:rsidRPr="00E15B24">
        <w:t>Turner et al., 1999)</w:t>
      </w:r>
      <w:r>
        <w:t xml:space="preserve">, followed by comparison to the NCBI Taxonomy database </w:t>
      </w:r>
      <w:r w:rsidRPr="003543D7">
        <w:t>(Federhen, 2012)</w:t>
      </w:r>
      <w:r>
        <w:t>.</w:t>
      </w:r>
    </w:p>
    <w:p w14:paraId="58595C24" w14:textId="2F159E12" w:rsidR="00A46B68" w:rsidRPr="00FC7685" w:rsidRDefault="00A46B68" w:rsidP="001A14AF">
      <w:r>
        <w:t xml:space="preserve">Genomic DNA was extracted from individual colonies using a DNeasy Powersoil PowerLyzer DNA extraction kit (Qiagen) as described above. Genomic libraries were prepared </w:t>
      </w:r>
      <w:r>
        <w:lastRenderedPageBreak/>
        <w:t>and sequenced by MR DNA (</w:t>
      </w:r>
      <w:r w:rsidRPr="00B157E2">
        <w:t>Molecular Research LP</w:t>
      </w:r>
      <w:r>
        <w:t xml:space="preserve">) using the NovaSeq 6000 platform (Illumina, 250 bp paired-end reads, 500 cycles). Genomic sequences were trimmed and filtered using Trimmomatic v0.39 </w:t>
      </w:r>
      <w:r w:rsidRPr="00BA2DC0">
        <w:t>(Bolger et al., 2014)</w:t>
      </w:r>
      <w:r>
        <w:t xml:space="preserve"> and assembled using Unicycler v0.5.1 </w:t>
      </w:r>
      <w:r w:rsidRPr="00E30ACC">
        <w:t>(Wick et al., 2017)</w:t>
      </w:r>
      <w:r>
        <w:t>. Assembly quality was assessed via QUAST v5.2.0</w:t>
      </w:r>
      <w:r w:rsidR="00C20B57">
        <w:t xml:space="preserve"> </w:t>
      </w:r>
      <w:r>
        <w:t xml:space="preserve">and CheckM v1.2.3 </w:t>
      </w:r>
      <w:r w:rsidRPr="008265E3">
        <w:t>(Parks et al., 2015)</w:t>
      </w:r>
      <w:r>
        <w:t xml:space="preserve">. The resulting assembly was annotated using Prokka v1.14.6 </w:t>
      </w:r>
      <w:r w:rsidRPr="00E30ACC">
        <w:t>(Seemann, 2014)</w:t>
      </w:r>
      <w:r>
        <w:t xml:space="preserve">, GhostKOALA v3.1 </w:t>
      </w:r>
      <w:r w:rsidRPr="00E30ACC">
        <w:t>(Kanehisa et al., 2016)</w:t>
      </w:r>
      <w:r>
        <w:t xml:space="preserve">, COG, antiSMASH v7.1.0 </w:t>
      </w:r>
      <w:r w:rsidRPr="00E30ACC">
        <w:t>(Blin et al., 2021)</w:t>
      </w:r>
      <w:r>
        <w:t xml:space="preserve">, and comparison to in-house databases via BLAST v2.12.0 </w:t>
      </w:r>
      <w:r w:rsidRPr="00E30ACC">
        <w:t>(Altschul et al., 1990)</w:t>
      </w:r>
      <w:r>
        <w:t xml:space="preserve">. Taxonomic placement was assessed via the Type Strain Genome Server </w:t>
      </w:r>
      <w:r w:rsidRPr="00A077D0">
        <w:t>(TYGS; Meier-Kolthoff et al., 2022)</w:t>
      </w:r>
      <w:r>
        <w:t xml:space="preserve"> using 16S rRNA gene sequences and whole-genome comparisons, as well as through the enveomics Average Nucleotide Identity (ANI) server </w:t>
      </w:r>
      <w:r w:rsidRPr="00472BC7">
        <w:t>(Rodriguez-R and Konstantinidis, 2016)</w:t>
      </w:r>
      <w:r>
        <w:t xml:space="preserve">. Relative abundance of stain FRX26 within other MDV amplicon libraries was determined by processing raw reads from available datasets using the above DADA2 pipeline </w:t>
      </w:r>
      <w:r w:rsidRPr="0065301E">
        <w:t>(Callahan et al., 2016)</w:t>
      </w:r>
      <w:r>
        <w:t xml:space="preserve">. The FRX26 16S rRNA gene sequence was queried against the resulting databases using BLAST v2.12.0 </w:t>
      </w:r>
      <w:r w:rsidRPr="00984582">
        <w:t>(Altschul et al., 1990)</w:t>
      </w:r>
      <w:r>
        <w:t>; sequences were considered a match at ≥ 97% identity.</w:t>
      </w:r>
    </w:p>
    <w:p w14:paraId="7730A60B" w14:textId="77777777" w:rsidR="00A46B68" w:rsidRDefault="00A46B68" w:rsidP="001A14AF">
      <w:pPr>
        <w:pStyle w:val="Heading3"/>
        <w:spacing w:before="0" w:after="0"/>
      </w:pPr>
      <w:bookmarkStart w:id="158" w:name="_Toc196256902"/>
      <w:r>
        <w:t>Salt challenge experiment.</w:t>
      </w:r>
      <w:bookmarkEnd w:id="158"/>
      <w:r>
        <w:t xml:space="preserve"> </w:t>
      </w:r>
    </w:p>
    <w:p w14:paraId="205EF374" w14:textId="14DC0365" w:rsidR="00A46B68" w:rsidRDefault="00A46B68" w:rsidP="001A14AF">
      <w:r w:rsidRPr="00DD3B0B">
        <w:t>Strain</w:t>
      </w:r>
      <w:r>
        <w:rPr>
          <w:i/>
          <w:iCs/>
        </w:rPr>
        <w:t xml:space="preserve"> </w:t>
      </w:r>
      <w:r>
        <w:t>FRX26 was grown in a saline complex medium (</w:t>
      </w:r>
      <w:r w:rsidRPr="0065301E">
        <w:t>S</w:t>
      </w:r>
      <w:r>
        <w:t>C</w:t>
      </w:r>
      <w:r w:rsidRPr="0065301E">
        <w:t>M</w:t>
      </w:r>
      <w:r>
        <w:t xml:space="preserve">) defined in </w:t>
      </w:r>
      <w:r w:rsidRPr="00FA0ACD">
        <w:rPr>
          <w:b/>
          <w:bCs/>
        </w:rPr>
        <w:t xml:space="preserve">Table </w:t>
      </w:r>
      <w:r w:rsidR="00FA0ACD">
        <w:rPr>
          <w:b/>
          <w:bCs/>
        </w:rPr>
        <w:t>3.1</w:t>
      </w:r>
      <w:r>
        <w:t>. Cultures were grown in 75 mL volumes in nephalo flasks supplemented with either 0.2 M or 0.5 M NaCl and incubated at 15 °C for two weeks. Optical density measurements at 600 nm (OD</w:t>
      </w:r>
      <w:r>
        <w:rPr>
          <w:vertAlign w:val="subscript"/>
        </w:rPr>
        <w:t>600</w:t>
      </w:r>
      <w:r>
        <w:t>) were performed daily, and aliquots for colony forming unit (CFU) counts were collected after one and two weeks of incubation, as well as at the time of inoculation. CFUs were determined via serial dilution and plating on SCM agar; colonies were counted following 2-weeks of incubation.</w:t>
      </w:r>
    </w:p>
    <w:p w14:paraId="75AE5B90" w14:textId="77777777" w:rsidR="00A46B68" w:rsidRPr="00B0189D" w:rsidRDefault="00A46B68" w:rsidP="001A14AF">
      <w:r>
        <w:t xml:space="preserve">At the termination of the experiment, cultures were thoroughly homogenized and subsampled into one 40 mL aliquot and three 10 mL aliquots. All aliquots were </w:t>
      </w:r>
      <w:r w:rsidRPr="005F0253">
        <w:t>pelleted at 3500 × g for 15 min</w:t>
      </w:r>
      <w:r>
        <w:t xml:space="preserve"> (4 °C), the supernatant was removed, and pellets were immediately frozen in dry ice. TRIzol (Invitrogen) was added to subsamples designated for RNA extraction (9 mL TRIzol added to pellets from 40 mL subsamples) before freezing. All samples were stored at -80 °C before analysis. </w:t>
      </w:r>
    </w:p>
    <w:p w14:paraId="3CFBACE2" w14:textId="77777777" w:rsidR="00A46B68" w:rsidRDefault="00A46B68" w:rsidP="001A14AF">
      <w:pPr>
        <w:pStyle w:val="Heading3"/>
        <w:spacing w:before="0" w:after="0"/>
      </w:pPr>
      <w:bookmarkStart w:id="159" w:name="_Toc196256903"/>
      <w:r>
        <w:t>Metabolite extraction and analysis.</w:t>
      </w:r>
      <w:bookmarkEnd w:id="159"/>
      <w:r>
        <w:t xml:space="preserve"> </w:t>
      </w:r>
    </w:p>
    <w:p w14:paraId="1E242076" w14:textId="77777777" w:rsidR="00A46B68" w:rsidRDefault="00A46B68" w:rsidP="001A14AF">
      <w:r>
        <w:t xml:space="preserve">Metabolites were extracted and analyzed via liquid chromatography mass spectrometry (LC-MS) at the Center for </w:t>
      </w:r>
      <w:r w:rsidRPr="001454A2">
        <w:t>Mass Spectrometry at Smith College</w:t>
      </w:r>
      <w:r>
        <w:t xml:space="preserve">. Cell pellets were extracted with </w:t>
      </w:r>
      <w:r>
        <w:lastRenderedPageBreak/>
        <w:t xml:space="preserve">methanol and extracts were analyzed on a Vanquish Horizon ultra high purity LC system with a Q-Exactive HF-X Hybrid Quadrupole-Orbitrap MS (Thermo Scientific). </w:t>
      </w:r>
      <w:r w:rsidRPr="00B0189D">
        <w:t>The LC instrument was configured with a HSS T3 C18 column (Waters, 1.8 μm, 2.1 x 100 mm) using a VanGuard FIT precolumn and a VH-D10-A UV detector. Samples (2 μL) were injected using a flow rate of 0.5 mL min-1 into a prewarmed column (40 °C). UHPLC separation was performed using the following parameters: 2</w:t>
      </w:r>
      <w:r>
        <w:t>%</w:t>
      </w:r>
      <w:r w:rsidRPr="00B0189D">
        <w:t xml:space="preserve"> acetonitrile: 98</w:t>
      </w:r>
      <w:r>
        <w:t>%</w:t>
      </w:r>
      <w:r w:rsidRPr="00B0189D">
        <w:t xml:space="preserve"> water with 0.1</w:t>
      </w:r>
      <w:r>
        <w:t>%</w:t>
      </w:r>
      <w:r w:rsidRPr="00B0189D">
        <w:t xml:space="preserve"> formic acid for 1 min, 2–40</w:t>
      </w:r>
      <w:r>
        <w:t>%</w:t>
      </w:r>
      <w:r w:rsidRPr="00B0189D">
        <w:t xml:space="preserve"> over 4 min, 40–98</w:t>
      </w:r>
      <w:r>
        <w:t>%</w:t>
      </w:r>
      <w:r w:rsidRPr="00B0189D">
        <w:t xml:space="preserve"> over 3 min, 98–2</w:t>
      </w:r>
      <w:r>
        <w:t>%</w:t>
      </w:r>
      <w:r w:rsidRPr="00B0189D">
        <w:t xml:space="preserve"> over 0.2 min, and 2</w:t>
      </w:r>
      <w:r>
        <w:t>%</w:t>
      </w:r>
      <w:r w:rsidRPr="00B0189D">
        <w:t xml:space="preserve"> for 2 min. UV–Vis data were collected at 534 nm. Electrospray ionization occurred in probe position D using the following conditions: 40 sheath gas flow, 8 auxiliary gas flow, 1 sweep gas flow, 3.5 kV spray voltage, 380 °C capillary temperature, 50 radiofrequency funnel level, and 350 °C auxiliary gas temperature.</w:t>
      </w:r>
    </w:p>
    <w:p w14:paraId="6AFE17D8" w14:textId="77777777" w:rsidR="00A46B68" w:rsidRPr="00CB5530" w:rsidRDefault="00A46B68" w:rsidP="001A14AF">
      <w:r>
        <w:t xml:space="preserve">Resulting data were aligned using MS-DIAL v5.5.241113 </w:t>
      </w:r>
      <w:r w:rsidRPr="00B0189D">
        <w:t>(Tsugawa et al., 2015)</w:t>
      </w:r>
      <w:r>
        <w:t xml:space="preserve"> with a minimum peak height of 30,000 and removal of blank features below a 100 fold sample max / blank average change. Blank and control peaks were filtered using MPACT v1.00 r24.11.1 </w:t>
      </w:r>
      <w:r w:rsidRPr="00CB5530">
        <w:t>(Samples et al., 2023)</w:t>
      </w:r>
      <w:r>
        <w:t xml:space="preserve">, and non-reproducible features were removed using a coefficient of variation (CV) filter of 0.3. Putative feature identities were assigned by alignment of MS/MS fragmentation patterns of statistically significant features to the NIST Standard Reference Database </w:t>
      </w:r>
      <w:r w:rsidRPr="00CB5530">
        <w:t>(Stein et al., 2023)</w:t>
      </w:r>
      <w:r>
        <w:t>.</w:t>
      </w:r>
    </w:p>
    <w:p w14:paraId="30E5B686" w14:textId="77777777" w:rsidR="00A46B68" w:rsidRDefault="00A46B68" w:rsidP="001A14AF">
      <w:pPr>
        <w:pStyle w:val="Heading3"/>
        <w:spacing w:before="0" w:after="0"/>
      </w:pPr>
      <w:bookmarkStart w:id="160" w:name="_Toc196256904"/>
      <w:r>
        <w:t>RNA extraction and analysis.</w:t>
      </w:r>
      <w:bookmarkEnd w:id="160"/>
      <w:r>
        <w:t xml:space="preserve"> </w:t>
      </w:r>
    </w:p>
    <w:p w14:paraId="779812A9" w14:textId="77777777" w:rsidR="00A46B68" w:rsidRDefault="00A46B68" w:rsidP="001A14AF">
      <w:r>
        <w:t>RNA was extracted from cell pellets frozen in TRIzol using a Direct-zol RNA Extraction Kit (Zymo). RNA purity was determined via PCR of the 16S rRNA gene as performed above, and quality and quantity were determined via both Qubit fluorometer (Invitrogen) and TapeStation (Agilent). Riboreduction, library preparation, and Illumina sequencing (100 bp paired end reads; 30M reads) were performed by Maryland Genomics.</w:t>
      </w:r>
    </w:p>
    <w:p w14:paraId="2010D163" w14:textId="0DFD26DA" w:rsidR="00A46B68" w:rsidRDefault="00A46B68" w:rsidP="001A14AF">
      <w:r>
        <w:t xml:space="preserve">Transcript sequences were aligned to the sequenced genomes using bowtie2 v2.2.5 </w:t>
      </w:r>
      <w:r w:rsidRPr="00CB5530">
        <w:t>(Langmead and Salzberg, 2012)</w:t>
      </w:r>
      <w:r>
        <w:t xml:space="preserve">, and count files were generated using samtools v1.9 </w:t>
      </w:r>
      <w:r w:rsidRPr="00CB5530">
        <w:t>(Danecek et al., 2021)</w:t>
      </w:r>
      <w:r>
        <w:t xml:space="preserve"> and anvi’o x5.5 </w:t>
      </w:r>
      <w:r w:rsidRPr="00CB5530">
        <w:t>(Eren et al., 2015)</w:t>
      </w:r>
      <w:r>
        <w:t xml:space="preserve">. Reads were assembled into transcripts using StringTie v2.1.7 </w:t>
      </w:r>
      <w:r w:rsidRPr="00CB5530">
        <w:t>(Pertea et al., 2015)</w:t>
      </w:r>
      <w:r>
        <w:t xml:space="preserve"> and transcripts were quantified via Salmon v1.10.1 </w:t>
      </w:r>
      <w:r w:rsidRPr="000F6387">
        <w:t>(Patro et al., 2017)</w:t>
      </w:r>
      <w:r>
        <w:t xml:space="preserve">. Differential expression of genes was assessed using the R package DESeq2 v1.34.1 </w:t>
      </w:r>
      <w:r w:rsidRPr="000F6387">
        <w:t>(Anders and Huber, 2010)</w:t>
      </w:r>
      <w:r>
        <w:t>, using a cut off of log</w:t>
      </w:r>
      <w:r>
        <w:rPr>
          <w:vertAlign w:val="subscript"/>
        </w:rPr>
        <w:t>2</w:t>
      </w:r>
      <w:r>
        <w:t xml:space="preserve"> fold change (LFC) ≥ 1 or ≤ -1 and adjusted p-value (Benjamini-Hochberg adjusted Wald test; p</w:t>
      </w:r>
      <w:r>
        <w:rPr>
          <w:vertAlign w:val="subscript"/>
        </w:rPr>
        <w:t>adj</w:t>
      </w:r>
      <w:r>
        <w:t>) ≤ 0.05 to determine significance.</w:t>
      </w:r>
      <w:r w:rsidR="00C20B57">
        <w:t xml:space="preserve"> </w:t>
      </w:r>
    </w:p>
    <w:p w14:paraId="403D7D56" w14:textId="77777777" w:rsidR="00A46B68" w:rsidRDefault="00A46B68" w:rsidP="001A14AF">
      <w:pPr>
        <w:pStyle w:val="Heading2"/>
        <w:spacing w:before="0" w:after="0"/>
      </w:pPr>
      <w:bookmarkStart w:id="161" w:name="_Toc196256905"/>
      <w:r>
        <w:lastRenderedPageBreak/>
        <w:t>Results</w:t>
      </w:r>
      <w:bookmarkEnd w:id="161"/>
    </w:p>
    <w:p w14:paraId="11FE12D4" w14:textId="77777777" w:rsidR="00A46B68" w:rsidRDefault="00A46B68" w:rsidP="001A14AF">
      <w:pPr>
        <w:pStyle w:val="Heading3"/>
        <w:spacing w:before="0" w:after="0"/>
      </w:pPr>
      <w:bookmarkStart w:id="162" w:name="_Toc196256906"/>
      <w:r>
        <w:t>Geochemistry and biomass.</w:t>
      </w:r>
      <w:bookmarkEnd w:id="162"/>
      <w:r>
        <w:t xml:space="preserve"> </w:t>
      </w:r>
    </w:p>
    <w:p w14:paraId="5B250689" w14:textId="30377D59" w:rsidR="00A46B68" w:rsidRPr="009D146B" w:rsidRDefault="00A46B68" w:rsidP="001A14AF">
      <w:r>
        <w:t>Soils collected from inside the seep had greater water content (4.99 - 8.47 % g g</w:t>
      </w:r>
      <w:r w:rsidRPr="0041096E">
        <w:rPr>
          <w:vertAlign w:val="superscript"/>
        </w:rPr>
        <w:t>-1</w:t>
      </w:r>
      <w:r>
        <w:t>) than soils outside of the seep (0.55 - 5.50% g g</w:t>
      </w:r>
      <w:r w:rsidRPr="0041096E">
        <w:rPr>
          <w:vertAlign w:val="superscript"/>
        </w:rPr>
        <w:t>-1</w:t>
      </w:r>
      <w:r>
        <w:t>), and moisture for both increased with depth (</w:t>
      </w:r>
      <w:r w:rsidRPr="00757E0C">
        <w:rPr>
          <w:b/>
          <w:bCs/>
        </w:rPr>
        <w:t xml:space="preserve">Figure </w:t>
      </w:r>
      <w:r w:rsidR="00CF16BC">
        <w:rPr>
          <w:b/>
          <w:bCs/>
        </w:rPr>
        <w:t>3.</w:t>
      </w:r>
      <w:r w:rsidRPr="00757E0C">
        <w:rPr>
          <w:b/>
          <w:bCs/>
        </w:rPr>
        <w:t>1</w:t>
      </w:r>
      <w:r>
        <w:rPr>
          <w:b/>
          <w:bCs/>
        </w:rPr>
        <w:t>c</w:t>
      </w:r>
      <w:r>
        <w:t xml:space="preserve">; </w:t>
      </w:r>
      <w:r>
        <w:rPr>
          <w:b/>
          <w:bCs/>
        </w:rPr>
        <w:t xml:space="preserve">Table </w:t>
      </w:r>
      <w:r w:rsidR="00CF16BC">
        <w:rPr>
          <w:b/>
          <w:bCs/>
        </w:rPr>
        <w:t>3.</w:t>
      </w:r>
      <w:r>
        <w:rPr>
          <w:b/>
          <w:bCs/>
        </w:rPr>
        <w:t>2</w:t>
      </w:r>
      <w:r>
        <w:t>). Electrical conductivity varied by an order of magnitude between soils within and outside of the seep, with the highest concentration present in the top 0 – 2 cm of the seep (Sample WB1</w:t>
      </w:r>
      <w:r w:rsidR="00112877">
        <w:t xml:space="preserve">; </w:t>
      </w:r>
      <w:r w:rsidR="00112877" w:rsidRPr="00757E0C">
        <w:rPr>
          <w:b/>
          <w:bCs/>
        </w:rPr>
        <w:t xml:space="preserve">Figure </w:t>
      </w:r>
      <w:r w:rsidR="00112877">
        <w:rPr>
          <w:b/>
          <w:bCs/>
        </w:rPr>
        <w:t>3.</w:t>
      </w:r>
      <w:r w:rsidR="00112877" w:rsidRPr="00757E0C">
        <w:rPr>
          <w:b/>
          <w:bCs/>
        </w:rPr>
        <w:t>1</w:t>
      </w:r>
      <w:r w:rsidR="00112877">
        <w:rPr>
          <w:b/>
          <w:bCs/>
        </w:rPr>
        <w:t>d</w:t>
      </w:r>
      <w:r w:rsidR="00112877">
        <w:t xml:space="preserve">; </w:t>
      </w:r>
      <w:r w:rsidR="00112877">
        <w:rPr>
          <w:b/>
          <w:bCs/>
        </w:rPr>
        <w:t>Table 3.2</w:t>
      </w:r>
      <w:r>
        <w:t>). WB1 also had the highest concentration of Cl</w:t>
      </w:r>
      <w:r>
        <w:rPr>
          <w:vertAlign w:val="superscript"/>
        </w:rPr>
        <w:t>-</w:t>
      </w:r>
      <w:r>
        <w:t>, SO</w:t>
      </w:r>
      <w:r>
        <w:rPr>
          <w:vertAlign w:val="subscript"/>
        </w:rPr>
        <w:t>4</w:t>
      </w:r>
      <w:r>
        <w:rPr>
          <w:vertAlign w:val="superscript"/>
        </w:rPr>
        <w:t>-</w:t>
      </w:r>
      <w:r>
        <w:t>, and NO</w:t>
      </w:r>
      <w:r>
        <w:rPr>
          <w:vertAlign w:val="subscript"/>
        </w:rPr>
        <w:t>3</w:t>
      </w:r>
      <w:r>
        <w:rPr>
          <w:vertAlign w:val="superscript"/>
        </w:rPr>
        <w:t>-</w:t>
      </w:r>
      <w:r>
        <w:t>, while ion concentrations at lower depths (i.e., below 5 cm) were similar to dry soils. Additionally, pH differed between wet surficial soils (average pH 8.19 from 0 – 10 cm) and dry surficial soils (average pH 9.77 0 – 10 cm</w:t>
      </w:r>
      <w:r w:rsidR="00112877">
        <w:t xml:space="preserve">; </w:t>
      </w:r>
      <w:r w:rsidR="00112877" w:rsidRPr="00757E0C">
        <w:rPr>
          <w:b/>
          <w:bCs/>
        </w:rPr>
        <w:t xml:space="preserve">Figure </w:t>
      </w:r>
      <w:r w:rsidR="00112877">
        <w:rPr>
          <w:b/>
          <w:bCs/>
        </w:rPr>
        <w:t>3.</w:t>
      </w:r>
      <w:r w:rsidR="00112877" w:rsidRPr="00757E0C">
        <w:rPr>
          <w:b/>
          <w:bCs/>
        </w:rPr>
        <w:t>1</w:t>
      </w:r>
      <w:r w:rsidR="00112877">
        <w:rPr>
          <w:b/>
          <w:bCs/>
        </w:rPr>
        <w:t>e</w:t>
      </w:r>
      <w:r w:rsidR="00112877">
        <w:t xml:space="preserve">; </w:t>
      </w:r>
      <w:r w:rsidR="00112877">
        <w:rPr>
          <w:b/>
          <w:bCs/>
        </w:rPr>
        <w:t>Table 3.2</w:t>
      </w:r>
      <w:r>
        <w:t>). Microscopic counts of DNA containing cells averaged 1.19 × 10</w:t>
      </w:r>
      <w:r>
        <w:rPr>
          <w:vertAlign w:val="superscript"/>
        </w:rPr>
        <w:t>7</w:t>
      </w:r>
      <w:r>
        <w:t xml:space="preserve"> cells g</w:t>
      </w:r>
      <w:r>
        <w:rPr>
          <w:vertAlign w:val="superscript"/>
        </w:rPr>
        <w:t>-1</w:t>
      </w:r>
      <w:r>
        <w:t xml:space="preserve"> within the seep, with 8.70 × 10</w:t>
      </w:r>
      <w:r>
        <w:rPr>
          <w:vertAlign w:val="superscript"/>
        </w:rPr>
        <w:t>5</w:t>
      </w:r>
      <w:r>
        <w:t xml:space="preserve"> cell g</w:t>
      </w:r>
      <w:r>
        <w:rPr>
          <w:vertAlign w:val="superscript"/>
        </w:rPr>
        <w:t>-1</w:t>
      </w:r>
      <w:r>
        <w:t xml:space="preserve"> present in sample WB1</w:t>
      </w:r>
      <w:r w:rsidR="00112877">
        <w:t xml:space="preserve"> (</w:t>
      </w:r>
      <w:r w:rsidR="00112877" w:rsidRPr="00757E0C">
        <w:rPr>
          <w:b/>
          <w:bCs/>
        </w:rPr>
        <w:t xml:space="preserve">Figure </w:t>
      </w:r>
      <w:r w:rsidR="00112877">
        <w:rPr>
          <w:b/>
          <w:bCs/>
        </w:rPr>
        <w:t>3.</w:t>
      </w:r>
      <w:r w:rsidR="00112877" w:rsidRPr="00757E0C">
        <w:rPr>
          <w:b/>
          <w:bCs/>
        </w:rPr>
        <w:t>1</w:t>
      </w:r>
      <w:r w:rsidR="00112877">
        <w:rPr>
          <w:b/>
          <w:bCs/>
        </w:rPr>
        <w:t>f</w:t>
      </w:r>
      <w:r w:rsidR="00112877">
        <w:t>)</w:t>
      </w:r>
      <w:r>
        <w:t>. In the dry profile, cells were present at an average of 5.64 × 10</w:t>
      </w:r>
      <w:r>
        <w:rPr>
          <w:vertAlign w:val="superscript"/>
        </w:rPr>
        <w:t>6</w:t>
      </w:r>
      <w:r>
        <w:t xml:space="preserve"> cell g</w:t>
      </w:r>
      <w:r>
        <w:rPr>
          <w:vertAlign w:val="superscript"/>
        </w:rPr>
        <w:t>-1</w:t>
      </w:r>
      <w:r>
        <w:t xml:space="preserve">. </w:t>
      </w:r>
    </w:p>
    <w:p w14:paraId="3678A676" w14:textId="77777777" w:rsidR="00A46B68" w:rsidRDefault="00A46B68" w:rsidP="001A14AF">
      <w:pPr>
        <w:pStyle w:val="Heading3"/>
        <w:spacing w:before="0" w:after="0"/>
      </w:pPr>
      <w:bookmarkStart w:id="163" w:name="_Toc196256907"/>
      <w:r>
        <w:t>Community structure and genomic potential.</w:t>
      </w:r>
      <w:bookmarkEnd w:id="163"/>
      <w:r>
        <w:t xml:space="preserve"> </w:t>
      </w:r>
    </w:p>
    <w:p w14:paraId="4D96DDE6" w14:textId="43E0D545" w:rsidR="00A46B68" w:rsidRPr="00DD3B0B" w:rsidRDefault="00A46B68" w:rsidP="001A14AF">
      <w:pPr>
        <w:rPr>
          <w:i/>
          <w:iCs/>
        </w:rPr>
      </w:pPr>
      <w:r>
        <w:t>High quality DNA was obtained from all soils except for the surficial 0 – 2 cm within the seep, despite multiple attempts and methodologies (</w:t>
      </w:r>
      <w:r w:rsidRPr="00DD3B0B">
        <w:rPr>
          <w:b/>
          <w:bCs/>
        </w:rPr>
        <w:t xml:space="preserve">Table </w:t>
      </w:r>
      <w:r w:rsidR="00CF16BC">
        <w:rPr>
          <w:b/>
          <w:bCs/>
        </w:rPr>
        <w:t>3.</w:t>
      </w:r>
      <w:r>
        <w:rPr>
          <w:b/>
          <w:bCs/>
        </w:rPr>
        <w:t>3</w:t>
      </w:r>
      <w:r>
        <w:t>). Sequencing of amplified 16S rRNA genes returned between 152562 – 173660 paired reads, with 99699 – 114822 merged reads passing all filters. Following removal of mitochondrial and chloroplast sequences, reads were grouped into 3072 ASVs corresponding to 1885 OTUs, with samples from within the seep containing 1902 ASVs (1243 OTUs) and external (dry) soils containing 1438 ASVs (853 OTUs). Sequences were assigned to 32 bacterial phyla and one archaeal phylum (</w:t>
      </w:r>
      <w:r w:rsidRPr="00AA5589">
        <w:t>Thermoproteota</w:t>
      </w:r>
      <w:r>
        <w:t xml:space="preserve">; </w:t>
      </w:r>
      <w:r>
        <w:rPr>
          <w:b/>
          <w:bCs/>
        </w:rPr>
        <w:t xml:space="preserve">Figure </w:t>
      </w:r>
      <w:r w:rsidR="00CF16BC">
        <w:rPr>
          <w:b/>
          <w:bCs/>
        </w:rPr>
        <w:t>3.</w:t>
      </w:r>
      <w:r>
        <w:rPr>
          <w:b/>
          <w:bCs/>
        </w:rPr>
        <w:t>2a</w:t>
      </w:r>
      <w:r>
        <w:t xml:space="preserve">). The most abundant phyla present in all samples were </w:t>
      </w:r>
      <w:r w:rsidRPr="00AA5589">
        <w:t>Actinomycetota</w:t>
      </w:r>
      <w:r>
        <w:t xml:space="preserve"> (57.3% of total reads from seep samples, 53.7% of total reads from samples outside of seep), Gemmatimonadota (seep: 7.3%, outside: 15.7%), Chloroflexota (seep: 10.7%, outside: 10.4%), Pseudomonadota (seep: 11.2%, outside: 7.3%) and Bacteroidota (seep: 4.1%, outside: 2.2%). Three phyla had a significant correlation with conductivity measurements, including Bacteroidota (</w:t>
      </w:r>
      <w:r>
        <w:rPr>
          <w:b/>
          <w:bCs/>
        </w:rPr>
        <w:t xml:space="preserve">Figure </w:t>
      </w:r>
      <w:r w:rsidR="00CF16BC">
        <w:rPr>
          <w:b/>
          <w:bCs/>
        </w:rPr>
        <w:t>3.</w:t>
      </w:r>
      <w:r>
        <w:rPr>
          <w:b/>
          <w:bCs/>
        </w:rPr>
        <w:t>2b</w:t>
      </w:r>
      <w:r>
        <w:t>; R</w:t>
      </w:r>
      <w:r>
        <w:rPr>
          <w:vertAlign w:val="superscript"/>
        </w:rPr>
        <w:t>2</w:t>
      </w:r>
      <w:r>
        <w:t xml:space="preserve"> = </w:t>
      </w:r>
      <w:r w:rsidRPr="006B0279">
        <w:t>0.628</w:t>
      </w:r>
      <w:r>
        <w:t xml:space="preserve">, </w:t>
      </w:r>
      <w:r w:rsidRPr="006B0279">
        <w:t xml:space="preserve">p </w:t>
      </w:r>
      <w:r>
        <w:t>= 0.011), Bacillota (R</w:t>
      </w:r>
      <w:r>
        <w:rPr>
          <w:vertAlign w:val="superscript"/>
        </w:rPr>
        <w:t>2</w:t>
      </w:r>
      <w:r>
        <w:t xml:space="preserve"> = 0.487, </w:t>
      </w:r>
      <w:r w:rsidRPr="006B0279">
        <w:t>p</w:t>
      </w:r>
      <w:r>
        <w:rPr>
          <w:i/>
          <w:iCs/>
        </w:rPr>
        <w:t xml:space="preserve"> </w:t>
      </w:r>
      <w:r>
        <w:t xml:space="preserve">= 0.037), and </w:t>
      </w:r>
      <w:r w:rsidRPr="006B0279">
        <w:t>Thermodesulfobacteriota</w:t>
      </w:r>
      <w:r>
        <w:t xml:space="preserve"> (R</w:t>
      </w:r>
      <w:r>
        <w:rPr>
          <w:vertAlign w:val="superscript"/>
        </w:rPr>
        <w:t>2</w:t>
      </w:r>
      <w:r>
        <w:t xml:space="preserve"> = 0.492, p = 0.034). An additional four phyla significantly correlated with moisture: Deinococcota (R</w:t>
      </w:r>
      <w:r>
        <w:rPr>
          <w:vertAlign w:val="superscript"/>
        </w:rPr>
        <w:t>2</w:t>
      </w:r>
      <w:r>
        <w:t xml:space="preserve"> = 0.469, p = 0.042), Gemmatimonadota (R</w:t>
      </w:r>
      <w:r>
        <w:rPr>
          <w:vertAlign w:val="superscript"/>
        </w:rPr>
        <w:t>2</w:t>
      </w:r>
      <w:r>
        <w:t xml:space="preserve"> = 0.469, p = 0.042), Pseudomonadota (R</w:t>
      </w:r>
      <w:r>
        <w:rPr>
          <w:vertAlign w:val="superscript"/>
        </w:rPr>
        <w:t>2</w:t>
      </w:r>
      <w:r>
        <w:t xml:space="preserve"> = 0.614, p = 0.013), and Syngergistota (R</w:t>
      </w:r>
      <w:r>
        <w:rPr>
          <w:vertAlign w:val="superscript"/>
        </w:rPr>
        <w:t>2</w:t>
      </w:r>
      <w:r>
        <w:t xml:space="preserve"> = 0.614, p = 0.012).</w:t>
      </w:r>
    </w:p>
    <w:p w14:paraId="2FCBA303" w14:textId="60B49048" w:rsidR="00A46B68" w:rsidRDefault="00A46B68" w:rsidP="001A14AF">
      <w:r>
        <w:lastRenderedPageBreak/>
        <w:t>Alpha diversity differed between the wet and dry soil profiles, and in general, samples clustered as OTUs had lower diversity than when clustered as ASVs (</w:t>
      </w:r>
      <w:r>
        <w:rPr>
          <w:b/>
          <w:bCs/>
        </w:rPr>
        <w:t xml:space="preserve">Figure </w:t>
      </w:r>
      <w:r w:rsidR="00CF16BC">
        <w:rPr>
          <w:b/>
          <w:bCs/>
        </w:rPr>
        <w:t>3.</w:t>
      </w:r>
      <w:r>
        <w:rPr>
          <w:b/>
          <w:bCs/>
        </w:rPr>
        <w:t>3</w:t>
      </w:r>
      <w:r>
        <w:t xml:space="preserve">). Observed species richness outside of the seep was fairly consistent with increasing depth, and both Shannon and Inverse Simpson indices increased to a maximum value within the 10 – 25 cm samples. The lowest diversity for all metrices was observed at 2 – 5 cm depth. </w:t>
      </w:r>
      <w:r w:rsidRPr="001454A2">
        <w:t>Both species richness and the Shannon index were higher in seep compared to outside soils</w:t>
      </w:r>
      <w:r>
        <w:t>.</w:t>
      </w:r>
      <w:r w:rsidRPr="001454A2" w:rsidDel="001454A2">
        <w:t xml:space="preserve"> </w:t>
      </w:r>
      <w:r>
        <w:t>Additionally, alpha diversity correlated strongly with conductivity for seep soils, though only the Shannon index was significant when sequences were clustered as OTUs (</w:t>
      </w:r>
      <w:r>
        <w:rPr>
          <w:b/>
          <w:bCs/>
        </w:rPr>
        <w:t xml:space="preserve">Table </w:t>
      </w:r>
      <w:r w:rsidR="00CF16BC">
        <w:rPr>
          <w:b/>
          <w:bCs/>
        </w:rPr>
        <w:t>3.</w:t>
      </w:r>
      <w:r>
        <w:rPr>
          <w:b/>
          <w:bCs/>
        </w:rPr>
        <w:t>4</w:t>
      </w:r>
      <w:r>
        <w:t>).</w:t>
      </w:r>
    </w:p>
    <w:p w14:paraId="3239777E" w14:textId="74DBEC52" w:rsidR="00A46B68" w:rsidRDefault="00A46B68" w:rsidP="001A14AF">
      <w:r>
        <w:t xml:space="preserve">Metagenomic sequencing resulted in an average of ~ </w:t>
      </w:r>
      <w:r w:rsidRPr="006573A7">
        <w:t>103</w:t>
      </w:r>
      <w:r>
        <w:t xml:space="preserve"> million reads per sample, which assembled into an average of </w:t>
      </w:r>
      <w:r w:rsidRPr="004D45AC">
        <w:t>1</w:t>
      </w:r>
      <w:r>
        <w:t>.</w:t>
      </w:r>
      <w:r w:rsidRPr="004D45AC">
        <w:t>9</w:t>
      </w:r>
      <w:r>
        <w:t>8 million contigs per sample (</w:t>
      </w:r>
      <w:r>
        <w:rPr>
          <w:b/>
          <w:bCs/>
        </w:rPr>
        <w:t xml:space="preserve">Table </w:t>
      </w:r>
      <w:r w:rsidR="00CF16BC">
        <w:rPr>
          <w:b/>
          <w:bCs/>
        </w:rPr>
        <w:t>3.</w:t>
      </w:r>
      <w:r>
        <w:rPr>
          <w:b/>
          <w:bCs/>
        </w:rPr>
        <w:t>5</w:t>
      </w:r>
      <w:r>
        <w:t xml:space="preserve">). Reading frame identification identified an average of </w:t>
      </w:r>
      <w:r w:rsidRPr="00897738">
        <w:t>2403016</w:t>
      </w:r>
      <w:r>
        <w:t xml:space="preserve"> putative coding sequences per metagenome, with an average of 25.6% non-hypothetical annotations by Prokka and 24.03% non-hypothetical annotations by GhostKOALA. Of annotated genes, the most abundant KEGG Level 2 categories were shared between all metagenomes: carbohydrate metabolism (average abundance of 12. 9% of annotated genes), protein families: genetic information processing (11.4%), amino acid metabolism (8.2%), protein families: signaling and cellular processes (7.9%), metabolism of cofactors and vitamins (5.1%), and translation (5.0%).</w:t>
      </w:r>
      <w:r w:rsidR="00C20B57">
        <w:t xml:space="preserve"> </w:t>
      </w:r>
      <w:r>
        <w:t>The majority of annotated genes were present in all metagenomes (7725 Prokka-annotated and 4883 GhostKOALA-annotated genes</w:t>
      </w:r>
      <w:r w:rsidR="00E745EC">
        <w:t>)</w:t>
      </w:r>
      <w:r>
        <w:t>.</w:t>
      </w:r>
    </w:p>
    <w:p w14:paraId="61A9E899" w14:textId="6BB73468" w:rsidR="00A46B68" w:rsidRPr="00B31E79" w:rsidRDefault="00A46B68" w:rsidP="001A14AF">
      <w:r>
        <w:t>Genes associated with salt tolerance are presence in all five metagenomes (</w:t>
      </w:r>
      <w:r>
        <w:rPr>
          <w:b/>
          <w:bCs/>
        </w:rPr>
        <w:t xml:space="preserve">Figure </w:t>
      </w:r>
      <w:r w:rsidR="00CF16BC">
        <w:rPr>
          <w:b/>
          <w:bCs/>
        </w:rPr>
        <w:t>3.</w:t>
      </w:r>
      <w:r>
        <w:rPr>
          <w:b/>
          <w:bCs/>
        </w:rPr>
        <w:t>4</w:t>
      </w:r>
      <w:r>
        <w:t>). Genes associated with the biosynthesis or transport of compatible solutes include those for glycine betaine (</w:t>
      </w:r>
      <w:r w:rsidRPr="00DD3B0B">
        <w:rPr>
          <w:i/>
          <w:iCs/>
        </w:rPr>
        <w:t>betB</w:t>
      </w:r>
      <w:r>
        <w:t xml:space="preserve">, </w:t>
      </w:r>
      <w:r w:rsidRPr="00DD3B0B">
        <w:rPr>
          <w:i/>
          <w:iCs/>
        </w:rPr>
        <w:t>gbcA</w:t>
      </w:r>
      <w:r>
        <w:rPr>
          <w:i/>
          <w:iCs/>
        </w:rPr>
        <w:t>, gbc</w:t>
      </w:r>
      <w:r w:rsidRPr="00DD3B0B">
        <w:rPr>
          <w:i/>
          <w:iCs/>
        </w:rPr>
        <w:t>B</w:t>
      </w:r>
      <w:r>
        <w:t xml:space="preserve">, </w:t>
      </w:r>
      <w:r w:rsidRPr="00DD3B0B">
        <w:rPr>
          <w:i/>
          <w:iCs/>
        </w:rPr>
        <w:t>proW</w:t>
      </w:r>
      <w:r>
        <w:t xml:space="preserve">, </w:t>
      </w:r>
      <w:r w:rsidRPr="00DD3B0B">
        <w:rPr>
          <w:i/>
          <w:iCs/>
        </w:rPr>
        <w:t>opuD</w:t>
      </w:r>
      <w:r>
        <w:t>), choline (</w:t>
      </w:r>
      <w:r>
        <w:rPr>
          <w:i/>
          <w:iCs/>
        </w:rPr>
        <w:t>betA, pcs</w:t>
      </w:r>
      <w:r>
        <w:t>), ectoine (</w:t>
      </w:r>
      <w:r>
        <w:rPr>
          <w:i/>
          <w:iCs/>
        </w:rPr>
        <w:t>doeA, ectC</w:t>
      </w:r>
      <w:r>
        <w:t>), proline (</w:t>
      </w:r>
      <w:r>
        <w:rPr>
          <w:i/>
          <w:iCs/>
        </w:rPr>
        <w:t>prdB, laaA, proC, lhpA</w:t>
      </w:r>
      <w:r>
        <w:t>) and trehalose (</w:t>
      </w:r>
      <w:r>
        <w:rPr>
          <w:i/>
          <w:iCs/>
        </w:rPr>
        <w:t>glgE, ostAB, thuE, thuF, thuG, treAYZ</w:t>
      </w:r>
      <w:r>
        <w:t xml:space="preserve">). Of these, </w:t>
      </w:r>
      <w:r>
        <w:rPr>
          <w:i/>
          <w:iCs/>
        </w:rPr>
        <w:t xml:space="preserve">betA, doeA, lhpA, </w:t>
      </w:r>
      <w:r>
        <w:t xml:space="preserve">and </w:t>
      </w:r>
      <w:r>
        <w:rPr>
          <w:i/>
          <w:iCs/>
        </w:rPr>
        <w:t xml:space="preserve">ostAB </w:t>
      </w:r>
      <w:r>
        <w:t>were positively correlated with conductivity. Several putative Na</w:t>
      </w:r>
      <w:r>
        <w:rPr>
          <w:vertAlign w:val="superscript"/>
        </w:rPr>
        <w:t xml:space="preserve">+ </w:t>
      </w:r>
      <w:r>
        <w:t xml:space="preserve">transporters were also annotated within the metagenomes, including those in the </w:t>
      </w:r>
      <w:r>
        <w:rPr>
          <w:i/>
          <w:iCs/>
        </w:rPr>
        <w:t>mnh</w:t>
      </w:r>
      <w:r>
        <w:t xml:space="preserve">, </w:t>
      </w:r>
      <w:r>
        <w:rPr>
          <w:i/>
          <w:iCs/>
        </w:rPr>
        <w:t>nha</w:t>
      </w:r>
      <w:r>
        <w:t xml:space="preserve">, and </w:t>
      </w:r>
      <w:r>
        <w:rPr>
          <w:i/>
          <w:iCs/>
        </w:rPr>
        <w:t>nrq</w:t>
      </w:r>
      <w:r>
        <w:t xml:space="preserve">, with only </w:t>
      </w:r>
      <w:r>
        <w:rPr>
          <w:i/>
          <w:iCs/>
        </w:rPr>
        <w:t>nrqA</w:t>
      </w:r>
      <w:r>
        <w:t xml:space="preserve"> correlating with conductivity. Five putative genes encoding mechanosensitive channels were also annotated (</w:t>
      </w:r>
      <w:r>
        <w:rPr>
          <w:i/>
          <w:iCs/>
        </w:rPr>
        <w:t>mscK, mscL, mscM, muscMJ, mscS</w:t>
      </w:r>
      <w:r>
        <w:t>), and all were positively correlated with conductivity.</w:t>
      </w:r>
    </w:p>
    <w:p w14:paraId="4E4D2EE4" w14:textId="77777777" w:rsidR="00A46B68" w:rsidRDefault="00A46B68" w:rsidP="001A14AF">
      <w:pPr>
        <w:pStyle w:val="Heading3"/>
        <w:spacing w:before="0" w:after="0"/>
      </w:pPr>
      <w:bookmarkStart w:id="164" w:name="_Toc196256908"/>
      <w:r>
        <w:t>Isolation and taxonomic placement of Gillisia sp. FRX26.</w:t>
      </w:r>
      <w:bookmarkEnd w:id="164"/>
      <w:r>
        <w:t xml:space="preserve"> </w:t>
      </w:r>
    </w:p>
    <w:p w14:paraId="020CBD98" w14:textId="54B2D104" w:rsidR="00A46B68" w:rsidRDefault="00A46B68" w:rsidP="001A14AF">
      <w:r>
        <w:t>Plating of Sample WB1 on Marine Agar (Difco 2216) yielded 5.89 × 10</w:t>
      </w:r>
      <w:r>
        <w:rPr>
          <w:vertAlign w:val="superscript"/>
        </w:rPr>
        <w:t>4</w:t>
      </w:r>
      <w:r>
        <w:t xml:space="preserve"> CFUs g sediment</w:t>
      </w:r>
      <w:r>
        <w:rPr>
          <w:vertAlign w:val="superscript"/>
        </w:rPr>
        <w:t>-1</w:t>
      </w:r>
      <w:r>
        <w:t xml:space="preserve">, and isolation of unique colony phenotypes resulted in a total of 10 bacterial strains. A yellow-pigmented strain was designated strain FRX26 upon isolation, and was identified as a </w:t>
      </w:r>
      <w:r>
        <w:lastRenderedPageBreak/>
        <w:t xml:space="preserve">member of the family </w:t>
      </w:r>
      <w:r w:rsidRPr="00B92B9A">
        <w:t xml:space="preserve">Flavobacteriaceae </w:t>
      </w:r>
      <w:r>
        <w:t xml:space="preserve">(Bacteroidota) via Sanger sequencing of the partial 16S rRNA gene, with greatest sequence similarity to </w:t>
      </w:r>
      <w:r>
        <w:rPr>
          <w:i/>
          <w:iCs/>
        </w:rPr>
        <w:t xml:space="preserve">Gillisia limnaea </w:t>
      </w:r>
      <w:r>
        <w:t>DSM 15749 (</w:t>
      </w:r>
      <w:r w:rsidRPr="008E4DB2">
        <w:t>NR_042141.1</w:t>
      </w:r>
      <w:r>
        <w:t xml:space="preserve">; 98.90% identity). High similarity was also present to </w:t>
      </w:r>
      <w:r w:rsidRPr="00B6244E">
        <w:rPr>
          <w:i/>
          <w:iCs/>
        </w:rPr>
        <w:t>G</w:t>
      </w:r>
      <w:r>
        <w:rPr>
          <w:i/>
          <w:iCs/>
        </w:rPr>
        <w:t>.</w:t>
      </w:r>
      <w:r w:rsidRPr="00B6244E">
        <w:rPr>
          <w:i/>
          <w:iCs/>
        </w:rPr>
        <w:t xml:space="preserve"> hiemivivida </w:t>
      </w:r>
      <w:r w:rsidRPr="00B6244E">
        <w:t>IC154</w:t>
      </w:r>
      <w:r>
        <w:t xml:space="preserve"> (</w:t>
      </w:r>
      <w:r w:rsidRPr="00BE0FB0">
        <w:t>OQ619006.1</w:t>
      </w:r>
      <w:r>
        <w:t xml:space="preserve">; </w:t>
      </w:r>
      <w:r w:rsidRPr="00DD1CE4">
        <w:t>98.05</w:t>
      </w:r>
      <w:r>
        <w:t xml:space="preserve">%), </w:t>
      </w:r>
      <w:r w:rsidRPr="00BE0FB0">
        <w:rPr>
          <w:i/>
          <w:iCs/>
        </w:rPr>
        <w:t>G</w:t>
      </w:r>
      <w:r>
        <w:rPr>
          <w:i/>
          <w:iCs/>
        </w:rPr>
        <w:t>.</w:t>
      </w:r>
      <w:r w:rsidRPr="00BE0FB0">
        <w:rPr>
          <w:i/>
          <w:iCs/>
        </w:rPr>
        <w:t xml:space="preserve"> lutea</w:t>
      </w:r>
      <w:r>
        <w:t xml:space="preserve"> (MZ994595.1; </w:t>
      </w:r>
      <w:r w:rsidRPr="00BE0FB0">
        <w:t>97.93</w:t>
      </w:r>
      <w:r>
        <w:t xml:space="preserve">%), </w:t>
      </w:r>
      <w:r w:rsidRPr="007A067D">
        <w:rPr>
          <w:i/>
          <w:iCs/>
        </w:rPr>
        <w:t>G</w:t>
      </w:r>
      <w:r>
        <w:rPr>
          <w:i/>
          <w:iCs/>
        </w:rPr>
        <w:t>.</w:t>
      </w:r>
      <w:r w:rsidRPr="00BE0FB0">
        <w:rPr>
          <w:i/>
          <w:iCs/>
        </w:rPr>
        <w:t xml:space="preserve"> myxillae</w:t>
      </w:r>
      <w:r>
        <w:t xml:space="preserve"> (</w:t>
      </w:r>
      <w:r w:rsidRPr="00BE0FB0">
        <w:t>NR_043635.1</w:t>
      </w:r>
      <w:r>
        <w:t xml:space="preserve">; 96.71%), </w:t>
      </w:r>
      <w:r w:rsidRPr="00BE0FB0">
        <w:rPr>
          <w:i/>
          <w:iCs/>
        </w:rPr>
        <w:t>G</w:t>
      </w:r>
      <w:r>
        <w:rPr>
          <w:i/>
          <w:iCs/>
        </w:rPr>
        <w:t>.</w:t>
      </w:r>
      <w:r w:rsidRPr="00BE0FB0">
        <w:rPr>
          <w:i/>
          <w:iCs/>
        </w:rPr>
        <w:t xml:space="preserve"> mitskevichiae</w:t>
      </w:r>
      <w:r>
        <w:t xml:space="preserve"> (</w:t>
      </w:r>
      <w:r w:rsidRPr="00BE0FB0">
        <w:t>NR_025822.1</w:t>
      </w:r>
      <w:r>
        <w:t xml:space="preserve">; </w:t>
      </w:r>
      <w:r w:rsidRPr="00BE0FB0">
        <w:t>96.35</w:t>
      </w:r>
      <w:r>
        <w:t xml:space="preserve">%). Comparison of both whole-genome nucleic acid and amino acid sequences via TYGS confirmed taxonomic placement of strain FRX26 within the </w:t>
      </w:r>
      <w:r>
        <w:rPr>
          <w:i/>
          <w:iCs/>
        </w:rPr>
        <w:t xml:space="preserve">Gillisia </w:t>
      </w:r>
      <w:r>
        <w:t>genus (</w:t>
      </w:r>
      <w:r>
        <w:rPr>
          <w:b/>
          <w:bCs/>
        </w:rPr>
        <w:t xml:space="preserve">Figure </w:t>
      </w:r>
      <w:r w:rsidR="00CF16BC">
        <w:rPr>
          <w:b/>
          <w:bCs/>
        </w:rPr>
        <w:t>3.</w:t>
      </w:r>
      <w:r>
        <w:rPr>
          <w:b/>
          <w:bCs/>
        </w:rPr>
        <w:t xml:space="preserve">5; Table </w:t>
      </w:r>
      <w:r w:rsidR="00CF16BC">
        <w:rPr>
          <w:b/>
          <w:bCs/>
        </w:rPr>
        <w:t>3.</w:t>
      </w:r>
      <w:r>
        <w:rPr>
          <w:b/>
          <w:bCs/>
        </w:rPr>
        <w:t>6</w:t>
      </w:r>
      <w:r>
        <w:t xml:space="preserve">), and identified </w:t>
      </w:r>
      <w:r>
        <w:rPr>
          <w:i/>
          <w:iCs/>
        </w:rPr>
        <w:t xml:space="preserve">G. limnaea </w:t>
      </w:r>
      <w:r>
        <w:t xml:space="preserve">DSM 15749 as the closest type strain to strain FRX26. However, both digital DNA-DNA hybridization (dDDH; 22.6%) and ANI (81%) were below proposed species thresholds (dDDH ≥ 70% and ANI ≥ 95 – 96% </w:t>
      </w:r>
      <w:r w:rsidRPr="006D1826">
        <w:t>(Konstantinidis and Tiedje, 2005; Konstantinidis et al., 2006; Auch et al., 2010)</w:t>
      </w:r>
      <w:r>
        <w:t xml:space="preserve">, suggesting that strain FRX26 likely represents a novel species. </w:t>
      </w:r>
    </w:p>
    <w:p w14:paraId="3DD21EC0" w14:textId="563B006A" w:rsidR="00A46B68" w:rsidRPr="00DB47B0" w:rsidRDefault="00A46B68" w:rsidP="001A14AF">
      <w:r>
        <w:t>Comparison of the strain FRX26 16S rRNA to the Fryxell</w:t>
      </w:r>
      <w:r w:rsidR="00CE6276">
        <w:t xml:space="preserve"> seep</w:t>
      </w:r>
      <w:r>
        <w:t xml:space="preserve"> amplicon libraries reveals that reads with ≥ 97% identity are present in all samples between 0.04% and 5.79% of total sequences per library (</w:t>
      </w:r>
      <w:r>
        <w:rPr>
          <w:b/>
          <w:bCs/>
        </w:rPr>
        <w:t xml:space="preserve">Figure </w:t>
      </w:r>
      <w:r w:rsidR="00CF16BC">
        <w:rPr>
          <w:b/>
          <w:bCs/>
        </w:rPr>
        <w:t>3.</w:t>
      </w:r>
      <w:r>
        <w:rPr>
          <w:b/>
          <w:bCs/>
        </w:rPr>
        <w:t>2b</w:t>
      </w:r>
      <w:r>
        <w:t xml:space="preserve">). Reads matching strain FRX26 are most abundant within the seep, and are highest in soil depths 2 – 5 cm (5.79%), 15 – 25 cm (1.81%), and 5 – 10 cm (0.76%) within the wet profile. </w:t>
      </w:r>
      <w:r>
        <w:rPr>
          <w:i/>
          <w:iCs/>
        </w:rPr>
        <w:t xml:space="preserve">Gillisia </w:t>
      </w:r>
      <w:r>
        <w:t xml:space="preserve">sequences are most abundant in the dry profile at the 2 – 5 cm depth (0.25%). Reads with ≥ 97% identity to </w:t>
      </w:r>
      <w:r>
        <w:rPr>
          <w:i/>
          <w:iCs/>
        </w:rPr>
        <w:t xml:space="preserve">Gillisia </w:t>
      </w:r>
      <w:r>
        <w:t>sp. FRX26 are also present in 51 of 376 publicly available 16S rRNA amplicon libraries, ranging from 0.003% to 9.01% relative abundance in amended samples (</w:t>
      </w:r>
      <w:r>
        <w:rPr>
          <w:b/>
          <w:bCs/>
        </w:rPr>
        <w:t xml:space="preserve">Figure </w:t>
      </w:r>
      <w:r w:rsidR="00CF16BC">
        <w:rPr>
          <w:b/>
          <w:bCs/>
        </w:rPr>
        <w:t>3.</w:t>
      </w:r>
      <w:r>
        <w:rPr>
          <w:b/>
          <w:bCs/>
        </w:rPr>
        <w:t xml:space="preserve">6; Table </w:t>
      </w:r>
      <w:r w:rsidR="00CF16BC">
        <w:rPr>
          <w:b/>
          <w:bCs/>
        </w:rPr>
        <w:t>3.</w:t>
      </w:r>
      <w:r>
        <w:rPr>
          <w:b/>
          <w:bCs/>
        </w:rPr>
        <w:t>7</w:t>
      </w:r>
      <w:r>
        <w:t xml:space="preserve">). Matching sequences were in highest abundance in higher salinity environments, including pond margins near Lake Brownworth (~ 1000 </w:t>
      </w:r>
      <w:r>
        <w:rPr>
          <w:lang w:val="el-GR"/>
        </w:rPr>
        <w:t>μ</w:t>
      </w:r>
      <w:r>
        <w:t xml:space="preserve">S </w:t>
      </w:r>
      <w:r w:rsidRPr="00371079">
        <w:t>cm</w:t>
      </w:r>
      <w:r>
        <w:rPr>
          <w:vertAlign w:val="superscript"/>
        </w:rPr>
        <w:t>-</w:t>
      </w:r>
      <w:r w:rsidRPr="00371079">
        <w:rPr>
          <w:vertAlign w:val="superscript"/>
        </w:rPr>
        <w:t>1</w:t>
      </w:r>
      <w:r>
        <w:t>;</w:t>
      </w:r>
      <w:r w:rsidRPr="00DD3B0B">
        <w:t xml:space="preserve"> </w:t>
      </w:r>
      <w:r w:rsidRPr="00371079">
        <w:t>Wright</w:t>
      </w:r>
      <w:r>
        <w:t xml:space="preserve"> Valley; </w:t>
      </w:r>
      <w:r w:rsidRPr="00371079">
        <w:t>Geyer et al., 2013, 2014)</w:t>
      </w:r>
      <w:r>
        <w:t>, and associated with brine outflow at Blood Falls (up to ~ 2 M Cl</w:t>
      </w:r>
      <w:r>
        <w:rPr>
          <w:vertAlign w:val="superscript"/>
        </w:rPr>
        <w:t>-</w:t>
      </w:r>
      <w:r>
        <w:t>; Taylor Valley; C</w:t>
      </w:r>
      <w:r w:rsidRPr="00662B61">
        <w:t>ampen et al., 2019)</w:t>
      </w:r>
      <w:r>
        <w:t xml:space="preserve">. Additionally, OTUs with ≥ 97% similarity to </w:t>
      </w:r>
      <w:r>
        <w:rPr>
          <w:i/>
          <w:iCs/>
        </w:rPr>
        <w:t xml:space="preserve">Gillisia </w:t>
      </w:r>
      <w:r>
        <w:t>sp.</w:t>
      </w:r>
      <w:r>
        <w:rPr>
          <w:i/>
          <w:iCs/>
        </w:rPr>
        <w:t xml:space="preserve"> </w:t>
      </w:r>
      <w:r>
        <w:t xml:space="preserve">FRX26 increased from 0.03% to up to 32% relative abundance in moderately saline soils (~ 500 </w:t>
      </w:r>
      <w:r>
        <w:rPr>
          <w:lang w:val="el-GR"/>
        </w:rPr>
        <w:t>μ</w:t>
      </w:r>
      <w:r>
        <w:t>S cm</w:t>
      </w:r>
      <w:r>
        <w:rPr>
          <w:vertAlign w:val="superscript"/>
        </w:rPr>
        <w:t>-1</w:t>
      </w:r>
      <w:r w:rsidRPr="00662B61">
        <w:t>) following</w:t>
      </w:r>
      <w:r>
        <w:rPr>
          <w:vertAlign w:val="subscript"/>
        </w:rPr>
        <w:t xml:space="preserve"> </w:t>
      </w:r>
      <w:r>
        <w:t xml:space="preserve">the addition of cyanobacteria-derived carbon </w:t>
      </w:r>
      <w:r w:rsidRPr="00662B61">
        <w:t>(Van Horn et al., 2014)</w:t>
      </w:r>
      <w:r>
        <w:t xml:space="preserve">. </w:t>
      </w:r>
    </w:p>
    <w:p w14:paraId="40F27DE0" w14:textId="77777777" w:rsidR="00A46B68" w:rsidRDefault="00A46B68" w:rsidP="001A14AF">
      <w:pPr>
        <w:pStyle w:val="Heading3"/>
        <w:spacing w:before="0" w:after="0"/>
      </w:pPr>
      <w:bookmarkStart w:id="165" w:name="_Toc196256909"/>
      <w:r>
        <w:t xml:space="preserve">Genomic </w:t>
      </w:r>
      <w:r w:rsidRPr="00662B61">
        <w:t>analysis</w:t>
      </w:r>
      <w:r>
        <w:t xml:space="preserve"> of strain FRX26.</w:t>
      </w:r>
      <w:bookmarkEnd w:id="165"/>
      <w:r>
        <w:t xml:space="preserve"> </w:t>
      </w:r>
    </w:p>
    <w:p w14:paraId="31D3C7DA" w14:textId="773D375F" w:rsidR="00A46B68" w:rsidRPr="004350F0" w:rsidRDefault="00A46B68" w:rsidP="001A14AF">
      <w:r w:rsidRPr="00662B61">
        <w:t>Genomic</w:t>
      </w:r>
      <w:r>
        <w:t xml:space="preserve"> sequencing resulted in a total of </w:t>
      </w:r>
      <w:r w:rsidRPr="008D1B7C">
        <w:t xml:space="preserve">27247130 </w:t>
      </w:r>
      <w:r>
        <w:t>reads, which assembled into 307 contigs totaling 4.2 Mbp. Reading frame identification resulted in a total of 3705 putative coding regions. Of these, 1599 had non-hypothetical annotations via Prokka (43.2%), 1386 via GhostKOALA (37.4%), and 2253 via eggNOG (60.8%). The most abundant Level 2 categories via KEGG annotation were p</w:t>
      </w:r>
      <w:r w:rsidRPr="004350F0">
        <w:t>rotein families: genetic information processing</w:t>
      </w:r>
      <w:r>
        <w:t xml:space="preserve"> (168 genes), </w:t>
      </w:r>
      <w:r>
        <w:lastRenderedPageBreak/>
        <w:t xml:space="preserve">carbohydrate metabolism (151), protein families: signaling and cellular processes (141), amino acid metabolism (118), and unclassified: metabolism (85; </w:t>
      </w:r>
      <w:r>
        <w:rPr>
          <w:b/>
          <w:bCs/>
        </w:rPr>
        <w:t xml:space="preserve">Figure </w:t>
      </w:r>
      <w:r w:rsidR="00CF16BC">
        <w:rPr>
          <w:b/>
          <w:bCs/>
        </w:rPr>
        <w:t>3.</w:t>
      </w:r>
      <w:r w:rsidRPr="00374E70">
        <w:rPr>
          <w:b/>
          <w:bCs/>
        </w:rPr>
        <w:t>7</w:t>
      </w:r>
      <w:r>
        <w:t>). The most abundant COG categories were c</w:t>
      </w:r>
      <w:r w:rsidRPr="004350F0">
        <w:t>ell wall/membrane/envelope biogenesis</w:t>
      </w:r>
      <w:r>
        <w:t xml:space="preserve"> (273 genes), a</w:t>
      </w:r>
      <w:r w:rsidRPr="004350F0">
        <w:t>mino acid transport and metabolism</w:t>
      </w:r>
      <w:r>
        <w:t xml:space="preserve"> (270), r</w:t>
      </w:r>
      <w:r w:rsidRPr="008D1B7C">
        <w:t>eplication, recombination and repair</w:t>
      </w:r>
      <w:r>
        <w:t xml:space="preserve"> (203), t</w:t>
      </w:r>
      <w:r w:rsidRPr="008D1B7C">
        <w:t>ranslation, ribosomal structure and biogenesis</w:t>
      </w:r>
      <w:r>
        <w:t xml:space="preserve"> (165), and transcription (160). A total of 642 putative genes did not have functional annotation via any utilized pipeline.</w:t>
      </w:r>
    </w:p>
    <w:p w14:paraId="24A6C8FE" w14:textId="58AE9881" w:rsidR="00A46B68" w:rsidRDefault="00A46B68" w:rsidP="001A14AF">
      <w:r>
        <w:t>Several putative genes within the strain FRX26 genome may play a role in response to osmotic stress (</w:t>
      </w:r>
      <w:r>
        <w:rPr>
          <w:b/>
          <w:bCs/>
        </w:rPr>
        <w:t xml:space="preserve">Figure </w:t>
      </w:r>
      <w:r w:rsidR="00CF16BC">
        <w:rPr>
          <w:b/>
          <w:bCs/>
        </w:rPr>
        <w:t>3.</w:t>
      </w:r>
      <w:r>
        <w:rPr>
          <w:b/>
          <w:bCs/>
        </w:rPr>
        <w:t>8</w:t>
      </w:r>
      <w:r>
        <w:t>). Complete or nearly complete biosynthesis pathways are present for proline (</w:t>
      </w:r>
      <w:r>
        <w:rPr>
          <w:i/>
          <w:iCs/>
        </w:rPr>
        <w:t>proABC</w:t>
      </w:r>
      <w:r>
        <w:t>) and trehalose (</w:t>
      </w:r>
      <w:r w:rsidRPr="00B667BA">
        <w:rPr>
          <w:i/>
          <w:iCs/>
        </w:rPr>
        <w:t>glg</w:t>
      </w:r>
      <w:r>
        <w:rPr>
          <w:i/>
          <w:iCs/>
        </w:rPr>
        <w:t>AB</w:t>
      </w:r>
      <w:r>
        <w:t xml:space="preserve">. </w:t>
      </w:r>
      <w:r>
        <w:rPr>
          <w:i/>
          <w:iCs/>
        </w:rPr>
        <w:t>treYZ</w:t>
      </w:r>
      <w:r>
        <w:t>), as well as a transporter for glycine betaine (</w:t>
      </w:r>
      <w:r w:rsidRPr="002F4808">
        <w:rPr>
          <w:i/>
          <w:iCs/>
        </w:rPr>
        <w:t>opuD</w:t>
      </w:r>
      <w:r>
        <w:t xml:space="preserve">), all of </w:t>
      </w:r>
      <w:r w:rsidRPr="002F4808">
        <w:t>which</w:t>
      </w:r>
      <w:r>
        <w:t xml:space="preserve"> are utilized as compatible solutes for osmotic balance in other bacterium </w:t>
      </w:r>
      <w:r w:rsidRPr="00840B6E">
        <w:t>(Kempf and Bremer, 1998)</w:t>
      </w:r>
      <w:r>
        <w:t>. The strain FRX26 genome also contained several putative genes for Na</w:t>
      </w:r>
      <w:r>
        <w:rPr>
          <w:vertAlign w:val="superscript"/>
        </w:rPr>
        <w:t xml:space="preserve">+ </w:t>
      </w:r>
      <w:r>
        <w:t xml:space="preserve">antiporters in the </w:t>
      </w:r>
      <w:r>
        <w:rPr>
          <w:i/>
          <w:iCs/>
        </w:rPr>
        <w:t>mrp</w:t>
      </w:r>
      <w:r>
        <w:t xml:space="preserve">, </w:t>
      </w:r>
      <w:r>
        <w:rPr>
          <w:i/>
          <w:iCs/>
        </w:rPr>
        <w:t>nap</w:t>
      </w:r>
      <w:r>
        <w:t xml:space="preserve">, </w:t>
      </w:r>
      <w:r>
        <w:rPr>
          <w:i/>
          <w:iCs/>
        </w:rPr>
        <w:t>nha</w:t>
      </w:r>
      <w:r>
        <w:t xml:space="preserve">, and </w:t>
      </w:r>
      <w:r>
        <w:rPr>
          <w:i/>
          <w:iCs/>
        </w:rPr>
        <w:t>nrq</w:t>
      </w:r>
      <w:r>
        <w:t xml:space="preserve"> families, and </w:t>
      </w:r>
      <w:r>
        <w:rPr>
          <w:i/>
          <w:iCs/>
        </w:rPr>
        <w:t xml:space="preserve">trkAH </w:t>
      </w:r>
      <w:r>
        <w:t>K</w:t>
      </w:r>
      <w:r>
        <w:rPr>
          <w:vertAlign w:val="superscript"/>
        </w:rPr>
        <w:t>+</w:t>
      </w:r>
      <w:r>
        <w:t xml:space="preserve"> importers. A total of five mechanosensitive channels were annotated from the mini, small, large, and K</w:t>
      </w:r>
      <w:r>
        <w:rPr>
          <w:vertAlign w:val="superscript"/>
        </w:rPr>
        <w:t>+</w:t>
      </w:r>
      <w:r>
        <w:t xml:space="preserve">-mediated families. Additionally. several genes are present which may play a role in the production of extracellular polymeric substances (EPS), including </w:t>
      </w:r>
      <w:r>
        <w:rPr>
          <w:i/>
          <w:iCs/>
        </w:rPr>
        <w:t>wecA</w:t>
      </w:r>
      <w:r>
        <w:t xml:space="preserve">, </w:t>
      </w:r>
      <w:r>
        <w:rPr>
          <w:i/>
          <w:iCs/>
        </w:rPr>
        <w:t>algI</w:t>
      </w:r>
      <w:r>
        <w:t xml:space="preserve">, and </w:t>
      </w:r>
      <w:r>
        <w:rPr>
          <w:i/>
          <w:iCs/>
        </w:rPr>
        <w:t>rfbABCD</w:t>
      </w:r>
      <w:r>
        <w:t xml:space="preserve">, which may play a role in desiccation tolerance </w:t>
      </w:r>
      <w:r w:rsidRPr="00433D0F">
        <w:t>(Chang et al., 2007; Lebre et al., 2017)</w:t>
      </w:r>
      <w:r>
        <w:t xml:space="preserve">. </w:t>
      </w:r>
    </w:p>
    <w:p w14:paraId="2D798719" w14:textId="593C6A48" w:rsidR="00A46B68" w:rsidRPr="00024499" w:rsidRDefault="00A46B68" w:rsidP="001A14AF">
      <w:r>
        <w:t xml:space="preserve">Of the 1088 KEGG Orthologies (KO) assigned by GhostKOALA, 1037 were present in at least one </w:t>
      </w:r>
      <w:r>
        <w:rPr>
          <w:i/>
          <w:iCs/>
        </w:rPr>
        <w:t xml:space="preserve">Gillisia </w:t>
      </w:r>
      <w:r>
        <w:t xml:space="preserve">reference genome, and 51 were unique to strain FRX26, including hydrogenase genes </w:t>
      </w:r>
      <w:r>
        <w:rPr>
          <w:i/>
          <w:iCs/>
        </w:rPr>
        <w:t>hypCDEF</w:t>
      </w:r>
      <w:r>
        <w:t xml:space="preserve"> and thiamine biosynthesis genes </w:t>
      </w:r>
      <w:r>
        <w:rPr>
          <w:i/>
          <w:iCs/>
        </w:rPr>
        <w:t>thiCDG</w:t>
      </w:r>
      <w:r>
        <w:t xml:space="preserve">. Several KEGG categories included genes that were either in higher or lower abundance in strain FRX26 compared to reference </w:t>
      </w:r>
      <w:r>
        <w:rPr>
          <w:i/>
          <w:iCs/>
        </w:rPr>
        <w:t xml:space="preserve">Gillisia </w:t>
      </w:r>
      <w:r>
        <w:t xml:space="preserve">genomes. Compared to reference genomes, the strain FRX26 genome had a higher copy number genes encoding for antiporters, DNA repair, restriction enzymes, and fatty acid desaturases. Putative genes present at a lower abundance include dehydrogenases associated with amino acid and fatty acid metabolism. All reference </w:t>
      </w:r>
      <w:r>
        <w:rPr>
          <w:i/>
          <w:iCs/>
        </w:rPr>
        <w:t xml:space="preserve">Gillisia </w:t>
      </w:r>
      <w:r>
        <w:t xml:space="preserve">genomes contained putative BGCs encoding for a terpene cluster with low similarity to characterized carotenoid BGCs, an aryl polyene with low similarity (30%) to flexirubin, and either a type III PKS or a type III PKS-aryl polyene hybrid cluster. Comparison of the PKS BGC between </w:t>
      </w:r>
      <w:r w:rsidR="00D36762">
        <w:t xml:space="preserve">strain FRX26 and </w:t>
      </w:r>
      <w:r>
        <w:t xml:space="preserve">genomes of reference </w:t>
      </w:r>
      <w:r>
        <w:rPr>
          <w:i/>
          <w:iCs/>
        </w:rPr>
        <w:t xml:space="preserve">Gillisia </w:t>
      </w:r>
      <w:r>
        <w:t>and</w:t>
      </w:r>
      <w:r w:rsidR="00D36762">
        <w:t xml:space="preserve"> an</w:t>
      </w:r>
      <w:r w:rsidR="00D36762" w:rsidRPr="00D36762">
        <w:rPr>
          <w:b/>
          <w:bCs/>
          <w:i/>
          <w:iCs/>
        </w:rPr>
        <w:t xml:space="preserve"> </w:t>
      </w:r>
      <w:r w:rsidR="00D36762" w:rsidRPr="00173169">
        <w:rPr>
          <w:i/>
          <w:iCs/>
        </w:rPr>
        <w:t>Antarcticibacterium</w:t>
      </w:r>
      <w:r>
        <w:t xml:space="preserve"> revealed that this BGC appears highly conserved within this clade (</w:t>
      </w:r>
      <w:r>
        <w:rPr>
          <w:b/>
          <w:bCs/>
        </w:rPr>
        <w:t xml:space="preserve">Figure </w:t>
      </w:r>
      <w:r w:rsidR="00CF16BC">
        <w:rPr>
          <w:b/>
          <w:bCs/>
        </w:rPr>
        <w:t>3.</w:t>
      </w:r>
      <w:r>
        <w:rPr>
          <w:b/>
          <w:bCs/>
        </w:rPr>
        <w:t>9</w:t>
      </w:r>
      <w:r>
        <w:t>).</w:t>
      </w:r>
    </w:p>
    <w:p w14:paraId="2A40A738" w14:textId="77777777" w:rsidR="00A46B68" w:rsidRDefault="00A46B68" w:rsidP="001A14AF">
      <w:pPr>
        <w:pStyle w:val="Heading3"/>
        <w:spacing w:before="0" w:after="0"/>
      </w:pPr>
      <w:bookmarkStart w:id="166" w:name="_Toc196256910"/>
      <w:r>
        <w:lastRenderedPageBreak/>
        <w:t>Metabolic and transcriptomic response to subtle increase in salt concentration.</w:t>
      </w:r>
      <w:bookmarkEnd w:id="166"/>
      <w:r>
        <w:t xml:space="preserve"> </w:t>
      </w:r>
    </w:p>
    <w:p w14:paraId="0D5BE0B8" w14:textId="7DC63B92" w:rsidR="00A46B68" w:rsidRDefault="00A46B68" w:rsidP="001A14AF">
      <w:r>
        <w:t xml:space="preserve">When </w:t>
      </w:r>
      <w:r>
        <w:rPr>
          <w:i/>
          <w:iCs/>
        </w:rPr>
        <w:t xml:space="preserve">Gillisia </w:t>
      </w:r>
      <w:r>
        <w:t>sp. FRX26 was grown in SCM, fastest growth (via OD</w:t>
      </w:r>
      <w:r>
        <w:rPr>
          <w:vertAlign w:val="subscript"/>
        </w:rPr>
        <w:t>600</w:t>
      </w:r>
      <w:r>
        <w:t xml:space="preserve">) was observed between 38 and 86 hours of incubation, with growth rates of </w:t>
      </w:r>
      <w:r>
        <w:rPr>
          <w:lang w:val="el-GR"/>
        </w:rPr>
        <w:t>μ</w:t>
      </w:r>
      <w:r>
        <w:t xml:space="preserve"> = 0.82 ± 0.12 (average ± standard deviation) for cultures grown in 0.5 M NaCl and </w:t>
      </w:r>
      <w:r w:rsidRPr="003A2662">
        <w:rPr>
          <w:lang w:val="el-GR"/>
        </w:rPr>
        <w:t>μ</w:t>
      </w:r>
      <w:r>
        <w:t xml:space="preserve"> = 0.71 ± 0.11 for 0.2 M cultures (</w:t>
      </w:r>
      <w:r>
        <w:rPr>
          <w:b/>
          <w:bCs/>
        </w:rPr>
        <w:t xml:space="preserve">Figure </w:t>
      </w:r>
      <w:r w:rsidR="00CF16BC">
        <w:rPr>
          <w:b/>
          <w:bCs/>
        </w:rPr>
        <w:t>3.</w:t>
      </w:r>
      <w:r>
        <w:rPr>
          <w:b/>
          <w:bCs/>
        </w:rPr>
        <w:t>10a)</w:t>
      </w:r>
      <w:r>
        <w:t>. Following 14 days of incubation, 0.2 M cultures had an average cell density of 5.01 × 10</w:t>
      </w:r>
      <w:r>
        <w:rPr>
          <w:vertAlign w:val="superscript"/>
        </w:rPr>
        <w:t>8</w:t>
      </w:r>
      <w:r>
        <w:t xml:space="preserve"> CFU mL</w:t>
      </w:r>
      <w:r>
        <w:rPr>
          <w:vertAlign w:val="superscript"/>
        </w:rPr>
        <w:t>-1</w:t>
      </w:r>
      <w:r>
        <w:rPr>
          <w:vertAlign w:val="subscript"/>
        </w:rPr>
        <w:t xml:space="preserve"> </w:t>
      </w:r>
      <w:r w:rsidRPr="00090833">
        <w:t>an</w:t>
      </w:r>
      <w:r>
        <w:t>d 0.5 M cultures had an average density of 4.93 × 10</w:t>
      </w:r>
      <w:r>
        <w:rPr>
          <w:vertAlign w:val="superscript"/>
        </w:rPr>
        <w:t xml:space="preserve">8 </w:t>
      </w:r>
      <w:r>
        <w:t>CFU mL</w:t>
      </w:r>
      <w:r>
        <w:rPr>
          <w:vertAlign w:val="superscript"/>
        </w:rPr>
        <w:t xml:space="preserve">-1 </w:t>
      </w:r>
      <w:r>
        <w:t>(</w:t>
      </w:r>
      <w:r>
        <w:rPr>
          <w:b/>
          <w:bCs/>
        </w:rPr>
        <w:t xml:space="preserve">Figure </w:t>
      </w:r>
      <w:r w:rsidR="00CF16BC">
        <w:rPr>
          <w:b/>
          <w:bCs/>
        </w:rPr>
        <w:t>3.</w:t>
      </w:r>
      <w:r>
        <w:rPr>
          <w:b/>
          <w:bCs/>
        </w:rPr>
        <w:t>10b)</w:t>
      </w:r>
      <w:r>
        <w:t>. Optical density varied between replicates (0.2 M culture range: 0.92 – 1.14; 0.5 M culture range: 0.81 – 1.01).</w:t>
      </w:r>
    </w:p>
    <w:p w14:paraId="18C8B05D" w14:textId="7A816B44" w:rsidR="00A46B68" w:rsidRDefault="00A46B68" w:rsidP="001A14AF">
      <w:r>
        <w:t>Metabolomics resulted in a total of 788 features passing all filters, with 1 feature unique to the 0.2 M treatment and 4 features unique to the 0.5 M treatment. Hierarchical Clustering Analysis of normalized metabolite features resulted in clustering of salt treatments together (</w:t>
      </w:r>
      <w:r>
        <w:rPr>
          <w:b/>
          <w:bCs/>
        </w:rPr>
        <w:t xml:space="preserve">Figure </w:t>
      </w:r>
      <w:r w:rsidR="00CF16BC">
        <w:rPr>
          <w:b/>
          <w:bCs/>
        </w:rPr>
        <w:t>3.</w:t>
      </w:r>
      <w:r>
        <w:rPr>
          <w:b/>
          <w:bCs/>
        </w:rPr>
        <w:t>11)</w:t>
      </w:r>
      <w:r>
        <w:t>, though differences in overall profile were not statistically significant based on multivariate analysis via nonmetric multidimensional scaling (</w:t>
      </w:r>
      <w:r>
        <w:rPr>
          <w:b/>
          <w:bCs/>
        </w:rPr>
        <w:t xml:space="preserve">Figure </w:t>
      </w:r>
      <w:r w:rsidR="00CF16BC">
        <w:rPr>
          <w:b/>
          <w:bCs/>
        </w:rPr>
        <w:t>3.</w:t>
      </w:r>
      <w:r>
        <w:rPr>
          <w:b/>
          <w:bCs/>
        </w:rPr>
        <w:t>12</w:t>
      </w:r>
      <w:r>
        <w:t>). Using a peak size cutoff of 1 × 10</w:t>
      </w:r>
      <w:r>
        <w:rPr>
          <w:vertAlign w:val="superscript"/>
        </w:rPr>
        <w:t>6</w:t>
      </w:r>
      <w:r>
        <w:t>, 66 features were identified significantly more abundant in the 0.5 M treatment, and 24 features were identified as being significantly more abundant in the 0.2 M treatment. (</w:t>
      </w:r>
      <w:r>
        <w:rPr>
          <w:b/>
          <w:bCs/>
        </w:rPr>
        <w:t xml:space="preserve">Figure </w:t>
      </w:r>
      <w:r w:rsidR="00CF16BC">
        <w:rPr>
          <w:b/>
          <w:bCs/>
        </w:rPr>
        <w:t>3.</w:t>
      </w:r>
      <w:r>
        <w:rPr>
          <w:b/>
          <w:bCs/>
        </w:rPr>
        <w:t>13</w:t>
      </w:r>
      <w:r>
        <w:t>). Of the 49 significant features with fragmentation patterns, 10 were consistent with peptidic molecules and 16 were consistent with lipid-based metabolites (</w:t>
      </w:r>
      <w:r>
        <w:rPr>
          <w:b/>
          <w:bCs/>
        </w:rPr>
        <w:t xml:space="preserve">Figure </w:t>
      </w:r>
      <w:r w:rsidR="00CF16BC">
        <w:rPr>
          <w:b/>
          <w:bCs/>
        </w:rPr>
        <w:t>3.</w:t>
      </w:r>
      <w:r>
        <w:rPr>
          <w:b/>
          <w:bCs/>
        </w:rPr>
        <w:t>14</w:t>
      </w:r>
      <w:r w:rsidRPr="008B562E">
        <w:t>)</w:t>
      </w:r>
      <w:r>
        <w:t xml:space="preserve">. </w:t>
      </w:r>
    </w:p>
    <w:p w14:paraId="66229821" w14:textId="464BAD54" w:rsidR="00A46B68" w:rsidRPr="00230EED" w:rsidRDefault="00A46B68" w:rsidP="001A14AF">
      <w:r>
        <w:t xml:space="preserve">Sequencing of mRNA resulted in an average of </w:t>
      </w:r>
      <w:r w:rsidRPr="002609F1">
        <w:t>121365</w:t>
      </w:r>
      <w:r>
        <w:t xml:space="preserve">60 reads per library, with 81% alignment to the draft </w:t>
      </w:r>
      <w:r>
        <w:rPr>
          <w:i/>
          <w:iCs/>
        </w:rPr>
        <w:t xml:space="preserve">Gillisia </w:t>
      </w:r>
      <w:r>
        <w:t>sp. FRX26 genome; one replicate of the 0.5 M NaCl treatment failed library preparation, resulting in five biological replicates for the 0.2 M treatment and four replicates for the 0.5 M treatment. Following differential expression analysis, a total of 49 transcripts were significantly more abundant in the 0.5 M treatment (LCF ≥ 1, p</w:t>
      </w:r>
      <w:r>
        <w:rPr>
          <w:vertAlign w:val="subscript"/>
        </w:rPr>
        <w:t>adj</w:t>
      </w:r>
      <w:r>
        <w:t xml:space="preserve"> ≤ 0.05) and 56 transcripts were significantly less abundant in the 0.5 M treatment (LCF ≤ -1, p</w:t>
      </w:r>
      <w:r>
        <w:rPr>
          <w:vertAlign w:val="subscript"/>
        </w:rPr>
        <w:t>adj</w:t>
      </w:r>
      <w:r>
        <w:t xml:space="preserve"> ≤ 0.05; </w:t>
      </w:r>
      <w:r>
        <w:rPr>
          <w:b/>
          <w:bCs/>
        </w:rPr>
        <w:t xml:space="preserve">Figure </w:t>
      </w:r>
      <w:r w:rsidR="00CF16BC">
        <w:rPr>
          <w:b/>
          <w:bCs/>
        </w:rPr>
        <w:t>3.</w:t>
      </w:r>
      <w:r>
        <w:rPr>
          <w:b/>
          <w:bCs/>
        </w:rPr>
        <w:t xml:space="preserve">15; Table </w:t>
      </w:r>
      <w:r w:rsidR="00CF16BC">
        <w:rPr>
          <w:b/>
          <w:bCs/>
        </w:rPr>
        <w:t>3.</w:t>
      </w:r>
      <w:r>
        <w:rPr>
          <w:b/>
          <w:bCs/>
        </w:rPr>
        <w:t>8</w:t>
      </w:r>
      <w:r>
        <w:t xml:space="preserve">). Of significantly different transcripts, 82 had putative functional annotations from at least one of the three utilized pipelines (32 more abundance in 0.5 M; 50 less abundant in 0.5 M). Several transcripts that were significantly more abundant putatively encode genes associated with EPS or capsule production, including </w:t>
      </w:r>
      <w:r>
        <w:rPr>
          <w:i/>
          <w:iCs/>
        </w:rPr>
        <w:t>esp</w:t>
      </w:r>
      <w:r>
        <w:rPr>
          <w:i/>
          <w:iCs/>
          <w:smallCaps/>
        </w:rPr>
        <w:t xml:space="preserve">K </w:t>
      </w:r>
      <w:r>
        <w:rPr>
          <w:smallCaps/>
        </w:rPr>
        <w:t>(LFC = 2.03</w:t>
      </w:r>
      <w:r w:rsidRPr="001D7828">
        <w:t xml:space="preserve">), </w:t>
      </w:r>
      <w:r w:rsidRPr="001D7828">
        <w:rPr>
          <w:i/>
          <w:iCs/>
        </w:rPr>
        <w:t>algA</w:t>
      </w:r>
      <w:r>
        <w:rPr>
          <w:i/>
          <w:iCs/>
        </w:rPr>
        <w:t xml:space="preserve"> </w:t>
      </w:r>
      <w:r>
        <w:t xml:space="preserve">(LFC = 1.70), and </w:t>
      </w:r>
      <w:r>
        <w:rPr>
          <w:i/>
          <w:iCs/>
        </w:rPr>
        <w:t>wzi</w:t>
      </w:r>
      <w:r>
        <w:t xml:space="preserve"> (LFC = 1.50), or general polysaccharide biosynthesis, including three genes with putative glycosyltransferase-like function (LFC = 2.15, 1.57, and 1.44). Transcripts significantly less abundant in the 0.5 M treatment included three putative catalase genes (</w:t>
      </w:r>
      <w:r>
        <w:rPr>
          <w:i/>
          <w:iCs/>
        </w:rPr>
        <w:t>ydbD</w:t>
      </w:r>
      <w:r>
        <w:t xml:space="preserve">_1, LFC = -1.51; </w:t>
      </w:r>
      <w:r>
        <w:rPr>
          <w:i/>
          <w:iCs/>
        </w:rPr>
        <w:t>ybdD</w:t>
      </w:r>
      <w:r>
        <w:t xml:space="preserve">_2 = -1.49; </w:t>
      </w:r>
      <w:r>
        <w:rPr>
          <w:i/>
          <w:iCs/>
        </w:rPr>
        <w:t>katE</w:t>
      </w:r>
      <w:r>
        <w:t>, LFC = -1.24), as well as a putative Na</w:t>
      </w:r>
      <w:r>
        <w:rPr>
          <w:vertAlign w:val="superscript"/>
        </w:rPr>
        <w:t>+</w:t>
      </w:r>
      <w:r>
        <w:t>/H</w:t>
      </w:r>
      <w:r>
        <w:rPr>
          <w:vertAlign w:val="superscript"/>
        </w:rPr>
        <w:t xml:space="preserve">+ </w:t>
      </w:r>
      <w:r>
        <w:t xml:space="preserve">antiporter </w:t>
      </w:r>
      <w:r>
        <w:rPr>
          <w:i/>
          <w:iCs/>
        </w:rPr>
        <w:t>NhaG</w:t>
      </w:r>
      <w:r>
        <w:t xml:space="preserve"> (LFC = -</w:t>
      </w:r>
      <w:r>
        <w:lastRenderedPageBreak/>
        <w:t>1.16). While not differentially abundant, several genes with putative roles in salt tolerance were present in transcripts for both treatments, including three mechanosensitive channels, five Na</w:t>
      </w:r>
      <w:r>
        <w:rPr>
          <w:vertAlign w:val="superscript"/>
        </w:rPr>
        <w:t xml:space="preserve">+ </w:t>
      </w:r>
      <w:r>
        <w:t>antiporters, and biosynthesis genes for trehalose.</w:t>
      </w:r>
    </w:p>
    <w:p w14:paraId="58331A9B" w14:textId="77777777" w:rsidR="00A46B68" w:rsidRDefault="00A46B68" w:rsidP="001A14AF">
      <w:pPr>
        <w:pStyle w:val="Heading2"/>
        <w:spacing w:before="0" w:after="0"/>
      </w:pPr>
      <w:bookmarkStart w:id="167" w:name="_Toc196256911"/>
      <w:r>
        <w:t>Discussion</w:t>
      </w:r>
      <w:bookmarkEnd w:id="167"/>
    </w:p>
    <w:p w14:paraId="3B90865F" w14:textId="77777777" w:rsidR="00A46B68" w:rsidRDefault="00A46B68" w:rsidP="001A14AF">
      <w:pPr>
        <w:pStyle w:val="Heading3"/>
        <w:spacing w:before="0" w:after="0"/>
      </w:pPr>
      <w:bookmarkStart w:id="168" w:name="_Toc196256912"/>
      <w:r w:rsidRPr="008335FB">
        <w:t>Microbiology of an Antarctic meltwater seep</w:t>
      </w:r>
      <w:r>
        <w:t>.</w:t>
      </w:r>
      <w:bookmarkEnd w:id="168"/>
    </w:p>
    <w:p w14:paraId="327FD117" w14:textId="38E85410" w:rsidR="00A46B68" w:rsidRDefault="00A46B68" w:rsidP="001A14AF">
      <w:r>
        <w:t>Water availability is a limiting factor in desert systems, and as such, areas of increased moisture can provide an oases for life</w:t>
      </w:r>
      <w:r>
        <w:rPr>
          <w:b/>
          <w:bCs/>
        </w:rPr>
        <w:t xml:space="preserve"> </w:t>
      </w:r>
      <w:r w:rsidRPr="005C40E4">
        <w:t>(Lebre et al., 2017</w:t>
      </w:r>
      <w:r>
        <w:t>)</w:t>
      </w:r>
      <w:r w:rsidR="00E745EC">
        <w:t>.</w:t>
      </w:r>
      <w:r>
        <w:t xml:space="preserve"> This holds true in the MDV deserts where perennial melt supports microbial communities (</w:t>
      </w:r>
      <w:r w:rsidRPr="005C40E4">
        <w:t>Cowan et al., 2023)</w:t>
      </w:r>
      <w:r>
        <w:t xml:space="preserve">. However, in the MDV changes in moisture also drive salt redistribution that can lead to stressful conditions for microorganisms and thus altering community structure and function </w:t>
      </w:r>
      <w:r w:rsidRPr="005C40E4">
        <w:t>(Bottos et al., 2020)</w:t>
      </w:r>
      <w:r>
        <w:t xml:space="preserve">. </w:t>
      </w:r>
      <w:bookmarkStart w:id="169" w:name="_Hlk193115873"/>
      <w:r>
        <w:t xml:space="preserve">Soils throughout the MDV have a considerable range in salinity, from freshwater equivalent to several times the salinity of seawater </w:t>
      </w:r>
      <w:r w:rsidRPr="002C4CCB">
        <w:rPr>
          <w:rFonts w:cs="Times New Roman"/>
          <w:sz w:val="22"/>
        </w:rPr>
        <w:t>(Bockheim, 1997; Mikucki et al., 2010; Ball and Levy, 2015)</w:t>
      </w:r>
      <w:r>
        <w:t xml:space="preserve">. The Fryxell seep profile ana had higher soil moisture than average soils in the basin </w:t>
      </w:r>
      <w:r w:rsidRPr="00EB6995">
        <w:t>(Salvatore et al., 2023)</w:t>
      </w:r>
      <w:r>
        <w:t xml:space="preserve">, though was drier than measurements taken from the same seep the previous season </w:t>
      </w:r>
      <w:r w:rsidRPr="007C20AE">
        <w:t>(</w:t>
      </w:r>
      <w:r>
        <w:t xml:space="preserve">Patch #4 in </w:t>
      </w:r>
      <w:r w:rsidRPr="007C20AE">
        <w:t>Ball and Virginia, 2012)</w:t>
      </w:r>
      <w:r>
        <w:t xml:space="preserve">. Surface conductivity was higher than average basin soils (~ 500 </w:t>
      </w:r>
      <w:r>
        <w:rPr>
          <w:lang w:val="el-GR"/>
        </w:rPr>
        <w:t>μ</w:t>
      </w:r>
      <w:r>
        <w:t>S cm</w:t>
      </w:r>
      <w:r>
        <w:rPr>
          <w:vertAlign w:val="superscript"/>
        </w:rPr>
        <w:t>-1</w:t>
      </w:r>
      <w:r>
        <w:t xml:space="preserve">; </w:t>
      </w:r>
      <w:r w:rsidRPr="00054831">
        <w:t>Barrett et al., 2004)</w:t>
      </w:r>
      <w:r>
        <w:t xml:space="preserve"> and on the higher end of previous seep measurements (average ~ 4300 </w:t>
      </w:r>
      <w:r w:rsidRPr="00CF0AF0">
        <w:rPr>
          <w:lang w:val="el-GR"/>
        </w:rPr>
        <w:t>μ</w:t>
      </w:r>
      <w:r>
        <w:t>S cm</w:t>
      </w:r>
      <w:r w:rsidRPr="00CF0AF0">
        <w:rPr>
          <w:vertAlign w:val="superscript"/>
        </w:rPr>
        <w:t>-1</w:t>
      </w:r>
      <w:r>
        <w:t xml:space="preserve">; maximum &gt; 8000 </w:t>
      </w:r>
      <w:r w:rsidRPr="00CF0AF0">
        <w:rPr>
          <w:lang w:val="el-GR"/>
        </w:rPr>
        <w:t>μ</w:t>
      </w:r>
      <w:r>
        <w:t>S cm</w:t>
      </w:r>
      <w:r w:rsidRPr="00CF0AF0">
        <w:rPr>
          <w:vertAlign w:val="superscript"/>
        </w:rPr>
        <w:t>-1</w:t>
      </w:r>
      <w:r>
        <w:t xml:space="preserve">; </w:t>
      </w:r>
      <w:r w:rsidRPr="00054831">
        <w:t>Ball and Virginia, 2012)</w:t>
      </w:r>
      <w:r>
        <w:t xml:space="preserve">. The seep profile was within moisture and conductivity ranges observed in water tracks throughout Taylor Valley </w:t>
      </w:r>
      <w:r w:rsidRPr="00D33196">
        <w:t>(Ball and Levy, 2015)</w:t>
      </w:r>
      <w:r>
        <w:t xml:space="preserve">, though was an order of magnitude more saline than was observed by </w:t>
      </w:r>
      <w:r w:rsidRPr="00D33196">
        <w:t xml:space="preserve">George et al. </w:t>
      </w:r>
      <w:r>
        <w:t>(</w:t>
      </w:r>
      <w:r w:rsidRPr="00D33196">
        <w:t>2021)</w:t>
      </w:r>
      <w:r>
        <w:t xml:space="preserve">. Additionally, soil moisture was generally lower than what is seen in the wetted hyporheic zones and lake shores, where water content up to 60% have been observed </w:t>
      </w:r>
      <w:r w:rsidRPr="00EB6995">
        <w:t>(Lee et al., 2018)</w:t>
      </w:r>
      <w:r>
        <w:t xml:space="preserve">. Conductivity was also considerably higher than observed in wetted margins, which have been observed up to ~ 1600 </w:t>
      </w:r>
      <w:r w:rsidRPr="00CF0AF0">
        <w:rPr>
          <w:lang w:val="el-GR"/>
        </w:rPr>
        <w:t>μ</w:t>
      </w:r>
      <w:r>
        <w:t>S cm</w:t>
      </w:r>
      <w:r w:rsidRPr="00CF0AF0">
        <w:rPr>
          <w:vertAlign w:val="superscript"/>
        </w:rPr>
        <w:t xml:space="preserve">-1 </w:t>
      </w:r>
      <w:r>
        <w:t xml:space="preserve">in the streams </w:t>
      </w:r>
      <w:r w:rsidRPr="0042287D">
        <w:t>(Coyne et al., 2020; Monteiro et al., 2022)</w:t>
      </w:r>
      <w:r>
        <w:t xml:space="preserve"> and ~ 3000 </w:t>
      </w:r>
      <w:r>
        <w:rPr>
          <w:lang w:val="el-GR"/>
        </w:rPr>
        <w:t>μ</w:t>
      </w:r>
      <w:r>
        <w:t>S cm</w:t>
      </w:r>
      <w:r>
        <w:rPr>
          <w:vertAlign w:val="superscript"/>
        </w:rPr>
        <w:t>-1</w:t>
      </w:r>
      <w:r>
        <w:t xml:space="preserve"> for Lake Fryxell </w:t>
      </w:r>
      <w:r w:rsidRPr="00B46C7F">
        <w:t>(Northcott et al., 2009)</w:t>
      </w:r>
      <w:r>
        <w:t xml:space="preserve">. </w:t>
      </w:r>
    </w:p>
    <w:p w14:paraId="6C852C61" w14:textId="43EDC5C0" w:rsidR="00A46B68" w:rsidRDefault="00A46B68" w:rsidP="001A14AF">
      <w:r w:rsidRPr="00743AC6">
        <w:t xml:space="preserve">Salinity is a major driver in global soil community diversity </w:t>
      </w:r>
      <w:r w:rsidRPr="00743AC6">
        <w:rPr>
          <w:rFonts w:cs="Times New Roman"/>
          <w:sz w:val="22"/>
        </w:rPr>
        <w:t>(Lozupone and Knight, 2007)</w:t>
      </w:r>
      <w:r w:rsidRPr="00743AC6">
        <w:t>. This holds true in the MDV; as with other investigations in MDV soils (Geyer et al., 2013, 2014; Van Horn et al., 2014; Feeser et al., 2018; Bottos et al., 2020; George et al., 2021)</w:t>
      </w:r>
      <w:r>
        <w:t>, community diversity within the Fryxell seep was negatively correlated with conductivity (</w:t>
      </w:r>
      <w:r>
        <w:rPr>
          <w:b/>
          <w:bCs/>
        </w:rPr>
        <w:t xml:space="preserve">Figure </w:t>
      </w:r>
      <w:r w:rsidR="00CF16BC">
        <w:rPr>
          <w:b/>
          <w:bCs/>
        </w:rPr>
        <w:t>3.</w:t>
      </w:r>
      <w:r>
        <w:rPr>
          <w:b/>
          <w:bCs/>
        </w:rPr>
        <w:t>3</w:t>
      </w:r>
      <w:r w:rsidRPr="00173169">
        <w:t>;</w:t>
      </w:r>
      <w:r>
        <w:rPr>
          <w:b/>
          <w:bCs/>
        </w:rPr>
        <w:t xml:space="preserve"> Table </w:t>
      </w:r>
      <w:r w:rsidR="00CF16BC">
        <w:rPr>
          <w:b/>
          <w:bCs/>
        </w:rPr>
        <w:t>3.</w:t>
      </w:r>
      <w:r>
        <w:rPr>
          <w:b/>
          <w:bCs/>
        </w:rPr>
        <w:t>4</w:t>
      </w:r>
      <w:r>
        <w:t>). Where comparable methods were utilized, alpha diversity metrics for seep soils were generally higher than other non-riparian Taylor Valley wet patches, including water tracks (</w:t>
      </w:r>
      <w:r w:rsidRPr="0042287D">
        <w:t>George et al., 2021)</w:t>
      </w:r>
      <w:r>
        <w:t xml:space="preserve">. However, as water track soils were only collected to 10 cm depth and the </w:t>
      </w:r>
      <w:r>
        <w:lastRenderedPageBreak/>
        <w:t xml:space="preserve">greatest diversity in the seep was observed in the 10 – 15 cm depth, it is possible a similar high diversity trend in water tracks would be observed. Diversity within the seep was also higher than wet patches associated with surface snow melt </w:t>
      </w:r>
      <w:r w:rsidRPr="006D12F1">
        <w:t>(Van Horn et al., 2013)</w:t>
      </w:r>
      <w:r>
        <w:t xml:space="preserve">, where Chao1 values ranges from ~ 30 – 300 in the Fryxell basin. Shannon diversity was similar to communities in the wetted margin of a Fryxell basin pond, though Chao indices were much lower in both the wet and dry seep soils </w:t>
      </w:r>
      <w:r w:rsidRPr="00E62078">
        <w:t>(Lee et al., 2018)</w:t>
      </w:r>
      <w:r w:rsidR="00BB0840">
        <w:t>.</w:t>
      </w:r>
      <w:r w:rsidR="003C1B83">
        <w:t xml:space="preserve"> </w:t>
      </w:r>
      <w:bookmarkStart w:id="170" w:name="_Hlk195681786"/>
      <w:r w:rsidR="003C1B83">
        <w:t xml:space="preserve">Thus, it is possible that while accumulation of salts at the surface of the seep results in lower community diversity, the elevated moisture content and lower salinity found below 10 cm in the seep provide a unique microbial niche associated with greater diversity. </w:t>
      </w:r>
      <w:bookmarkEnd w:id="170"/>
    </w:p>
    <w:p w14:paraId="4C047AF3" w14:textId="6590F97C" w:rsidR="00A46B68" w:rsidRDefault="00A46B68" w:rsidP="001A14AF">
      <w:pPr>
        <w:rPr>
          <w:b/>
          <w:bCs/>
        </w:rPr>
      </w:pPr>
      <w:r>
        <w:t xml:space="preserve">While previous studies in the MDV have identified negative correlations between soil moisture and the phyla Acidobacteriota and Actinobacteriota </w:t>
      </w:r>
      <w:r w:rsidRPr="001A45CE">
        <w:t>(Van Horn et al., 2014; Lee et al., 2018; George et al., 2021; Jiang et al., 2022; Monteiro et al., 2022)</w:t>
      </w:r>
      <w:r>
        <w:t xml:space="preserve">, neither trend was observed in the seep. The phylum Actinobacteriota did not correlate to moisture nor conductivity, and Acidobacteriota, which makes up a large proportion of other MDV soil communities </w:t>
      </w:r>
      <w:r w:rsidRPr="00A91D1A">
        <w:t>(Geyer et al., 2014; Van Horn et al., 2014; Lee et al., 2018; Monteiro et al., 2022)</w:t>
      </w:r>
      <w:r>
        <w:t xml:space="preserve">, were in &lt; 2% abundance in all wet and dry amplicon libraries. Low abundance or absence of Acidobacteriota has been described in several MDV regions, including Upper Wright, Miers, and Beacon Valleys. Other studies have reporting contrasting abundances of Acidobacteria within the same basin (Brownworth Pond, Wright Valley; </w:t>
      </w:r>
      <w:r w:rsidRPr="00233FFD">
        <w:t>Jackson et al., 2022; Monteiro et al., 2022)</w:t>
      </w:r>
      <w:r>
        <w:t xml:space="preserve">, potentially as a result of small scale patterns in community distribution </w:t>
      </w:r>
      <w:r w:rsidRPr="00233FFD">
        <w:t>(Feeser et al., 2018)</w:t>
      </w:r>
      <w:r>
        <w:t xml:space="preserve">. In the Taylor Valley water tracks, Pseudomonadota, Gemmatimonadota, and Bacteroidota were in higher abundance in wetted soils compared to dry soils. In seep samples, Pseudomonadota and Gemmatimonadota both correlated with moisture, while Bacteroidota significantly correlated with conductivity. The phylum Bacillota has been observed to correlate with elevated salinity in both the Wright </w:t>
      </w:r>
      <w:r w:rsidRPr="003A1982">
        <w:t>(Geyer et al., 2014)</w:t>
      </w:r>
      <w:r>
        <w:t xml:space="preserve"> and Taylor Valleys </w:t>
      </w:r>
      <w:r w:rsidRPr="003A1982">
        <w:t>(Van Horn et al., 2014)</w:t>
      </w:r>
      <w:r>
        <w:t xml:space="preserve">; in identifying differences in Fryxell basin soils communities between ~100 and ~4800 </w:t>
      </w:r>
      <w:r>
        <w:rPr>
          <w:lang w:val="el-GR"/>
        </w:rPr>
        <w:t>μ</w:t>
      </w:r>
      <w:r>
        <w:t>S cm</w:t>
      </w:r>
      <w:r>
        <w:rPr>
          <w:vertAlign w:val="superscript"/>
        </w:rPr>
        <w:t>-1</w:t>
      </w:r>
      <w:r>
        <w:t xml:space="preserve">, </w:t>
      </w:r>
      <w:r w:rsidRPr="003A1982">
        <w:t xml:space="preserve">Van Horn et al. </w:t>
      </w:r>
      <w:r>
        <w:t>(</w:t>
      </w:r>
      <w:r w:rsidRPr="003A1982">
        <w:t>2014)</w:t>
      </w:r>
      <w:r>
        <w:t xml:space="preserve"> identified and increase of Bacillota sequences from &lt; 2% in low salinity samples to ~ 44% in high salinity samples. While only reaching a maximum of ~ 6% in the seep, we did see a significant correlation between Bacillota abundance and conductivity. Bacillota have been identified in several saline and hypersaline environments </w:t>
      </w:r>
      <w:r w:rsidRPr="000973A9">
        <w:t>(Oren, 2008)</w:t>
      </w:r>
      <w:r>
        <w:t xml:space="preserve"> and their abundance throughout the MDV has been hypothesized to be due to endospore formation, although not all </w:t>
      </w:r>
      <w:r>
        <w:lastRenderedPageBreak/>
        <w:t xml:space="preserve">members of this phylum have that capability </w:t>
      </w:r>
      <w:r w:rsidRPr="000973A9">
        <w:t>(Setlow and Johnson, 2012; Ramos et al., 2019; Severgnini et al., 2021)</w:t>
      </w:r>
      <w:r>
        <w:t>. Thus, the abundance of this phylum with MDV amplicon surveys may be due to the persistence of inactive cells.</w:t>
      </w:r>
      <w:r w:rsidR="00C20B57">
        <w:t xml:space="preserve"> </w:t>
      </w:r>
    </w:p>
    <w:p w14:paraId="62EDA3E7" w14:textId="77777777" w:rsidR="00A46B68" w:rsidRPr="00DD3B0B" w:rsidRDefault="00A46B68" w:rsidP="001A14AF">
      <w:r>
        <w:t xml:space="preserve">Several taxa identified as “rapid responders” to nutrient input during soil amendment studies are differentially abundant within the Fryxell seep. In addition to correlation with salt, Bacillota was identified by both </w:t>
      </w:r>
      <w:r w:rsidRPr="00A95A42">
        <w:t xml:space="preserve">Van Horn et al. </w:t>
      </w:r>
      <w:r>
        <w:t>(</w:t>
      </w:r>
      <w:r w:rsidRPr="00A95A42">
        <w:t>2014)</w:t>
      </w:r>
      <w:r>
        <w:t xml:space="preserve"> and </w:t>
      </w:r>
      <w:r w:rsidRPr="00A95A42">
        <w:t xml:space="preserve">Buelow et al. </w:t>
      </w:r>
      <w:r>
        <w:t>(</w:t>
      </w:r>
      <w:r w:rsidRPr="00A95A42">
        <w:t>2016)</w:t>
      </w:r>
      <w:r>
        <w:t xml:space="preserve"> as increasing dramatically in abundance following the addition of organic matter, especially in highly saline soil. The response of Bacteroidota was more complicated in amendment studies; 16S rRNA gene sequence abundance for Bacteroidota (mostly corresponding to the class </w:t>
      </w:r>
      <w:r w:rsidRPr="00695103">
        <w:t>Flavobacteriia</w:t>
      </w:r>
      <w:r>
        <w:t xml:space="preserve">) increased from ~2% to 26% at “moderate” salinity (~500 </w:t>
      </w:r>
      <w:r>
        <w:rPr>
          <w:lang w:val="el-GR"/>
        </w:rPr>
        <w:t>μ</w:t>
      </w:r>
      <w:r>
        <w:t>S cm</w:t>
      </w:r>
      <w:r>
        <w:rPr>
          <w:vertAlign w:val="superscript"/>
        </w:rPr>
        <w:t>-1</w:t>
      </w:r>
      <w:r>
        <w:t xml:space="preserve">; </w:t>
      </w:r>
      <w:r w:rsidRPr="00440596">
        <w:t>Van Horn et al., 2014)</w:t>
      </w:r>
      <w:r>
        <w:t xml:space="preserve">. However, in a 100 </w:t>
      </w:r>
      <w:r>
        <w:rPr>
          <w:lang w:val="el-GR"/>
        </w:rPr>
        <w:t>μ</w:t>
      </w:r>
      <w:r>
        <w:t>S cm</w:t>
      </w:r>
      <w:r>
        <w:rPr>
          <w:vertAlign w:val="superscript"/>
        </w:rPr>
        <w:t>-</w:t>
      </w:r>
      <w:r w:rsidRPr="00440596">
        <w:t>1</w:t>
      </w:r>
      <w:r>
        <w:t xml:space="preserve"> soil </w:t>
      </w:r>
      <w:r w:rsidRPr="00440596">
        <w:t>plot</w:t>
      </w:r>
      <w:r>
        <w:t xml:space="preserve">, Bacteroidota transcripts decreased following both water and organic matter treatments, though reads associated with the class </w:t>
      </w:r>
      <w:r w:rsidRPr="00695103">
        <w:t>Flavobacteriia</w:t>
      </w:r>
      <w:r>
        <w:t xml:space="preserve"> did significantly increase following organic amendment </w:t>
      </w:r>
      <w:r w:rsidRPr="00440596">
        <w:t>(Buelow et al., 2016)</w:t>
      </w:r>
      <w:r>
        <w:t xml:space="preserve">. While water amendment alone was not enough to create a long-lasting impact on community structure </w:t>
      </w:r>
      <w:r w:rsidRPr="00A56398">
        <w:t>(Aanderud et al., 2018)</w:t>
      </w:r>
      <w:r>
        <w:t xml:space="preserve">, the increased abundance of </w:t>
      </w:r>
      <w:r w:rsidRPr="00695103">
        <w:t>Flavobacteriia</w:t>
      </w:r>
      <w:r>
        <w:t xml:space="preserve"> following organic matter treatments, especially at moderately elevated salinity, and the elevated abundance of Flavobateriia in both seeps and water tracks in Taylor Valley suggest that this class will become an increasingly abundant soil community member resulting from increased melt, and therefore salt and nutrient transportation, in the MDV.</w:t>
      </w:r>
    </w:p>
    <w:p w14:paraId="51B5B6C6" w14:textId="77777777" w:rsidR="00A46B68" w:rsidRPr="003E0329" w:rsidRDefault="00A46B68" w:rsidP="001A14AF">
      <w:pPr>
        <w:pStyle w:val="Heading3"/>
        <w:spacing w:before="0" w:after="0"/>
      </w:pPr>
      <w:bookmarkStart w:id="171" w:name="_Toc196256913"/>
      <w:r w:rsidRPr="003E0329">
        <w:t>Adaptations to dynamic conditions in polar desert soils.</w:t>
      </w:r>
      <w:bookmarkEnd w:id="171"/>
    </w:p>
    <w:p w14:paraId="4331AC50" w14:textId="30B28951" w:rsidR="00A46B68" w:rsidRPr="001E6362" w:rsidRDefault="00A46B68" w:rsidP="001A14AF">
      <w:r>
        <w:t xml:space="preserve">Microorganisms adapted to saline and hypersaline conditions can employ a variety of mechanisms to counteract osmotic stress. Despite the comparably subtle differences in conductivity between samples with metagenomic sequencing (maximum of 636 </w:t>
      </w:r>
      <w:r>
        <w:rPr>
          <w:lang w:val="el-GR"/>
        </w:rPr>
        <w:t>μ</w:t>
      </w:r>
      <w:r>
        <w:t>S cm</w:t>
      </w:r>
      <w:r>
        <w:rPr>
          <w:vertAlign w:val="superscript"/>
        </w:rPr>
        <w:t>-1</w:t>
      </w:r>
      <w:r>
        <w:t xml:space="preserve"> in sample WB3), </w:t>
      </w:r>
      <w:r w:rsidRPr="0074698C">
        <w:t>we</w:t>
      </w:r>
      <w:r>
        <w:t xml:space="preserve"> identified several putative coding sequences for salt-stress related genes that correlated in abundance with salinity (</w:t>
      </w:r>
      <w:r>
        <w:rPr>
          <w:b/>
          <w:bCs/>
        </w:rPr>
        <w:t xml:space="preserve">Figure </w:t>
      </w:r>
      <w:r w:rsidR="00CF16BC">
        <w:rPr>
          <w:b/>
          <w:bCs/>
        </w:rPr>
        <w:t>3.</w:t>
      </w:r>
      <w:r>
        <w:rPr>
          <w:b/>
          <w:bCs/>
        </w:rPr>
        <w:t>4</w:t>
      </w:r>
      <w:r w:rsidRPr="00AF7D02">
        <w:t>)</w:t>
      </w:r>
      <w:r>
        <w:t>. Specifically, putative genes associated with the biosynthes</w:t>
      </w:r>
      <w:r w:rsidRPr="003E0329">
        <w:t>is or transport of key compatible solutes, including ectoine, proline, and trehalose (Kempf and Bremer, 1998). Compatible solutes are uncharged organic molecules that are utilized by the cell to reduce osmotic pressure on the cell</w:t>
      </w:r>
      <w:r>
        <w:t xml:space="preserve"> </w:t>
      </w:r>
      <w:r w:rsidRPr="00F83A80">
        <w:t>(Shivanand and Mugeraya, 2011)</w:t>
      </w:r>
      <w:r>
        <w:t xml:space="preserve">. While genes associated with glycine betaine are present in all five metagenomes, they are most abundant in the DA1 metagenome and are (weakly) negatively correlated with conductivity. As desiccation is associated with the concentration of soluble ions and molecules and glycine betaine has been </w:t>
      </w:r>
      <w:r>
        <w:lastRenderedPageBreak/>
        <w:t>shown to provide a survival advantage during evaporative stress</w:t>
      </w:r>
      <w:r>
        <w:rPr>
          <w:b/>
          <w:bCs/>
        </w:rPr>
        <w:t xml:space="preserve"> </w:t>
      </w:r>
      <w:r w:rsidRPr="00AF7D02">
        <w:t>(Bonaterra et al., 2005; Dreux et al., 2008; Sheen et al., 2013)</w:t>
      </w:r>
      <w:r>
        <w:t>, it is possible that the enrichment in DA1, the driest sample, is an adaptation to desiccation, opposed to salinity. Several other metagenome sequences putatively encode various Na</w:t>
      </w:r>
      <w:r>
        <w:rPr>
          <w:vertAlign w:val="superscript"/>
        </w:rPr>
        <w:t>+</w:t>
      </w:r>
      <w:r>
        <w:t xml:space="preserve"> transporters, which are utilized by the cell to exclude cations and reduce ion toxicity, and K</w:t>
      </w:r>
      <w:r w:rsidRPr="00DD3B0B">
        <w:rPr>
          <w:vertAlign w:val="superscript"/>
        </w:rPr>
        <w:t>+</w:t>
      </w:r>
      <w:r>
        <w:t xml:space="preserve"> importers, which can be used to balance internal osmotic pressure </w:t>
      </w:r>
      <w:r w:rsidRPr="00630B7F">
        <w:t>(Kraegeloh et al., 2005; Kuroda et al., 2005; Steuber et al., 2014; Tsai et al., 2014; Rasmussen, 2023)</w:t>
      </w:r>
      <w:r>
        <w:rPr>
          <w:b/>
          <w:bCs/>
        </w:rPr>
        <w:t>.</w:t>
      </w:r>
      <w:r w:rsidR="00C20B57">
        <w:t xml:space="preserve"> </w:t>
      </w:r>
      <w:r>
        <w:t>The relative enrichment for putative salt stress genes in the WB3 genome suggests that, while soil conductivity in this sample is only slightly above average for the Fryxell basin, the community within the 5 – 10 cm depth of the seep appears to reflect the mobilization of salts within the seep. Combined with the decrease in alpha diversity from the 10 – 15 cm depth (WB4), these results support the importance of salinity in shaping communities within MDV soils, even under relatively small increases.</w:t>
      </w:r>
    </w:p>
    <w:p w14:paraId="63AC3F7E" w14:textId="77777777" w:rsidR="00A46B68" w:rsidRDefault="00A46B68" w:rsidP="001A14AF">
      <w:pPr>
        <w:pStyle w:val="Heading3"/>
        <w:spacing w:before="0" w:after="0"/>
      </w:pPr>
      <w:bookmarkStart w:id="172" w:name="_Toc196256914"/>
      <w:bookmarkEnd w:id="169"/>
      <w:r>
        <w:t xml:space="preserve">Distribution and adaptations </w:t>
      </w:r>
      <w:r w:rsidRPr="00DD3B0B">
        <w:t xml:space="preserve">of a </w:t>
      </w:r>
      <w:r>
        <w:t xml:space="preserve">potentially </w:t>
      </w:r>
      <w:r w:rsidRPr="00DD3B0B">
        <w:t>novel Gillisia</w:t>
      </w:r>
      <w:r w:rsidRPr="00D73A6A">
        <w:t xml:space="preserve"> </w:t>
      </w:r>
      <w:r w:rsidRPr="00DD3B0B">
        <w:t>sp., strain FRX26</w:t>
      </w:r>
      <w:r>
        <w:t>.</w:t>
      </w:r>
      <w:bookmarkEnd w:id="172"/>
      <w:r>
        <w:t xml:space="preserve"> </w:t>
      </w:r>
    </w:p>
    <w:p w14:paraId="620CBB15" w14:textId="25DBFC7F" w:rsidR="00A46B68" w:rsidRDefault="00A46B68" w:rsidP="001A14AF">
      <w:r>
        <w:t xml:space="preserve">To better understand the response of cells to subtle salt changes, we selected a seep isolate, </w:t>
      </w:r>
      <w:r>
        <w:rPr>
          <w:i/>
          <w:iCs/>
        </w:rPr>
        <w:t xml:space="preserve">Gillisia </w:t>
      </w:r>
      <w:r>
        <w:t xml:space="preserve">sp. FRX26, for further experimentation. </w:t>
      </w:r>
      <w:r>
        <w:rPr>
          <w:i/>
          <w:iCs/>
        </w:rPr>
        <w:t xml:space="preserve">Gillisia </w:t>
      </w:r>
      <w:r>
        <w:t xml:space="preserve">spp. have been observed throughout Antarctica, and on average correspond to ~ 0.1% of reads in soil amplicon surveys </w:t>
      </w:r>
      <w:r w:rsidRPr="002640EF">
        <w:t>(Dragone et al., 2025)</w:t>
      </w:r>
      <w:r>
        <w:t xml:space="preserve">. Isolates have been cultured from a number of Antarctic sites, including high salinity soils from Shackleton Glacier ( &gt; </w:t>
      </w:r>
      <w:r w:rsidRPr="002640EF">
        <w:t>7</w:t>
      </w:r>
      <w:r>
        <w:t xml:space="preserve">000 </w:t>
      </w:r>
      <w:r>
        <w:rPr>
          <w:lang w:val="el-GR"/>
        </w:rPr>
        <w:t>μ</w:t>
      </w:r>
      <w:r>
        <w:t>S cm</w:t>
      </w:r>
      <w:r>
        <w:rPr>
          <w:vertAlign w:val="superscript"/>
        </w:rPr>
        <w:t>-1</w:t>
      </w:r>
      <w:r>
        <w:t xml:space="preserve">; </w:t>
      </w:r>
      <w:r w:rsidRPr="002640EF">
        <w:t>Dragone et al., 2025)</w:t>
      </w:r>
      <w:r>
        <w:t xml:space="preserve">, a low salinity littoral microbial mat in Lake Fryxell </w:t>
      </w:r>
      <w:r w:rsidRPr="000E5304">
        <w:t>(Van Trappen et al., 2004)</w:t>
      </w:r>
      <w:r>
        <w:t xml:space="preserve">, basal sea ice-algae assemblages in the Vestfold Hills region </w:t>
      </w:r>
      <w:r w:rsidRPr="000E5304">
        <w:t>(Bowman and Nichols, 2005)</w:t>
      </w:r>
      <w:r>
        <w:t xml:space="preserve">, and within an Antarctic sea sponge from Terra Nova Bay </w:t>
      </w:r>
      <w:r w:rsidRPr="00B00177">
        <w:t>(Papaleo et al., 2012; Maida et al., 2014)</w:t>
      </w:r>
      <w:r>
        <w:t xml:space="preserve">. Additionally, a 16S rRNA gene amplicon survey of salt deposits near Boulder Clay Glacier (Victoria Land) identified </w:t>
      </w:r>
      <w:r>
        <w:rPr>
          <w:i/>
          <w:iCs/>
        </w:rPr>
        <w:t xml:space="preserve">Gillisia </w:t>
      </w:r>
      <w:r>
        <w:t xml:space="preserve">as a major community member, with an average of 23% relative abundance </w:t>
      </w:r>
      <w:r w:rsidRPr="0047493D">
        <w:t>(Azzaro et al., 2022)</w:t>
      </w:r>
      <w:r>
        <w:t xml:space="preserve">. In water track communities, </w:t>
      </w:r>
      <w:r w:rsidRPr="004A2B39">
        <w:t xml:space="preserve">George et al. </w:t>
      </w:r>
      <w:r>
        <w:t>(</w:t>
      </w:r>
      <w:r w:rsidRPr="004A2B39">
        <w:t>2021)</w:t>
      </w:r>
      <w:r>
        <w:t xml:space="preserve"> identified an increased abundance of Bacteroidota in in wet soil amplicon libraries compared to dry soils, with the majority of reads corresponding to </w:t>
      </w:r>
      <w:r>
        <w:rPr>
          <w:i/>
          <w:iCs/>
        </w:rPr>
        <w:t>Gillisia</w:t>
      </w:r>
      <w:r>
        <w:t xml:space="preserve">. Similar to seeps, water tracks are characterized by higher moisture and salinity compared to surrounding regions, although their formation is due to deliquesce by hygroscopic salts </w:t>
      </w:r>
      <w:r w:rsidRPr="00851A7F">
        <w:t>(Ball and Levy, 2015)</w:t>
      </w:r>
      <w:r>
        <w:t xml:space="preserve">. While not seen in high salinity Fryxell basin soils by </w:t>
      </w:r>
      <w:r w:rsidRPr="00D50E8E">
        <w:t xml:space="preserve">Van Horn et al. </w:t>
      </w:r>
      <w:r>
        <w:t>(</w:t>
      </w:r>
      <w:r w:rsidRPr="00D50E8E">
        <w:t>2014)</w:t>
      </w:r>
      <w:r>
        <w:t xml:space="preserve">, </w:t>
      </w:r>
      <w:r>
        <w:rPr>
          <w:i/>
          <w:iCs/>
        </w:rPr>
        <w:t xml:space="preserve">Gillisia </w:t>
      </w:r>
      <w:r>
        <w:t xml:space="preserve">sequences increased following the addition of exogenous carbon to moderately saline soils. Combined with the survey of the Fryxell basin seep, the distribution of </w:t>
      </w:r>
      <w:r>
        <w:rPr>
          <w:i/>
          <w:iCs/>
        </w:rPr>
        <w:t xml:space="preserve">Gillisia </w:t>
      </w:r>
      <w:r>
        <w:t xml:space="preserve">spp. throughout the MDV supports the importance of </w:t>
      </w:r>
      <w:r>
        <w:rPr>
          <w:i/>
          <w:iCs/>
        </w:rPr>
        <w:t xml:space="preserve">Gillisia </w:t>
      </w:r>
      <w:r>
        <w:lastRenderedPageBreak/>
        <w:t>within saline Antarctic environments. In our seep study, the strongest phylum-level correlation to conductivity was observed with phylum Bacteroidota (</w:t>
      </w:r>
      <w:r>
        <w:rPr>
          <w:b/>
          <w:bCs/>
        </w:rPr>
        <w:t xml:space="preserve">Figure </w:t>
      </w:r>
      <w:r w:rsidR="00CF16BC">
        <w:rPr>
          <w:b/>
          <w:bCs/>
        </w:rPr>
        <w:t>3.</w:t>
      </w:r>
      <w:r>
        <w:rPr>
          <w:b/>
          <w:bCs/>
        </w:rPr>
        <w:t>2b</w:t>
      </w:r>
      <w:r>
        <w:t xml:space="preserve">), with a high abundance of </w:t>
      </w:r>
      <w:r>
        <w:rPr>
          <w:i/>
          <w:iCs/>
        </w:rPr>
        <w:t xml:space="preserve">Gillisia </w:t>
      </w:r>
      <w:r>
        <w:t xml:space="preserve">sequences present in the 2-5 cm depth of the seep (~ 2000 </w:t>
      </w:r>
      <w:r>
        <w:rPr>
          <w:lang w:val="el-GR"/>
        </w:rPr>
        <w:t>μ</w:t>
      </w:r>
      <w:r>
        <w:t>S cm</w:t>
      </w:r>
      <w:r>
        <w:rPr>
          <w:vertAlign w:val="superscript"/>
        </w:rPr>
        <w:t>-1</w:t>
      </w:r>
      <w:r>
        <w:t xml:space="preserve">). While the abundance of </w:t>
      </w:r>
      <w:r>
        <w:rPr>
          <w:i/>
          <w:iCs/>
        </w:rPr>
        <w:t xml:space="preserve">Gillisia </w:t>
      </w:r>
      <w:r>
        <w:t xml:space="preserve">is unknown in the highest salinity sample, we were readily able to isolate </w:t>
      </w:r>
      <w:r>
        <w:rPr>
          <w:i/>
          <w:iCs/>
        </w:rPr>
        <w:t xml:space="preserve">Gillisia </w:t>
      </w:r>
      <w:r>
        <w:t xml:space="preserve">strains with distinct yellow pigmentation and identical 16S rRNA sequences from this sample, suggesting that regardless of abundance, </w:t>
      </w:r>
      <w:r>
        <w:rPr>
          <w:i/>
          <w:iCs/>
        </w:rPr>
        <w:t xml:space="preserve">Gillisia </w:t>
      </w:r>
      <w:r>
        <w:t xml:space="preserve">sp. FRX26 is present and is able to quickly grow with increased availability of carbon substrates. These results complement the findings of soil amendment studies, which suggested that members of the Flavobacteriia class are poised to respond to nutrient input </w:t>
      </w:r>
      <w:r w:rsidRPr="009377F9">
        <w:t>(Van Horn et al., 2014; Buelow et al., 2016)</w:t>
      </w:r>
      <w:r>
        <w:t xml:space="preserve">. </w:t>
      </w:r>
    </w:p>
    <w:p w14:paraId="1D720D91" w14:textId="77777777" w:rsidR="00A46B68" w:rsidRPr="00DD3B0B" w:rsidRDefault="00A46B68" w:rsidP="001A14AF">
      <w:pPr>
        <w:rPr>
          <w:color w:val="000000"/>
        </w:rPr>
      </w:pPr>
      <w:r>
        <w:rPr>
          <w:i/>
          <w:iCs/>
        </w:rPr>
        <w:t xml:space="preserve">Gillisia </w:t>
      </w:r>
      <w:r>
        <w:t xml:space="preserve">spp. in general are adapted to saline conditions, and have been shown to grown in up to 2.5 M NaCl </w:t>
      </w:r>
      <w:r w:rsidRPr="00987F75">
        <w:rPr>
          <w:rFonts w:cs="Times New Roman"/>
          <w:sz w:val="22"/>
        </w:rPr>
        <w:t>(Bowman and Nichols, 2005)</w:t>
      </w:r>
      <w:r>
        <w:t xml:space="preserve">. The Antarctic sea ice isolates </w:t>
      </w:r>
      <w:r>
        <w:rPr>
          <w:i/>
          <w:iCs/>
        </w:rPr>
        <w:t xml:space="preserve">G. </w:t>
      </w:r>
      <w:r w:rsidRPr="00C2267F">
        <w:rPr>
          <w:i/>
          <w:iCs/>
        </w:rPr>
        <w:t>hiemivivida</w:t>
      </w:r>
      <w:r>
        <w:rPr>
          <w:i/>
          <w:iCs/>
        </w:rPr>
        <w:t xml:space="preserve"> </w:t>
      </w:r>
      <w:r>
        <w:t xml:space="preserve">and </w:t>
      </w:r>
      <w:r>
        <w:rPr>
          <w:i/>
          <w:iCs/>
        </w:rPr>
        <w:t xml:space="preserve">G. </w:t>
      </w:r>
      <w:r w:rsidRPr="00C2267F">
        <w:rPr>
          <w:i/>
          <w:iCs/>
        </w:rPr>
        <w:t>sandarakina</w:t>
      </w:r>
      <w:r>
        <w:rPr>
          <w:i/>
          <w:iCs/>
        </w:rPr>
        <w:t xml:space="preserve"> </w:t>
      </w:r>
      <w:r>
        <w:t xml:space="preserve">both have a minimum salt requirement of 0.2 M NaCl in culture and were unable to grow without the addition of artificial sea salts, suggesting a requirement for other ions in the medium </w:t>
      </w:r>
      <w:r w:rsidRPr="00C2267F">
        <w:t>(Bowman and Nichols, 2005)</w:t>
      </w:r>
      <w:r>
        <w:t xml:space="preserve">. Similarly, strain FRX26 was unable to grow in either lower nutrient complex media utilized to culture freshwater bacteria (R2A broth) or R2A broth supplemented with only NaCl (up </w:t>
      </w:r>
      <w:r w:rsidRPr="00A86AF5">
        <w:t>to 5%) suggesting a requirement for other ions that are in low abundance in R2A alone.</w:t>
      </w:r>
      <w:r>
        <w:rPr>
          <w:b/>
          <w:bCs/>
        </w:rPr>
        <w:t xml:space="preserve"> </w:t>
      </w:r>
      <w:r>
        <w:t xml:space="preserve">Several putative salt-tolerance genes were identified within the strain FRX26 genome, with the majority encoding mechanosensitive channels and ion transporters. In halotolerant microorganisms, transport of ions is used to balance osmotic pressure and are utilized either in conjunction with or instead of compatible solutes </w:t>
      </w:r>
      <w:r w:rsidRPr="008421ED">
        <w:t>(Oren, 2015)</w:t>
      </w:r>
      <w:r>
        <w:t>. Generally, K</w:t>
      </w:r>
      <w:r>
        <w:rPr>
          <w:vertAlign w:val="superscript"/>
        </w:rPr>
        <w:t xml:space="preserve">+ </w:t>
      </w:r>
      <w:r>
        <w:t xml:space="preserve">ions are imported into the cell via active transporters in the Trk, Ktr, and Kdp </w:t>
      </w:r>
      <w:r w:rsidRPr="00B00177">
        <w:t>(Kraegeloh et al., 2005)</w:t>
      </w:r>
      <w:r>
        <w:t>, while Na</w:t>
      </w:r>
      <w:r>
        <w:rPr>
          <w:vertAlign w:val="superscript"/>
        </w:rPr>
        <w:t>+</w:t>
      </w:r>
      <w:r>
        <w:t xml:space="preserve"> ions are excluded via proton- or NADH-powered Na</w:t>
      </w:r>
      <w:r>
        <w:rPr>
          <w:vertAlign w:val="superscript"/>
        </w:rPr>
        <w:t>+</w:t>
      </w:r>
      <w:r>
        <w:t xml:space="preserve"> pumps </w:t>
      </w:r>
      <w:r w:rsidRPr="00B00177">
        <w:t>(Steuber et al., 2014; Tsai et al., 2014)</w:t>
      </w:r>
      <w:r>
        <w:t xml:space="preserve">. Mechanosensitive ion channels, including the MscS, MscM, MscL, and MscK families, function as osmotic pressure release valves </w:t>
      </w:r>
      <w:r w:rsidRPr="008421ED">
        <w:t>(Wilson et al., 2013)</w:t>
      </w:r>
      <w:r>
        <w:t>. These channels open in response to hypoosmotic shock and quicky and non-specifically release internal solutes to prevent cell lysis. The presence of coding sequences for Na</w:t>
      </w:r>
      <w:r>
        <w:rPr>
          <w:vertAlign w:val="superscript"/>
        </w:rPr>
        <w:t>+</w:t>
      </w:r>
      <w:r>
        <w:t xml:space="preserve"> antiporters are shared across the analyzed </w:t>
      </w:r>
      <w:r>
        <w:rPr>
          <w:i/>
          <w:iCs/>
        </w:rPr>
        <w:t xml:space="preserve">Gillisia </w:t>
      </w:r>
      <w:r>
        <w:t xml:space="preserve">genomes, suggesting that this strategy for halotolerance is conserved regardless of isolation source. Genes associated with compatible solute biosynthesis were less abundant than seen in other halophilic bacteria: we were unable to identify genes for glycine betaine, choline, or ectoine in any </w:t>
      </w:r>
      <w:r>
        <w:rPr>
          <w:i/>
          <w:iCs/>
        </w:rPr>
        <w:t xml:space="preserve">Gillisia </w:t>
      </w:r>
      <w:r>
        <w:t xml:space="preserve">genome, and the number of genes associated with trehalose biosynthesis were ranged from five in strain FRX26 and </w:t>
      </w:r>
      <w:r>
        <w:rPr>
          <w:i/>
          <w:iCs/>
        </w:rPr>
        <w:t xml:space="preserve">G. limnaea </w:t>
      </w:r>
      <w:r>
        <w:t xml:space="preserve">DSM 15749 to none in </w:t>
      </w:r>
      <w:r>
        <w:rPr>
          <w:i/>
          <w:iCs/>
        </w:rPr>
        <w:t xml:space="preserve">G. </w:t>
      </w:r>
      <w:r>
        <w:rPr>
          <w:i/>
          <w:iCs/>
        </w:rPr>
        <w:lastRenderedPageBreak/>
        <w:t xml:space="preserve">marina </w:t>
      </w:r>
      <w:r w:rsidRPr="00CD3B2A">
        <w:rPr>
          <w:color w:val="000000"/>
        </w:rPr>
        <w:t>CBA3202</w:t>
      </w:r>
      <w:r>
        <w:rPr>
          <w:color w:val="000000"/>
        </w:rPr>
        <w:t>. Biosynthesis of these compounds is energetically expensive, thus in saline conditions, many organisms will opt to transport compatible solutes if they are available in the environment</w:t>
      </w:r>
      <w:r>
        <w:rPr>
          <w:b/>
          <w:bCs/>
          <w:color w:val="000000"/>
        </w:rPr>
        <w:t xml:space="preserve"> </w:t>
      </w:r>
      <w:r w:rsidRPr="00AF2665">
        <w:t>(Oren, 1999)</w:t>
      </w:r>
      <w:r>
        <w:rPr>
          <w:color w:val="000000"/>
        </w:rPr>
        <w:t xml:space="preserve">. Strain FRX26, as well as </w:t>
      </w:r>
      <w:r>
        <w:rPr>
          <w:i/>
          <w:iCs/>
          <w:color w:val="000000"/>
        </w:rPr>
        <w:t xml:space="preserve">G. </w:t>
      </w:r>
      <w:r w:rsidRPr="00EE7672">
        <w:rPr>
          <w:i/>
          <w:iCs/>
          <w:color w:val="000000"/>
        </w:rPr>
        <w:t>hiemivivida</w:t>
      </w:r>
      <w:r>
        <w:rPr>
          <w:i/>
          <w:iCs/>
          <w:color w:val="000000"/>
        </w:rPr>
        <w:t xml:space="preserve"> </w:t>
      </w:r>
      <w:r w:rsidRPr="00CD3B2A">
        <w:rPr>
          <w:color w:val="000000"/>
        </w:rPr>
        <w:t>IC154</w:t>
      </w:r>
      <w:r>
        <w:rPr>
          <w:color w:val="000000"/>
        </w:rPr>
        <w:t xml:space="preserve">, </w:t>
      </w:r>
      <w:r>
        <w:rPr>
          <w:i/>
          <w:iCs/>
          <w:color w:val="000000"/>
        </w:rPr>
        <w:t xml:space="preserve">G. lutea </w:t>
      </w:r>
      <w:r w:rsidRPr="00CD3B2A">
        <w:rPr>
          <w:color w:val="000000"/>
        </w:rPr>
        <w:t>M10.2A</w:t>
      </w:r>
      <w:r>
        <w:rPr>
          <w:color w:val="000000"/>
        </w:rPr>
        <w:t xml:space="preserve">, and </w:t>
      </w:r>
      <w:r>
        <w:rPr>
          <w:i/>
          <w:iCs/>
          <w:color w:val="000000"/>
        </w:rPr>
        <w:t xml:space="preserve">G. </w:t>
      </w:r>
      <w:r w:rsidRPr="00EE7672">
        <w:rPr>
          <w:i/>
          <w:iCs/>
          <w:color w:val="000000"/>
        </w:rPr>
        <w:t>mitskevichiae</w:t>
      </w:r>
      <w:r>
        <w:rPr>
          <w:i/>
          <w:iCs/>
          <w:color w:val="000000"/>
        </w:rPr>
        <w:t xml:space="preserve"> </w:t>
      </w:r>
      <w:r w:rsidRPr="00CD3B2A">
        <w:rPr>
          <w:color w:val="000000"/>
        </w:rPr>
        <w:t>DSM 19839</w:t>
      </w:r>
      <w:r>
        <w:rPr>
          <w:color w:val="000000"/>
        </w:rPr>
        <w:t xml:space="preserve"> all have putative glycine betaine transporters, suggesting that </w:t>
      </w:r>
      <w:r>
        <w:rPr>
          <w:i/>
          <w:iCs/>
          <w:color w:val="000000"/>
        </w:rPr>
        <w:t xml:space="preserve">Gillisia </w:t>
      </w:r>
      <w:r>
        <w:rPr>
          <w:color w:val="000000"/>
        </w:rPr>
        <w:t xml:space="preserve">spp. may also rely on other community members for the production of osmolytes. Considering that several species of </w:t>
      </w:r>
      <w:r>
        <w:rPr>
          <w:i/>
          <w:iCs/>
          <w:color w:val="000000"/>
        </w:rPr>
        <w:t xml:space="preserve">Gillisia </w:t>
      </w:r>
      <w:r>
        <w:rPr>
          <w:color w:val="000000"/>
        </w:rPr>
        <w:t xml:space="preserve">were isolated from complex communities (e.g., associated with algal biomass), it is possible that members of these genus benefit from the production of solutes by other organisms. </w:t>
      </w:r>
    </w:p>
    <w:p w14:paraId="3B7F2D99" w14:textId="5781C689" w:rsidR="00A46B68" w:rsidRPr="00C545D1" w:rsidRDefault="00A46B68" w:rsidP="001A14AF">
      <w:r>
        <w:t xml:space="preserve">Secondary metabolites are diverse molecules that serve a number of functions for the cell, including mediating synergistic and competitive interactions </w:t>
      </w:r>
      <w:r w:rsidRPr="003E0329">
        <w:rPr>
          <w:rFonts w:cs="Times New Roman"/>
          <w:sz w:val="22"/>
        </w:rPr>
        <w:t>(Tyc et al., 2017)</w:t>
      </w:r>
      <w:r>
        <w:t xml:space="preserve">. The genome of </w:t>
      </w:r>
      <w:r>
        <w:rPr>
          <w:i/>
          <w:iCs/>
        </w:rPr>
        <w:t xml:space="preserve">Gillisia </w:t>
      </w:r>
      <w:r>
        <w:t xml:space="preserve">sp. FRX26 also contains three putative secondary metabolite BGCs that may serve a variety of functions. To date, all isolated </w:t>
      </w:r>
      <w:r>
        <w:rPr>
          <w:i/>
          <w:iCs/>
        </w:rPr>
        <w:t xml:space="preserve">Gillisia </w:t>
      </w:r>
      <w:r>
        <w:t xml:space="preserve">produce a yellow </w:t>
      </w:r>
      <w:r w:rsidRPr="000E2B71">
        <w:t>(Van Trappen et al., 2004; Bowman and Nichols, 2005; Nedashkovskaya et al., 2005; Roh et al., 2013; Maida et al., 2014)</w:t>
      </w:r>
      <w:r>
        <w:t xml:space="preserve"> or orange pigment </w:t>
      </w:r>
      <w:r w:rsidRPr="000E2B71">
        <w:t>(Bowman and Nichols, 2005; Vidal-Verdú et al., 2023)</w:t>
      </w:r>
      <w:r>
        <w:t xml:space="preserve">. In </w:t>
      </w:r>
      <w:r>
        <w:rPr>
          <w:i/>
          <w:iCs/>
        </w:rPr>
        <w:t xml:space="preserve">G. limnaea </w:t>
      </w:r>
      <w:r>
        <w:t xml:space="preserve">DSM 15749, this pigment was identified as a combination of mono-and dicyclic carotenoids and are likely produced by a terpene BGC </w:t>
      </w:r>
      <w:r w:rsidRPr="00B06FEE">
        <w:t>(Riedel et al., 2012; Takatani et al., 2015)</w:t>
      </w:r>
      <w:r>
        <w:t xml:space="preserve">, which has been identified in other sequenced </w:t>
      </w:r>
      <w:r>
        <w:rPr>
          <w:i/>
          <w:iCs/>
        </w:rPr>
        <w:t xml:space="preserve">Gillisia </w:t>
      </w:r>
      <w:r>
        <w:t xml:space="preserve">genomes, as well. Carotenoids in bacteria have been linked to many activities, including photoprotection and modulation of membrane fluidity </w:t>
      </w:r>
      <w:r w:rsidRPr="000E2B9A">
        <w:t>(Alcaíno et al., 2016)</w:t>
      </w:r>
      <w:r>
        <w:t xml:space="preserve">. In Antarctic bacteria, they have been linked to protection against both freeze-thaw cycles and prolonged solar radiation </w:t>
      </w:r>
      <w:r w:rsidRPr="000E2B9A">
        <w:t>(Dieser et al., 2010)</w:t>
      </w:r>
      <w:r>
        <w:t xml:space="preserve">. Similarly, polyketides are a broad class of secondary metabolite with diverse functionality for the cell, including functioning as antimicrobial agents. The shared type III PKS BGC appears to be highly conserved amongst not just </w:t>
      </w:r>
      <w:r>
        <w:rPr>
          <w:i/>
          <w:iCs/>
        </w:rPr>
        <w:t>Gillisia</w:t>
      </w:r>
      <w:r>
        <w:t>, but other closely related Flavobacteriaceae (</w:t>
      </w:r>
      <w:r>
        <w:rPr>
          <w:b/>
          <w:bCs/>
        </w:rPr>
        <w:t xml:space="preserve">Figure </w:t>
      </w:r>
      <w:r w:rsidR="00CF16BC">
        <w:rPr>
          <w:b/>
          <w:bCs/>
        </w:rPr>
        <w:t>3.</w:t>
      </w:r>
      <w:r>
        <w:rPr>
          <w:b/>
          <w:bCs/>
        </w:rPr>
        <w:t>9</w:t>
      </w:r>
      <w:r>
        <w:t xml:space="preserve">). Antimicrobial activity in </w:t>
      </w:r>
      <w:r w:rsidRPr="00972DBD">
        <w:rPr>
          <w:i/>
        </w:rPr>
        <w:t>Gillisa</w:t>
      </w:r>
      <w:r>
        <w:t xml:space="preserve"> spp. has been reported, though bioactivity was linked to the production of volatile compounds, rather than polyketides </w:t>
      </w:r>
      <w:r w:rsidRPr="00BC31BD">
        <w:t>(Maida et al., 2014)</w:t>
      </w:r>
      <w:r>
        <w:t xml:space="preserve">. As the production of these molecules may provide a competitive advantage to </w:t>
      </w:r>
      <w:r>
        <w:rPr>
          <w:i/>
          <w:iCs/>
        </w:rPr>
        <w:t>Gillisia</w:t>
      </w:r>
      <w:r>
        <w:t>, further investigation to elucidate any possible bioactivities will provide additional insights into how the rapid response of this genus to environmental change in MDV soils.</w:t>
      </w:r>
    </w:p>
    <w:p w14:paraId="190509B8" w14:textId="77777777" w:rsidR="00A46B68" w:rsidRDefault="00A46B68" w:rsidP="001A14AF">
      <w:pPr>
        <w:pStyle w:val="Heading3"/>
        <w:spacing w:before="0" w:after="0"/>
      </w:pPr>
      <w:bookmarkStart w:id="173" w:name="_Toc196256915"/>
      <w:r>
        <w:t>R</w:t>
      </w:r>
      <w:r w:rsidRPr="003E233A">
        <w:t xml:space="preserve">esponse of an ecologically-relevant bacterium to </w:t>
      </w:r>
      <w:r>
        <w:t>subtle changes in</w:t>
      </w:r>
      <w:r w:rsidRPr="003E233A">
        <w:t xml:space="preserve"> salinity</w:t>
      </w:r>
      <w:r>
        <w:t>.</w:t>
      </w:r>
      <w:bookmarkEnd w:id="173"/>
      <w:r>
        <w:t xml:space="preserve"> </w:t>
      </w:r>
    </w:p>
    <w:p w14:paraId="7152A817" w14:textId="29C27994" w:rsidR="00A46B68" w:rsidRDefault="00A46B68" w:rsidP="001A14AF">
      <w:r>
        <w:t xml:space="preserve">To investigate how subtle changes in salinity impact a community member, we cultured </w:t>
      </w:r>
      <w:r>
        <w:rPr>
          <w:i/>
          <w:iCs/>
        </w:rPr>
        <w:t xml:space="preserve">Gillisia </w:t>
      </w:r>
      <w:r>
        <w:t xml:space="preserve">sp. FRX26 under in situ seep formation salinities including minimum salt concentration </w:t>
      </w:r>
      <w:r>
        <w:lastRenderedPageBreak/>
        <w:t>(0.2 M NaCl) and an elevated concentration (0.5 M NaCl). Growth in 0.2 M and 0.5 M NaCl altered both gene transcription and metabolite production by strain FRX26. Several transcripts putatively encoding for EPS-related polysaccharides biosynthesis genes were significantly more abundant in the 0.5 M treatment compared to the 0.2 M treatment (</w:t>
      </w:r>
      <w:r>
        <w:rPr>
          <w:b/>
          <w:bCs/>
        </w:rPr>
        <w:t xml:space="preserve">Table </w:t>
      </w:r>
      <w:r w:rsidR="00CF16BC">
        <w:rPr>
          <w:b/>
          <w:bCs/>
        </w:rPr>
        <w:t>3.</w:t>
      </w:r>
      <w:r>
        <w:rPr>
          <w:b/>
          <w:bCs/>
        </w:rPr>
        <w:t>8</w:t>
      </w:r>
      <w:r>
        <w:t>). EPS are a general class of secreted polymer that include a wide range of polysaccharides, proteins, exonucleotides, and lipids, and are an important element of the biofilm matrix</w:t>
      </w:r>
      <w:r>
        <w:rPr>
          <w:b/>
          <w:bCs/>
        </w:rPr>
        <w:t xml:space="preserve"> </w:t>
      </w:r>
      <w:r w:rsidRPr="00776277">
        <w:t>(Flemming et al., 2023)</w:t>
      </w:r>
      <w:r>
        <w:t xml:space="preserve">. While we were unable to conclusively identify any metabolites, we were able to link several features to either lipid or peptidic origin, thus it is possible that these metabolites were components of the secreted EPS, as well. The ability to form biofilms provide a number of advantages to both individual organisms and entire communities, including close physical association with other community members to facilitate cooperation </w:t>
      </w:r>
      <w:r w:rsidRPr="006654F9">
        <w:t>(Flemming et al., 2016)</w:t>
      </w:r>
      <w:r>
        <w:t xml:space="preserve"> and protection from desiccation</w:t>
      </w:r>
      <w:r>
        <w:rPr>
          <w:b/>
          <w:bCs/>
        </w:rPr>
        <w:t xml:space="preserve"> </w:t>
      </w:r>
      <w:r w:rsidRPr="006654F9">
        <w:t>(Mortel et al., 2004)</w:t>
      </w:r>
      <w:r>
        <w:t>, UV</w:t>
      </w:r>
      <w:r>
        <w:rPr>
          <w:b/>
          <w:bCs/>
        </w:rPr>
        <w:t xml:space="preserve"> </w:t>
      </w:r>
      <w:r w:rsidRPr="006654F9">
        <w:t>radiation</w:t>
      </w:r>
      <w:r>
        <w:t xml:space="preserve"> </w:t>
      </w:r>
      <w:r w:rsidRPr="006654F9">
        <w:t>(Frösler et al., 2017)</w:t>
      </w:r>
      <w:r>
        <w:t>, and diffusion of antimicrobial agents</w:t>
      </w:r>
      <w:r>
        <w:rPr>
          <w:b/>
          <w:bCs/>
        </w:rPr>
        <w:t xml:space="preserve"> </w:t>
      </w:r>
      <w:r w:rsidRPr="00135ACC">
        <w:t>(Algburi et al., 2017)</w:t>
      </w:r>
      <w:r>
        <w:t xml:space="preserve">. In saline environments, charged EPS particles can limit the diffusion of ions, thus protecting cells from osmotic pressure </w:t>
      </w:r>
      <w:r w:rsidRPr="00135ACC">
        <w:t>(Nunkaew et al., 2015; Kim and Chong, 2017; Haque et al., 2022)</w:t>
      </w:r>
      <w:r>
        <w:t xml:space="preserve">. Biofilm formation has also been specifically linked to desiccation tolerance in desert soils; EPS production increases the retention of water in soils, thus prolonging water availability for the community in times of drought. In the context of the seep environment, the production of EPS by specific community members would provide a protective advantage for the entire community as a shield against the abundance of ion present in the soils closer to the surface. In a sea ice bacterial isolate, the production of EPS by </w:t>
      </w:r>
      <w:r>
        <w:rPr>
          <w:i/>
          <w:iCs/>
        </w:rPr>
        <w:t xml:space="preserve">Colwellia </w:t>
      </w:r>
      <w:r w:rsidRPr="00DD3B0B">
        <w:rPr>
          <w:i/>
          <w:iCs/>
        </w:rPr>
        <w:t>psychrerythraea</w:t>
      </w:r>
      <w:r w:rsidRPr="00DD3B0B">
        <w:t xml:space="preserve"> 34H</w:t>
      </w:r>
      <w:r>
        <w:rPr>
          <w:b/>
          <w:bCs/>
        </w:rPr>
        <w:t xml:space="preserve"> </w:t>
      </w:r>
      <w:r>
        <w:t xml:space="preserve">has been associated with both ice nucleating and ice associating activity </w:t>
      </w:r>
      <w:r w:rsidRPr="00DD3B0B">
        <w:t>(Huston et al., 2004)</w:t>
      </w:r>
      <w:r>
        <w:t xml:space="preserve">, which, combined with increased survival after ultra-low temperature freezing </w:t>
      </w:r>
      <w:r w:rsidRPr="00DD3B0B">
        <w:t>(Marx et al., 2009)</w:t>
      </w:r>
      <w:r>
        <w:rPr>
          <w:b/>
          <w:bCs/>
        </w:rPr>
        <w:t xml:space="preserve"> </w:t>
      </w:r>
      <w:r w:rsidRPr="005113CC">
        <w:t>and</w:t>
      </w:r>
      <w:r>
        <w:t xml:space="preserve"> elevated production of EPS at lower temperatures </w:t>
      </w:r>
      <w:r w:rsidRPr="00DD3B0B">
        <w:t>(Marx et al., 2009)</w:t>
      </w:r>
      <w:r>
        <w:t xml:space="preserve">, provides an advantage for any community members associated with it in and near sea ice. Future experiments with </w:t>
      </w:r>
      <w:r>
        <w:rPr>
          <w:i/>
          <w:iCs/>
        </w:rPr>
        <w:t xml:space="preserve">Gillisia </w:t>
      </w:r>
      <w:r>
        <w:t xml:space="preserve">sp. FRX26 may very well unveil a similar community-supporting phenotype, where the production of EPS under relatively small changes in salinity provide protection to the entire soil community within the seep environment. This phenotype may lead to an observable increase in biocrust-like phenotypes as already observed in the MDV soils </w:t>
      </w:r>
      <w:r w:rsidRPr="005113CC">
        <w:t>(Power et al., 2024)</w:t>
      </w:r>
      <w:r>
        <w:t xml:space="preserve">, with unknown consequences for the total flux of nutrients and biogeochemical cycling within a region experiencing the impacts of a changing climate. </w:t>
      </w:r>
    </w:p>
    <w:p w14:paraId="0B0768CE" w14:textId="77777777" w:rsidR="00A46B68" w:rsidRPr="00570609" w:rsidRDefault="00A46B68" w:rsidP="001A14AF">
      <w:pPr>
        <w:pStyle w:val="Heading2"/>
        <w:spacing w:before="0" w:after="0"/>
      </w:pPr>
      <w:bookmarkStart w:id="174" w:name="_Toc196256916"/>
      <w:r>
        <w:lastRenderedPageBreak/>
        <w:t>Conclusion</w:t>
      </w:r>
      <w:bookmarkEnd w:id="174"/>
    </w:p>
    <w:p w14:paraId="364C506C" w14:textId="66A1CF33" w:rsidR="00A46B68" w:rsidRPr="004B64B2" w:rsidRDefault="00A46B68" w:rsidP="001A14AF">
      <w:r>
        <w:t xml:space="preserve">The consequences of environmental change in the MDV are already observable through alterations in hydrology, nutrient distribution, erosion, and community shifts </w:t>
      </w:r>
      <w:r w:rsidRPr="00884914">
        <w:t>(Gooseff et al., 2017; Barrett et al., 2024)</w:t>
      </w:r>
      <w:r>
        <w:t xml:space="preserve">. Because salt, nutrient, and water availability will all be significantly impacted under changes in basin climate regimes, efforts to describe the impact of even relatively small changes in soils should be investigated. We identified differences in community structure and the abundance of salt response genes within the Fryxell seep that correlated with conductivity, even at &lt; 1000 </w:t>
      </w:r>
      <w:r>
        <w:rPr>
          <w:lang w:val="el-GR"/>
        </w:rPr>
        <w:t>μ</w:t>
      </w:r>
      <w:r>
        <w:t>S cm</w:t>
      </w:r>
      <w:r>
        <w:rPr>
          <w:vertAlign w:val="superscript"/>
        </w:rPr>
        <w:t>-1</w:t>
      </w:r>
      <w:r>
        <w:t xml:space="preserve">. Additionally, the increase from 0.2 to 0.5 M NaCl in bacterial culture led to transcriptional and metabolomic changes </w:t>
      </w:r>
      <w:r w:rsidRPr="00DD3B0B">
        <w:rPr>
          <w:i/>
          <w:iCs/>
        </w:rPr>
        <w:t>in</w:t>
      </w:r>
      <w:r>
        <w:t xml:space="preserve"> </w:t>
      </w:r>
      <w:r w:rsidRPr="00DD3B0B">
        <w:t>Gillisia</w:t>
      </w:r>
      <w:r>
        <w:rPr>
          <w:i/>
          <w:iCs/>
        </w:rPr>
        <w:t xml:space="preserve"> </w:t>
      </w:r>
      <w:r>
        <w:t>sp.</w:t>
      </w:r>
      <w:r w:rsidR="00C20B57">
        <w:t xml:space="preserve"> </w:t>
      </w:r>
      <w:r>
        <w:t>FRX26 that were likely associated with the production of EPS. While no metabolites were conclusively identified, our study provides initial findings to guide future studies of both bacterial cultures and environmental material. For example, as biofilm formation may play a crucial role in response to elevated salinity, future work conducted on Fryxell basin seeps should include attempts to identify possible biofilms, such as through fluorescent microscopy</w:t>
      </w:r>
      <w:r>
        <w:rPr>
          <w:b/>
          <w:bCs/>
        </w:rPr>
        <w:t xml:space="preserve"> </w:t>
      </w:r>
      <w:r w:rsidRPr="00F5654A">
        <w:t>(Li et al., 2004).</w:t>
      </w:r>
      <w:r>
        <w:t xml:space="preserve"> Additionally, collections of bacterial isolates collected across the </w:t>
      </w:r>
      <w:r w:rsidR="00A1792D">
        <w:t xml:space="preserve">continent </w:t>
      </w:r>
      <w:r>
        <w:t xml:space="preserve">(such as </w:t>
      </w:r>
      <w:r w:rsidRPr="004B64B2">
        <w:t>Dragone et al., 2025)</w:t>
      </w:r>
      <w:r>
        <w:t xml:space="preserve"> can be leveraged to explore functional diversity in closely related organisms. For example, </w:t>
      </w:r>
      <w:r>
        <w:rPr>
          <w:i/>
          <w:iCs/>
        </w:rPr>
        <w:t>G. limnaea</w:t>
      </w:r>
      <w:r>
        <w:t xml:space="preserve"> DSM 15749 is a close relative of </w:t>
      </w:r>
      <w:r>
        <w:rPr>
          <w:i/>
          <w:iCs/>
        </w:rPr>
        <w:t xml:space="preserve">Gillisia </w:t>
      </w:r>
      <w:r>
        <w:t>sp. FRX26 and was isolated from within the same MDV basin yet have low genome similarity. However, as genomic potential does not equate to activity, direct comparison of these two organisms under similar incubation conditions can reveal both shared and unique responses to relevant environmental challenges, and thus provide insights into expected changes in microbial communities within a changing ecosystem.</w:t>
      </w:r>
    </w:p>
    <w:p w14:paraId="28B611CF" w14:textId="0E7707E1" w:rsidR="00A46B68" w:rsidRPr="004B53C7" w:rsidRDefault="00A46B68" w:rsidP="001A14AF">
      <w:r>
        <w:t>Subtle environmental changes in the MDV can lead to large impacts on the biology of soil communities. The mobilization and concentration of salts by permafrost melt is a cumulative effect</w:t>
      </w:r>
      <w:r>
        <w:rPr>
          <w:b/>
          <w:bCs/>
        </w:rPr>
        <w:t xml:space="preserve"> </w:t>
      </w:r>
      <w:r w:rsidRPr="00787CC6">
        <w:t>(Ball et al., 2011)</w:t>
      </w:r>
      <w:r>
        <w:t>, thus successive melt seasons and increases seep size and depth will lead to greater accumulation of salts over time. As soils become more and more saline, the pressure on extant communities will increase, likely leading to yet unknown changes in ecosystem function. By defining how both communities and individuals respond to relatively subtle changes in salinity, our findings can inform current models of soil ecology and thus improve predictions of ecosystem responses to a changing climate.</w:t>
      </w:r>
      <w:r w:rsidR="00C20B57">
        <w:t xml:space="preserve">  </w:t>
      </w:r>
    </w:p>
    <w:p w14:paraId="0E97CF40" w14:textId="77777777" w:rsidR="00A46B68" w:rsidRDefault="00A46B68" w:rsidP="001A14AF">
      <w:pPr>
        <w:ind w:firstLine="0"/>
        <w:rPr>
          <w:b/>
          <w:bCs/>
          <w:iCs/>
          <w:szCs w:val="28"/>
        </w:rPr>
      </w:pPr>
      <w:r>
        <w:br w:type="page"/>
      </w:r>
    </w:p>
    <w:p w14:paraId="6BD5EC1E" w14:textId="31867734" w:rsidR="00A46B68" w:rsidRPr="00CE5507" w:rsidRDefault="00A46B68" w:rsidP="00562BA2">
      <w:pPr>
        <w:pStyle w:val="Heading2"/>
      </w:pPr>
      <w:bookmarkStart w:id="175" w:name="_Toc196256917"/>
      <w:r>
        <w:lastRenderedPageBreak/>
        <w:t>References</w:t>
      </w:r>
      <w:bookmarkEnd w:id="175"/>
    </w:p>
    <w:p w14:paraId="08D02467" w14:textId="77777777" w:rsidR="00A46B68" w:rsidRDefault="00A46B68" w:rsidP="00562BA2">
      <w:pPr>
        <w:pStyle w:val="Rerences"/>
      </w:pPr>
      <w:r>
        <w:t xml:space="preserve">Aanderud, Z. T., Saurey, S., Ball, B. A., Wall, D. H., Barrett, J. E., Muscarella, M. E., et al. (2018). Stoichiometric Shifts in Soil C:N:P Promote Bacterial Taxa Dominance, Maintain Biodiversity, and Deconstruct Community Assemblages. </w:t>
      </w:r>
      <w:r>
        <w:rPr>
          <w:i/>
          <w:iCs/>
        </w:rPr>
        <w:t>Front. Microbiol.</w:t>
      </w:r>
      <w:r>
        <w:t xml:space="preserve"> 9. doi: 10.3389/fmicb.2018.01401</w:t>
      </w:r>
    </w:p>
    <w:p w14:paraId="34112D4E" w14:textId="77777777" w:rsidR="00A46B68" w:rsidRDefault="00A46B68" w:rsidP="00562BA2">
      <w:pPr>
        <w:pStyle w:val="Rerences"/>
      </w:pPr>
      <w:r>
        <w:t xml:space="preserve">Adams, B. J., Bardgett, R. D., Ayres, E., Wall, D. H., Aislabie, J., Bamforth, S., et al. (2006). Diversity and distribution of Victoria Land biota. </w:t>
      </w:r>
      <w:r>
        <w:rPr>
          <w:i/>
          <w:iCs/>
        </w:rPr>
        <w:t>Soil Biology and Biochemistry</w:t>
      </w:r>
      <w:r>
        <w:t xml:space="preserve"> 38, 3003–3018. doi: 10.1016/j.soilbio.2006.04.030</w:t>
      </w:r>
    </w:p>
    <w:p w14:paraId="1203D16C" w14:textId="77777777" w:rsidR="00A46B68" w:rsidRDefault="00A46B68" w:rsidP="00562BA2">
      <w:pPr>
        <w:pStyle w:val="Rerences"/>
      </w:pPr>
      <w:r>
        <w:t xml:space="preserve">Alcaíno, J., Baeza, M., and Cifuentes, V. (2016). “Carotenoid Distribution in Nature,” in </w:t>
      </w:r>
      <w:r>
        <w:rPr>
          <w:i/>
          <w:iCs/>
        </w:rPr>
        <w:t>Carotenoids in Nature</w:t>
      </w:r>
      <w:r>
        <w:t>, ed. C. Stange (Cham: Springer International Publishing), 3–33. doi: 10.1007/978-3-319-39126-7_1</w:t>
      </w:r>
    </w:p>
    <w:p w14:paraId="3785C5AC" w14:textId="77777777" w:rsidR="00A46B68" w:rsidRDefault="00A46B68" w:rsidP="00562BA2">
      <w:pPr>
        <w:pStyle w:val="Rerences"/>
      </w:pPr>
      <w:r>
        <w:t xml:space="preserve">Algburi, A., Comito, N., Kashtanov, D., Dicks, L. M. T., and Chikindas, M. L. (2017). Control of Biofilm Formation: Antibiotics and Beyond. </w:t>
      </w:r>
      <w:r>
        <w:rPr>
          <w:i/>
          <w:iCs/>
        </w:rPr>
        <w:t>Appl. Environ. Microbiol.</w:t>
      </w:r>
      <w:r>
        <w:t xml:space="preserve"> 83, e02508-16. doi: 10.1128/AEM.02508-16</w:t>
      </w:r>
    </w:p>
    <w:p w14:paraId="21FD1C1F" w14:textId="77777777" w:rsidR="00A46B68" w:rsidRDefault="00A46B68" w:rsidP="00562BA2">
      <w:pPr>
        <w:pStyle w:val="Rerences"/>
      </w:pPr>
      <w:r>
        <w:t xml:space="preserve">Altschul, S. F., Gish, W., Miller, W., Myers, E. W., and Lipman, D. J. (1990). Basic local alignment search tool. </w:t>
      </w:r>
      <w:r>
        <w:rPr>
          <w:i/>
          <w:iCs/>
        </w:rPr>
        <w:t>J Mol Biol</w:t>
      </w:r>
      <w:r>
        <w:t xml:space="preserve"> 215, 403–410. doi: 10.1016/S0022-2836(05)80360-2</w:t>
      </w:r>
    </w:p>
    <w:p w14:paraId="062C936D" w14:textId="77777777" w:rsidR="00A46B68" w:rsidRDefault="00A46B68" w:rsidP="00562BA2">
      <w:pPr>
        <w:pStyle w:val="Rerences"/>
      </w:pPr>
      <w:r>
        <w:t xml:space="preserve">Anders, S., and Huber, W. (2010). Differential expression analysis for sequence count data. </w:t>
      </w:r>
      <w:r>
        <w:rPr>
          <w:i/>
          <w:iCs/>
        </w:rPr>
        <w:t>Genome Biology</w:t>
      </w:r>
      <w:r>
        <w:t xml:space="preserve"> 11, R106. doi: 10.1186/gb-2010-11-10-r106</w:t>
      </w:r>
    </w:p>
    <w:p w14:paraId="77207EFB" w14:textId="77777777" w:rsidR="00A46B68" w:rsidRDefault="00A46B68" w:rsidP="00562BA2">
      <w:pPr>
        <w:pStyle w:val="Rerences"/>
      </w:pPr>
      <w:r>
        <w:t xml:space="preserve">Auch, A. F., von Jan, M., Klenk, H.-P., and Göker, M. (2010). Digital DNA-DNA hybridization for microbial species delineation by means of genome-to-genome sequence comparison. </w:t>
      </w:r>
      <w:r>
        <w:rPr>
          <w:i/>
          <w:iCs/>
        </w:rPr>
        <w:t>Stand in Genomic Sci</w:t>
      </w:r>
      <w:r>
        <w:t xml:space="preserve"> 2, 117–134. doi: 10.4056/sigs.531120</w:t>
      </w:r>
    </w:p>
    <w:p w14:paraId="34B460D7" w14:textId="77777777" w:rsidR="00A46B68" w:rsidRDefault="00A46B68" w:rsidP="00562BA2">
      <w:pPr>
        <w:pStyle w:val="Rerences"/>
      </w:pPr>
      <w:r>
        <w:t xml:space="preserve">Azzaro, M., Papale, M., Rizzo, C., Forte, E., Lenaz, D., Guglielmin, M., et al. (2022). Antarctic Salt-Cones: An Oasis of Microbial Life? The Example of Boulder Clay Glacier (Northern Victoria Land). </w:t>
      </w:r>
      <w:r>
        <w:rPr>
          <w:i/>
          <w:iCs/>
        </w:rPr>
        <w:t>Microorganisms</w:t>
      </w:r>
      <w:r>
        <w:t xml:space="preserve"> 10, 1753. doi: 10.3390/microorganisms10091753</w:t>
      </w:r>
    </w:p>
    <w:p w14:paraId="06F3E31D" w14:textId="77777777" w:rsidR="00A46B68" w:rsidRDefault="00A46B68" w:rsidP="00562BA2">
      <w:pPr>
        <w:pStyle w:val="Rerences"/>
      </w:pPr>
      <w:r>
        <w:t xml:space="preserve">Ball, B. A., Barrett, J. E., Gooseff, M. N., Virginia, R. A., and Wall, D. H. (2011). Implications of meltwater pulse events for soil biology and biogeochemical cycling in a polar desert. </w:t>
      </w:r>
      <w:r>
        <w:rPr>
          <w:i/>
          <w:iCs/>
        </w:rPr>
        <w:t>Polar Research</w:t>
      </w:r>
      <w:r>
        <w:t xml:space="preserve"> 30, 14555. doi: 10.3402/polar.v30i0.14555</w:t>
      </w:r>
    </w:p>
    <w:p w14:paraId="555C7C31" w14:textId="77777777" w:rsidR="00A46B68" w:rsidRDefault="00A46B68" w:rsidP="00562BA2">
      <w:pPr>
        <w:pStyle w:val="Rerences"/>
      </w:pPr>
      <w:r>
        <w:t xml:space="preserve">Ball, B. A., and Levy, J. (2015). The role of water tracks in altering biotic and abiotic soil properties and processes in a polar desert in Antarctica. </w:t>
      </w:r>
      <w:r>
        <w:rPr>
          <w:i/>
          <w:iCs/>
        </w:rPr>
        <w:t>Journal of Geophysical Research: Biogeosciences</w:t>
      </w:r>
      <w:r>
        <w:t xml:space="preserve"> 120, 270–279. doi: 10.1002/2014JG002856</w:t>
      </w:r>
    </w:p>
    <w:p w14:paraId="58154787" w14:textId="77777777" w:rsidR="00A46B68" w:rsidRDefault="00A46B68" w:rsidP="00562BA2">
      <w:pPr>
        <w:pStyle w:val="Rerences"/>
      </w:pPr>
      <w:r>
        <w:lastRenderedPageBreak/>
        <w:t xml:space="preserve">Ball, B. A., and Virginia, R. A. (2012). Meltwater seep patches increase heterogeneity of soil geochemistry and therefore habitat suitability. </w:t>
      </w:r>
      <w:r>
        <w:rPr>
          <w:i/>
          <w:iCs/>
        </w:rPr>
        <w:t>Geoderma</w:t>
      </w:r>
      <w:r>
        <w:t xml:space="preserve"> 189–190, 652–660. doi: 10.1016/j.geoderma.2012.06.028</w:t>
      </w:r>
    </w:p>
    <w:p w14:paraId="4365FD2E" w14:textId="77777777" w:rsidR="00A46B68" w:rsidRDefault="00A46B68" w:rsidP="00562BA2">
      <w:pPr>
        <w:pStyle w:val="Rerences"/>
      </w:pPr>
      <w:r>
        <w:t xml:space="preserve">Barrett, J. E., Adams, B. J., Doran, P. T., Dugan, H. A., Myers, K. F., Salvatore, M. R., et al. (2024). Response of a Terrestrial Polar Ecosystem to the March 2022 Antarctic Weather Anomaly. </w:t>
      </w:r>
      <w:r>
        <w:rPr>
          <w:i/>
          <w:iCs/>
        </w:rPr>
        <w:t>Earth’s Future</w:t>
      </w:r>
      <w:r>
        <w:t xml:space="preserve"> 12, e2023EF004306. doi: 10.1029/2023EF004306</w:t>
      </w:r>
    </w:p>
    <w:p w14:paraId="3AAEA035" w14:textId="77777777" w:rsidR="00A46B68" w:rsidRDefault="00A46B68" w:rsidP="00562BA2">
      <w:pPr>
        <w:pStyle w:val="Rerences"/>
      </w:pPr>
      <w:r>
        <w:t xml:space="preserve">Barrett, J. E., Gooseff, M. N., and Takacs-Vesbach, C. (2009). Spatial variation in soil active-layer geochemistry across hydrologic margins in polar desert ecosystems. </w:t>
      </w:r>
      <w:r>
        <w:rPr>
          <w:i/>
          <w:iCs/>
        </w:rPr>
        <w:t>Hydrol. Earth Syst. Sci.</w:t>
      </w:r>
      <w:r>
        <w:t xml:space="preserve"> 13, 2349–2358.</w:t>
      </w:r>
    </w:p>
    <w:p w14:paraId="5844EA91" w14:textId="77777777" w:rsidR="00A46B68" w:rsidRDefault="00A46B68" w:rsidP="00562BA2">
      <w:pPr>
        <w:pStyle w:val="Rerences"/>
      </w:pPr>
      <w:r>
        <w:t xml:space="preserve">Barrett, J. E., Virginia, R. A., Wall, D. H., Cary, S. C., Adams, B. J., Hacker, A. L., et al. (2006). Co-variation in soil biodiversity and biogeochemistry in northern and southern Victoria Land, Antarctica. </w:t>
      </w:r>
      <w:r>
        <w:rPr>
          <w:i/>
          <w:iCs/>
        </w:rPr>
        <w:t>Antarctic Science</w:t>
      </w:r>
      <w:r>
        <w:t xml:space="preserve"> 18, 535–548. doi: 10.1017/S0954102006000587</w:t>
      </w:r>
    </w:p>
    <w:p w14:paraId="66E7AA4B" w14:textId="77777777" w:rsidR="00A46B68" w:rsidRDefault="00A46B68" w:rsidP="00562BA2">
      <w:pPr>
        <w:pStyle w:val="Rerences"/>
      </w:pPr>
      <w:r>
        <w:t xml:space="preserve">Barrett, J. E., Virginia, R. A., Wall, D. H., Parsons, A. N., Powers, L. E., and Burkins, M. B. (2004). Variation in Biogeochemistry and Soil Biodiversity Across Spatial Scales in a Polar Desert Ecosystem. </w:t>
      </w:r>
      <w:r>
        <w:rPr>
          <w:i/>
          <w:iCs/>
        </w:rPr>
        <w:t>Ecology</w:t>
      </w:r>
      <w:r>
        <w:t xml:space="preserve"> 85, 3105–3118. doi: 10.1890/03-0213</w:t>
      </w:r>
    </w:p>
    <w:p w14:paraId="607CF57B" w14:textId="77777777" w:rsidR="00A46B68" w:rsidRDefault="00A46B68" w:rsidP="00562BA2">
      <w:pPr>
        <w:pStyle w:val="Rerences"/>
      </w:pPr>
      <w:r>
        <w:t xml:space="preserve">Blin, K., Shaw, S., Kloosterman, A. M., Charlop-Powers, Z., van Wezel, G. P., Medema, M. H., et al. (2021). antiSMASH 6.0: improving cluster detection and comparison capabilities. </w:t>
      </w:r>
      <w:r>
        <w:rPr>
          <w:i/>
          <w:iCs/>
        </w:rPr>
        <w:t>Nucleic Acids Research</w:t>
      </w:r>
      <w:r>
        <w:t xml:space="preserve"> 49, W29–W35. doi: 10.1093/nar/gkab335</w:t>
      </w:r>
    </w:p>
    <w:p w14:paraId="34E261A7" w14:textId="77777777" w:rsidR="00A46B68" w:rsidRDefault="00A46B68" w:rsidP="00562BA2">
      <w:pPr>
        <w:pStyle w:val="Rerences"/>
      </w:pPr>
      <w:r>
        <w:t xml:space="preserve">Bockheim, J. G. (1997). Properties and Classification of Cold Desert Soils from Antarctica. </w:t>
      </w:r>
      <w:r>
        <w:rPr>
          <w:i/>
          <w:iCs/>
        </w:rPr>
        <w:t>Soil Science Society of America Journal</w:t>
      </w:r>
      <w:r>
        <w:t xml:space="preserve"> 61, 224–231. doi: 10.2136/sssaj1997.03615995006100010031x</w:t>
      </w:r>
    </w:p>
    <w:p w14:paraId="6BC901B5" w14:textId="77777777" w:rsidR="00A46B68" w:rsidRDefault="00A46B68" w:rsidP="00562BA2">
      <w:pPr>
        <w:pStyle w:val="Rerences"/>
      </w:pPr>
      <w:r>
        <w:t xml:space="preserve">Bockheim, J. G., Campbell, I. B., and McLeod, M. (2007). Permafrost distribution and active-layer depths in the McMurdo Dry Valleys, Antarctica. </w:t>
      </w:r>
      <w:r>
        <w:rPr>
          <w:i/>
          <w:iCs/>
        </w:rPr>
        <w:t>Permafrost and Periglacial Processes</w:t>
      </w:r>
      <w:r>
        <w:t xml:space="preserve"> 18, 217–227. doi: 10.1002/ppp.588</w:t>
      </w:r>
    </w:p>
    <w:p w14:paraId="195365E2" w14:textId="77777777" w:rsidR="00A46B68" w:rsidRDefault="00A46B68" w:rsidP="00562BA2">
      <w:pPr>
        <w:pStyle w:val="Rerences"/>
      </w:pPr>
      <w:r>
        <w:t xml:space="preserve">Bockheim, J. G., Prentice ,M. L., and and McLeod, M. (2008). Distribution of Glacial Deposits, Soils, and Permafrost in Taylor Valley, Antarctica. </w:t>
      </w:r>
      <w:r>
        <w:rPr>
          <w:i/>
          <w:iCs/>
        </w:rPr>
        <w:t>Arctic, Antarctic, and Alpine Research</w:t>
      </w:r>
      <w:r>
        <w:t xml:space="preserve"> 40, 279–286. doi: 10.1657/1523-0430(06-057)[BOCKHEIM]2.0.CO;2</w:t>
      </w:r>
    </w:p>
    <w:p w14:paraId="2F783C96" w14:textId="77777777" w:rsidR="00A46B68" w:rsidRDefault="00A46B68" w:rsidP="00562BA2">
      <w:pPr>
        <w:pStyle w:val="Rerences"/>
      </w:pPr>
      <w:r>
        <w:t xml:space="preserve">Bolger, A. M., Lohse, M., and Usadel, B. (2014). Trimmomatic: a flexible trimmer for Illumina sequence data. </w:t>
      </w:r>
      <w:r>
        <w:rPr>
          <w:i/>
          <w:iCs/>
        </w:rPr>
        <w:t>Bioinformatics</w:t>
      </w:r>
      <w:r>
        <w:t xml:space="preserve"> 30, 2114–2120. doi: 10.1093/bioinformatics/btu170</w:t>
      </w:r>
    </w:p>
    <w:p w14:paraId="32B903C9" w14:textId="77777777" w:rsidR="00A46B68" w:rsidRDefault="00A46B68" w:rsidP="00562BA2">
      <w:pPr>
        <w:pStyle w:val="Rerences"/>
      </w:pPr>
      <w:r>
        <w:t xml:space="preserve">Bonaterra, A., Camps, J., and Montesinos, E. (2005). Osmotically induced trehalose and glycine betaine accumulation improves tolerance to desiccation, survival and efficacy of the </w:t>
      </w:r>
      <w:r>
        <w:lastRenderedPageBreak/>
        <w:t xml:space="preserve">postharvest biocontrol agent </w:t>
      </w:r>
      <w:r>
        <w:rPr>
          <w:i/>
          <w:iCs/>
        </w:rPr>
        <w:t>Pantoea agglomerans</w:t>
      </w:r>
      <w:r>
        <w:t xml:space="preserve"> EPS125. </w:t>
      </w:r>
      <w:r>
        <w:rPr>
          <w:i/>
          <w:iCs/>
        </w:rPr>
        <w:t>FEMS Microbiology Letters</w:t>
      </w:r>
      <w:r>
        <w:t xml:space="preserve"> 250, 1–8. doi: 10.1016/j.femsle.2005.06.028</w:t>
      </w:r>
    </w:p>
    <w:p w14:paraId="7ED2FFD2" w14:textId="77777777" w:rsidR="00A46B68" w:rsidRDefault="00A46B68" w:rsidP="00562BA2">
      <w:pPr>
        <w:pStyle w:val="Rerences"/>
      </w:pPr>
      <w:r>
        <w:t xml:space="preserve">Bottos, E. M., Laughlin, D. C., Herbold, C. W., Lee, C. K., McDonald, I. R., and Cary, S. C. (2020). Abiotic factors influence patterns of bacterial diversity and community composition in the Dry Valleys of Antarctica. </w:t>
      </w:r>
      <w:r>
        <w:rPr>
          <w:i/>
          <w:iCs/>
        </w:rPr>
        <w:t>FEMS Microbiology Ecology</w:t>
      </w:r>
      <w:r>
        <w:t xml:space="preserve"> 96, fiaa042. doi: 10.1093/femsec/fiaa042</w:t>
      </w:r>
    </w:p>
    <w:p w14:paraId="7FAD1844" w14:textId="77777777" w:rsidR="00A46B68" w:rsidRDefault="00A46B68" w:rsidP="00562BA2">
      <w:pPr>
        <w:pStyle w:val="Rerences"/>
      </w:pPr>
      <w:r>
        <w:t xml:space="preserve">Bowman, J. P., and Nichols, D. S. (2005). Novel members of the family Flavobacteriaceae from Antarctic maritime habitats including </w:t>
      </w:r>
      <w:r>
        <w:rPr>
          <w:i/>
          <w:iCs/>
        </w:rPr>
        <w:t>Subsaximicrobium wynnwilliamsii</w:t>
      </w:r>
      <w:r>
        <w:t xml:space="preserve"> gen. nov., sp. nov., </w:t>
      </w:r>
      <w:r>
        <w:rPr>
          <w:i/>
          <w:iCs/>
        </w:rPr>
        <w:t>Subsaximicrobium saxinquilinus</w:t>
      </w:r>
      <w:r>
        <w:t xml:space="preserve"> sp. nov., </w:t>
      </w:r>
      <w:r>
        <w:rPr>
          <w:i/>
          <w:iCs/>
        </w:rPr>
        <w:t>Subsaxibacter broadyi</w:t>
      </w:r>
      <w:r>
        <w:t xml:space="preserve"> gen. nov., sp. nov., </w:t>
      </w:r>
      <w:r>
        <w:rPr>
          <w:i/>
          <w:iCs/>
        </w:rPr>
        <w:t xml:space="preserve">Lacinutrix copepodicola </w:t>
      </w:r>
      <w:r>
        <w:t xml:space="preserve">gen. nov., sp. nov., and novel species of the genera </w:t>
      </w:r>
      <w:r>
        <w:rPr>
          <w:i/>
          <w:iCs/>
        </w:rPr>
        <w:t>Bizionia</w:t>
      </w:r>
      <w:r>
        <w:t xml:space="preserve">, </w:t>
      </w:r>
      <w:r>
        <w:rPr>
          <w:i/>
          <w:iCs/>
        </w:rPr>
        <w:t>Gelidibacter</w:t>
      </w:r>
      <w:r>
        <w:t xml:space="preserve"> and </w:t>
      </w:r>
      <w:r>
        <w:rPr>
          <w:i/>
          <w:iCs/>
        </w:rPr>
        <w:t>Gillisia</w:t>
      </w:r>
      <w:r>
        <w:t xml:space="preserve">. </w:t>
      </w:r>
      <w:r>
        <w:rPr>
          <w:i/>
          <w:iCs/>
        </w:rPr>
        <w:t>International Journal of Systematic and Evolutionary Microbiology</w:t>
      </w:r>
      <w:r>
        <w:t xml:space="preserve"> 55, 1471–1486. doi: 10.1099/ijs.0.63527-0</w:t>
      </w:r>
    </w:p>
    <w:p w14:paraId="2E88E802" w14:textId="77777777" w:rsidR="00A46B68" w:rsidRDefault="00A46B68" w:rsidP="00562BA2">
      <w:pPr>
        <w:pStyle w:val="Rerences"/>
      </w:pPr>
      <w:r>
        <w:t xml:space="preserve">Buelow, H. N., Winter, A. S., Van Horn, D. J., Barrett, J. E., Gooseff, M. N., Schwartz, E., et al. (2016). Microbial Community Responses to Increased Water and Organic Matter in the Arid Soils of the McMurdo Dry Valleys, Antarctica. </w:t>
      </w:r>
      <w:r>
        <w:rPr>
          <w:i/>
          <w:iCs/>
        </w:rPr>
        <w:t>Front. Microbiol.</w:t>
      </w:r>
      <w:r>
        <w:t xml:space="preserve"> 7. doi: 10.3389/fmicb.2016.01040</w:t>
      </w:r>
    </w:p>
    <w:p w14:paraId="55395F94" w14:textId="77777777" w:rsidR="00A46B68" w:rsidRDefault="00A46B68" w:rsidP="00562BA2">
      <w:pPr>
        <w:pStyle w:val="Rerences"/>
      </w:pPr>
      <w:r>
        <w:t xml:space="preserve">Burkins, M. B., Virginia, R. A., Chamberlain, C. P., and Wall, D. H. (2000). Origin and Distribution of Soil Organic Matter in Taylor Valley, Antarctica. </w:t>
      </w:r>
      <w:r>
        <w:rPr>
          <w:i/>
          <w:iCs/>
        </w:rPr>
        <w:t>Ecology</w:t>
      </w:r>
      <w:r>
        <w:t xml:space="preserve"> 81, 2377–2391. doi: https://doi.org/10.1890/0012-9658(2000)081[2377:OADOSO]2.0.CO;2</w:t>
      </w:r>
    </w:p>
    <w:p w14:paraId="15149C37" w14:textId="77777777" w:rsidR="00A46B68" w:rsidRDefault="00A46B68" w:rsidP="00562BA2">
      <w:pPr>
        <w:pStyle w:val="Rerences"/>
      </w:pPr>
      <w:r>
        <w:t xml:space="preserve">Callahan, B. J., McMurdie, P. J., Rosen, M. J., Han, A. W., Johnson, A. J. A., and Holmes, S. P. (2016). DADA2: High-resolution sample inference from Illumina amplicon data. </w:t>
      </w:r>
      <w:r>
        <w:rPr>
          <w:i/>
          <w:iCs/>
        </w:rPr>
        <w:t>Nature Methods</w:t>
      </w:r>
      <w:r>
        <w:t xml:space="preserve"> 13, 581–583. doi: 10.1038/nmeth.3869</w:t>
      </w:r>
    </w:p>
    <w:p w14:paraId="52B9AF97" w14:textId="77777777" w:rsidR="00A46B68" w:rsidRDefault="00A46B68" w:rsidP="00562BA2">
      <w:pPr>
        <w:pStyle w:val="Rerences"/>
      </w:pPr>
      <w:r>
        <w:t xml:space="preserve">Campbell, I. B., and Claridge, G. G. C. (1987). </w:t>
      </w:r>
      <w:r>
        <w:rPr>
          <w:i/>
          <w:iCs/>
        </w:rPr>
        <w:t>Antarctica: Soils, Weathering Processes and Environment</w:t>
      </w:r>
      <w:r>
        <w:t>. Elsevier.</w:t>
      </w:r>
    </w:p>
    <w:p w14:paraId="389203E1" w14:textId="77777777" w:rsidR="00A46B68" w:rsidRDefault="00A46B68" w:rsidP="00562BA2">
      <w:pPr>
        <w:pStyle w:val="Rerences"/>
      </w:pPr>
      <w:r>
        <w:t xml:space="preserve">Campbell, I. B., Claridge, G. G. C., Campbell, D. I., and Balks, M. R. (1998). “The Soil Environment of the Mcmurdo Dry Valleys, Antarctica,” in </w:t>
      </w:r>
      <w:r>
        <w:rPr>
          <w:i/>
          <w:iCs/>
        </w:rPr>
        <w:t>Ecosystem Dynamics in a Polar Desert: the Mcmurdo Dry Valleys, Antarctica</w:t>
      </w:r>
      <w:r>
        <w:t>, (American Geophysical Union (AGU)), 297–322. doi: 10.1029/AR072p0297</w:t>
      </w:r>
    </w:p>
    <w:p w14:paraId="54ABA847" w14:textId="77777777" w:rsidR="00A46B68" w:rsidRDefault="00A46B68" w:rsidP="00562BA2">
      <w:pPr>
        <w:pStyle w:val="Rerences"/>
      </w:pPr>
      <w:r>
        <w:t xml:space="preserve">Campen, R., Kowalski, J., Lyons, W. B., Tulaczyk, S., Dachwald, B., Pettit, E., et al. (2019). Microbial diversity of an Antarctic subglacial community and high‐resolution replicate </w:t>
      </w:r>
      <w:r>
        <w:lastRenderedPageBreak/>
        <w:t xml:space="preserve">sampling inform hydrological connectivity in a polar desert. </w:t>
      </w:r>
      <w:r>
        <w:rPr>
          <w:i/>
          <w:iCs/>
        </w:rPr>
        <w:t>Environ. Microbiol.</w:t>
      </w:r>
      <w:r>
        <w:t>, 1462-2920.14607. doi: 10.1111/1462-2920.14607</w:t>
      </w:r>
    </w:p>
    <w:p w14:paraId="586387F4" w14:textId="77777777" w:rsidR="00A46B68" w:rsidRDefault="00A46B68" w:rsidP="00562BA2">
      <w:pPr>
        <w:pStyle w:val="Rerences"/>
      </w:pPr>
      <w:r>
        <w:t xml:space="preserve">Campen, R. L. (2015). Investigating the mode of action of tuberculosis drugs using hypersensitive mutants of </w:t>
      </w:r>
      <w:r>
        <w:rPr>
          <w:i/>
          <w:iCs/>
        </w:rPr>
        <w:t>Mycobacterium smegmatis</w:t>
      </w:r>
      <w:r>
        <w:t>. Wellington, NZ: Victoria University of Wellington. Available at: http://researcharchive.vuw.ac.nz/handle/10063/4314 (Accessed September 11, 2022).</w:t>
      </w:r>
    </w:p>
    <w:p w14:paraId="7D638583" w14:textId="77777777" w:rsidR="00A46B68" w:rsidRDefault="00A46B68" w:rsidP="00562BA2">
      <w:pPr>
        <w:pStyle w:val="Rerences"/>
      </w:pPr>
      <w:r>
        <w:t xml:space="preserve">Caporaso, J. G., Lauber, C. L., Walters, W. A., Berg-Lyons, D., Lozupone, C. A., Turnbaugh, P. J., et al. (2011). Global patterns of 16S rRNA diversity at a depth of millions of sequences per sample. </w:t>
      </w:r>
      <w:r>
        <w:rPr>
          <w:i/>
          <w:iCs/>
        </w:rPr>
        <w:t>Proceedings of the National Academy of Sciences</w:t>
      </w:r>
      <w:r>
        <w:t xml:space="preserve"> 108, 4516–4522. doi: 10.1073/pnas.1000080107</w:t>
      </w:r>
    </w:p>
    <w:p w14:paraId="6E05E5AD" w14:textId="77777777" w:rsidR="00A46B68" w:rsidRDefault="00A46B68" w:rsidP="00562BA2">
      <w:pPr>
        <w:pStyle w:val="Rerences"/>
      </w:pPr>
      <w:r>
        <w:t xml:space="preserve">Cary, S. C., McDonald, I. R., Barrett, J. E., and Cowan, D. A. (2010). On the rocks: the microbiology of Antarctic Dry Valley soils. </w:t>
      </w:r>
      <w:r>
        <w:rPr>
          <w:i/>
          <w:iCs/>
        </w:rPr>
        <w:t>Nature Reviews Microbiology</w:t>
      </w:r>
      <w:r>
        <w:t xml:space="preserve"> 8, 129–138. doi: 10.1038/nrmicro2281</w:t>
      </w:r>
    </w:p>
    <w:p w14:paraId="73491E0C" w14:textId="77777777" w:rsidR="00A46B68" w:rsidRDefault="00A46B68" w:rsidP="00562BA2">
      <w:pPr>
        <w:pStyle w:val="Rerences"/>
      </w:pPr>
      <w:r>
        <w:t xml:space="preserve">Chang, W.-S., van de Mortel, M., Nielsen, L., Nino de Guzman, G., Li, X., and Halverson, L. J. (2007). Alginate Production by </w:t>
      </w:r>
      <w:r>
        <w:rPr>
          <w:i/>
          <w:iCs/>
        </w:rPr>
        <w:t>Pseudomonas putida</w:t>
      </w:r>
      <w:r>
        <w:t xml:space="preserve"> Creates a Hydrated Microenvironment and Contributes to Biofilm Architecture and Stress Tolerance under Water-Limiting Conditions. </w:t>
      </w:r>
      <w:r>
        <w:rPr>
          <w:i/>
          <w:iCs/>
        </w:rPr>
        <w:t>Journal of Bacteriology</w:t>
      </w:r>
      <w:r>
        <w:t xml:space="preserve"> 189, 8290–8299. doi: 10.1128/jb.00727-07</w:t>
      </w:r>
    </w:p>
    <w:p w14:paraId="5712AA78" w14:textId="77777777" w:rsidR="00A46B68" w:rsidRDefault="00A46B68" w:rsidP="00562BA2">
      <w:pPr>
        <w:pStyle w:val="Rerences"/>
      </w:pPr>
      <w:r>
        <w:t xml:space="preserve">Cowan, D. A., Cary, S. C., DiRuggiero, J., Eckardt, F., Ferrari, B., Hopkins, D. W., et al. (2023). ‘Follow the Water’: Microbial Water Acquisition in Desert Soils. </w:t>
      </w:r>
      <w:r>
        <w:rPr>
          <w:i/>
          <w:iCs/>
        </w:rPr>
        <w:t>Microorganisms</w:t>
      </w:r>
      <w:r>
        <w:t xml:space="preserve"> 11, 1670. doi: 10.3390/microorganisms11071670</w:t>
      </w:r>
    </w:p>
    <w:p w14:paraId="02229E08" w14:textId="77777777" w:rsidR="00A46B68" w:rsidRDefault="00A46B68" w:rsidP="00562BA2">
      <w:pPr>
        <w:pStyle w:val="Rerences"/>
      </w:pPr>
      <w:r>
        <w:t xml:space="preserve">Coyne, K. J., Parker, A. E., Lee, C. K., Sohm, J. A., Kalmbach, A., Gunderson, T., et al. (2020). The distribution and relative ecological roles of autotrophic and heterotrophic diazotrophs in the McMurdo Dry Valleys, Antarctica. </w:t>
      </w:r>
      <w:r>
        <w:rPr>
          <w:i/>
          <w:iCs/>
        </w:rPr>
        <w:t>FEMS Microbiology Ecology</w:t>
      </w:r>
      <w:r>
        <w:t xml:space="preserve"> 96, fiaa010. doi: 10.1093/femsec/fiaa010</w:t>
      </w:r>
    </w:p>
    <w:p w14:paraId="0515439F" w14:textId="77777777" w:rsidR="00A46B68" w:rsidRDefault="00A46B68" w:rsidP="00562BA2">
      <w:pPr>
        <w:pStyle w:val="Rerences"/>
      </w:pPr>
      <w:r>
        <w:t xml:space="preserve">Danecek, P., Bonfield, J. K., Liddle, J., Marshall, J., Ohan, V., Pollard, M. O., et al. (2021). Twelve years of SAMtools and BCFtools. </w:t>
      </w:r>
      <w:r>
        <w:rPr>
          <w:i/>
          <w:iCs/>
        </w:rPr>
        <w:t>Gigascience</w:t>
      </w:r>
      <w:r>
        <w:t xml:space="preserve"> 10, giab008. doi: 10.1093/gigascience/giab008</w:t>
      </w:r>
    </w:p>
    <w:p w14:paraId="1BCFCC69" w14:textId="77777777" w:rsidR="00A46B68" w:rsidRDefault="00A46B68" w:rsidP="00562BA2">
      <w:pPr>
        <w:pStyle w:val="Rerences"/>
      </w:pPr>
      <w:r>
        <w:t xml:space="preserve">Dieser, M., Greenwood, M., and Foreman, C. M. (2010). Carotenoid Pigmentation in Antarctic Heterotrophic Bacteria as a Strategy to Withstand Environmental Stresses. </w:t>
      </w:r>
      <w:r>
        <w:rPr>
          <w:i/>
          <w:iCs/>
        </w:rPr>
        <w:t>Arctic, Antarctic, and Alpine Research</w:t>
      </w:r>
      <w:r>
        <w:t xml:space="preserve"> 42, 396–405. doi: 10.1657/1938-4246-42.4.396</w:t>
      </w:r>
    </w:p>
    <w:p w14:paraId="0DE1919C" w14:textId="77777777" w:rsidR="00A46B68" w:rsidRDefault="00A46B68" w:rsidP="00562BA2">
      <w:pPr>
        <w:pStyle w:val="Rerences"/>
      </w:pPr>
      <w:r>
        <w:lastRenderedPageBreak/>
        <w:t xml:space="preserve">Doyle, S. M., and Christner, B. C. (2022). Variation in bacterial composition, diversity, and activity across different subglacial basal ice types. </w:t>
      </w:r>
      <w:r>
        <w:rPr>
          <w:i/>
          <w:iCs/>
        </w:rPr>
        <w:t>The Cryosphere</w:t>
      </w:r>
      <w:r>
        <w:t xml:space="preserve"> 16, 4033–4051. doi: 10.5194/tc-16-4033-2022</w:t>
      </w:r>
    </w:p>
    <w:p w14:paraId="219BBE1D" w14:textId="77777777" w:rsidR="00A46B68" w:rsidRDefault="00A46B68" w:rsidP="00562BA2">
      <w:pPr>
        <w:pStyle w:val="Rerences"/>
      </w:pPr>
      <w:r>
        <w:t xml:space="preserve">Dragone, N. B., Childress, M. K., Vanderburgh, C., Willmore, R., Hogg, I. D., Sancho, L. G., et al. (2025). A comprehensive survey of soil microbial diversity across the Antarctic continent. </w:t>
      </w:r>
      <w:r>
        <w:rPr>
          <w:i/>
          <w:iCs/>
        </w:rPr>
        <w:t>Polar Biol</w:t>
      </w:r>
      <w:r>
        <w:t xml:space="preserve"> 48, 50. doi: 10.1007/s00300-025-03372-y</w:t>
      </w:r>
    </w:p>
    <w:p w14:paraId="6ED935B6" w14:textId="77777777" w:rsidR="00A46B68" w:rsidRDefault="00A46B68" w:rsidP="00562BA2">
      <w:pPr>
        <w:pStyle w:val="Rerences"/>
      </w:pPr>
      <w:r>
        <w:t xml:space="preserve">Dreesens, L., Lee, C., and Cary, S. (2014). The Distribution and Identity of Edaphic Fungi in the McMurdo Dry Valleys. </w:t>
      </w:r>
      <w:r>
        <w:rPr>
          <w:i/>
          <w:iCs/>
        </w:rPr>
        <w:t>Biology</w:t>
      </w:r>
      <w:r>
        <w:t xml:space="preserve"> 3, 466–483. doi: 10.3390/biology3030466</w:t>
      </w:r>
    </w:p>
    <w:p w14:paraId="1DEE8124" w14:textId="77777777" w:rsidR="00A46B68" w:rsidRDefault="00A46B68" w:rsidP="00562BA2">
      <w:pPr>
        <w:pStyle w:val="Rerences"/>
      </w:pPr>
      <w:r>
        <w:t xml:space="preserve">Dreux, N., Albagnac, C., Sleator, R. D., Hill, C., Carlin, F., Morris, C. E., et al. (2008). Glycine betaine improves </w:t>
      </w:r>
      <w:r>
        <w:rPr>
          <w:i/>
          <w:iCs/>
        </w:rPr>
        <w:t>Listeria monocytogenes</w:t>
      </w:r>
      <w:r>
        <w:t xml:space="preserve"> tolerance to desiccation on parsley leaves independent of the osmolyte transporters BetL, Gbu and OpuC. </w:t>
      </w:r>
      <w:r>
        <w:rPr>
          <w:i/>
          <w:iCs/>
        </w:rPr>
        <w:t>Journal of Applied Microbiology</w:t>
      </w:r>
      <w:r>
        <w:t xml:space="preserve"> 104, 1221–1227. doi: 10.1111/j.1365-2672.2007.03623.x</w:t>
      </w:r>
    </w:p>
    <w:p w14:paraId="61DD013E" w14:textId="77777777" w:rsidR="00A46B68" w:rsidRDefault="00A46B68" w:rsidP="00562BA2">
      <w:pPr>
        <w:pStyle w:val="Rerences"/>
      </w:pPr>
      <w:r>
        <w:t xml:space="preserve">Eren, A. M., Esen, Ö. C., Quince, C., Vineis, J. H., Morrison, H. G., Sogin, M. L., et al. (2015). Anvi’o: an advanced analysis and visualization platform for ‘omics data. </w:t>
      </w:r>
      <w:r>
        <w:rPr>
          <w:i/>
          <w:iCs/>
        </w:rPr>
        <w:t>PeerJ</w:t>
      </w:r>
      <w:r>
        <w:t xml:space="preserve"> 3, e1319. doi: 10.7717/peerj.1319</w:t>
      </w:r>
    </w:p>
    <w:p w14:paraId="76858614" w14:textId="77777777" w:rsidR="00A46B68" w:rsidRDefault="00A46B68" w:rsidP="00562BA2">
      <w:pPr>
        <w:pStyle w:val="Rerences"/>
      </w:pPr>
      <w:r>
        <w:t xml:space="preserve">Federhen, S. (2012). The NCBI Taxonomy database. </w:t>
      </w:r>
      <w:r>
        <w:rPr>
          <w:i/>
          <w:iCs/>
        </w:rPr>
        <w:t>Nucleic Acids Research</w:t>
      </w:r>
      <w:r>
        <w:t xml:space="preserve"> 40, D136–D143. doi: 10.1093/nar/gkr1178</w:t>
      </w:r>
    </w:p>
    <w:p w14:paraId="7B75B64E" w14:textId="77777777" w:rsidR="00A46B68" w:rsidRDefault="00A46B68" w:rsidP="00562BA2">
      <w:pPr>
        <w:pStyle w:val="Rerences"/>
      </w:pPr>
      <w:r>
        <w:t xml:space="preserve">Feeser, K. L., Van Horn, D. J., Buelow, H. N., Colman, D. R., McHugh, T. A., Okie, J. G., et al. (2018). Local and Regional Scale Heterogeneity Drive Bacterial Community Diversity and Composition in a Polar Desert. </w:t>
      </w:r>
      <w:r>
        <w:rPr>
          <w:i/>
          <w:iCs/>
        </w:rPr>
        <w:t>Front. Microbiol.</w:t>
      </w:r>
      <w:r>
        <w:t xml:space="preserve"> 9. doi: 10.3389/fmicb.2018.01928</w:t>
      </w:r>
    </w:p>
    <w:p w14:paraId="6DDFD714" w14:textId="77777777" w:rsidR="00A46B68" w:rsidRDefault="00A46B68" w:rsidP="00562BA2">
      <w:pPr>
        <w:pStyle w:val="Rerences"/>
      </w:pPr>
      <w:r>
        <w:t xml:space="preserve">Flemming, H.-C., van Hullebusch, E. D., Neu, T. R., Nielsen, P. H., Seviour, T., Stoodley, P., et al. (2023). The biofilm matrix: multitasking in a shared space. </w:t>
      </w:r>
      <w:r>
        <w:rPr>
          <w:i/>
          <w:iCs/>
        </w:rPr>
        <w:t>Nat Rev Microbiol</w:t>
      </w:r>
      <w:r>
        <w:t xml:space="preserve"> 21, 70–86. doi: 10.1038/s41579-022-00791-0</w:t>
      </w:r>
    </w:p>
    <w:p w14:paraId="3F4B0723" w14:textId="77777777" w:rsidR="00A46B68" w:rsidRDefault="00A46B68" w:rsidP="00562BA2">
      <w:pPr>
        <w:pStyle w:val="Rerences"/>
      </w:pPr>
      <w:r>
        <w:t xml:space="preserve">Flemming, H.-C., Wingender, J., Szewzyk, U., Steinberg, P., Rice, S. A., and Kjelleberg, S. (2016). Biofilms: an emergent form of bacterial life. </w:t>
      </w:r>
      <w:r>
        <w:rPr>
          <w:i/>
          <w:iCs/>
        </w:rPr>
        <w:t>Nat Rev Microbiol</w:t>
      </w:r>
      <w:r>
        <w:t xml:space="preserve"> 14, 563–575. doi: 10.1038/nrmicro.2016.94</w:t>
      </w:r>
    </w:p>
    <w:p w14:paraId="3C5DA0B5" w14:textId="77777777" w:rsidR="00A46B68" w:rsidRDefault="00A46B68" w:rsidP="00562BA2">
      <w:pPr>
        <w:pStyle w:val="Rerences"/>
      </w:pPr>
      <w:r>
        <w:t xml:space="preserve">Foreman, C. M., Wolf, C. F., and Priscu, J. C. (2004). Impact of Episodic Warming Events. </w:t>
      </w:r>
      <w:r>
        <w:rPr>
          <w:i/>
          <w:iCs/>
        </w:rPr>
        <w:t>Aquat Geochem</w:t>
      </w:r>
      <w:r>
        <w:t xml:space="preserve"> 10, 239–268. doi: 10.1007/s10498-004-2261-3</w:t>
      </w:r>
    </w:p>
    <w:p w14:paraId="6EEB152B" w14:textId="77777777" w:rsidR="00A46B68" w:rsidRDefault="00A46B68" w:rsidP="00562BA2">
      <w:pPr>
        <w:pStyle w:val="Rerences"/>
      </w:pPr>
      <w:r>
        <w:t xml:space="preserve">Fountain, A. G., Levy, J. S., Gooseff, M. N., and Van Horn, D. (2014). The McMurdo Dry Valleys: A landscape on the threshold of change. </w:t>
      </w:r>
      <w:r>
        <w:rPr>
          <w:i/>
          <w:iCs/>
        </w:rPr>
        <w:t>Geomorphology</w:t>
      </w:r>
      <w:r>
        <w:t xml:space="preserve"> 225, 25–35. doi: 10.1016/j.geomorph.2014.03.044</w:t>
      </w:r>
    </w:p>
    <w:p w14:paraId="4B981585" w14:textId="77777777" w:rsidR="00A46B68" w:rsidRDefault="00A46B68" w:rsidP="00562BA2">
      <w:pPr>
        <w:pStyle w:val="Rerences"/>
      </w:pPr>
      <w:r>
        <w:lastRenderedPageBreak/>
        <w:t xml:space="preserve">Fountain, A. G., Nylen, T. H., Monaghan, A., Basagic, H. J., and Bromwich, D. (2009). Snow in the McMurdo Dry Valleys, Antarctica. </w:t>
      </w:r>
      <w:r>
        <w:rPr>
          <w:i/>
          <w:iCs/>
        </w:rPr>
        <w:t>Int. J. Climatol.</w:t>
      </w:r>
      <w:r>
        <w:t>, n/a-n/a. doi: 10.1002/joc.1933</w:t>
      </w:r>
    </w:p>
    <w:p w14:paraId="247E75BF" w14:textId="77777777" w:rsidR="00A46B68" w:rsidRDefault="00A46B68" w:rsidP="00562BA2">
      <w:pPr>
        <w:pStyle w:val="Rerences"/>
      </w:pPr>
      <w:r>
        <w:t xml:space="preserve">Frösler, J., Panitz, C., Wingender, J., Flemming, H.-C., and Rettberg, P. (2017). Survival of </w:t>
      </w:r>
      <w:r>
        <w:rPr>
          <w:i/>
          <w:iCs/>
        </w:rPr>
        <w:t>Deinococcus geothermalis</w:t>
      </w:r>
      <w:r>
        <w:t xml:space="preserve"> in Biofilms under Desiccation and Simulated Space and Martian Conditions. </w:t>
      </w:r>
      <w:r>
        <w:rPr>
          <w:i/>
          <w:iCs/>
        </w:rPr>
        <w:t>Astrobiology</w:t>
      </w:r>
      <w:r>
        <w:t xml:space="preserve"> 17, 431–447. doi: 10.1089/ast.2015.1431</w:t>
      </w:r>
    </w:p>
    <w:p w14:paraId="2277DF7A" w14:textId="77777777" w:rsidR="00A46B68" w:rsidRDefault="00A46B68" w:rsidP="00562BA2">
      <w:pPr>
        <w:pStyle w:val="Rerences"/>
      </w:pPr>
      <w:r>
        <w:t xml:space="preserve">George, S. F., Fierer, N., Levy, J. S., and Adams, B. (2021). Antarctic Water Tracks: Microbial Community Responses to Variation in Soil Moisture, pH, and Salinity. </w:t>
      </w:r>
      <w:r>
        <w:rPr>
          <w:i/>
          <w:iCs/>
        </w:rPr>
        <w:t>Front. Microbiol.</w:t>
      </w:r>
      <w:r>
        <w:t xml:space="preserve"> 12. doi: 10.3389/fmicb.2021.616730</w:t>
      </w:r>
    </w:p>
    <w:p w14:paraId="6BC522E9" w14:textId="77777777" w:rsidR="00A46B68" w:rsidRDefault="00A46B68" w:rsidP="00562BA2">
      <w:pPr>
        <w:pStyle w:val="Rerences"/>
      </w:pPr>
      <w:r>
        <w:t xml:space="preserve">Geyer, K. M., Altrichter, A. E., Takacs-Vesbach, C. D., Van Horn, D. J., Gooseff, M. N., and Barrett, J. E. (2014). Bacterial community composition of divergent soil habitats in a polar desert. </w:t>
      </w:r>
      <w:r>
        <w:rPr>
          <w:i/>
          <w:iCs/>
        </w:rPr>
        <w:t>FEMS Microbiology Ecology</w:t>
      </w:r>
      <w:r>
        <w:t xml:space="preserve"> 89, 490–494. doi: 10.1111/1574-6941.12306</w:t>
      </w:r>
    </w:p>
    <w:p w14:paraId="04D92B73" w14:textId="77777777" w:rsidR="00A46B68" w:rsidRDefault="00A46B68" w:rsidP="00562BA2">
      <w:pPr>
        <w:pStyle w:val="Rerences"/>
      </w:pPr>
      <w:r>
        <w:t xml:space="preserve">Geyer, K. M., Altrichter, A. E., Van Horn, D. J., Takacs-Vesbach, C. D., Gooseff, M. N., and Barrett, J. E. (2013). Environmental controls over bacterial communities in polar desert soils. </w:t>
      </w:r>
      <w:r>
        <w:rPr>
          <w:i/>
          <w:iCs/>
        </w:rPr>
        <w:t>Ecosphere</w:t>
      </w:r>
      <w:r>
        <w:t xml:space="preserve"> 4, art127. doi: 10.1890/ES13-00048.1</w:t>
      </w:r>
    </w:p>
    <w:p w14:paraId="1A649659" w14:textId="77777777" w:rsidR="00A46B68" w:rsidRDefault="00A46B68" w:rsidP="00562BA2">
      <w:pPr>
        <w:pStyle w:val="Rerences"/>
      </w:pPr>
      <w:r>
        <w:t xml:space="preserve">Goordial, J., Davila, A., Lacelle, D., Pollard, W., Marinova, M. M., Greer, C. W., et al. (2016). Nearing the cold-arid limits of microbial life in permafrost of an upper dry valley, Antarctica. </w:t>
      </w:r>
      <w:r>
        <w:rPr>
          <w:i/>
          <w:iCs/>
        </w:rPr>
        <w:t>The ISME Journal</w:t>
      </w:r>
      <w:r>
        <w:t xml:space="preserve"> 10, 1613–1624. doi: 10.1038/ismej.2015.239</w:t>
      </w:r>
    </w:p>
    <w:p w14:paraId="1FE89752" w14:textId="77777777" w:rsidR="00A46B68" w:rsidRDefault="00A46B68" w:rsidP="00562BA2">
      <w:pPr>
        <w:pStyle w:val="Rerences"/>
      </w:pPr>
      <w:r>
        <w:t xml:space="preserve">Gooseff, M. N., Barrett, J. E., Adams, B. J., Doran, P. T., Fountain, A. G., Lyons, W. B., et al. (2017). Decadal ecosystem response to an anomalous melt season in a polar desert in Antarctica. </w:t>
      </w:r>
      <w:r>
        <w:rPr>
          <w:i/>
          <w:iCs/>
        </w:rPr>
        <w:t>Nat Ecol Evol</w:t>
      </w:r>
      <w:r>
        <w:t xml:space="preserve"> 1, 1334–1338. doi: 10.1038/s41559-017-0253-0</w:t>
      </w:r>
    </w:p>
    <w:p w14:paraId="3901E71A" w14:textId="77777777" w:rsidR="00A46B68" w:rsidRDefault="00A46B68" w:rsidP="00562BA2">
      <w:pPr>
        <w:pStyle w:val="Rerences"/>
      </w:pPr>
      <w:r>
        <w:t xml:space="preserve">Gooseff, M. N., Barrett, J. E., Northcott, M. L., Bate, D. B., Hill, K. R., Zeglin, L. H., et al. (2007). Controls on the Spatial Dimensions of Wetted Hydrologic Margins of Two Antarctic Lakes. </w:t>
      </w:r>
      <w:r>
        <w:rPr>
          <w:i/>
          <w:iCs/>
        </w:rPr>
        <w:t>Vadose Zone Journal</w:t>
      </w:r>
      <w:r>
        <w:t xml:space="preserve"> 6, 841–848. doi: 10.2136/vzj2006.0161</w:t>
      </w:r>
    </w:p>
    <w:p w14:paraId="190BA0C5" w14:textId="77777777" w:rsidR="00A46B68" w:rsidRDefault="00A46B68" w:rsidP="00562BA2">
      <w:pPr>
        <w:pStyle w:val="Rerences"/>
      </w:pPr>
      <w:r>
        <w:t xml:space="preserve">Gough, R. V., Wong, J., Dickson, J. L., Levy, J. S., Head, J. W., Marchant, D. R., et al. (2017). Brine formation via deliquescence by salts found near Don Juan Pond, Antarctica: Laboratory experiments and field observational results. </w:t>
      </w:r>
      <w:r>
        <w:rPr>
          <w:i/>
          <w:iCs/>
        </w:rPr>
        <w:t>Earth and Planetary Science Letters</w:t>
      </w:r>
      <w:r>
        <w:t xml:space="preserve"> 476, 189–198. doi: 10.1016/j.epsl.2017.08.003</w:t>
      </w:r>
    </w:p>
    <w:p w14:paraId="6E23749D" w14:textId="77777777" w:rsidR="00A46B68" w:rsidRDefault="00A46B68" w:rsidP="00562BA2">
      <w:pPr>
        <w:pStyle w:val="Rerences"/>
      </w:pPr>
      <w:r>
        <w:t xml:space="preserve">Gurevich, A., Saveliev, V., Vyahhi, N., and Tesler, G. (2013). QUAST: quality assessment tool for genome assemblies. </w:t>
      </w:r>
      <w:r>
        <w:rPr>
          <w:i/>
          <w:iCs/>
        </w:rPr>
        <w:t>Bioinformatics</w:t>
      </w:r>
      <w:r>
        <w:t xml:space="preserve"> 29, 1072–1075. doi: 10.1093/bioinformatics/btt086</w:t>
      </w:r>
    </w:p>
    <w:p w14:paraId="613D9D13" w14:textId="77777777" w:rsidR="00A46B68" w:rsidRDefault="00A46B68" w:rsidP="00562BA2">
      <w:pPr>
        <w:pStyle w:val="Rerences"/>
      </w:pPr>
      <w:r>
        <w:lastRenderedPageBreak/>
        <w:t xml:space="preserve">Hadley Wickham (2016). </w:t>
      </w:r>
      <w:r>
        <w:rPr>
          <w:i/>
          <w:iCs/>
        </w:rPr>
        <w:t>ggplot2: Elegant Graphics for Data Analysis</w:t>
      </w:r>
      <w:r>
        <w:t>. Springer-Verlag New York. Available at: https://ggplot2.tidyverse.org</w:t>
      </w:r>
    </w:p>
    <w:p w14:paraId="13BFCD6D" w14:textId="77777777" w:rsidR="00A46B68" w:rsidRDefault="00A46B68" w:rsidP="00562BA2">
      <w:pPr>
        <w:pStyle w:val="Rerences"/>
      </w:pPr>
      <w:r>
        <w:t xml:space="preserve">Haque, Md. M., Biswas, Md. S., Mosharaf, M. K., Haque, Md. A., Islam, Md. S., Nahar, K., et al. (2022). Halotolerant biofilm-producing rhizobacteria mitigate seawater-induced salt stress and promote growth of tomato. </w:t>
      </w:r>
      <w:r>
        <w:rPr>
          <w:i/>
          <w:iCs/>
        </w:rPr>
        <w:t>Sci Rep</w:t>
      </w:r>
      <w:r>
        <w:t xml:space="preserve"> 12, 5599. doi: 10.1038/s41598-022-09519-9</w:t>
      </w:r>
    </w:p>
    <w:p w14:paraId="40389B2D" w14:textId="77777777" w:rsidR="00A46B68" w:rsidRDefault="00A46B68" w:rsidP="00562BA2">
      <w:pPr>
        <w:pStyle w:val="Rerences"/>
      </w:pPr>
      <w:r>
        <w:t xml:space="preserve">Huston, A. L., Methe, B., and Deming, J. W. (2004). Purification, Characterization, and Sequencing of an Extracellular Cold-Active Aminopeptidase Produced by Marine Psychrophile </w:t>
      </w:r>
      <w:r>
        <w:rPr>
          <w:i/>
          <w:iCs/>
        </w:rPr>
        <w:t>Colwellia psychrerythraea</w:t>
      </w:r>
      <w:r>
        <w:t xml:space="preserve"> Strain 34H. </w:t>
      </w:r>
      <w:r>
        <w:rPr>
          <w:i/>
          <w:iCs/>
        </w:rPr>
        <w:t>Appl Environ Microbiol</w:t>
      </w:r>
      <w:r>
        <w:t xml:space="preserve"> 70, 3321–3328. doi: 10.1128/AEM.70.6.3321-3328.2004</w:t>
      </w:r>
    </w:p>
    <w:p w14:paraId="56A5D940" w14:textId="77777777" w:rsidR="00A46B68" w:rsidRDefault="00A46B68" w:rsidP="00562BA2">
      <w:pPr>
        <w:pStyle w:val="Rerences"/>
      </w:pPr>
      <w:r>
        <w:t xml:space="preserve">Jackson, A. C., Jorna, J., Chaston, J. M., and Adams, B. J. (2022). Glacial Legacies: Microbial Communities of Antarctic Refugia. </w:t>
      </w:r>
      <w:r>
        <w:rPr>
          <w:i/>
          <w:iCs/>
        </w:rPr>
        <w:t>Biology</w:t>
      </w:r>
      <w:r>
        <w:t xml:space="preserve"> 11, 1440. doi: 10.3390/biology11101440</w:t>
      </w:r>
    </w:p>
    <w:p w14:paraId="338C462A" w14:textId="77777777" w:rsidR="00A46B68" w:rsidRDefault="00A46B68" w:rsidP="00562BA2">
      <w:pPr>
        <w:pStyle w:val="Rerences"/>
      </w:pPr>
      <w:r>
        <w:t xml:space="preserve">Jiang, X., Van Horn, D. J., Okie, J. G., Buelow, H. N., Schwartz, E., Colman, D. R., et al. (2022). Limits to the three domains of life: lessons from community assembly along an Antarctic salinity gradient. </w:t>
      </w:r>
      <w:r>
        <w:rPr>
          <w:i/>
          <w:iCs/>
        </w:rPr>
        <w:t>Extremophiles</w:t>
      </w:r>
      <w:r>
        <w:t xml:space="preserve"> 26, 1–14. doi: 10.1007/s00792-022-01262-3</w:t>
      </w:r>
    </w:p>
    <w:p w14:paraId="276C91E6" w14:textId="77777777" w:rsidR="00A46B68" w:rsidRDefault="00A46B68" w:rsidP="00562BA2">
      <w:pPr>
        <w:pStyle w:val="Rerences"/>
      </w:pPr>
      <w:r>
        <w:t xml:space="preserve">Kanehisa, M., and Goto, S. (2000). KEGG: Kyoto Encyclopedia of Genes and Genomes. </w:t>
      </w:r>
      <w:r>
        <w:rPr>
          <w:i/>
          <w:iCs/>
        </w:rPr>
        <w:t>Nucleic Acids Research</w:t>
      </w:r>
      <w:r>
        <w:t xml:space="preserve"> 28, 27–30. doi: 10.1093/nar/28.1.27</w:t>
      </w:r>
    </w:p>
    <w:p w14:paraId="0B25F9D4" w14:textId="77777777" w:rsidR="00A46B68" w:rsidRDefault="00A46B68" w:rsidP="00562BA2">
      <w:pPr>
        <w:pStyle w:val="Rerences"/>
      </w:pPr>
      <w:r>
        <w:t xml:space="preserve">Kanehisa, M., Sato, Y., and Morishima, K. (2016). BlastKOALA and GhostKOALA: KEGG Tools for Functional Characterization of Genome and Metagenome Sequences. </w:t>
      </w:r>
      <w:r>
        <w:rPr>
          <w:i/>
          <w:iCs/>
        </w:rPr>
        <w:t>Journal of Molecular Biology</w:t>
      </w:r>
      <w:r>
        <w:t xml:space="preserve"> 428, 726–731. doi: 10.1016/j.jmb.2015.11.006</w:t>
      </w:r>
    </w:p>
    <w:p w14:paraId="4AEDE240" w14:textId="558175FC" w:rsidR="00A46B68" w:rsidRDefault="00A46B68" w:rsidP="00562BA2">
      <w:pPr>
        <w:pStyle w:val="Rerences"/>
      </w:pPr>
      <w:r>
        <w:t>Kempf, B., and Bremer, E. (1998). Uptake and synthesis of compatible solutes</w:t>
      </w:r>
      <w:r w:rsidR="00C20B57">
        <w:t xml:space="preserve"> </w:t>
      </w:r>
      <w:r>
        <w:t xml:space="preserve">as microbial stress responses to high-osmolality environments. </w:t>
      </w:r>
      <w:r>
        <w:rPr>
          <w:i/>
          <w:iCs/>
        </w:rPr>
        <w:t>Arch Microbiol</w:t>
      </w:r>
      <w:r>
        <w:t xml:space="preserve"> 170, 319–330. doi: 10.1007/s002030050649</w:t>
      </w:r>
    </w:p>
    <w:p w14:paraId="230D9FD9" w14:textId="77777777" w:rsidR="00A46B68" w:rsidRDefault="00A46B68" w:rsidP="00562BA2">
      <w:pPr>
        <w:pStyle w:val="Rerences"/>
      </w:pPr>
      <w:r>
        <w:t xml:space="preserve">Kim, L. H., and Chong, T. H. (2017). Physiological Responses of Salinity-Stressed </w:t>
      </w:r>
      <w:r>
        <w:rPr>
          <w:i/>
          <w:iCs/>
        </w:rPr>
        <w:t>Vibrio</w:t>
      </w:r>
      <w:r>
        <w:t xml:space="preserve"> sp. and the Effect on the Biofilm Formation on a Nanofiltration Membrane. </w:t>
      </w:r>
      <w:r>
        <w:rPr>
          <w:i/>
          <w:iCs/>
        </w:rPr>
        <w:t>Environ. Sci. Technol.</w:t>
      </w:r>
      <w:r>
        <w:t xml:space="preserve"> 51, 1249–1258. doi: 10.1021/acs.est.6b02904</w:t>
      </w:r>
    </w:p>
    <w:p w14:paraId="5CB9FF34" w14:textId="77777777" w:rsidR="00A46B68" w:rsidRDefault="00A46B68" w:rsidP="00562BA2">
      <w:pPr>
        <w:pStyle w:val="Rerences"/>
      </w:pPr>
      <w:r>
        <w:t xml:space="preserve">Kleinteich, J., Hildebrand, F., Bahram, M., Voigt, A. Y., Wood, S. A., Jungblut, A. D., et al. (2017). Pole-to-Pole Connections: Similarities between Arctic and Antarctic Microbiomes and Their Vulnerability to Environmental Change. </w:t>
      </w:r>
      <w:r>
        <w:rPr>
          <w:i/>
          <w:iCs/>
        </w:rPr>
        <w:t>Front. Ecol. Evol.</w:t>
      </w:r>
      <w:r>
        <w:t xml:space="preserve"> 5. doi: 10.3389/fevo.2017.00137</w:t>
      </w:r>
    </w:p>
    <w:p w14:paraId="668050A5" w14:textId="77777777" w:rsidR="00A46B68" w:rsidRDefault="00A46B68" w:rsidP="00562BA2">
      <w:pPr>
        <w:pStyle w:val="Rerences"/>
      </w:pPr>
      <w:r>
        <w:lastRenderedPageBreak/>
        <w:t xml:space="preserve">Klindworth, A., Pruesse, E., Schweer, T., Peplies, J., Quast, C., Horn, M., et al. (2012). Evaluation of general 16S ribosomal RNA gene PCR primers for classical and next-generation sequencing-based diversity studies. </w:t>
      </w:r>
      <w:r>
        <w:rPr>
          <w:i/>
          <w:iCs/>
        </w:rPr>
        <w:t>Nucleic Acids Research</w:t>
      </w:r>
      <w:r>
        <w:t xml:space="preserve"> 41, e1–e1. doi: 10.1093/nar/gks808</w:t>
      </w:r>
    </w:p>
    <w:p w14:paraId="63A2B337" w14:textId="77777777" w:rsidR="00A46B68" w:rsidRDefault="00A46B68" w:rsidP="00562BA2">
      <w:pPr>
        <w:pStyle w:val="Rerences"/>
      </w:pPr>
      <w:r>
        <w:t xml:space="preserve">Konstantinidis, K. T., Ramette, A., and Tiedje, J. M. (2006). The bacterial species definition in the genomic era. </w:t>
      </w:r>
      <w:r>
        <w:rPr>
          <w:i/>
          <w:iCs/>
        </w:rPr>
        <w:t>Philosophical Transactions of the Royal Society B: Biological Sciences</w:t>
      </w:r>
      <w:r>
        <w:t xml:space="preserve"> 361, 1929–1940. doi: 10.1098/rstb.2006.1920</w:t>
      </w:r>
    </w:p>
    <w:p w14:paraId="73C226AF" w14:textId="77777777" w:rsidR="00A46B68" w:rsidRDefault="00A46B68" w:rsidP="00562BA2">
      <w:pPr>
        <w:pStyle w:val="Rerences"/>
      </w:pPr>
      <w:r>
        <w:t xml:space="preserve">Konstantinidis, K. T., and Tiedje, J. M. (2005). Genomic insights that advance the species definition for prokaryotes. </w:t>
      </w:r>
      <w:r>
        <w:rPr>
          <w:i/>
          <w:iCs/>
        </w:rPr>
        <w:t>Proceedings of the National Academy of Sciences</w:t>
      </w:r>
      <w:r>
        <w:t xml:space="preserve"> 102, 2567–2572. doi: 10.1073/pnas.0409727102</w:t>
      </w:r>
    </w:p>
    <w:p w14:paraId="7A530261" w14:textId="77777777" w:rsidR="00A46B68" w:rsidRDefault="00A46B68" w:rsidP="00562BA2">
      <w:pPr>
        <w:pStyle w:val="Rerences"/>
      </w:pPr>
      <w:r>
        <w:t xml:space="preserve">Kraegeloh, A., Amendt, B., and Kunte, H. J. (2005). Potassium Transport in a Halophilic Member of the Bacteria Domain: Identification and Characterization of the K+ Uptake Systems TrkH and TrkI from </w:t>
      </w:r>
      <w:r>
        <w:rPr>
          <w:i/>
          <w:iCs/>
        </w:rPr>
        <w:t>Halomonas elongata</w:t>
      </w:r>
      <w:r>
        <w:t xml:space="preserve"> DSM 2581T. </w:t>
      </w:r>
      <w:r>
        <w:rPr>
          <w:i/>
          <w:iCs/>
        </w:rPr>
        <w:t>Journal of Bacteriology</w:t>
      </w:r>
      <w:r>
        <w:t xml:space="preserve"> 187, 1036–1043. doi: 10.1128/jb.187.3.1036-1043.2005</w:t>
      </w:r>
    </w:p>
    <w:p w14:paraId="5D8F385A" w14:textId="77777777" w:rsidR="00A46B68" w:rsidRDefault="00A46B68" w:rsidP="00562BA2">
      <w:pPr>
        <w:pStyle w:val="Rerences"/>
      </w:pPr>
      <w:r>
        <w:t xml:space="preserve">Kuroda, T., Mizushima, T., and Tsuchiya, T. (2005). Physiological Roles of Three Na+/H+ Antiporters in the Halophilic Bacterium </w:t>
      </w:r>
      <w:r>
        <w:rPr>
          <w:i/>
          <w:iCs/>
        </w:rPr>
        <w:t>Vibrio parahaemolyticus</w:t>
      </w:r>
      <w:r>
        <w:t xml:space="preserve">. </w:t>
      </w:r>
      <w:r>
        <w:rPr>
          <w:i/>
          <w:iCs/>
        </w:rPr>
        <w:t>Microbiology and Immunology</w:t>
      </w:r>
      <w:r>
        <w:t xml:space="preserve"> 49, 711–719. doi: 10.1111/j.1348-0421.2005.tb03662.x</w:t>
      </w:r>
    </w:p>
    <w:p w14:paraId="5A71AAF0" w14:textId="77777777" w:rsidR="00A46B68" w:rsidRDefault="00A46B68" w:rsidP="00562BA2">
      <w:pPr>
        <w:pStyle w:val="Rerences"/>
      </w:pPr>
      <w:r>
        <w:t xml:space="preserve">Langmead, B., and Salzberg, S. L. (2012). Fast gapped-read alignment with Bowtie 2. </w:t>
      </w:r>
      <w:r>
        <w:rPr>
          <w:i/>
          <w:iCs/>
        </w:rPr>
        <w:t>Nat Methods</w:t>
      </w:r>
      <w:r>
        <w:t xml:space="preserve"> 9, 357–359. doi: 10.1038/nmeth.1923</w:t>
      </w:r>
    </w:p>
    <w:p w14:paraId="55B795A6" w14:textId="77777777" w:rsidR="00A46B68" w:rsidRDefault="00A46B68" w:rsidP="00562BA2">
      <w:pPr>
        <w:pStyle w:val="Rerences"/>
      </w:pPr>
      <w:r>
        <w:t xml:space="preserve">Lebre, P. H., De Maayer, P., and Cowan, D. A. (2017). Xerotolerant bacteria: surviving through a dry spell. </w:t>
      </w:r>
      <w:r>
        <w:rPr>
          <w:i/>
          <w:iCs/>
        </w:rPr>
        <w:t>Nat Rev Microbiol</w:t>
      </w:r>
      <w:r>
        <w:t xml:space="preserve"> 15, 285–296. doi: 10.1038/nrmicro.2017.16</w:t>
      </w:r>
    </w:p>
    <w:p w14:paraId="7EF4E0AF" w14:textId="77777777" w:rsidR="00A46B68" w:rsidRDefault="00A46B68" w:rsidP="00562BA2">
      <w:pPr>
        <w:pStyle w:val="Rerences"/>
      </w:pPr>
      <w:r>
        <w:t xml:space="preserve">Lee, C. K., Barbier, B. A., Bottos, E. M., McDonald, I. R., and Cary, S. C. (2012). The Inter-Valley Soil Comparative Survey: the ecology of Dry Valley edaphic microbial communities. </w:t>
      </w:r>
      <w:r>
        <w:rPr>
          <w:i/>
          <w:iCs/>
        </w:rPr>
        <w:t>The ISME Journal</w:t>
      </w:r>
      <w:r>
        <w:t xml:space="preserve"> 6, 1046–1057. doi: 10.1038/ismej.2011.170</w:t>
      </w:r>
    </w:p>
    <w:p w14:paraId="135CA28C" w14:textId="77777777" w:rsidR="00A46B68" w:rsidRDefault="00A46B68" w:rsidP="00562BA2">
      <w:pPr>
        <w:pStyle w:val="Rerences"/>
      </w:pPr>
      <w:r>
        <w:t xml:space="preserve">Lee, J. R., Raymond, B., Bracegirdle, T. J., Chadès, I., Fuller, R. A., Shaw, J. D., et al. (2017). Climate change drives expansion of Antarctic ice-free habitat. </w:t>
      </w:r>
      <w:r>
        <w:rPr>
          <w:i/>
          <w:iCs/>
        </w:rPr>
        <w:t>Nature</w:t>
      </w:r>
      <w:r>
        <w:t xml:space="preserve"> 547, 49–54. doi: 10.1038/nature22996</w:t>
      </w:r>
    </w:p>
    <w:p w14:paraId="63D489D5" w14:textId="77777777" w:rsidR="00A46B68" w:rsidRDefault="00A46B68" w:rsidP="00562BA2">
      <w:pPr>
        <w:pStyle w:val="Rerences"/>
      </w:pPr>
      <w:r>
        <w:t xml:space="preserve">Lee, K. C., Caruso, T., Archer, S. D. J., Gillman, L. N., Lau, M. C. Y., Cary, S. C., et al. (2018). Stochastic and Deterministic Effects of a Moisture Gradient on Soil Microbial Communities in the McMurdo Dry Valleys of Antarctica. </w:t>
      </w:r>
      <w:r>
        <w:rPr>
          <w:i/>
          <w:iCs/>
        </w:rPr>
        <w:t>Front. Microbiol.</w:t>
      </w:r>
      <w:r>
        <w:t xml:space="preserve"> 9. doi: 10.3389/fmicb.2018.02619</w:t>
      </w:r>
    </w:p>
    <w:p w14:paraId="6BB89A53" w14:textId="77777777" w:rsidR="00A46B68" w:rsidRDefault="00A46B68" w:rsidP="00562BA2">
      <w:pPr>
        <w:pStyle w:val="Rerences"/>
      </w:pPr>
      <w:r>
        <w:lastRenderedPageBreak/>
        <w:t xml:space="preserve">Levy, J. S., Fountain, A. G., Gooseff, M. N., Welch, K. A., and Lyons, W. B. (2011). Water tracks and permafrost in Taylor Valley, Antarctica: Extensive and shallow groundwater connectivity in a cold desert ecosystem. </w:t>
      </w:r>
      <w:r>
        <w:rPr>
          <w:i/>
          <w:iCs/>
        </w:rPr>
        <w:t>GSA Bulletin</w:t>
      </w:r>
      <w:r>
        <w:t xml:space="preserve"> 123, 2295–2311. doi: 10.1130/B30436.1</w:t>
      </w:r>
    </w:p>
    <w:p w14:paraId="24055C36" w14:textId="77777777" w:rsidR="00A46B68" w:rsidRDefault="00A46B68" w:rsidP="00562BA2">
      <w:pPr>
        <w:pStyle w:val="Rerences"/>
      </w:pPr>
      <w:r>
        <w:t xml:space="preserve">Li, Y., Dick, W. A., and Tuovinen, O. H. (2004). Fluorescence microscopy for visualization of soil microorganisms—a review. </w:t>
      </w:r>
      <w:r>
        <w:rPr>
          <w:i/>
          <w:iCs/>
        </w:rPr>
        <w:t>Biol Fertil Soils</w:t>
      </w:r>
      <w:r>
        <w:t xml:space="preserve"> 39, 301–311. doi: 10.1007/s00374-004-0722-x</w:t>
      </w:r>
    </w:p>
    <w:p w14:paraId="7CAF5968" w14:textId="77777777" w:rsidR="00A46B68" w:rsidRDefault="00A46B68" w:rsidP="00562BA2">
      <w:pPr>
        <w:pStyle w:val="Rerences"/>
      </w:pPr>
      <w:r>
        <w:t xml:space="preserve">Lozupone, C. A., and Knight, R. (2007). Global patterns in bacterial diversity. </w:t>
      </w:r>
      <w:r>
        <w:rPr>
          <w:i/>
          <w:iCs/>
        </w:rPr>
        <w:t>Proc. Natl. Acad. Sci. U.S.A.</w:t>
      </w:r>
      <w:r>
        <w:t xml:space="preserve"> 104, 11436–11440. doi: 10.1073/pnas.0611525104</w:t>
      </w:r>
    </w:p>
    <w:p w14:paraId="6E05EA28" w14:textId="77777777" w:rsidR="00A46B68" w:rsidRDefault="00A46B68" w:rsidP="00562BA2">
      <w:pPr>
        <w:pStyle w:val="Rerences"/>
      </w:pPr>
      <w:r>
        <w:t xml:space="preserve">Maida, I., Fondi, M., Papaleo, M. C., Perrin, E., Orlandini, V., Emiliani, G., et al. (2014). Phenotypic and genomic characterization of the Antarctic bacterium </w:t>
      </w:r>
      <w:r>
        <w:rPr>
          <w:i/>
          <w:iCs/>
        </w:rPr>
        <w:t>Gillisia</w:t>
      </w:r>
      <w:r>
        <w:t xml:space="preserve"> sp. CAL575, a producer of antimicrobial compounds. </w:t>
      </w:r>
      <w:r>
        <w:rPr>
          <w:i/>
          <w:iCs/>
        </w:rPr>
        <w:t>Extremophiles</w:t>
      </w:r>
      <w:r>
        <w:t xml:space="preserve"> 18, 35–49. doi: 10.1007/s00792-013-0590-0</w:t>
      </w:r>
    </w:p>
    <w:p w14:paraId="73F4F8A3" w14:textId="77777777" w:rsidR="00A46B68" w:rsidRDefault="00A46B68" w:rsidP="00562BA2">
      <w:pPr>
        <w:pStyle w:val="Rerences"/>
      </w:pPr>
      <w:r>
        <w:t xml:space="preserve">Marx, J. G., Carpenter, S. D., and Deming, J. W. (2009). Production of cryoprotectant extracellular polysaccharide substances (EPS) by the marine psychrophilic bacterium </w:t>
      </w:r>
      <w:r>
        <w:rPr>
          <w:i/>
          <w:iCs/>
        </w:rPr>
        <w:t>Colwellia psychrerythraea</w:t>
      </w:r>
      <w:r>
        <w:t xml:space="preserve"> strain 34H under extreme conditions. </w:t>
      </w:r>
      <w:r>
        <w:rPr>
          <w:i/>
          <w:iCs/>
        </w:rPr>
        <w:t>Can. J. Microbiol.</w:t>
      </w:r>
      <w:r>
        <w:t xml:space="preserve"> 55, 63–72. doi: 10.1139/W08-130</w:t>
      </w:r>
    </w:p>
    <w:p w14:paraId="17F38C03" w14:textId="77777777" w:rsidR="00A46B68" w:rsidRDefault="00A46B68" w:rsidP="00562BA2">
      <w:pPr>
        <w:pStyle w:val="Rerences"/>
      </w:pPr>
      <w:r>
        <w:t>McLaren, M. (2020). mikemc/speedyseq: speedyseq v0.2.0. doi: 10.5281/zenodo.3923184</w:t>
      </w:r>
    </w:p>
    <w:p w14:paraId="754F203C" w14:textId="77777777" w:rsidR="00A46B68" w:rsidRDefault="00A46B68" w:rsidP="00562BA2">
      <w:pPr>
        <w:pStyle w:val="Rerences"/>
      </w:pPr>
      <w:r>
        <w:t xml:space="preserve">McMurdie, P. J., and Holmes, S. (2013). phyloseq: An R Package for Reproducible Interactive Analysis and Graphics of Microbiome Census Data. </w:t>
      </w:r>
      <w:r>
        <w:rPr>
          <w:i/>
          <w:iCs/>
        </w:rPr>
        <w:t>PLOS ONE</w:t>
      </w:r>
      <w:r>
        <w:t xml:space="preserve"> 8, e61217. doi: 10.1371/journal.pone.0061217</w:t>
      </w:r>
    </w:p>
    <w:p w14:paraId="77949322" w14:textId="77777777" w:rsidR="00A46B68" w:rsidRDefault="00A46B68" w:rsidP="00562BA2">
      <w:pPr>
        <w:pStyle w:val="Rerences"/>
      </w:pPr>
      <w:r>
        <w:t xml:space="preserve">Meier-Kolthoff, J. P., Carbasse, J. S., Peinado-Olarte, R. L., and Göker, M. (2022). TYGS and LPSN: a database tandem for fast and reliable genome-based classification and nomenclature of prokaryotes. </w:t>
      </w:r>
      <w:r>
        <w:rPr>
          <w:i/>
          <w:iCs/>
        </w:rPr>
        <w:t>Nucleic Acids Research</w:t>
      </w:r>
      <w:r>
        <w:t xml:space="preserve"> 50, D801–D807. doi: 10.1093/nar/gkab902</w:t>
      </w:r>
    </w:p>
    <w:p w14:paraId="19DD6A94" w14:textId="77777777" w:rsidR="00A46B68" w:rsidRDefault="00A46B68" w:rsidP="00562BA2">
      <w:pPr>
        <w:pStyle w:val="Rerences"/>
      </w:pPr>
      <w:r>
        <w:t xml:space="preserve">Mikucki, J. A., and Priscu, J. C. (2007). Bacterial Diversity Associated with Blood Falls, a Subglacial Outflow from the Taylor Glacier, Antarctica. </w:t>
      </w:r>
      <w:r>
        <w:rPr>
          <w:i/>
          <w:iCs/>
        </w:rPr>
        <w:t>Applied and Environmental Microbiology</w:t>
      </w:r>
      <w:r>
        <w:t xml:space="preserve"> 73, 4029–4039. doi: 10.1128/AEM.01396-06</w:t>
      </w:r>
    </w:p>
    <w:p w14:paraId="5E4E608B" w14:textId="77777777" w:rsidR="00A46B68" w:rsidRDefault="00A46B68" w:rsidP="00562BA2">
      <w:pPr>
        <w:pStyle w:val="Rerences"/>
      </w:pPr>
      <w:r>
        <w:t xml:space="preserve">Mikucki, J., Lyons, W. B., Hawes, I., Lanoil, B. D., and Doran, P. T. (2010). “Saline lakes and ponds in the McMurdo Dry Valleys: ecological analogs to martian paleolake environments,” in </w:t>
      </w:r>
      <w:r>
        <w:rPr>
          <w:i/>
          <w:iCs/>
        </w:rPr>
        <w:t xml:space="preserve">Life in Antarctic Deserts and other Cold Dry Environments: </w:t>
      </w:r>
      <w:r>
        <w:rPr>
          <w:i/>
          <w:iCs/>
        </w:rPr>
        <w:lastRenderedPageBreak/>
        <w:t>Astrobiological Analogs</w:t>
      </w:r>
      <w:r>
        <w:t>, eds. P. T. Doran, W. B. Lyons, and D. M. McKnight (Cambridge, Massachusetts: Cambridge University Press), 160–194.</w:t>
      </w:r>
    </w:p>
    <w:p w14:paraId="7FDA97D9" w14:textId="77777777" w:rsidR="00A46B68" w:rsidRDefault="00A46B68" w:rsidP="00562BA2">
      <w:pPr>
        <w:pStyle w:val="Rerences"/>
      </w:pPr>
      <w:r>
        <w:t xml:space="preserve">Mitchell, K. R., and Takacs-Vesbach, C. D. (2008). A comparison of methods for total community DNA preservation and extraction from various thermal environments. </w:t>
      </w:r>
      <w:r>
        <w:rPr>
          <w:i/>
          <w:iCs/>
        </w:rPr>
        <w:t>J Ind Microbiol Biotechnol</w:t>
      </w:r>
      <w:r>
        <w:t xml:space="preserve"> 35, 1139–1147. doi: 10.1007/s10295-008-0393-y</w:t>
      </w:r>
    </w:p>
    <w:p w14:paraId="00005A7E" w14:textId="77777777" w:rsidR="00A46B68" w:rsidRDefault="00A46B68" w:rsidP="00562BA2">
      <w:pPr>
        <w:pStyle w:val="Rerences"/>
      </w:pPr>
      <w:r>
        <w:t xml:space="preserve">Monteiro, M. R., Marshall, A. J., Hawes, I., Lee, C. K., McDonald, I. R., and Cary, S. C. (2022). Geochemically Defined Space-for-Time Transects Successfully Capture Microbial Dynamics Along Lacustrine Chronosequences in a Polar Desert. </w:t>
      </w:r>
      <w:r>
        <w:rPr>
          <w:i/>
          <w:iCs/>
        </w:rPr>
        <w:t>Front. Microbiol.</w:t>
      </w:r>
      <w:r>
        <w:t xml:space="preserve"> 12. doi: 10.3389/fmicb.2021.783767</w:t>
      </w:r>
    </w:p>
    <w:p w14:paraId="289C5497" w14:textId="77777777" w:rsidR="00A46B68" w:rsidRDefault="00A46B68" w:rsidP="00562BA2">
      <w:pPr>
        <w:pStyle w:val="Rerences"/>
      </w:pPr>
      <w:r>
        <w:t xml:space="preserve">Mortel, M. van de, Chang, W.-S., and Halverson, L. J. (2004). Differential tolerance of </w:t>
      </w:r>
      <w:r>
        <w:rPr>
          <w:i/>
          <w:iCs/>
        </w:rPr>
        <w:t>Pseudomonas putida</w:t>
      </w:r>
      <w:r>
        <w:t xml:space="preserve"> biofilm and planktonic cells to desiccation. </w:t>
      </w:r>
      <w:r>
        <w:rPr>
          <w:i/>
          <w:iCs/>
        </w:rPr>
        <w:t>Biofilms</w:t>
      </w:r>
      <w:r>
        <w:t xml:space="preserve"> 1, 361–368. doi: 10.1017/S1479050504001528</w:t>
      </w:r>
    </w:p>
    <w:p w14:paraId="1065DCE8" w14:textId="77777777" w:rsidR="00A46B68" w:rsidRDefault="00A46B68" w:rsidP="00562BA2">
      <w:pPr>
        <w:pStyle w:val="Rerences"/>
      </w:pPr>
      <w:r>
        <w:t xml:space="preserve">Nedashkovskaya, O. I., Kim, S. B., Lee, K. H., Mikhailov, V. V., and Bae, K. S. (2005). </w:t>
      </w:r>
      <w:r>
        <w:rPr>
          <w:i/>
          <w:iCs/>
        </w:rPr>
        <w:t>Gillisia mitskevichiae</w:t>
      </w:r>
      <w:r>
        <w:t xml:space="preserve"> sp. nov., a novel bacterium of the family Flavobacteriaceae, isolated from sea water. </w:t>
      </w:r>
      <w:r>
        <w:rPr>
          <w:i/>
          <w:iCs/>
        </w:rPr>
        <w:t>International Journal of Systematic and Evolutionary Microbiology</w:t>
      </w:r>
      <w:r>
        <w:t xml:space="preserve"> 55, 321–323. doi: 10.1099/ijs.0.63256-0</w:t>
      </w:r>
    </w:p>
    <w:p w14:paraId="2ED86C73" w14:textId="77777777" w:rsidR="00A46B68" w:rsidRDefault="00A46B68" w:rsidP="00562BA2">
      <w:pPr>
        <w:pStyle w:val="Rerences"/>
      </w:pPr>
      <w:r>
        <w:t xml:space="preserve">Northcott, M. L., Gooseff, M. N., Barrett, J. E., Zeglin, L. H., Takacs-Vesbach, C. D., and Humphrey, J. (2009). Hydrologic characteristics of lake- and stream-side riparian wetted margins in the McMurdo Dry Valleys, Antarctica. </w:t>
      </w:r>
      <w:r>
        <w:rPr>
          <w:i/>
          <w:iCs/>
        </w:rPr>
        <w:t>Hydrological Processes</w:t>
      </w:r>
      <w:r>
        <w:t xml:space="preserve"> 23, 1255–1267. doi: 10.1002/hyp.7262</w:t>
      </w:r>
    </w:p>
    <w:p w14:paraId="3FC54C26" w14:textId="77777777" w:rsidR="00A46B68" w:rsidRDefault="00A46B68" w:rsidP="00562BA2">
      <w:pPr>
        <w:pStyle w:val="Rerences"/>
      </w:pPr>
      <w:r>
        <w:t xml:space="preserve">Nunkaew, T., Kantachote, D., Nitoda, T., Kanzaki, H., and Ritchie, R. J. (2015). Characterization of exopolymeric substances from selected </w:t>
      </w:r>
      <w:r>
        <w:rPr>
          <w:i/>
          <w:iCs/>
        </w:rPr>
        <w:t>Rhodopseudomonas palustris</w:t>
      </w:r>
      <w:r>
        <w:t xml:space="preserve"> strains and their ability to adsorb sodium ions. </w:t>
      </w:r>
      <w:r>
        <w:rPr>
          <w:i/>
          <w:iCs/>
        </w:rPr>
        <w:t>Carbohydrate Polymers</w:t>
      </w:r>
      <w:r>
        <w:t xml:space="preserve"> 115, 334–341. doi: 10.1016/j.carbpol.2014.08.099</w:t>
      </w:r>
    </w:p>
    <w:p w14:paraId="0F071584" w14:textId="77777777" w:rsidR="00A46B68" w:rsidRDefault="00A46B68" w:rsidP="00562BA2">
      <w:pPr>
        <w:pStyle w:val="Rerences"/>
      </w:pPr>
      <w:r>
        <w:t xml:space="preserve">Nurk, S., Meleshko, D., Korobeynikov, A., and Pevzner, P. A. (2017). metaSPAdes: a new versatile metagenomic assembler. </w:t>
      </w:r>
      <w:r>
        <w:rPr>
          <w:i/>
          <w:iCs/>
        </w:rPr>
        <w:t>Genome Res</w:t>
      </w:r>
      <w:r>
        <w:t xml:space="preserve"> 27, 824–834. doi: 10.1101/gr.213959.116</w:t>
      </w:r>
    </w:p>
    <w:p w14:paraId="1DD115EA" w14:textId="77777777" w:rsidR="00A46B68" w:rsidRDefault="00A46B68" w:rsidP="00562BA2">
      <w:pPr>
        <w:pStyle w:val="Rerences"/>
      </w:pPr>
      <w:r>
        <w:t xml:space="preserve">Obryk, M. K., Doran, P. T., Fountain, A. G., Myers, M., and McKay, C. P. (2020). Climate From the McMurdo Dry Valleys, Antarctica, 1986–2017: Surface Air Temperature Trends and Redefined Summer Season. </w:t>
      </w:r>
      <w:r>
        <w:rPr>
          <w:i/>
          <w:iCs/>
        </w:rPr>
        <w:t>J. Geophys. Res. Atmos.</w:t>
      </w:r>
      <w:r>
        <w:t xml:space="preserve"> 125, e2019JD032180. doi: 10.1029/2019JD032180</w:t>
      </w:r>
    </w:p>
    <w:p w14:paraId="794264E2" w14:textId="77777777" w:rsidR="00A46B68" w:rsidRDefault="00A46B68" w:rsidP="00562BA2">
      <w:pPr>
        <w:pStyle w:val="Rerences"/>
      </w:pPr>
      <w:r>
        <w:lastRenderedPageBreak/>
        <w:t xml:space="preserve">Oren, A. (1999). Bioenergetic Aspects of Halophilism. </w:t>
      </w:r>
      <w:r>
        <w:rPr>
          <w:i/>
          <w:iCs/>
        </w:rPr>
        <w:t>Microbiol Mol Biol Rev</w:t>
      </w:r>
      <w:r>
        <w:t xml:space="preserve"> 63, 334–348. doi: 10.1128/MMBR.63.2.334-348.1999</w:t>
      </w:r>
    </w:p>
    <w:p w14:paraId="032518C2" w14:textId="77777777" w:rsidR="00A46B68" w:rsidRDefault="00A46B68" w:rsidP="00562BA2">
      <w:pPr>
        <w:pStyle w:val="Rerences"/>
      </w:pPr>
      <w:r>
        <w:t xml:space="preserve">Oren, A. (2008). Microbial life at high salt concentrations: phylogenetic and metabolic diversity. </w:t>
      </w:r>
      <w:r>
        <w:rPr>
          <w:i/>
          <w:iCs/>
        </w:rPr>
        <w:t>Aquat. Biosyst.</w:t>
      </w:r>
      <w:r>
        <w:t xml:space="preserve"> 4, 2. doi: 10.1186/1746-1448-4-2</w:t>
      </w:r>
    </w:p>
    <w:p w14:paraId="41337842" w14:textId="77777777" w:rsidR="00A46B68" w:rsidRDefault="00A46B68" w:rsidP="00562BA2">
      <w:pPr>
        <w:pStyle w:val="Rerences"/>
      </w:pPr>
      <w:r>
        <w:t xml:space="preserve">Oren, A. (2015). Halophilic microbial communities and their environments. </w:t>
      </w:r>
      <w:r>
        <w:rPr>
          <w:i/>
          <w:iCs/>
        </w:rPr>
        <w:t>Current Opinion in Biotechnology</w:t>
      </w:r>
      <w:r>
        <w:t xml:space="preserve"> 33, 119–124. doi: 10.1016/j.copbio.2015.02.005</w:t>
      </w:r>
    </w:p>
    <w:p w14:paraId="6E995524" w14:textId="77777777" w:rsidR="00A46B68" w:rsidRDefault="00A46B68" w:rsidP="00562BA2">
      <w:pPr>
        <w:pStyle w:val="Rerences"/>
      </w:pPr>
      <w:r>
        <w:t xml:space="preserve">Papaleo, M. C., Fondi, M., Maida, I., Perrin, E., Lo Giudice, A., Michaud, L., et al. (2012). Sponge-associated microbial Antarctic communities exhibiting antimicrobial activity against </w:t>
      </w:r>
      <w:r>
        <w:rPr>
          <w:i/>
          <w:iCs/>
        </w:rPr>
        <w:t>Burkholderia cepacia</w:t>
      </w:r>
      <w:r>
        <w:t xml:space="preserve"> complex bacteria. </w:t>
      </w:r>
      <w:r>
        <w:rPr>
          <w:i/>
          <w:iCs/>
        </w:rPr>
        <w:t>Biotechnology Advances</w:t>
      </w:r>
      <w:r>
        <w:t xml:space="preserve"> 30, 272–293. doi: 10.1016/j.biotechadv.2011.06.011</w:t>
      </w:r>
    </w:p>
    <w:p w14:paraId="0B643CC5" w14:textId="77777777" w:rsidR="00A46B68" w:rsidRDefault="00A46B68" w:rsidP="00562BA2">
      <w:pPr>
        <w:pStyle w:val="Rerences"/>
      </w:pPr>
      <w:r>
        <w:t xml:space="preserve">Parks, D. H., Imelfort, M., Skennerton, C. T., Hugenholtz, P., and Tyson, G. W. (2015). CheckM: assessing the quality of microbial genomes recovered from isolates, single cells, and metagenomes. </w:t>
      </w:r>
      <w:r>
        <w:rPr>
          <w:i/>
          <w:iCs/>
        </w:rPr>
        <w:t>Genome Res.</w:t>
      </w:r>
      <w:r>
        <w:t xml:space="preserve"> 25, 1043–1055. doi: 10.1101/gr.186072.114</w:t>
      </w:r>
    </w:p>
    <w:p w14:paraId="1F7BFA41" w14:textId="77777777" w:rsidR="00A46B68" w:rsidRDefault="00A46B68" w:rsidP="00562BA2">
      <w:pPr>
        <w:pStyle w:val="Rerences"/>
      </w:pPr>
      <w:r>
        <w:t xml:space="preserve">Patro, R., Duggal, G., Love, M. I., Irizarry, R. A., and Kingsford, C. (2017). Salmon provides fast and bias-aware quantification of transcript expression. </w:t>
      </w:r>
      <w:r>
        <w:rPr>
          <w:i/>
          <w:iCs/>
        </w:rPr>
        <w:t>Nat Methods</w:t>
      </w:r>
      <w:r>
        <w:t xml:space="preserve"> 14, 417–419. doi: 10.1038/nmeth.4197</w:t>
      </w:r>
    </w:p>
    <w:p w14:paraId="723C5B4A" w14:textId="77777777" w:rsidR="00A46B68" w:rsidRDefault="00A46B68" w:rsidP="00562BA2">
      <w:pPr>
        <w:pStyle w:val="Rerences"/>
      </w:pPr>
      <w:r>
        <w:t xml:space="preserve">Pertea, M., Pertea, G. M., Antonescu, C. M., Chang, T.-C., Mendell, J. T., and Salzberg, S. L. (2015). StringTie enables improved reconstruction of a transcriptome from RNA-seq reads. </w:t>
      </w:r>
      <w:r>
        <w:rPr>
          <w:i/>
          <w:iCs/>
        </w:rPr>
        <w:t>Nat Biotechnol</w:t>
      </w:r>
      <w:r>
        <w:t xml:space="preserve"> 33, 290–295. doi: 10.1038/nbt.3122</w:t>
      </w:r>
    </w:p>
    <w:p w14:paraId="10871142" w14:textId="77777777" w:rsidR="00A46B68" w:rsidRDefault="00A46B68" w:rsidP="00562BA2">
      <w:pPr>
        <w:pStyle w:val="Rerences"/>
      </w:pPr>
      <w:r>
        <w:t xml:space="preserve">Power, S. N., Thomas, V. A., Salvatore, M. R., and Barrett, J. E. (2024). Habitat suitability of biocrust communities in a cold desert ecosystem. </w:t>
      </w:r>
      <w:r>
        <w:rPr>
          <w:i/>
          <w:iCs/>
        </w:rPr>
        <w:t>Ecology and Evolution</w:t>
      </w:r>
      <w:r>
        <w:t xml:space="preserve"> 14, e11649. doi: 10.1002/ece3.11649</w:t>
      </w:r>
    </w:p>
    <w:p w14:paraId="28ADCFB1" w14:textId="77777777" w:rsidR="00A46B68" w:rsidRDefault="00A46B68" w:rsidP="00562BA2">
      <w:pPr>
        <w:pStyle w:val="Rerences"/>
      </w:pPr>
      <w:r>
        <w:t xml:space="preserve">Purcell, A. M., Mikucki, J. A., Achberger, A. M., Alekhina, I. A., Barbante, C., Christner, B. C., et al. (2014). Microbial sulfur transformations in sediments from Subglacial Lake Whillans. </w:t>
      </w:r>
      <w:r>
        <w:rPr>
          <w:i/>
          <w:iCs/>
        </w:rPr>
        <w:t>Front. Microbiol.</w:t>
      </w:r>
      <w:r>
        <w:t xml:space="preserve"> 5. doi: 10.3389/fmicb.2014.00594</w:t>
      </w:r>
    </w:p>
    <w:p w14:paraId="2F05946A" w14:textId="77777777" w:rsidR="00A46B68" w:rsidRDefault="00A46B68" w:rsidP="00562BA2">
      <w:pPr>
        <w:pStyle w:val="Rerences"/>
      </w:pPr>
      <w:r>
        <w:t xml:space="preserve">Quast, C., Pruesse, E., Yilmaz, P., Gerken, J., Schweer, T., Yarza, P., et al. (2013). The SILVA ribosomal RNA gene database project: improved data processing and web-based tools. </w:t>
      </w:r>
      <w:r>
        <w:rPr>
          <w:i/>
          <w:iCs/>
        </w:rPr>
        <w:t>Nucleic Acids Research</w:t>
      </w:r>
      <w:r>
        <w:t xml:space="preserve"> 41, D590–D596. doi: 10.1093/nar/gks1219</w:t>
      </w:r>
    </w:p>
    <w:p w14:paraId="041B7B8E" w14:textId="77777777" w:rsidR="00A46B68" w:rsidRDefault="00A46B68" w:rsidP="00562BA2">
      <w:pPr>
        <w:pStyle w:val="Rerences"/>
      </w:pPr>
      <w:r>
        <w:t>R Core Team (2023). R: A language and environment for statistical computing. Available at: https://www.R-project.org/</w:t>
      </w:r>
    </w:p>
    <w:p w14:paraId="2D5FB048" w14:textId="77777777" w:rsidR="00A46B68" w:rsidRDefault="00A46B68" w:rsidP="00562BA2">
      <w:pPr>
        <w:pStyle w:val="Rerences"/>
      </w:pPr>
      <w:r>
        <w:lastRenderedPageBreak/>
        <w:t xml:space="preserve">Ramos, L. R., Vollú, R. E., Jurelevicius, D., Rosado, A. S., and Seldin, L. (2019). Firmicutes in different soils of Admiralty Bay, King George Island, Antarctica. </w:t>
      </w:r>
      <w:r>
        <w:rPr>
          <w:i/>
          <w:iCs/>
        </w:rPr>
        <w:t>Polar Biol</w:t>
      </w:r>
      <w:r>
        <w:t xml:space="preserve"> 42, 2219–2226. doi: 10.1007/s00300-019-02596-z</w:t>
      </w:r>
    </w:p>
    <w:p w14:paraId="4AFA8EC0" w14:textId="77777777" w:rsidR="00A46B68" w:rsidRDefault="00A46B68" w:rsidP="00562BA2">
      <w:pPr>
        <w:pStyle w:val="Rerences"/>
      </w:pPr>
      <w:r>
        <w:t xml:space="preserve">Rasmussen, T. (2023). The Potassium Efflux System Kef: Bacterial Protection against Toxic Electrophilic Compounds. </w:t>
      </w:r>
      <w:r>
        <w:rPr>
          <w:i/>
          <w:iCs/>
        </w:rPr>
        <w:t>Membranes (Basel)</w:t>
      </w:r>
      <w:r>
        <w:t xml:space="preserve"> 13, 465. doi: 10.3390/membranes13050465</w:t>
      </w:r>
    </w:p>
    <w:p w14:paraId="0943385D" w14:textId="77777777" w:rsidR="00A46B68" w:rsidRDefault="00A46B68" w:rsidP="00562BA2">
      <w:pPr>
        <w:pStyle w:val="Rerences"/>
      </w:pPr>
      <w:r>
        <w:t xml:space="preserve">Richter, I., Herbold, C. W., Lee, C. K., McDonald, I. R., Barrett, J. E., and Cary, S. C. (2014). Influence of soil properties on archaeal diversity and distribution in the McMurdo Dry Valleys, Antarctica. </w:t>
      </w:r>
      <w:r>
        <w:rPr>
          <w:i/>
          <w:iCs/>
        </w:rPr>
        <w:t>FEMS Microbiology Ecology</w:t>
      </w:r>
      <w:r>
        <w:t xml:space="preserve"> 89, 347–359. doi: 10.1111/1574-6941.12322</w:t>
      </w:r>
    </w:p>
    <w:p w14:paraId="72D60EBD" w14:textId="77777777" w:rsidR="00A46B68" w:rsidRDefault="00A46B68" w:rsidP="00562BA2">
      <w:pPr>
        <w:pStyle w:val="Rerences"/>
      </w:pPr>
      <w:r>
        <w:t xml:space="preserve">Riedel, T., Held, B., Nolan, M., Lucas, S., Lapidus, A., Tice, H., et al. (2012). Genome sequence of the Antarctic rhodopsins-containing flavobacterium </w:t>
      </w:r>
      <w:r>
        <w:rPr>
          <w:i/>
          <w:iCs/>
        </w:rPr>
        <w:t>Gillisia limnaea</w:t>
      </w:r>
      <w:r>
        <w:t xml:space="preserve"> type strain (R-8282T). </w:t>
      </w:r>
      <w:r>
        <w:rPr>
          <w:i/>
          <w:iCs/>
        </w:rPr>
        <w:t>Stand in Genomic Sci</w:t>
      </w:r>
      <w:r>
        <w:t xml:space="preserve"> 7, 107–119. doi: 10.4056/sigs.3216895</w:t>
      </w:r>
    </w:p>
    <w:p w14:paraId="19006964" w14:textId="77777777" w:rsidR="00A46B68" w:rsidRDefault="00A46B68" w:rsidP="00562BA2">
      <w:pPr>
        <w:pStyle w:val="Rerences"/>
      </w:pPr>
      <w:r>
        <w:t>Rodriguez-R, L. M., and Konstantinidis, K. T. (2016). The enveomics collection: a toolbox for specialized analyses of microbial genomes and metagenomes. PeerJ Preprints. doi: 10.7287/peerj.preprints.1900v1</w:t>
      </w:r>
    </w:p>
    <w:p w14:paraId="3FD7D734" w14:textId="77777777" w:rsidR="00A46B68" w:rsidRDefault="00A46B68" w:rsidP="00562BA2">
      <w:pPr>
        <w:pStyle w:val="Rerences"/>
      </w:pPr>
      <w:r>
        <w:t xml:space="preserve">Roh, S. W., Lee, M., Lee, H.-W., Yim, K. J., Heo, S. Y., Kim, K.-N., et al. (2013). </w:t>
      </w:r>
      <w:r>
        <w:rPr>
          <w:i/>
          <w:iCs/>
        </w:rPr>
        <w:t>Gillisia marina</w:t>
      </w:r>
      <w:r>
        <w:t xml:space="preserve"> sp. nov., from seashore sand, and emended description of the genus Gillisia. </w:t>
      </w:r>
      <w:r>
        <w:rPr>
          <w:i/>
          <w:iCs/>
        </w:rPr>
        <w:t>International Journal of Systematic and Evolutionary Microbiology</w:t>
      </w:r>
      <w:r>
        <w:t xml:space="preserve"> 63, 3640–3645. doi: 10.1099/ijs.0.048116-0</w:t>
      </w:r>
    </w:p>
    <w:p w14:paraId="5667B05E" w14:textId="77777777" w:rsidR="00A46B68" w:rsidRDefault="00A46B68" w:rsidP="00562BA2">
      <w:pPr>
        <w:pStyle w:val="Rerences"/>
      </w:pPr>
      <w:r>
        <w:t>Ryan Cook and Andrea Telatin (2023). metaprokka. Available at: https://github.com/telatin/metaprokka</w:t>
      </w:r>
    </w:p>
    <w:p w14:paraId="62E5F51E" w14:textId="77777777" w:rsidR="00A46B68" w:rsidRDefault="00A46B68" w:rsidP="00562BA2">
      <w:pPr>
        <w:pStyle w:val="Rerences"/>
      </w:pPr>
      <w:r>
        <w:t xml:space="preserve">Salvatore, M., Barrett, J., Borges, S., Power, S., Stanish, L., Sokol, E., et al. (2021). Counting Carbon: Quantifying Biomass in the McMurdo Dry Valleys through Orbital &amp; Field Observations. </w:t>
      </w:r>
      <w:r>
        <w:rPr>
          <w:i/>
          <w:iCs/>
        </w:rPr>
        <w:t>International Journal of Remote Sensing</w:t>
      </w:r>
      <w:r>
        <w:t xml:space="preserve"> 42, 8597–8623. doi: 10.1080/01431161.2021.1981559</w:t>
      </w:r>
    </w:p>
    <w:p w14:paraId="2AF95A1D" w14:textId="77777777" w:rsidR="00A46B68" w:rsidRDefault="00A46B68" w:rsidP="00562BA2">
      <w:pPr>
        <w:pStyle w:val="Rerences"/>
      </w:pPr>
      <w:r>
        <w:t xml:space="preserve">Salvatore, M. R., Barrett, J. E., Fackrell, L. E., Sokol, E. R., Levy, J. S., Kuentz, L. C., et al. (2023). The Distribution of Surface Soil Moisture over Space and Time in Eastern Taylor Valley, Antarctica. </w:t>
      </w:r>
      <w:r>
        <w:rPr>
          <w:i/>
          <w:iCs/>
        </w:rPr>
        <w:t>Remote Sensing</w:t>
      </w:r>
      <w:r>
        <w:t xml:space="preserve"> 15, 3170. doi: 10.3390/rs15123170</w:t>
      </w:r>
    </w:p>
    <w:p w14:paraId="3B02D8B0" w14:textId="77777777" w:rsidR="00A46B68" w:rsidRDefault="00A46B68" w:rsidP="00562BA2">
      <w:pPr>
        <w:pStyle w:val="Rerences"/>
      </w:pPr>
      <w:r>
        <w:t xml:space="preserve">Samples, R. M., Puckett, S. P., and Balunas, M. J. (2023). Metabolomics Peak Analysis Computational Tool (MPACT): An Advanced Informatics Tool for Metabolomics and </w:t>
      </w:r>
      <w:r>
        <w:lastRenderedPageBreak/>
        <w:t xml:space="preserve">Data Visualization of Molecules from Complex Biological Samples. </w:t>
      </w:r>
      <w:r>
        <w:rPr>
          <w:i/>
          <w:iCs/>
        </w:rPr>
        <w:t>Anal. Chem.</w:t>
      </w:r>
      <w:r>
        <w:t xml:space="preserve"> 95, 8770–8779. doi: 10.1021/acs.analchem.2c04632</w:t>
      </w:r>
    </w:p>
    <w:p w14:paraId="773F9CB8" w14:textId="77777777" w:rsidR="00A46B68" w:rsidRDefault="00A46B68" w:rsidP="00562BA2">
      <w:pPr>
        <w:pStyle w:val="Rerences"/>
      </w:pPr>
      <w:r>
        <w:t xml:space="preserve">Seemann, T. (2014). Prokka: rapid prokaryotic genome annotation. </w:t>
      </w:r>
      <w:r>
        <w:rPr>
          <w:i/>
          <w:iCs/>
        </w:rPr>
        <w:t>Bioinformatics</w:t>
      </w:r>
      <w:r>
        <w:t xml:space="preserve"> 30, 2068–2069. doi: 10.1093/bioinformatics/btu153</w:t>
      </w:r>
    </w:p>
    <w:p w14:paraId="5E6C354E" w14:textId="77777777" w:rsidR="00A46B68" w:rsidRDefault="00A46B68" w:rsidP="00562BA2">
      <w:pPr>
        <w:pStyle w:val="Rerences"/>
      </w:pPr>
      <w:r>
        <w:t xml:space="preserve">Setlow, P., and Johnson, E. A. (2012). “Spores and Their Significance,” in </w:t>
      </w:r>
      <w:r>
        <w:rPr>
          <w:i/>
          <w:iCs/>
        </w:rPr>
        <w:t>Food Microbiology</w:t>
      </w:r>
      <w:r>
        <w:t>, (John Wiley &amp; Sons, Ltd), 45–79. doi: 10.1128/9781555818463.ch3</w:t>
      </w:r>
    </w:p>
    <w:p w14:paraId="7845D1EA" w14:textId="77777777" w:rsidR="00A46B68" w:rsidRDefault="00A46B68" w:rsidP="00562BA2">
      <w:pPr>
        <w:pStyle w:val="Rerences"/>
      </w:pPr>
      <w:r>
        <w:t xml:space="preserve">Severgnini, M., Canini, F., Consolandi, C., Camboni, T., Paolo D’Acqui, L., Mascalchi, C., et al. (2021). Highly differentiated soil bacterial communities in Victoria Land macro-areas (Antarctica). </w:t>
      </w:r>
      <w:r>
        <w:rPr>
          <w:i/>
          <w:iCs/>
        </w:rPr>
        <w:t>FEMS Microbiology Ecology</w:t>
      </w:r>
      <w:r>
        <w:t xml:space="preserve"> 97, fiab087. doi: 10.1093/femsec/fiab087</w:t>
      </w:r>
    </w:p>
    <w:p w14:paraId="29930362" w14:textId="77777777" w:rsidR="00A46B68" w:rsidRDefault="00A46B68" w:rsidP="00562BA2">
      <w:pPr>
        <w:pStyle w:val="Rerences"/>
      </w:pPr>
      <w:r>
        <w:t xml:space="preserve">Shaffer, J. M. C., Giddings, L.-A., Samples, R. M., and Mikucki, J. A. (2023). Genomic and phenotypic characterization of a red-pigmented strain of Massilia frigida isolated from an Antarctic microbial mat. </w:t>
      </w:r>
      <w:r>
        <w:rPr>
          <w:i/>
          <w:iCs/>
        </w:rPr>
        <w:t>Front. Microbiol.</w:t>
      </w:r>
      <w:r>
        <w:t xml:space="preserve"> 14. doi: 10.3389/fmicb.2023.1156033</w:t>
      </w:r>
    </w:p>
    <w:p w14:paraId="07F5865F" w14:textId="77777777" w:rsidR="00A46B68" w:rsidRDefault="00A46B68" w:rsidP="00562BA2">
      <w:pPr>
        <w:pStyle w:val="Rerences"/>
      </w:pPr>
      <w:r>
        <w:t xml:space="preserve">Shaw, E. A., Adams, B. J., Barrett, J. E., Lyons, W. B., Virginia, R. A., and Wall, D. H. (2018). Stable C and N isotope ratios reveal soil food web structure and identify the nematode </w:t>
      </w:r>
      <w:r>
        <w:rPr>
          <w:i/>
          <w:iCs/>
        </w:rPr>
        <w:t>Eudorylaimus antarcticus</w:t>
      </w:r>
      <w:r>
        <w:t xml:space="preserve"> as an omnivore–predator in Taylor Valley, Antarctica. </w:t>
      </w:r>
      <w:r>
        <w:rPr>
          <w:i/>
          <w:iCs/>
        </w:rPr>
        <w:t>Polar Biol</w:t>
      </w:r>
      <w:r>
        <w:t xml:space="preserve"> 41, 1013–1018. doi: 10.1007/s00300-017-2243-8</w:t>
      </w:r>
    </w:p>
    <w:p w14:paraId="71308DBA" w14:textId="77777777" w:rsidR="00A46B68" w:rsidRDefault="00A46B68" w:rsidP="00562BA2">
      <w:pPr>
        <w:pStyle w:val="Rerences"/>
      </w:pPr>
      <w:r>
        <w:t xml:space="preserve">Sheen, T. R., O’Callaghan, M., Smalley, D. J., Ronson, C. W., and Hurst, M. R. H. (2013). </w:t>
      </w:r>
      <w:r>
        <w:rPr>
          <w:i/>
          <w:iCs/>
        </w:rPr>
        <w:t>Serratia entomophila</w:t>
      </w:r>
      <w:r>
        <w:t xml:space="preserve"> bet gene induction and the impact of glycine betaine accumulation on desiccation tolerance. </w:t>
      </w:r>
      <w:r>
        <w:rPr>
          <w:i/>
          <w:iCs/>
        </w:rPr>
        <w:t>Journal of Applied Microbiology</w:t>
      </w:r>
      <w:r>
        <w:t xml:space="preserve"> 114, 470–481. doi: 10.1111/jam.12052</w:t>
      </w:r>
    </w:p>
    <w:p w14:paraId="6EBA00A5" w14:textId="77777777" w:rsidR="00A46B68" w:rsidRDefault="00A46B68" w:rsidP="00562BA2">
      <w:pPr>
        <w:pStyle w:val="Rerences"/>
      </w:pPr>
      <w:r>
        <w:t xml:space="preserve">Shivanand, P., and Mugeraya, G. (2011). Halophilic bacteria and their compatible solutes – osmoregulation and potential applications. </w:t>
      </w:r>
      <w:r>
        <w:rPr>
          <w:i/>
          <w:iCs/>
        </w:rPr>
        <w:t>CURRENT SCIENCE</w:t>
      </w:r>
      <w:r>
        <w:t xml:space="preserve"> 100, 6.</w:t>
      </w:r>
    </w:p>
    <w:p w14:paraId="70B79F51" w14:textId="77777777" w:rsidR="00A46B68" w:rsidRDefault="00A46B68" w:rsidP="00562BA2">
      <w:pPr>
        <w:pStyle w:val="Rerences"/>
      </w:pPr>
      <w:r>
        <w:t xml:space="preserve">Solon, A. J., Mastrangelo, C., Vimercati, L., Sommers, P., Darcy, J. L., Gendron, E. M. S., et al. (2021). Gullies and Moraines Are Islands of Biodiversity in an Arid, Mountain Landscape, Asgard Range, Antarctica. </w:t>
      </w:r>
      <w:r>
        <w:rPr>
          <w:i/>
          <w:iCs/>
        </w:rPr>
        <w:t>Front. Microbiol.</w:t>
      </w:r>
      <w:r>
        <w:t xml:space="preserve"> 12. doi: 10.3389/fmicb.2021.654135</w:t>
      </w:r>
    </w:p>
    <w:p w14:paraId="4F67DD7C" w14:textId="77777777" w:rsidR="00A46B68" w:rsidRDefault="00A46B68" w:rsidP="00562BA2">
      <w:pPr>
        <w:pStyle w:val="Rerences"/>
      </w:pPr>
      <w:r>
        <w:t xml:space="preserve">Stanish, L. F., O’Neill, S. P., Gonzalez, A., Legg, T. M., Knelman, J., McKnight, D. M., et al. (2013). Bacteria and diatom co-occurrence patterns in microbial mats from polar desert streams. </w:t>
      </w:r>
      <w:r>
        <w:rPr>
          <w:i/>
          <w:iCs/>
        </w:rPr>
        <w:t>Environmental Microbiology</w:t>
      </w:r>
      <w:r>
        <w:t xml:space="preserve"> 15, 1115–1131. doi: 10.1111/j.1462-2920.2012.02872.x</w:t>
      </w:r>
    </w:p>
    <w:p w14:paraId="5EA8D003" w14:textId="77777777" w:rsidR="00A46B68" w:rsidRDefault="00A46B68" w:rsidP="00562BA2">
      <w:pPr>
        <w:pStyle w:val="Rerences"/>
      </w:pPr>
      <w:r>
        <w:lastRenderedPageBreak/>
        <w:t>Stein, S. E., Wallace, W. E., Ji, W., Little, J. L., Garraffo, H. M., Markey, S. P., et al. (2023). NIST Standard Reference Database 1A. Available at: https://www.nist.gov/srd/nist-standard-reference-database-1a</w:t>
      </w:r>
    </w:p>
    <w:p w14:paraId="0D40E77F" w14:textId="77777777" w:rsidR="00A46B68" w:rsidRDefault="00A46B68" w:rsidP="00562BA2">
      <w:pPr>
        <w:pStyle w:val="Rerences"/>
      </w:pPr>
      <w:r>
        <w:t xml:space="preserve">Steuber, J., Halang, P., Vorburger, T., Steffen, W., Vohl, G., and Fritz, G. (2014). Central role of the Na+-translocating NADH:quinone oxidoreductase (Na+-NQR) in sodium bioenergetics of &lt;i&gt;Vibrio cholerae&lt;i&gt;. </w:t>
      </w:r>
      <w:r>
        <w:rPr>
          <w:i/>
          <w:iCs/>
        </w:rPr>
        <w:t>Biological Chemistry</w:t>
      </w:r>
      <w:r>
        <w:t xml:space="preserve"> 395, 1389–1399. doi: 10.1515/hsz-2014-0204</w:t>
      </w:r>
    </w:p>
    <w:p w14:paraId="0DFDB5E7" w14:textId="77777777" w:rsidR="00A46B68" w:rsidRDefault="00A46B68" w:rsidP="00562BA2">
      <w:pPr>
        <w:pStyle w:val="Rerences"/>
      </w:pPr>
      <w:r>
        <w:t>Takatani, N., Sawabe, T., Maoka, T., Miyashita, K., and Hosokawa, M. (2015). Structure of a novel monocyclic carotenoid, 3″-hydroxy-2′-isopentenylsaproxanthin ((3</w:t>
      </w:r>
      <w:r>
        <w:rPr>
          <w:i/>
          <w:iCs/>
        </w:rPr>
        <w:t>R</w:t>
      </w:r>
      <w:r>
        <w:t>,2′</w:t>
      </w:r>
      <w:r>
        <w:rPr>
          <w:i/>
          <w:iCs/>
        </w:rPr>
        <w:t>S</w:t>
      </w:r>
      <w:r>
        <w:t xml:space="preserve">)-2′-(3-hydroxy-3-methylbutyl)-3′, 4′-didehydro-1′, 2′-dihydro-β, ψ-carotene-3, 1′-diol), from a flavobacterium </w:t>
      </w:r>
      <w:r>
        <w:rPr>
          <w:i/>
          <w:iCs/>
        </w:rPr>
        <w:t>Gillisia limnaea</w:t>
      </w:r>
      <w:r>
        <w:t xml:space="preserve"> strain DSM 15749. </w:t>
      </w:r>
      <w:r>
        <w:rPr>
          <w:i/>
          <w:iCs/>
        </w:rPr>
        <w:t>Biocatalysis and Agricultural Biotechnology</w:t>
      </w:r>
      <w:r>
        <w:t xml:space="preserve"> 4, 174–179. doi: 10.1016/j.bcab.2015.02.005</w:t>
      </w:r>
    </w:p>
    <w:p w14:paraId="59380C53" w14:textId="77777777" w:rsidR="00A46B68" w:rsidRDefault="00A46B68" w:rsidP="00562BA2">
      <w:pPr>
        <w:pStyle w:val="Rerences"/>
      </w:pPr>
      <w:r>
        <w:t xml:space="preserve">Tsai, J.-Y., Kellosalo, J., Sun, Y.-J., and Goldman, A. (2014). Proton/sodium pumping pyrophosphatases: the last of the primary ion pumps. </w:t>
      </w:r>
      <w:r>
        <w:rPr>
          <w:i/>
          <w:iCs/>
        </w:rPr>
        <w:t>Current Opinion in Structural Biology</w:t>
      </w:r>
      <w:r>
        <w:t xml:space="preserve"> 27, 38–47. doi: 10.1016/j.sbi.2014.03.007</w:t>
      </w:r>
    </w:p>
    <w:p w14:paraId="563DA8D6" w14:textId="77777777" w:rsidR="00A46B68" w:rsidRDefault="00A46B68" w:rsidP="00562BA2">
      <w:pPr>
        <w:pStyle w:val="Rerences"/>
      </w:pPr>
      <w:r>
        <w:t xml:space="preserve">Tsugawa, H., Cajka, T., Kind, T., Ma, Y., Higgins, B., Ikeda, K., et al. (2015). MS-DIAL: data-independent MS/MS deconvolution for comprehensive metabolome analysis. </w:t>
      </w:r>
      <w:r>
        <w:rPr>
          <w:i/>
          <w:iCs/>
        </w:rPr>
        <w:t>Nat Methods</w:t>
      </w:r>
      <w:r>
        <w:t xml:space="preserve"> 12, 523–526. doi: 10.1038/nmeth.3393</w:t>
      </w:r>
    </w:p>
    <w:p w14:paraId="16830E09" w14:textId="77777777" w:rsidR="00A46B68" w:rsidRDefault="00A46B68" w:rsidP="00562BA2">
      <w:pPr>
        <w:pStyle w:val="Rerences"/>
      </w:pPr>
      <w:r>
        <w:t xml:space="preserve">Turner, S., Pryer, K. M., Miao, V. P. W., and Palmer, J. D. (1999). Investigating Deep Phylogenetic Relationships among Cyanobacteria and Plastids by Small Subunit rRNA Sequence Analysis. </w:t>
      </w:r>
      <w:r>
        <w:rPr>
          <w:i/>
          <w:iCs/>
        </w:rPr>
        <w:t>Journal of Eukaryotic Microbiology</w:t>
      </w:r>
      <w:r>
        <w:t xml:space="preserve"> 46, 327–338. doi: 10.1111/j.1550-7408.1999.tb04612.x</w:t>
      </w:r>
    </w:p>
    <w:p w14:paraId="3CBE1F26" w14:textId="77777777" w:rsidR="00A46B68" w:rsidRDefault="00A46B68" w:rsidP="00562BA2">
      <w:pPr>
        <w:pStyle w:val="Rerences"/>
      </w:pPr>
      <w:r>
        <w:t xml:space="preserve">Tyc, Olaf, Song, C., Dickschat, J. S., Vos, M., and Garbeva, P. (2017). The Ecological Role of Volatile and Soluble Secondary Metabolites Produced by Soil Bacteria. </w:t>
      </w:r>
      <w:r>
        <w:rPr>
          <w:i/>
          <w:iCs/>
        </w:rPr>
        <w:t>Trends in Microbiology</w:t>
      </w:r>
      <w:r>
        <w:t xml:space="preserve"> 25, 280–292. doi: 10.1016/j.tim.2016.12.002</w:t>
      </w:r>
    </w:p>
    <w:p w14:paraId="64BDD144" w14:textId="77777777" w:rsidR="00A46B68" w:rsidRDefault="00A46B68" w:rsidP="00562BA2">
      <w:pPr>
        <w:pStyle w:val="Rerences"/>
      </w:pPr>
      <w:r>
        <w:t xml:space="preserve">Van Horn, D. J., Okie, J. G., Buelow, H. N., Gooseff, M. N., Barrett, J. E., and Takacs-Vesbach, C. D. (2014). Soil Microbial Responses to Increased Moisture and Organic Resources along a Salinity Gradient in a Polar Desert. </w:t>
      </w:r>
      <w:r>
        <w:rPr>
          <w:i/>
          <w:iCs/>
        </w:rPr>
        <w:t>Appl. Environ. Microbiol.</w:t>
      </w:r>
      <w:r>
        <w:t xml:space="preserve"> 80, 3034–3043. doi: 10.1128/AEM.03414-13</w:t>
      </w:r>
    </w:p>
    <w:p w14:paraId="6111FD16" w14:textId="77777777" w:rsidR="00A46B68" w:rsidRDefault="00A46B68" w:rsidP="00562BA2">
      <w:pPr>
        <w:pStyle w:val="Rerences"/>
      </w:pPr>
      <w:r>
        <w:t xml:space="preserve">Van Horn, D. J. V., Horn, M. L. V., Barrett, J. E., Gooseff, M. N., Altrichter, A. E., Geyer, K. M., et al. (2013). Factors Controlling Soil Microbial Biomass and Bacterial Diversity and </w:t>
      </w:r>
      <w:r>
        <w:lastRenderedPageBreak/>
        <w:t xml:space="preserve">Community Composition in a Cold Desert Ecosystem: Role of Geographic Scale. </w:t>
      </w:r>
      <w:r>
        <w:rPr>
          <w:i/>
          <w:iCs/>
        </w:rPr>
        <w:t>PLOS ONE</w:t>
      </w:r>
      <w:r>
        <w:t xml:space="preserve"> 8, e66103. doi: 10.1371/journal.pone.0066103</w:t>
      </w:r>
    </w:p>
    <w:p w14:paraId="0A27179A" w14:textId="77777777" w:rsidR="00A46B68" w:rsidRDefault="00A46B68" w:rsidP="00562BA2">
      <w:pPr>
        <w:pStyle w:val="Rerences"/>
      </w:pPr>
      <w:r>
        <w:t xml:space="preserve">Van Trappen, S., Vandecandelaere, I., Mergaert, J., and Swings, J. (2004). </w:t>
      </w:r>
      <w:r>
        <w:rPr>
          <w:i/>
          <w:iCs/>
        </w:rPr>
        <w:t>Gillisia limnaea</w:t>
      </w:r>
      <w:r>
        <w:t xml:space="preserve"> gen. nov., sp. nov., a new member of the family Flavobacteriaceae isolated from a microbial mat in Lake Fryxell, Antarctica. </w:t>
      </w:r>
      <w:r>
        <w:rPr>
          <w:i/>
          <w:iCs/>
        </w:rPr>
        <w:t>International Journal of Systematic and Evolutionary Microbiology</w:t>
      </w:r>
      <w:r>
        <w:t xml:space="preserve"> 54, 445–448. doi: 10.1099/ijs.0.02922-0</w:t>
      </w:r>
    </w:p>
    <w:p w14:paraId="18C123EC" w14:textId="77777777" w:rsidR="00A46B68" w:rsidRDefault="00A46B68" w:rsidP="00562BA2">
      <w:pPr>
        <w:pStyle w:val="Rerences"/>
      </w:pPr>
      <w:r>
        <w:t xml:space="preserve">Vick-Majors, T. J., Priscu, J. C., and Amaral-Zettler, L. A. (2014). Modular community structure suggests metabolic plasticity during the transition to polar night in ice-covered Antarctic lakes. </w:t>
      </w:r>
      <w:r>
        <w:rPr>
          <w:i/>
          <w:iCs/>
        </w:rPr>
        <w:t>The ISME Journal</w:t>
      </w:r>
      <w:r>
        <w:t xml:space="preserve"> 8, 778–789. doi: 10.1038/ismej.2013.190</w:t>
      </w:r>
    </w:p>
    <w:p w14:paraId="448BD852" w14:textId="77777777" w:rsidR="00A46B68" w:rsidRDefault="00A46B68" w:rsidP="00562BA2">
      <w:pPr>
        <w:pStyle w:val="Rerences"/>
      </w:pPr>
      <w:r>
        <w:t xml:space="preserve">Vidal-Verdú, À., Molina-Menor, E., Pascual, J., Peretó, J., and Porcar, M. (2023). </w:t>
      </w:r>
      <w:r>
        <w:rPr>
          <w:i/>
          <w:iCs/>
        </w:rPr>
        <w:t>Gillisia lutea</w:t>
      </w:r>
      <w:r>
        <w:t xml:space="preserve"> sp. nov., isolated from marine aluminium residues from the Mediterranean sea. </w:t>
      </w:r>
      <w:r>
        <w:rPr>
          <w:i/>
          <w:iCs/>
        </w:rPr>
        <w:t>International Journal of Systematic and Evolutionary Microbiology</w:t>
      </w:r>
      <w:r>
        <w:t xml:space="preserve"> 73, 005957. doi: 10.1099/ijsem.0.005957</w:t>
      </w:r>
    </w:p>
    <w:p w14:paraId="43F6957C" w14:textId="77777777" w:rsidR="00A46B68" w:rsidRDefault="00A46B68" w:rsidP="00562BA2">
      <w:pPr>
        <w:pStyle w:val="Rerences"/>
      </w:pPr>
      <w:r>
        <w:t xml:space="preserve">Wick, R. R., Judd, L. M., Gorrie, C. L., and Holt, K. E. (2017). Unicycler: Resolving bacterial genome assemblies from short and long sequencing reads. </w:t>
      </w:r>
      <w:r>
        <w:rPr>
          <w:i/>
          <w:iCs/>
        </w:rPr>
        <w:t>PLOS Computational Biology</w:t>
      </w:r>
      <w:r>
        <w:t xml:space="preserve"> 13, e1005595. doi: 10.1371/journal.pcbi.1005595</w:t>
      </w:r>
    </w:p>
    <w:p w14:paraId="65D18BC3" w14:textId="77777777" w:rsidR="00A46B68" w:rsidRDefault="00A46B68" w:rsidP="00562BA2">
      <w:pPr>
        <w:pStyle w:val="Rerences"/>
      </w:pPr>
      <w:r>
        <w:t xml:space="preserve">Wilson, M. E., Maksaev, G., and Haswell, E. S. (2013). MscS-like Mechanosensitive Channels in Plants and Microbes. </w:t>
      </w:r>
      <w:r>
        <w:rPr>
          <w:i/>
          <w:iCs/>
        </w:rPr>
        <w:t>Biochemistry</w:t>
      </w:r>
      <w:r>
        <w:t xml:space="preserve"> 52, 5708–5722. doi: 10.1021/bi400804z</w:t>
      </w:r>
    </w:p>
    <w:p w14:paraId="32EBB040" w14:textId="77777777" w:rsidR="00A46B68" w:rsidRDefault="00A46B68" w:rsidP="00562BA2">
      <w:pPr>
        <w:pStyle w:val="Rerences"/>
      </w:pPr>
      <w:r>
        <w:t xml:space="preserve">Wright, E., S. (2016). Using DECIPHER v2.0 to Analyze Big Biological Sequence Data in R. </w:t>
      </w:r>
      <w:r>
        <w:rPr>
          <w:i/>
          <w:iCs/>
        </w:rPr>
        <w:t>The R Journal</w:t>
      </w:r>
      <w:r>
        <w:t xml:space="preserve"> 8, 352–359. doi: 10.32614/RJ-2016-025</w:t>
      </w:r>
    </w:p>
    <w:p w14:paraId="16D55D1F" w14:textId="77777777" w:rsidR="00A46B68" w:rsidRDefault="00A46B68" w:rsidP="00562BA2">
      <w:pPr>
        <w:pStyle w:val="Rerences"/>
      </w:pPr>
      <w:r>
        <w:t xml:space="preserve">Zeglin, L. H., Sinsabaugh, R. L., Barrett, J. E., Gooseff, M. N., and Takacs-Vesbach, C. D. (2009). Landscape Distribution of Microbial Activity in the McMurdo Dry Valleys: Linked Biotic Processes, Hydrology, and Geochemistry in a Cold Desert Ecosystem. </w:t>
      </w:r>
      <w:r>
        <w:rPr>
          <w:i/>
          <w:iCs/>
        </w:rPr>
        <w:t>Ecosystems</w:t>
      </w:r>
      <w:r>
        <w:t xml:space="preserve"> 12, 562–573. doi: 10.1007/s10021-009-9242-8</w:t>
      </w:r>
    </w:p>
    <w:p w14:paraId="126227E2" w14:textId="77777777" w:rsidR="00A46B68" w:rsidRDefault="00A46B68" w:rsidP="00A46B68">
      <w:pPr>
        <w:rPr>
          <w:b/>
          <w:bCs/>
        </w:rPr>
      </w:pPr>
      <w:r>
        <w:rPr>
          <w:b/>
          <w:bCs/>
        </w:rPr>
        <w:br w:type="page"/>
      </w:r>
    </w:p>
    <w:p w14:paraId="6EDF1122" w14:textId="77777777" w:rsidR="001D6E31" w:rsidRPr="001D6E31" w:rsidRDefault="001D6E31" w:rsidP="001D6E31">
      <w:pPr>
        <w:pStyle w:val="Heading2"/>
      </w:pPr>
      <w:bookmarkStart w:id="176" w:name="_Toc196256918"/>
      <w:bookmarkStart w:id="177" w:name="_Toc193668452"/>
      <w:r w:rsidRPr="001D6E31">
        <w:lastRenderedPageBreak/>
        <w:t>Appendix: Tables and Figures</w:t>
      </w:r>
      <w:bookmarkEnd w:id="176"/>
    </w:p>
    <w:p w14:paraId="5AA0D6BA" w14:textId="72AC1F9F" w:rsidR="00A46B68" w:rsidRPr="004A7652" w:rsidRDefault="00A46B68" w:rsidP="00F13F6D">
      <w:pPr>
        <w:pStyle w:val="Caption"/>
      </w:pPr>
      <w:r>
        <w:t xml:space="preserve">Table </w:t>
      </w:r>
      <w:fldSimple w:instr=" STYLEREF 1 \s ">
        <w:r w:rsidR="00971287">
          <w:rPr>
            <w:noProof/>
          </w:rPr>
          <w:t>3</w:t>
        </w:r>
      </w:fldSimple>
      <w:r>
        <w:t>.</w:t>
      </w:r>
      <w:fldSimple w:instr=" SEQ Table \* ARABIC \s 1 ">
        <w:r w:rsidR="00971287">
          <w:rPr>
            <w:noProof/>
          </w:rPr>
          <w:t>1</w:t>
        </w:r>
      </w:fldSimple>
      <w:r w:rsidRPr="004A7652">
        <w:t xml:space="preserve">. </w:t>
      </w:r>
      <w:r w:rsidRPr="008B6EA4">
        <w:t xml:space="preserve">Components of </w:t>
      </w:r>
      <w:r w:rsidRPr="00372D69">
        <w:t>Saline Complex Medium (SCM)</w:t>
      </w:r>
      <w:bookmarkEnd w:id="17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5"/>
        <w:gridCol w:w="3195"/>
      </w:tblGrid>
      <w:tr w:rsidR="00A46B68" w14:paraId="0BA9E142" w14:textId="77777777" w:rsidTr="00A46B68">
        <w:trPr>
          <w:trHeight w:val="20"/>
          <w:jc w:val="center"/>
        </w:trPr>
        <w:tc>
          <w:tcPr>
            <w:tcW w:w="3705" w:type="dxa"/>
            <w:tcBorders>
              <w:top w:val="single" w:sz="4" w:space="0" w:color="auto"/>
              <w:bottom w:val="single" w:sz="4" w:space="0" w:color="auto"/>
            </w:tcBorders>
          </w:tcPr>
          <w:p w14:paraId="675A7E4D" w14:textId="77777777" w:rsidR="00A46B68" w:rsidRPr="001C42EF" w:rsidRDefault="00A46B68" w:rsidP="00A46B68">
            <w:pPr>
              <w:spacing w:line="240" w:lineRule="auto"/>
              <w:ind w:firstLine="0"/>
              <w:rPr>
                <w:b/>
                <w:bCs/>
              </w:rPr>
            </w:pPr>
            <w:r>
              <w:rPr>
                <w:b/>
                <w:bCs/>
              </w:rPr>
              <w:t>Carbon Sources</w:t>
            </w:r>
          </w:p>
        </w:tc>
        <w:tc>
          <w:tcPr>
            <w:tcW w:w="3195" w:type="dxa"/>
            <w:tcBorders>
              <w:top w:val="single" w:sz="4" w:space="0" w:color="auto"/>
              <w:bottom w:val="single" w:sz="4" w:space="0" w:color="auto"/>
            </w:tcBorders>
          </w:tcPr>
          <w:p w14:paraId="15AC3CEC" w14:textId="77777777" w:rsidR="00A46B68" w:rsidRPr="001C42EF" w:rsidRDefault="00A46B68" w:rsidP="00A46B68">
            <w:pPr>
              <w:spacing w:line="240" w:lineRule="auto"/>
              <w:ind w:firstLine="0"/>
              <w:rPr>
                <w:b/>
                <w:bCs/>
              </w:rPr>
            </w:pPr>
            <w:r w:rsidRPr="001C42EF">
              <w:rPr>
                <w:b/>
                <w:bCs/>
              </w:rPr>
              <w:t>Concentration (g L</w:t>
            </w:r>
            <w:r w:rsidRPr="001C42EF">
              <w:rPr>
                <w:b/>
                <w:bCs/>
                <w:vertAlign w:val="superscript"/>
              </w:rPr>
              <w:t>-1</w:t>
            </w:r>
            <w:r w:rsidRPr="001C42EF">
              <w:rPr>
                <w:b/>
                <w:bCs/>
              </w:rPr>
              <w:t>)</w:t>
            </w:r>
          </w:p>
        </w:tc>
      </w:tr>
      <w:tr w:rsidR="00A46B68" w14:paraId="52EBA89A" w14:textId="77777777" w:rsidTr="00A46B68">
        <w:trPr>
          <w:trHeight w:val="20"/>
          <w:jc w:val="center"/>
        </w:trPr>
        <w:tc>
          <w:tcPr>
            <w:tcW w:w="3705" w:type="dxa"/>
            <w:tcBorders>
              <w:top w:val="single" w:sz="4" w:space="0" w:color="auto"/>
            </w:tcBorders>
          </w:tcPr>
          <w:p w14:paraId="0F336B4F" w14:textId="77777777" w:rsidR="00A46B68" w:rsidRDefault="00A46B68" w:rsidP="00A46B68">
            <w:pPr>
              <w:spacing w:line="240" w:lineRule="auto"/>
              <w:ind w:firstLine="0"/>
            </w:pPr>
            <w:r>
              <w:t>Proteose Peptone</w:t>
            </w:r>
          </w:p>
        </w:tc>
        <w:tc>
          <w:tcPr>
            <w:tcW w:w="3195" w:type="dxa"/>
            <w:tcBorders>
              <w:top w:val="single" w:sz="4" w:space="0" w:color="auto"/>
            </w:tcBorders>
          </w:tcPr>
          <w:p w14:paraId="42A8705E" w14:textId="77777777" w:rsidR="00A46B68" w:rsidRDefault="00A46B68" w:rsidP="00A46B68">
            <w:pPr>
              <w:spacing w:line="240" w:lineRule="auto"/>
              <w:ind w:firstLine="0"/>
            </w:pPr>
            <w:r>
              <w:t>0.5</w:t>
            </w:r>
          </w:p>
        </w:tc>
      </w:tr>
      <w:tr w:rsidR="00A46B68" w14:paraId="3E940ADC" w14:textId="77777777" w:rsidTr="00A46B68">
        <w:trPr>
          <w:trHeight w:val="20"/>
          <w:jc w:val="center"/>
        </w:trPr>
        <w:tc>
          <w:tcPr>
            <w:tcW w:w="3705" w:type="dxa"/>
          </w:tcPr>
          <w:p w14:paraId="35B00FB6" w14:textId="77777777" w:rsidR="00A46B68" w:rsidRDefault="00A46B68" w:rsidP="00A46B68">
            <w:pPr>
              <w:spacing w:line="240" w:lineRule="auto"/>
              <w:ind w:firstLine="0"/>
            </w:pPr>
            <w:r>
              <w:t>Yeast Extract</w:t>
            </w:r>
          </w:p>
        </w:tc>
        <w:tc>
          <w:tcPr>
            <w:tcW w:w="3195" w:type="dxa"/>
          </w:tcPr>
          <w:p w14:paraId="3E5784F2" w14:textId="77777777" w:rsidR="00A46B68" w:rsidRPr="001C42EF" w:rsidRDefault="00A46B68" w:rsidP="00A46B68">
            <w:pPr>
              <w:spacing w:line="240" w:lineRule="auto"/>
              <w:ind w:firstLine="0"/>
              <w:rPr>
                <w:b/>
                <w:bCs/>
              </w:rPr>
            </w:pPr>
            <w:r w:rsidRPr="00564AF7">
              <w:t>0.5</w:t>
            </w:r>
          </w:p>
        </w:tc>
      </w:tr>
      <w:tr w:rsidR="00A46B68" w14:paraId="3B9689B7" w14:textId="77777777" w:rsidTr="00A46B68">
        <w:trPr>
          <w:trHeight w:val="20"/>
          <w:jc w:val="center"/>
        </w:trPr>
        <w:tc>
          <w:tcPr>
            <w:tcW w:w="3705" w:type="dxa"/>
          </w:tcPr>
          <w:p w14:paraId="507176AF" w14:textId="77777777" w:rsidR="00A46B68" w:rsidRDefault="00A46B68" w:rsidP="00A46B68">
            <w:pPr>
              <w:spacing w:line="240" w:lineRule="auto"/>
              <w:ind w:firstLine="0"/>
            </w:pPr>
            <w:r>
              <w:t>Dextrose</w:t>
            </w:r>
          </w:p>
        </w:tc>
        <w:tc>
          <w:tcPr>
            <w:tcW w:w="3195" w:type="dxa"/>
          </w:tcPr>
          <w:p w14:paraId="2BE2EC78" w14:textId="77777777" w:rsidR="00A46B68" w:rsidRPr="001C42EF" w:rsidRDefault="00A46B68" w:rsidP="00A46B68">
            <w:pPr>
              <w:spacing w:line="240" w:lineRule="auto"/>
              <w:ind w:firstLine="0"/>
              <w:rPr>
                <w:b/>
                <w:bCs/>
              </w:rPr>
            </w:pPr>
            <w:r w:rsidRPr="00564AF7">
              <w:t>0.5</w:t>
            </w:r>
          </w:p>
        </w:tc>
      </w:tr>
      <w:tr w:rsidR="00A46B68" w14:paraId="608585E2" w14:textId="77777777" w:rsidTr="00A46B68">
        <w:trPr>
          <w:trHeight w:val="20"/>
          <w:jc w:val="center"/>
        </w:trPr>
        <w:tc>
          <w:tcPr>
            <w:tcW w:w="3705" w:type="dxa"/>
          </w:tcPr>
          <w:p w14:paraId="192E0E52" w14:textId="77777777" w:rsidR="00A46B68" w:rsidRDefault="00A46B68" w:rsidP="00A46B68">
            <w:pPr>
              <w:spacing w:line="240" w:lineRule="auto"/>
              <w:ind w:firstLine="0"/>
            </w:pPr>
            <w:r>
              <w:t>Casamino Acids</w:t>
            </w:r>
          </w:p>
        </w:tc>
        <w:tc>
          <w:tcPr>
            <w:tcW w:w="3195" w:type="dxa"/>
          </w:tcPr>
          <w:p w14:paraId="16E8154A" w14:textId="77777777" w:rsidR="00A46B68" w:rsidRPr="001C42EF" w:rsidRDefault="00A46B68" w:rsidP="00A46B68">
            <w:pPr>
              <w:spacing w:line="240" w:lineRule="auto"/>
              <w:ind w:firstLine="0"/>
              <w:rPr>
                <w:b/>
                <w:bCs/>
              </w:rPr>
            </w:pPr>
            <w:r w:rsidRPr="00564AF7">
              <w:t>0.5</w:t>
            </w:r>
          </w:p>
        </w:tc>
      </w:tr>
      <w:tr w:rsidR="00A46B68" w14:paraId="51031C40" w14:textId="77777777" w:rsidTr="00A46B68">
        <w:trPr>
          <w:trHeight w:val="20"/>
          <w:jc w:val="center"/>
        </w:trPr>
        <w:tc>
          <w:tcPr>
            <w:tcW w:w="3705" w:type="dxa"/>
          </w:tcPr>
          <w:p w14:paraId="7D6E0C4F" w14:textId="77777777" w:rsidR="00A46B68" w:rsidRDefault="00A46B68" w:rsidP="00A46B68">
            <w:pPr>
              <w:spacing w:line="240" w:lineRule="auto"/>
              <w:ind w:firstLine="0"/>
            </w:pPr>
            <w:r>
              <w:t>Soluble Starch</w:t>
            </w:r>
          </w:p>
        </w:tc>
        <w:tc>
          <w:tcPr>
            <w:tcW w:w="3195" w:type="dxa"/>
          </w:tcPr>
          <w:p w14:paraId="01DB3168" w14:textId="77777777" w:rsidR="00A46B68" w:rsidRPr="001C42EF" w:rsidRDefault="00A46B68" w:rsidP="00A46B68">
            <w:pPr>
              <w:spacing w:line="240" w:lineRule="auto"/>
              <w:ind w:firstLine="0"/>
              <w:rPr>
                <w:b/>
                <w:bCs/>
              </w:rPr>
            </w:pPr>
            <w:r w:rsidRPr="00564AF7">
              <w:t>0.5</w:t>
            </w:r>
          </w:p>
        </w:tc>
      </w:tr>
      <w:tr w:rsidR="00A46B68" w14:paraId="5051C368" w14:textId="77777777" w:rsidTr="00A46B68">
        <w:trPr>
          <w:trHeight w:val="20"/>
          <w:jc w:val="center"/>
        </w:trPr>
        <w:tc>
          <w:tcPr>
            <w:tcW w:w="3705" w:type="dxa"/>
            <w:tcBorders>
              <w:bottom w:val="single" w:sz="4" w:space="0" w:color="auto"/>
            </w:tcBorders>
          </w:tcPr>
          <w:p w14:paraId="7F5FA94D" w14:textId="77777777" w:rsidR="00A46B68" w:rsidRDefault="00A46B68" w:rsidP="00A46B68">
            <w:pPr>
              <w:spacing w:line="240" w:lineRule="auto"/>
              <w:ind w:firstLine="0"/>
            </w:pPr>
            <w:r>
              <w:t>Sodium Pyruvate</w:t>
            </w:r>
          </w:p>
        </w:tc>
        <w:tc>
          <w:tcPr>
            <w:tcW w:w="3195" w:type="dxa"/>
            <w:tcBorders>
              <w:bottom w:val="single" w:sz="4" w:space="0" w:color="auto"/>
            </w:tcBorders>
          </w:tcPr>
          <w:p w14:paraId="13EEEEF4" w14:textId="77777777" w:rsidR="00A46B68" w:rsidRPr="001C42EF" w:rsidRDefault="00A46B68" w:rsidP="00A46B68">
            <w:pPr>
              <w:spacing w:line="240" w:lineRule="auto"/>
              <w:ind w:firstLine="0"/>
              <w:rPr>
                <w:b/>
                <w:bCs/>
              </w:rPr>
            </w:pPr>
            <w:r w:rsidRPr="00564AF7">
              <w:t>0.</w:t>
            </w:r>
            <w:r>
              <w:t>3</w:t>
            </w:r>
          </w:p>
        </w:tc>
      </w:tr>
      <w:tr w:rsidR="00A46B68" w14:paraId="28DE2768" w14:textId="77777777" w:rsidTr="00A46B68">
        <w:trPr>
          <w:trHeight w:val="20"/>
          <w:jc w:val="center"/>
        </w:trPr>
        <w:tc>
          <w:tcPr>
            <w:tcW w:w="3705" w:type="dxa"/>
            <w:tcBorders>
              <w:top w:val="single" w:sz="4" w:space="0" w:color="auto"/>
              <w:bottom w:val="single" w:sz="4" w:space="0" w:color="auto"/>
            </w:tcBorders>
          </w:tcPr>
          <w:p w14:paraId="6BC25288" w14:textId="77777777" w:rsidR="00A46B68" w:rsidRPr="001C42EF" w:rsidRDefault="00A46B68" w:rsidP="00A46B68">
            <w:pPr>
              <w:spacing w:line="240" w:lineRule="auto"/>
              <w:ind w:firstLine="0"/>
              <w:rPr>
                <w:b/>
                <w:bCs/>
              </w:rPr>
            </w:pPr>
            <w:r w:rsidRPr="001C42EF">
              <w:rPr>
                <w:b/>
                <w:bCs/>
              </w:rPr>
              <w:t>Marine Salts</w:t>
            </w:r>
          </w:p>
        </w:tc>
        <w:tc>
          <w:tcPr>
            <w:tcW w:w="3195" w:type="dxa"/>
            <w:tcBorders>
              <w:top w:val="single" w:sz="4" w:space="0" w:color="auto"/>
              <w:bottom w:val="single" w:sz="4" w:space="0" w:color="auto"/>
            </w:tcBorders>
          </w:tcPr>
          <w:p w14:paraId="18E51EE0" w14:textId="77777777" w:rsidR="00A46B68" w:rsidRPr="001C42EF" w:rsidRDefault="00A46B68" w:rsidP="00A46B68">
            <w:pPr>
              <w:spacing w:line="240" w:lineRule="auto"/>
              <w:ind w:firstLine="0"/>
              <w:rPr>
                <w:b/>
                <w:bCs/>
              </w:rPr>
            </w:pPr>
            <w:r w:rsidRPr="001C42EF">
              <w:rPr>
                <w:b/>
                <w:bCs/>
              </w:rPr>
              <w:t>Concentration (mM)</w:t>
            </w:r>
          </w:p>
        </w:tc>
      </w:tr>
      <w:tr w:rsidR="00A46B68" w14:paraId="25F5F89C" w14:textId="77777777" w:rsidTr="00A46B68">
        <w:trPr>
          <w:trHeight w:val="20"/>
          <w:jc w:val="center"/>
        </w:trPr>
        <w:tc>
          <w:tcPr>
            <w:tcW w:w="3705" w:type="dxa"/>
            <w:tcBorders>
              <w:top w:val="single" w:sz="4" w:space="0" w:color="auto"/>
            </w:tcBorders>
          </w:tcPr>
          <w:p w14:paraId="6D9A84D0" w14:textId="77777777" w:rsidR="00A46B68" w:rsidRPr="004847B5" w:rsidRDefault="00A46B68" w:rsidP="00A46B68">
            <w:pPr>
              <w:spacing w:line="240" w:lineRule="auto"/>
              <w:ind w:firstLine="0"/>
            </w:pPr>
            <w:r w:rsidRPr="004847B5">
              <w:t>Sodium Chloride</w:t>
            </w:r>
          </w:p>
        </w:tc>
        <w:tc>
          <w:tcPr>
            <w:tcW w:w="3195" w:type="dxa"/>
            <w:tcBorders>
              <w:top w:val="single" w:sz="4" w:space="0" w:color="auto"/>
            </w:tcBorders>
          </w:tcPr>
          <w:p w14:paraId="5BE61D11" w14:textId="77777777" w:rsidR="00A46B68" w:rsidRPr="004847B5" w:rsidRDefault="00A46B68" w:rsidP="00A46B68">
            <w:pPr>
              <w:spacing w:line="240" w:lineRule="auto"/>
              <w:ind w:firstLine="0"/>
            </w:pPr>
            <w:r w:rsidRPr="004847B5">
              <w:t xml:space="preserve">200 </w:t>
            </w:r>
            <w:r w:rsidRPr="004847B5">
              <w:rPr>
                <w:i/>
                <w:iCs/>
              </w:rPr>
              <w:t xml:space="preserve">or </w:t>
            </w:r>
            <w:r w:rsidRPr="004847B5">
              <w:t>500</w:t>
            </w:r>
          </w:p>
        </w:tc>
      </w:tr>
      <w:tr w:rsidR="00A46B68" w14:paraId="0D2A20A3" w14:textId="77777777" w:rsidTr="00A46B68">
        <w:trPr>
          <w:trHeight w:val="20"/>
          <w:jc w:val="center"/>
        </w:trPr>
        <w:tc>
          <w:tcPr>
            <w:tcW w:w="3705" w:type="dxa"/>
          </w:tcPr>
          <w:p w14:paraId="684F2D92" w14:textId="77777777" w:rsidR="00A46B68" w:rsidRDefault="00A46B68" w:rsidP="00A46B68">
            <w:pPr>
              <w:spacing w:line="240" w:lineRule="auto"/>
              <w:ind w:firstLine="0"/>
            </w:pPr>
            <w:r>
              <w:t>Magnesium Chloride</w:t>
            </w:r>
          </w:p>
        </w:tc>
        <w:tc>
          <w:tcPr>
            <w:tcW w:w="3195" w:type="dxa"/>
          </w:tcPr>
          <w:p w14:paraId="40941D05" w14:textId="77777777" w:rsidR="00A46B68" w:rsidRDefault="00A46B68" w:rsidP="00A46B68">
            <w:pPr>
              <w:spacing w:line="240" w:lineRule="auto"/>
              <w:ind w:firstLine="0"/>
            </w:pPr>
            <w:r>
              <w:t>92.43</w:t>
            </w:r>
          </w:p>
        </w:tc>
      </w:tr>
      <w:tr w:rsidR="00A46B68" w14:paraId="1A7EB369" w14:textId="77777777" w:rsidTr="00A46B68">
        <w:trPr>
          <w:trHeight w:val="20"/>
          <w:jc w:val="center"/>
        </w:trPr>
        <w:tc>
          <w:tcPr>
            <w:tcW w:w="3705" w:type="dxa"/>
          </w:tcPr>
          <w:p w14:paraId="2432BC32" w14:textId="77777777" w:rsidR="00A46B68" w:rsidRDefault="00A46B68" w:rsidP="00A46B68">
            <w:pPr>
              <w:spacing w:line="240" w:lineRule="auto"/>
              <w:ind w:firstLine="0"/>
            </w:pPr>
            <w:r>
              <w:t>Magnesium Sulfate</w:t>
            </w:r>
          </w:p>
        </w:tc>
        <w:tc>
          <w:tcPr>
            <w:tcW w:w="3195" w:type="dxa"/>
          </w:tcPr>
          <w:p w14:paraId="496A9FBB" w14:textId="77777777" w:rsidR="00A46B68" w:rsidRDefault="00A46B68" w:rsidP="00A46B68">
            <w:pPr>
              <w:spacing w:line="240" w:lineRule="auto"/>
              <w:ind w:firstLine="0"/>
            </w:pPr>
            <w:r>
              <w:t>22.81</w:t>
            </w:r>
          </w:p>
        </w:tc>
      </w:tr>
      <w:tr w:rsidR="00A46B68" w14:paraId="1730A67C" w14:textId="77777777" w:rsidTr="00A46B68">
        <w:trPr>
          <w:trHeight w:val="20"/>
          <w:jc w:val="center"/>
        </w:trPr>
        <w:tc>
          <w:tcPr>
            <w:tcW w:w="3705" w:type="dxa"/>
          </w:tcPr>
          <w:p w14:paraId="09B57AE5" w14:textId="77777777" w:rsidR="00A46B68" w:rsidRDefault="00A46B68" w:rsidP="00A46B68">
            <w:pPr>
              <w:spacing w:line="240" w:lineRule="auto"/>
              <w:ind w:firstLine="0"/>
            </w:pPr>
            <w:r>
              <w:t>Calcium Chloride</w:t>
            </w:r>
          </w:p>
        </w:tc>
        <w:tc>
          <w:tcPr>
            <w:tcW w:w="3195" w:type="dxa"/>
          </w:tcPr>
          <w:p w14:paraId="12385C11" w14:textId="77777777" w:rsidR="00A46B68" w:rsidRDefault="00A46B68" w:rsidP="00A46B68">
            <w:pPr>
              <w:spacing w:line="240" w:lineRule="auto"/>
              <w:ind w:firstLine="0"/>
            </w:pPr>
            <w:r>
              <w:t>16.22</w:t>
            </w:r>
          </w:p>
        </w:tc>
      </w:tr>
      <w:tr w:rsidR="00A46B68" w14:paraId="3B4E6FDF" w14:textId="77777777" w:rsidTr="00A46B68">
        <w:trPr>
          <w:trHeight w:val="20"/>
          <w:jc w:val="center"/>
        </w:trPr>
        <w:tc>
          <w:tcPr>
            <w:tcW w:w="3705" w:type="dxa"/>
          </w:tcPr>
          <w:p w14:paraId="406FA043" w14:textId="77777777" w:rsidR="00A46B68" w:rsidRDefault="00A46B68" w:rsidP="00A46B68">
            <w:pPr>
              <w:spacing w:line="240" w:lineRule="auto"/>
              <w:ind w:firstLine="0"/>
            </w:pPr>
            <w:r>
              <w:t>Potassium Chloride</w:t>
            </w:r>
          </w:p>
        </w:tc>
        <w:tc>
          <w:tcPr>
            <w:tcW w:w="3195" w:type="dxa"/>
          </w:tcPr>
          <w:p w14:paraId="1564138B" w14:textId="77777777" w:rsidR="00A46B68" w:rsidRDefault="00A46B68" w:rsidP="00A46B68">
            <w:pPr>
              <w:spacing w:line="240" w:lineRule="auto"/>
              <w:ind w:firstLine="0"/>
            </w:pPr>
            <w:r>
              <w:t>7.38</w:t>
            </w:r>
          </w:p>
        </w:tc>
      </w:tr>
      <w:tr w:rsidR="00A46B68" w14:paraId="1036B0E6" w14:textId="77777777" w:rsidTr="00A46B68">
        <w:trPr>
          <w:trHeight w:val="20"/>
          <w:jc w:val="center"/>
        </w:trPr>
        <w:tc>
          <w:tcPr>
            <w:tcW w:w="3705" w:type="dxa"/>
            <w:tcBorders>
              <w:bottom w:val="single" w:sz="4" w:space="0" w:color="auto"/>
            </w:tcBorders>
          </w:tcPr>
          <w:p w14:paraId="4B269694" w14:textId="77777777" w:rsidR="00A46B68" w:rsidRDefault="00A46B68" w:rsidP="00A46B68">
            <w:pPr>
              <w:spacing w:line="240" w:lineRule="auto"/>
              <w:ind w:firstLine="0"/>
            </w:pPr>
            <w:r>
              <w:t>Sodium Bicarbonate</w:t>
            </w:r>
          </w:p>
        </w:tc>
        <w:tc>
          <w:tcPr>
            <w:tcW w:w="3195" w:type="dxa"/>
            <w:tcBorders>
              <w:bottom w:val="single" w:sz="4" w:space="0" w:color="auto"/>
            </w:tcBorders>
          </w:tcPr>
          <w:p w14:paraId="226B7A11" w14:textId="77777777" w:rsidR="00A46B68" w:rsidRDefault="00A46B68" w:rsidP="00A46B68">
            <w:pPr>
              <w:spacing w:line="240" w:lineRule="auto"/>
              <w:ind w:firstLine="0"/>
            </w:pPr>
            <w:r>
              <w:t>1.91</w:t>
            </w:r>
          </w:p>
        </w:tc>
      </w:tr>
      <w:tr w:rsidR="00A46B68" w14:paraId="08FC306B" w14:textId="77777777" w:rsidTr="00A46B68">
        <w:trPr>
          <w:trHeight w:val="20"/>
          <w:jc w:val="center"/>
        </w:trPr>
        <w:tc>
          <w:tcPr>
            <w:tcW w:w="3705" w:type="dxa"/>
            <w:tcBorders>
              <w:top w:val="single" w:sz="4" w:space="0" w:color="auto"/>
              <w:bottom w:val="single" w:sz="4" w:space="0" w:color="auto"/>
            </w:tcBorders>
          </w:tcPr>
          <w:p w14:paraId="1D2D2F6A" w14:textId="77777777" w:rsidR="00A46B68" w:rsidRDefault="00A46B68" w:rsidP="00A46B68">
            <w:pPr>
              <w:spacing w:line="240" w:lineRule="auto"/>
              <w:ind w:firstLine="0"/>
            </w:pPr>
          </w:p>
        </w:tc>
        <w:tc>
          <w:tcPr>
            <w:tcW w:w="3195" w:type="dxa"/>
            <w:tcBorders>
              <w:top w:val="single" w:sz="4" w:space="0" w:color="auto"/>
              <w:bottom w:val="single" w:sz="4" w:space="0" w:color="auto"/>
            </w:tcBorders>
          </w:tcPr>
          <w:p w14:paraId="6980B066" w14:textId="77777777" w:rsidR="00A46B68" w:rsidRPr="001C42EF" w:rsidRDefault="00A46B68" w:rsidP="00A46B68">
            <w:pPr>
              <w:spacing w:line="240" w:lineRule="auto"/>
              <w:ind w:firstLine="0"/>
              <w:rPr>
                <w:b/>
                <w:bCs/>
              </w:rPr>
            </w:pPr>
            <w:r w:rsidRPr="001C42EF">
              <w:rPr>
                <w:b/>
                <w:bCs/>
              </w:rPr>
              <w:t>Concentration (</w:t>
            </w:r>
            <w:r w:rsidRPr="001C42EF">
              <w:rPr>
                <w:b/>
                <w:bCs/>
                <w:lang w:val="el-GR"/>
              </w:rPr>
              <w:t>μ</w:t>
            </w:r>
            <w:r w:rsidRPr="001C42EF">
              <w:rPr>
                <w:b/>
                <w:bCs/>
              </w:rPr>
              <w:t>M)</w:t>
            </w:r>
          </w:p>
        </w:tc>
      </w:tr>
      <w:tr w:rsidR="00A46B68" w14:paraId="540EF1F6" w14:textId="77777777" w:rsidTr="00A46B68">
        <w:trPr>
          <w:trHeight w:val="20"/>
          <w:jc w:val="center"/>
        </w:trPr>
        <w:tc>
          <w:tcPr>
            <w:tcW w:w="3705" w:type="dxa"/>
            <w:tcBorders>
              <w:top w:val="single" w:sz="4" w:space="0" w:color="auto"/>
            </w:tcBorders>
          </w:tcPr>
          <w:p w14:paraId="4DDA39E9" w14:textId="77777777" w:rsidR="00A46B68" w:rsidRDefault="00A46B68" w:rsidP="00A46B68">
            <w:pPr>
              <w:spacing w:line="240" w:lineRule="auto"/>
              <w:ind w:firstLine="0"/>
            </w:pPr>
            <w:r>
              <w:t>Potassium Bromide</w:t>
            </w:r>
          </w:p>
        </w:tc>
        <w:tc>
          <w:tcPr>
            <w:tcW w:w="3195" w:type="dxa"/>
            <w:tcBorders>
              <w:top w:val="single" w:sz="4" w:space="0" w:color="auto"/>
            </w:tcBorders>
          </w:tcPr>
          <w:p w14:paraId="47EC6C99" w14:textId="77777777" w:rsidR="00A46B68" w:rsidRDefault="00A46B68" w:rsidP="00A46B68">
            <w:pPr>
              <w:spacing w:line="240" w:lineRule="auto"/>
              <w:ind w:firstLine="0"/>
            </w:pPr>
            <w:r>
              <w:t>672.3</w:t>
            </w:r>
          </w:p>
        </w:tc>
      </w:tr>
      <w:tr w:rsidR="00A46B68" w14:paraId="16B3AD78" w14:textId="77777777" w:rsidTr="00A46B68">
        <w:trPr>
          <w:trHeight w:val="20"/>
          <w:jc w:val="center"/>
        </w:trPr>
        <w:tc>
          <w:tcPr>
            <w:tcW w:w="3705" w:type="dxa"/>
          </w:tcPr>
          <w:p w14:paraId="5C65560A" w14:textId="77777777" w:rsidR="00A46B68" w:rsidRDefault="00A46B68" w:rsidP="00A46B68">
            <w:pPr>
              <w:spacing w:line="240" w:lineRule="auto"/>
              <w:ind w:firstLine="0"/>
            </w:pPr>
            <w:r>
              <w:t>Strontium Chloride</w:t>
            </w:r>
          </w:p>
        </w:tc>
        <w:tc>
          <w:tcPr>
            <w:tcW w:w="3195" w:type="dxa"/>
          </w:tcPr>
          <w:p w14:paraId="36A29826" w14:textId="77777777" w:rsidR="00A46B68" w:rsidRDefault="00A46B68" w:rsidP="00A46B68">
            <w:pPr>
              <w:spacing w:line="240" w:lineRule="auto"/>
              <w:ind w:firstLine="0"/>
            </w:pPr>
            <w:r>
              <w:t>127.5</w:t>
            </w:r>
          </w:p>
        </w:tc>
      </w:tr>
      <w:tr w:rsidR="00A46B68" w14:paraId="654B39CD" w14:textId="77777777" w:rsidTr="00A46B68">
        <w:trPr>
          <w:trHeight w:val="20"/>
          <w:jc w:val="center"/>
        </w:trPr>
        <w:tc>
          <w:tcPr>
            <w:tcW w:w="3705" w:type="dxa"/>
          </w:tcPr>
          <w:p w14:paraId="061288E6" w14:textId="77777777" w:rsidR="00A46B68" w:rsidRDefault="00A46B68" w:rsidP="00A46B68">
            <w:pPr>
              <w:spacing w:line="240" w:lineRule="auto"/>
              <w:ind w:firstLine="0"/>
            </w:pPr>
            <w:r>
              <w:t>Boric Acid</w:t>
            </w:r>
          </w:p>
        </w:tc>
        <w:tc>
          <w:tcPr>
            <w:tcW w:w="3195" w:type="dxa"/>
          </w:tcPr>
          <w:p w14:paraId="101A8ACB" w14:textId="77777777" w:rsidR="00A46B68" w:rsidRDefault="00A46B68" w:rsidP="00A46B68">
            <w:pPr>
              <w:spacing w:line="240" w:lineRule="auto"/>
              <w:ind w:firstLine="0"/>
            </w:pPr>
            <w:r>
              <w:t>355.8</w:t>
            </w:r>
          </w:p>
        </w:tc>
      </w:tr>
      <w:tr w:rsidR="00A46B68" w14:paraId="431205A4" w14:textId="77777777" w:rsidTr="00A46B68">
        <w:trPr>
          <w:trHeight w:val="20"/>
          <w:jc w:val="center"/>
        </w:trPr>
        <w:tc>
          <w:tcPr>
            <w:tcW w:w="3705" w:type="dxa"/>
          </w:tcPr>
          <w:p w14:paraId="11F5662F" w14:textId="77777777" w:rsidR="00A46B68" w:rsidRDefault="00A46B68" w:rsidP="00A46B68">
            <w:pPr>
              <w:spacing w:line="240" w:lineRule="auto"/>
              <w:ind w:firstLine="0"/>
            </w:pPr>
            <w:r>
              <w:t>Sodium Monosilicate</w:t>
            </w:r>
          </w:p>
        </w:tc>
        <w:tc>
          <w:tcPr>
            <w:tcW w:w="3195" w:type="dxa"/>
          </w:tcPr>
          <w:p w14:paraId="0E5DE475" w14:textId="77777777" w:rsidR="00A46B68" w:rsidRDefault="00A46B68" w:rsidP="00A46B68">
            <w:pPr>
              <w:spacing w:line="240" w:lineRule="auto"/>
              <w:ind w:firstLine="0"/>
            </w:pPr>
            <w:r>
              <w:t>14.1</w:t>
            </w:r>
          </w:p>
        </w:tc>
      </w:tr>
      <w:tr w:rsidR="00A46B68" w14:paraId="6AC16785" w14:textId="77777777" w:rsidTr="00A46B68">
        <w:trPr>
          <w:trHeight w:val="20"/>
          <w:jc w:val="center"/>
        </w:trPr>
        <w:tc>
          <w:tcPr>
            <w:tcW w:w="3705" w:type="dxa"/>
          </w:tcPr>
          <w:p w14:paraId="256F33B4" w14:textId="77777777" w:rsidR="00A46B68" w:rsidRDefault="00A46B68" w:rsidP="00A46B68">
            <w:pPr>
              <w:spacing w:line="240" w:lineRule="auto"/>
              <w:ind w:firstLine="0"/>
            </w:pPr>
            <w:r>
              <w:t>Sodium Fluoride</w:t>
            </w:r>
          </w:p>
        </w:tc>
        <w:tc>
          <w:tcPr>
            <w:tcW w:w="3195" w:type="dxa"/>
          </w:tcPr>
          <w:p w14:paraId="361F530A" w14:textId="77777777" w:rsidR="00A46B68" w:rsidRDefault="00A46B68" w:rsidP="00A46B68">
            <w:pPr>
              <w:spacing w:line="240" w:lineRule="auto"/>
              <w:ind w:firstLine="0"/>
            </w:pPr>
            <w:r>
              <w:t>57.2</w:t>
            </w:r>
          </w:p>
        </w:tc>
      </w:tr>
      <w:tr w:rsidR="00A46B68" w14:paraId="5DC9F271" w14:textId="77777777" w:rsidTr="00A46B68">
        <w:trPr>
          <w:trHeight w:val="20"/>
          <w:jc w:val="center"/>
        </w:trPr>
        <w:tc>
          <w:tcPr>
            <w:tcW w:w="3705" w:type="dxa"/>
          </w:tcPr>
          <w:p w14:paraId="18AD3EB2" w14:textId="77777777" w:rsidR="00A46B68" w:rsidRDefault="00A46B68" w:rsidP="00A46B68">
            <w:pPr>
              <w:spacing w:line="240" w:lineRule="auto"/>
              <w:ind w:firstLine="0"/>
            </w:pPr>
            <w:r>
              <w:t>Ammonium Chloride</w:t>
            </w:r>
          </w:p>
        </w:tc>
        <w:tc>
          <w:tcPr>
            <w:tcW w:w="3195" w:type="dxa"/>
          </w:tcPr>
          <w:p w14:paraId="494B0349" w14:textId="77777777" w:rsidR="00A46B68" w:rsidRDefault="00A46B68" w:rsidP="00A46B68">
            <w:pPr>
              <w:spacing w:line="240" w:lineRule="auto"/>
              <w:ind w:firstLine="0"/>
            </w:pPr>
            <w:r>
              <w:t>20.0</w:t>
            </w:r>
          </w:p>
        </w:tc>
      </w:tr>
      <w:tr w:rsidR="00A46B68" w14:paraId="61F9F0A0" w14:textId="77777777" w:rsidTr="00A46B68">
        <w:trPr>
          <w:trHeight w:val="20"/>
          <w:jc w:val="center"/>
        </w:trPr>
        <w:tc>
          <w:tcPr>
            <w:tcW w:w="3705" w:type="dxa"/>
            <w:tcBorders>
              <w:bottom w:val="single" w:sz="4" w:space="0" w:color="auto"/>
            </w:tcBorders>
          </w:tcPr>
          <w:p w14:paraId="2766BA9C" w14:textId="77777777" w:rsidR="00A46B68" w:rsidRDefault="00A46B68" w:rsidP="00A46B68">
            <w:pPr>
              <w:spacing w:line="240" w:lineRule="auto"/>
              <w:ind w:firstLine="0"/>
            </w:pPr>
            <w:r>
              <w:t>Potassium Diphosphate</w:t>
            </w:r>
          </w:p>
        </w:tc>
        <w:tc>
          <w:tcPr>
            <w:tcW w:w="3195" w:type="dxa"/>
            <w:tcBorders>
              <w:bottom w:val="single" w:sz="4" w:space="0" w:color="auto"/>
            </w:tcBorders>
          </w:tcPr>
          <w:p w14:paraId="2B11B92E" w14:textId="77777777" w:rsidR="00A46B68" w:rsidRDefault="00A46B68" w:rsidP="00A46B68">
            <w:pPr>
              <w:spacing w:line="240" w:lineRule="auto"/>
              <w:ind w:firstLine="0"/>
            </w:pPr>
            <w:r>
              <w:t>29.8</w:t>
            </w:r>
          </w:p>
        </w:tc>
      </w:tr>
      <w:tr w:rsidR="00A46B68" w14:paraId="5EEBED72" w14:textId="77777777" w:rsidTr="00A46B68">
        <w:trPr>
          <w:trHeight w:val="20"/>
          <w:jc w:val="center"/>
        </w:trPr>
        <w:tc>
          <w:tcPr>
            <w:tcW w:w="3705" w:type="dxa"/>
            <w:tcBorders>
              <w:top w:val="single" w:sz="4" w:space="0" w:color="auto"/>
              <w:bottom w:val="single" w:sz="4" w:space="0" w:color="auto"/>
            </w:tcBorders>
          </w:tcPr>
          <w:p w14:paraId="4C911EF0" w14:textId="77777777" w:rsidR="00A46B68" w:rsidRPr="001C42EF" w:rsidRDefault="00A46B68" w:rsidP="00A46B68">
            <w:pPr>
              <w:spacing w:line="240" w:lineRule="auto"/>
              <w:ind w:firstLine="0"/>
              <w:rPr>
                <w:b/>
                <w:bCs/>
              </w:rPr>
            </w:pPr>
            <w:r>
              <w:rPr>
                <w:b/>
                <w:bCs/>
              </w:rPr>
              <w:t>Additional Supplements</w:t>
            </w:r>
          </w:p>
        </w:tc>
        <w:tc>
          <w:tcPr>
            <w:tcW w:w="3195" w:type="dxa"/>
            <w:tcBorders>
              <w:top w:val="single" w:sz="4" w:space="0" w:color="auto"/>
              <w:bottom w:val="single" w:sz="4" w:space="0" w:color="auto"/>
            </w:tcBorders>
          </w:tcPr>
          <w:p w14:paraId="765CBDD8" w14:textId="77777777" w:rsidR="00A46B68" w:rsidRDefault="00A46B68" w:rsidP="00A46B68">
            <w:pPr>
              <w:spacing w:line="240" w:lineRule="auto"/>
              <w:ind w:firstLine="0"/>
            </w:pPr>
          </w:p>
        </w:tc>
      </w:tr>
      <w:tr w:rsidR="00A46B68" w14:paraId="657C84E1" w14:textId="77777777" w:rsidTr="00A46B68">
        <w:trPr>
          <w:trHeight w:val="20"/>
          <w:jc w:val="center"/>
        </w:trPr>
        <w:tc>
          <w:tcPr>
            <w:tcW w:w="3705" w:type="dxa"/>
            <w:tcBorders>
              <w:top w:val="single" w:sz="4" w:space="0" w:color="auto"/>
              <w:bottom w:val="single" w:sz="4" w:space="0" w:color="auto"/>
            </w:tcBorders>
          </w:tcPr>
          <w:p w14:paraId="1C01107F" w14:textId="77777777" w:rsidR="00A46B68" w:rsidRDefault="00A46B68" w:rsidP="00A46B68">
            <w:pPr>
              <w:spacing w:line="240" w:lineRule="auto"/>
              <w:ind w:firstLine="0"/>
            </w:pPr>
            <w:r>
              <w:t>ATCC Trace Mineral Solution</w:t>
            </w:r>
          </w:p>
        </w:tc>
        <w:tc>
          <w:tcPr>
            <w:tcW w:w="3195" w:type="dxa"/>
            <w:tcBorders>
              <w:top w:val="single" w:sz="4" w:space="0" w:color="auto"/>
              <w:bottom w:val="single" w:sz="4" w:space="0" w:color="auto"/>
            </w:tcBorders>
          </w:tcPr>
          <w:p w14:paraId="6FE2A90F" w14:textId="77777777" w:rsidR="00A46B68" w:rsidRPr="001C42EF" w:rsidRDefault="00A46B68" w:rsidP="00A46B68">
            <w:pPr>
              <w:spacing w:line="240" w:lineRule="auto"/>
              <w:ind w:firstLine="0"/>
            </w:pPr>
            <w:r>
              <w:t>1 mL L</w:t>
            </w:r>
            <w:r>
              <w:rPr>
                <w:vertAlign w:val="superscript"/>
              </w:rPr>
              <w:t>-1</w:t>
            </w:r>
          </w:p>
        </w:tc>
      </w:tr>
    </w:tbl>
    <w:p w14:paraId="7502A33F" w14:textId="77777777" w:rsidR="00A46B68" w:rsidRDefault="00A46B68" w:rsidP="00A46B68">
      <w:pPr>
        <w:spacing w:line="240" w:lineRule="auto"/>
        <w:ind w:firstLine="0"/>
        <w:rPr>
          <w:b/>
          <w:bCs/>
        </w:rPr>
        <w:sectPr w:rsidR="00A46B68" w:rsidSect="00A46B68">
          <w:headerReference w:type="default" r:id="rId384"/>
          <w:footerReference w:type="default" r:id="rId385"/>
          <w:pgSz w:w="12240" w:h="15840"/>
          <w:pgMar w:top="1440" w:right="1440" w:bottom="1440" w:left="1440" w:header="720" w:footer="720" w:gutter="0"/>
          <w:cols w:space="720"/>
          <w:docGrid w:linePitch="360"/>
        </w:sectPr>
      </w:pPr>
      <w:r>
        <w:rPr>
          <w:b/>
          <w:bCs/>
        </w:rPr>
        <w:br w:type="page"/>
      </w:r>
    </w:p>
    <w:p w14:paraId="013D9D3B" w14:textId="77777777" w:rsidR="00A46B68" w:rsidRDefault="00A46B68" w:rsidP="00A46B68">
      <w:pPr>
        <w:spacing w:line="240" w:lineRule="auto"/>
        <w:ind w:firstLine="0"/>
        <w:rPr>
          <w:b/>
          <w:bCs/>
        </w:rPr>
      </w:pPr>
    </w:p>
    <w:p w14:paraId="33C57EEE" w14:textId="2FE91C34" w:rsidR="00A46B68" w:rsidRDefault="00A46B68" w:rsidP="00A46B68">
      <w:pPr>
        <w:spacing w:line="240" w:lineRule="auto"/>
        <w:ind w:firstLine="0"/>
      </w:pPr>
      <w:bookmarkStart w:id="178" w:name="_Toc193668453"/>
      <w:r w:rsidRPr="00F47BA9">
        <w:rPr>
          <w:b/>
          <w:bCs/>
        </w:rPr>
        <w:t xml:space="preserve">Table </w:t>
      </w:r>
      <w:r>
        <w:rPr>
          <w:b/>
          <w:bCs/>
        </w:rPr>
        <w:fldChar w:fldCharType="begin"/>
      </w:r>
      <w:r>
        <w:rPr>
          <w:b/>
          <w:bCs/>
        </w:rPr>
        <w:instrText xml:space="preserve"> STYLEREF 1 \s </w:instrText>
      </w:r>
      <w:r>
        <w:rPr>
          <w:b/>
          <w:bCs/>
        </w:rPr>
        <w:fldChar w:fldCharType="separate"/>
      </w:r>
      <w:r w:rsidR="00971287">
        <w:rPr>
          <w:b/>
          <w:bCs/>
          <w:noProof/>
        </w:rPr>
        <w:t>3</w:t>
      </w:r>
      <w:r>
        <w:rPr>
          <w:b/>
          <w:bCs/>
        </w:rPr>
        <w:fldChar w:fldCharType="end"/>
      </w:r>
      <w:r>
        <w:rPr>
          <w:b/>
          <w:bCs/>
        </w:rPr>
        <w:t>.</w:t>
      </w:r>
      <w:r>
        <w:rPr>
          <w:b/>
          <w:bCs/>
        </w:rPr>
        <w:fldChar w:fldCharType="begin"/>
      </w:r>
      <w:r>
        <w:rPr>
          <w:b/>
          <w:bCs/>
        </w:rPr>
        <w:instrText xml:space="preserve"> SEQ Table \* ARABIC \s 1 </w:instrText>
      </w:r>
      <w:r>
        <w:rPr>
          <w:b/>
          <w:bCs/>
        </w:rPr>
        <w:fldChar w:fldCharType="separate"/>
      </w:r>
      <w:r w:rsidR="00971287">
        <w:rPr>
          <w:b/>
          <w:bCs/>
          <w:noProof/>
        </w:rPr>
        <w:t>2</w:t>
      </w:r>
      <w:r>
        <w:rPr>
          <w:b/>
          <w:bCs/>
        </w:rPr>
        <w:fldChar w:fldCharType="end"/>
      </w:r>
      <w:r w:rsidRPr="00F47BA9">
        <w:rPr>
          <w:b/>
          <w:bCs/>
        </w:rPr>
        <w:t>.</w:t>
      </w:r>
      <w:r>
        <w:t xml:space="preserve"> Geochemistry of Fryxell Basin Seep</w:t>
      </w:r>
      <w:bookmarkEnd w:id="178"/>
    </w:p>
    <w:tbl>
      <w:tblPr>
        <w:tblW w:w="12182" w:type="dxa"/>
        <w:tblLook w:val="04A0" w:firstRow="1" w:lastRow="0" w:firstColumn="1" w:lastColumn="0" w:noHBand="0" w:noVBand="1"/>
      </w:tblPr>
      <w:tblGrid>
        <w:gridCol w:w="2539"/>
        <w:gridCol w:w="1176"/>
        <w:gridCol w:w="1056"/>
        <w:gridCol w:w="876"/>
        <w:gridCol w:w="936"/>
        <w:gridCol w:w="936"/>
        <w:gridCol w:w="222"/>
        <w:gridCol w:w="1195"/>
        <w:gridCol w:w="823"/>
        <w:gridCol w:w="953"/>
        <w:gridCol w:w="1019"/>
        <w:gridCol w:w="1019"/>
      </w:tblGrid>
      <w:tr w:rsidR="00A46B68" w:rsidRPr="00A3177E" w14:paraId="56CF1E0D" w14:textId="77777777" w:rsidTr="002E3F44">
        <w:trPr>
          <w:trHeight w:val="363"/>
        </w:trPr>
        <w:tc>
          <w:tcPr>
            <w:tcW w:w="0" w:type="auto"/>
            <w:tcBorders>
              <w:top w:val="single" w:sz="4" w:space="0" w:color="auto"/>
              <w:left w:val="nil"/>
              <w:right w:val="nil"/>
            </w:tcBorders>
            <w:shd w:val="clear" w:color="auto" w:fill="auto"/>
            <w:noWrap/>
            <w:vAlign w:val="bottom"/>
            <w:hideMark/>
          </w:tcPr>
          <w:p w14:paraId="3AA34788"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 </w:t>
            </w:r>
          </w:p>
        </w:tc>
        <w:tc>
          <w:tcPr>
            <w:tcW w:w="0" w:type="auto"/>
            <w:gridSpan w:val="5"/>
            <w:tcBorders>
              <w:top w:val="single" w:sz="4" w:space="0" w:color="auto"/>
              <w:left w:val="nil"/>
              <w:right w:val="nil"/>
            </w:tcBorders>
            <w:shd w:val="clear" w:color="auto" w:fill="auto"/>
            <w:noWrap/>
            <w:vAlign w:val="bottom"/>
            <w:hideMark/>
          </w:tcPr>
          <w:p w14:paraId="24FBEDEF" w14:textId="77777777" w:rsidR="00A46B68" w:rsidRPr="00A3177E" w:rsidRDefault="00A46B68" w:rsidP="00A46B68">
            <w:pPr>
              <w:spacing w:line="240" w:lineRule="auto"/>
              <w:ind w:firstLine="0"/>
              <w:jc w:val="center"/>
              <w:rPr>
                <w:rFonts w:cs="Times New Roman"/>
                <w:b/>
                <w:bCs/>
                <w:color w:val="000000"/>
              </w:rPr>
            </w:pPr>
            <w:r w:rsidRPr="00A3177E">
              <w:rPr>
                <w:rFonts w:cs="Times New Roman"/>
                <w:b/>
                <w:bCs/>
                <w:color w:val="000000"/>
              </w:rPr>
              <w:t>Wet Profile</w:t>
            </w:r>
          </w:p>
        </w:tc>
        <w:tc>
          <w:tcPr>
            <w:tcW w:w="240" w:type="dxa"/>
            <w:tcBorders>
              <w:top w:val="single" w:sz="4" w:space="0" w:color="auto"/>
              <w:left w:val="nil"/>
              <w:right w:val="nil"/>
            </w:tcBorders>
          </w:tcPr>
          <w:p w14:paraId="6FE3AA8F" w14:textId="77777777" w:rsidR="00A46B68" w:rsidRPr="00A3177E" w:rsidRDefault="00A46B68" w:rsidP="00A46B68">
            <w:pPr>
              <w:spacing w:line="240" w:lineRule="auto"/>
              <w:ind w:firstLine="0"/>
              <w:jc w:val="center"/>
              <w:rPr>
                <w:b/>
                <w:bCs/>
                <w:color w:val="000000"/>
              </w:rPr>
            </w:pPr>
          </w:p>
        </w:tc>
        <w:tc>
          <w:tcPr>
            <w:tcW w:w="5008" w:type="dxa"/>
            <w:gridSpan w:val="5"/>
            <w:tcBorders>
              <w:top w:val="single" w:sz="4" w:space="0" w:color="auto"/>
              <w:left w:val="nil"/>
              <w:right w:val="nil"/>
            </w:tcBorders>
            <w:shd w:val="clear" w:color="auto" w:fill="auto"/>
            <w:noWrap/>
            <w:vAlign w:val="bottom"/>
            <w:hideMark/>
          </w:tcPr>
          <w:p w14:paraId="0C132DC2" w14:textId="77777777" w:rsidR="00A46B68" w:rsidRPr="00A3177E" w:rsidRDefault="00A46B68" w:rsidP="00A46B68">
            <w:pPr>
              <w:spacing w:line="240" w:lineRule="auto"/>
              <w:ind w:firstLine="0"/>
              <w:jc w:val="center"/>
              <w:rPr>
                <w:rFonts w:cs="Times New Roman"/>
                <w:b/>
                <w:bCs/>
                <w:color w:val="000000"/>
              </w:rPr>
            </w:pPr>
            <w:r w:rsidRPr="00A3177E">
              <w:rPr>
                <w:rFonts w:cs="Times New Roman"/>
                <w:b/>
                <w:bCs/>
                <w:color w:val="000000"/>
              </w:rPr>
              <w:t>Dry Profile</w:t>
            </w:r>
          </w:p>
        </w:tc>
      </w:tr>
      <w:tr w:rsidR="00A46B68" w:rsidRPr="00A3177E" w14:paraId="06DA7464" w14:textId="77777777" w:rsidTr="002E3F44">
        <w:trPr>
          <w:trHeight w:val="363"/>
        </w:trPr>
        <w:tc>
          <w:tcPr>
            <w:tcW w:w="0" w:type="auto"/>
            <w:tcBorders>
              <w:top w:val="nil"/>
              <w:left w:val="nil"/>
              <w:bottom w:val="single" w:sz="4" w:space="0" w:color="000000"/>
              <w:right w:val="nil"/>
            </w:tcBorders>
            <w:shd w:val="clear" w:color="auto" w:fill="auto"/>
            <w:noWrap/>
            <w:vAlign w:val="bottom"/>
            <w:hideMark/>
          </w:tcPr>
          <w:p w14:paraId="62C0C9DD"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Sample ID</w:t>
            </w:r>
          </w:p>
        </w:tc>
        <w:tc>
          <w:tcPr>
            <w:tcW w:w="0" w:type="auto"/>
            <w:tcBorders>
              <w:top w:val="nil"/>
              <w:left w:val="nil"/>
              <w:bottom w:val="single" w:sz="4" w:space="0" w:color="000000"/>
              <w:right w:val="nil"/>
            </w:tcBorders>
            <w:shd w:val="clear" w:color="auto" w:fill="auto"/>
            <w:noWrap/>
            <w:vAlign w:val="bottom"/>
            <w:hideMark/>
          </w:tcPr>
          <w:p w14:paraId="190D07C4" w14:textId="77777777" w:rsidR="00A46B68" w:rsidRPr="00A3177E" w:rsidRDefault="00A46B68" w:rsidP="00A46B68">
            <w:pPr>
              <w:spacing w:line="240" w:lineRule="auto"/>
              <w:ind w:firstLine="0"/>
              <w:jc w:val="center"/>
              <w:rPr>
                <w:rFonts w:cs="Times New Roman"/>
                <w:b/>
                <w:bCs/>
                <w:color w:val="000000"/>
              </w:rPr>
            </w:pPr>
            <w:r w:rsidRPr="00A3177E">
              <w:rPr>
                <w:rFonts w:cs="Times New Roman"/>
                <w:b/>
                <w:bCs/>
                <w:color w:val="000000"/>
              </w:rPr>
              <w:t>WB1</w:t>
            </w:r>
          </w:p>
        </w:tc>
        <w:tc>
          <w:tcPr>
            <w:tcW w:w="0" w:type="auto"/>
            <w:tcBorders>
              <w:top w:val="nil"/>
              <w:left w:val="nil"/>
              <w:bottom w:val="single" w:sz="4" w:space="0" w:color="000000"/>
              <w:right w:val="nil"/>
            </w:tcBorders>
            <w:shd w:val="clear" w:color="auto" w:fill="auto"/>
            <w:noWrap/>
            <w:vAlign w:val="bottom"/>
            <w:hideMark/>
          </w:tcPr>
          <w:p w14:paraId="23EFB3EF" w14:textId="77777777" w:rsidR="00A46B68" w:rsidRPr="00A3177E" w:rsidRDefault="00A46B68" w:rsidP="00A46B68">
            <w:pPr>
              <w:spacing w:line="240" w:lineRule="auto"/>
              <w:ind w:firstLine="0"/>
              <w:jc w:val="center"/>
              <w:rPr>
                <w:rFonts w:cs="Times New Roman"/>
                <w:b/>
                <w:bCs/>
                <w:color w:val="000000"/>
              </w:rPr>
            </w:pPr>
            <w:r w:rsidRPr="00A3177E">
              <w:rPr>
                <w:rFonts w:cs="Times New Roman"/>
                <w:b/>
                <w:bCs/>
                <w:color w:val="000000"/>
              </w:rPr>
              <w:t>WB2</w:t>
            </w:r>
          </w:p>
        </w:tc>
        <w:tc>
          <w:tcPr>
            <w:tcW w:w="0" w:type="auto"/>
            <w:tcBorders>
              <w:top w:val="nil"/>
              <w:left w:val="nil"/>
              <w:bottom w:val="single" w:sz="4" w:space="0" w:color="000000"/>
              <w:right w:val="nil"/>
            </w:tcBorders>
            <w:shd w:val="clear" w:color="auto" w:fill="auto"/>
            <w:noWrap/>
            <w:vAlign w:val="bottom"/>
            <w:hideMark/>
          </w:tcPr>
          <w:p w14:paraId="3DD6A779" w14:textId="77777777" w:rsidR="00A46B68" w:rsidRPr="00A3177E" w:rsidRDefault="00A46B68" w:rsidP="00A46B68">
            <w:pPr>
              <w:spacing w:line="240" w:lineRule="auto"/>
              <w:ind w:firstLine="0"/>
              <w:jc w:val="center"/>
              <w:rPr>
                <w:rFonts w:cs="Times New Roman"/>
                <w:b/>
                <w:bCs/>
                <w:color w:val="000000"/>
              </w:rPr>
            </w:pPr>
            <w:r w:rsidRPr="00A3177E">
              <w:rPr>
                <w:rFonts w:cs="Times New Roman"/>
                <w:b/>
                <w:bCs/>
                <w:color w:val="000000"/>
              </w:rPr>
              <w:t>WB3</w:t>
            </w:r>
          </w:p>
        </w:tc>
        <w:tc>
          <w:tcPr>
            <w:tcW w:w="0" w:type="auto"/>
            <w:tcBorders>
              <w:top w:val="nil"/>
              <w:left w:val="nil"/>
              <w:bottom w:val="single" w:sz="4" w:space="0" w:color="000000"/>
              <w:right w:val="nil"/>
            </w:tcBorders>
            <w:shd w:val="clear" w:color="auto" w:fill="auto"/>
            <w:noWrap/>
            <w:vAlign w:val="bottom"/>
            <w:hideMark/>
          </w:tcPr>
          <w:p w14:paraId="6EE3AA04" w14:textId="77777777" w:rsidR="00A46B68" w:rsidRPr="00A3177E" w:rsidRDefault="00A46B68" w:rsidP="00A46B68">
            <w:pPr>
              <w:spacing w:line="240" w:lineRule="auto"/>
              <w:ind w:firstLine="0"/>
              <w:jc w:val="center"/>
              <w:rPr>
                <w:rFonts w:cs="Times New Roman"/>
                <w:b/>
                <w:bCs/>
                <w:color w:val="000000"/>
              </w:rPr>
            </w:pPr>
            <w:r w:rsidRPr="00A3177E">
              <w:rPr>
                <w:rFonts w:cs="Times New Roman"/>
                <w:b/>
                <w:bCs/>
                <w:color w:val="000000"/>
              </w:rPr>
              <w:t>WB4</w:t>
            </w:r>
          </w:p>
        </w:tc>
        <w:tc>
          <w:tcPr>
            <w:tcW w:w="0" w:type="auto"/>
            <w:tcBorders>
              <w:top w:val="nil"/>
              <w:left w:val="nil"/>
              <w:bottom w:val="single" w:sz="4" w:space="0" w:color="000000"/>
              <w:right w:val="nil"/>
            </w:tcBorders>
            <w:shd w:val="clear" w:color="auto" w:fill="auto"/>
            <w:noWrap/>
            <w:vAlign w:val="bottom"/>
            <w:hideMark/>
          </w:tcPr>
          <w:p w14:paraId="2EFE4C39" w14:textId="77777777" w:rsidR="00A46B68" w:rsidRPr="00A3177E" w:rsidRDefault="00A46B68" w:rsidP="00A46B68">
            <w:pPr>
              <w:spacing w:line="240" w:lineRule="auto"/>
              <w:ind w:firstLine="0"/>
              <w:jc w:val="center"/>
              <w:rPr>
                <w:rFonts w:cs="Times New Roman"/>
                <w:b/>
                <w:bCs/>
                <w:color w:val="000000"/>
              </w:rPr>
            </w:pPr>
            <w:r w:rsidRPr="00A3177E">
              <w:rPr>
                <w:rFonts w:cs="Times New Roman"/>
                <w:b/>
                <w:bCs/>
                <w:color w:val="000000"/>
              </w:rPr>
              <w:t>WB5</w:t>
            </w:r>
          </w:p>
        </w:tc>
        <w:tc>
          <w:tcPr>
            <w:tcW w:w="240" w:type="dxa"/>
            <w:tcBorders>
              <w:top w:val="nil"/>
              <w:left w:val="nil"/>
              <w:bottom w:val="single" w:sz="4" w:space="0" w:color="000000"/>
              <w:right w:val="nil"/>
            </w:tcBorders>
          </w:tcPr>
          <w:p w14:paraId="6CBEE86B" w14:textId="77777777" w:rsidR="00A46B68" w:rsidRPr="00A3177E" w:rsidRDefault="00A46B68" w:rsidP="00A46B68">
            <w:pPr>
              <w:spacing w:line="240" w:lineRule="auto"/>
              <w:ind w:firstLine="0"/>
              <w:jc w:val="center"/>
              <w:rPr>
                <w:b/>
                <w:bCs/>
                <w:color w:val="000000"/>
              </w:rPr>
            </w:pPr>
          </w:p>
        </w:tc>
        <w:tc>
          <w:tcPr>
            <w:tcW w:w="1098" w:type="dxa"/>
            <w:tcBorders>
              <w:top w:val="nil"/>
              <w:left w:val="nil"/>
              <w:bottom w:val="single" w:sz="4" w:space="0" w:color="000000"/>
              <w:right w:val="nil"/>
            </w:tcBorders>
            <w:shd w:val="clear" w:color="auto" w:fill="auto"/>
            <w:noWrap/>
            <w:vAlign w:val="bottom"/>
            <w:hideMark/>
          </w:tcPr>
          <w:p w14:paraId="72E7362C" w14:textId="77777777" w:rsidR="00A46B68" w:rsidRPr="00A3177E" w:rsidRDefault="00A46B68" w:rsidP="00A46B68">
            <w:pPr>
              <w:spacing w:line="240" w:lineRule="auto"/>
              <w:ind w:firstLine="0"/>
              <w:jc w:val="center"/>
              <w:rPr>
                <w:rFonts w:cs="Times New Roman"/>
                <w:b/>
                <w:bCs/>
                <w:color w:val="000000"/>
              </w:rPr>
            </w:pPr>
            <w:r w:rsidRPr="00A3177E">
              <w:rPr>
                <w:rFonts w:cs="Times New Roman"/>
                <w:b/>
                <w:bCs/>
                <w:color w:val="000000"/>
              </w:rPr>
              <w:t>DA1</w:t>
            </w:r>
          </w:p>
        </w:tc>
        <w:tc>
          <w:tcPr>
            <w:tcW w:w="0" w:type="auto"/>
            <w:tcBorders>
              <w:top w:val="nil"/>
              <w:left w:val="nil"/>
              <w:bottom w:val="single" w:sz="4" w:space="0" w:color="000000"/>
              <w:right w:val="nil"/>
            </w:tcBorders>
            <w:shd w:val="clear" w:color="auto" w:fill="auto"/>
            <w:noWrap/>
            <w:vAlign w:val="bottom"/>
            <w:hideMark/>
          </w:tcPr>
          <w:p w14:paraId="2B162601" w14:textId="77777777" w:rsidR="00A46B68" w:rsidRPr="00A3177E" w:rsidRDefault="00A46B68" w:rsidP="00A46B68">
            <w:pPr>
              <w:spacing w:line="240" w:lineRule="auto"/>
              <w:ind w:firstLine="0"/>
              <w:jc w:val="center"/>
              <w:rPr>
                <w:rFonts w:cs="Times New Roman"/>
                <w:b/>
                <w:bCs/>
                <w:color w:val="000000"/>
              </w:rPr>
            </w:pPr>
            <w:r w:rsidRPr="00A3177E">
              <w:rPr>
                <w:rFonts w:cs="Times New Roman"/>
                <w:b/>
                <w:bCs/>
                <w:color w:val="000000"/>
              </w:rPr>
              <w:t>DA2</w:t>
            </w:r>
          </w:p>
        </w:tc>
        <w:tc>
          <w:tcPr>
            <w:tcW w:w="0" w:type="auto"/>
            <w:tcBorders>
              <w:top w:val="nil"/>
              <w:left w:val="nil"/>
              <w:bottom w:val="single" w:sz="4" w:space="0" w:color="000000"/>
              <w:right w:val="nil"/>
            </w:tcBorders>
            <w:shd w:val="clear" w:color="auto" w:fill="auto"/>
            <w:noWrap/>
            <w:vAlign w:val="bottom"/>
            <w:hideMark/>
          </w:tcPr>
          <w:p w14:paraId="0BBCBD1F" w14:textId="77777777" w:rsidR="00A46B68" w:rsidRPr="00A3177E" w:rsidRDefault="00A46B68" w:rsidP="00A46B68">
            <w:pPr>
              <w:spacing w:line="240" w:lineRule="auto"/>
              <w:ind w:firstLine="0"/>
              <w:jc w:val="center"/>
              <w:rPr>
                <w:rFonts w:cs="Times New Roman"/>
                <w:b/>
                <w:bCs/>
                <w:color w:val="000000"/>
              </w:rPr>
            </w:pPr>
            <w:r w:rsidRPr="00A3177E">
              <w:rPr>
                <w:rFonts w:cs="Times New Roman"/>
                <w:b/>
                <w:bCs/>
                <w:color w:val="000000"/>
              </w:rPr>
              <w:t>DA3</w:t>
            </w:r>
          </w:p>
        </w:tc>
        <w:tc>
          <w:tcPr>
            <w:tcW w:w="0" w:type="auto"/>
            <w:tcBorders>
              <w:top w:val="nil"/>
              <w:left w:val="nil"/>
              <w:bottom w:val="single" w:sz="4" w:space="0" w:color="000000"/>
              <w:right w:val="nil"/>
            </w:tcBorders>
            <w:shd w:val="clear" w:color="auto" w:fill="auto"/>
            <w:noWrap/>
            <w:vAlign w:val="bottom"/>
            <w:hideMark/>
          </w:tcPr>
          <w:p w14:paraId="62B0100C" w14:textId="77777777" w:rsidR="00A46B68" w:rsidRPr="00A3177E" w:rsidRDefault="00A46B68" w:rsidP="00A46B68">
            <w:pPr>
              <w:spacing w:line="240" w:lineRule="auto"/>
              <w:ind w:firstLine="0"/>
              <w:jc w:val="center"/>
              <w:rPr>
                <w:rFonts w:cs="Times New Roman"/>
                <w:b/>
                <w:bCs/>
                <w:color w:val="000000"/>
              </w:rPr>
            </w:pPr>
            <w:r w:rsidRPr="00A3177E">
              <w:rPr>
                <w:rFonts w:cs="Times New Roman"/>
                <w:b/>
                <w:bCs/>
                <w:color w:val="000000"/>
              </w:rPr>
              <w:t>DA4</w:t>
            </w:r>
          </w:p>
        </w:tc>
        <w:tc>
          <w:tcPr>
            <w:tcW w:w="0" w:type="auto"/>
            <w:tcBorders>
              <w:top w:val="nil"/>
              <w:left w:val="nil"/>
              <w:bottom w:val="single" w:sz="4" w:space="0" w:color="000000"/>
              <w:right w:val="nil"/>
            </w:tcBorders>
            <w:shd w:val="clear" w:color="auto" w:fill="auto"/>
            <w:noWrap/>
            <w:vAlign w:val="bottom"/>
            <w:hideMark/>
          </w:tcPr>
          <w:p w14:paraId="176488A2" w14:textId="77777777" w:rsidR="00A46B68" w:rsidRPr="00A3177E" w:rsidRDefault="00A46B68" w:rsidP="00A46B68">
            <w:pPr>
              <w:spacing w:line="240" w:lineRule="auto"/>
              <w:ind w:firstLine="0"/>
              <w:jc w:val="center"/>
              <w:rPr>
                <w:rFonts w:cs="Times New Roman"/>
                <w:b/>
                <w:bCs/>
                <w:color w:val="000000"/>
              </w:rPr>
            </w:pPr>
            <w:r w:rsidRPr="00A3177E">
              <w:rPr>
                <w:rFonts w:cs="Times New Roman"/>
                <w:b/>
                <w:bCs/>
                <w:color w:val="000000"/>
              </w:rPr>
              <w:t>DA5</w:t>
            </w:r>
          </w:p>
        </w:tc>
      </w:tr>
      <w:tr w:rsidR="00A46B68" w:rsidRPr="00A3177E" w14:paraId="7A2E06CF" w14:textId="77777777" w:rsidTr="002E3F44">
        <w:trPr>
          <w:trHeight w:val="363"/>
        </w:trPr>
        <w:tc>
          <w:tcPr>
            <w:tcW w:w="0" w:type="auto"/>
            <w:tcBorders>
              <w:top w:val="single" w:sz="4" w:space="0" w:color="000000"/>
              <w:left w:val="nil"/>
              <w:bottom w:val="nil"/>
              <w:right w:val="nil"/>
            </w:tcBorders>
            <w:shd w:val="clear" w:color="auto" w:fill="auto"/>
            <w:noWrap/>
            <w:vAlign w:val="center"/>
            <w:hideMark/>
          </w:tcPr>
          <w:p w14:paraId="05AFC306"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Sample Depth (cm)</w:t>
            </w:r>
          </w:p>
        </w:tc>
        <w:tc>
          <w:tcPr>
            <w:tcW w:w="0" w:type="auto"/>
            <w:tcBorders>
              <w:top w:val="single" w:sz="4" w:space="0" w:color="000000"/>
              <w:left w:val="nil"/>
              <w:bottom w:val="nil"/>
              <w:right w:val="nil"/>
            </w:tcBorders>
            <w:shd w:val="clear" w:color="auto" w:fill="auto"/>
            <w:noWrap/>
            <w:vAlign w:val="bottom"/>
            <w:hideMark/>
          </w:tcPr>
          <w:p w14:paraId="42D9747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 – 2</w:t>
            </w:r>
          </w:p>
        </w:tc>
        <w:tc>
          <w:tcPr>
            <w:tcW w:w="0" w:type="auto"/>
            <w:tcBorders>
              <w:top w:val="single" w:sz="4" w:space="0" w:color="000000"/>
              <w:left w:val="nil"/>
              <w:bottom w:val="nil"/>
              <w:right w:val="nil"/>
            </w:tcBorders>
            <w:shd w:val="clear" w:color="auto" w:fill="auto"/>
            <w:noWrap/>
            <w:vAlign w:val="bottom"/>
            <w:hideMark/>
          </w:tcPr>
          <w:p w14:paraId="2B56481C"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2 – 5</w:t>
            </w:r>
          </w:p>
        </w:tc>
        <w:tc>
          <w:tcPr>
            <w:tcW w:w="0" w:type="auto"/>
            <w:tcBorders>
              <w:top w:val="single" w:sz="4" w:space="0" w:color="000000"/>
              <w:left w:val="nil"/>
              <w:bottom w:val="nil"/>
              <w:right w:val="nil"/>
            </w:tcBorders>
            <w:shd w:val="clear" w:color="auto" w:fill="auto"/>
            <w:noWrap/>
            <w:vAlign w:val="bottom"/>
            <w:hideMark/>
          </w:tcPr>
          <w:p w14:paraId="28192135"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5 – 10</w:t>
            </w:r>
          </w:p>
        </w:tc>
        <w:tc>
          <w:tcPr>
            <w:tcW w:w="0" w:type="auto"/>
            <w:tcBorders>
              <w:top w:val="single" w:sz="4" w:space="0" w:color="000000"/>
              <w:left w:val="nil"/>
              <w:bottom w:val="nil"/>
              <w:right w:val="nil"/>
            </w:tcBorders>
            <w:shd w:val="clear" w:color="auto" w:fill="auto"/>
            <w:noWrap/>
            <w:vAlign w:val="bottom"/>
            <w:hideMark/>
          </w:tcPr>
          <w:p w14:paraId="671BA938"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10 – 15</w:t>
            </w:r>
          </w:p>
        </w:tc>
        <w:tc>
          <w:tcPr>
            <w:tcW w:w="0" w:type="auto"/>
            <w:tcBorders>
              <w:top w:val="single" w:sz="4" w:space="0" w:color="000000"/>
              <w:left w:val="nil"/>
              <w:bottom w:val="nil"/>
              <w:right w:val="nil"/>
            </w:tcBorders>
            <w:shd w:val="clear" w:color="auto" w:fill="auto"/>
            <w:noWrap/>
            <w:vAlign w:val="bottom"/>
            <w:hideMark/>
          </w:tcPr>
          <w:p w14:paraId="2B37C7A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15 – 25</w:t>
            </w:r>
          </w:p>
        </w:tc>
        <w:tc>
          <w:tcPr>
            <w:tcW w:w="240" w:type="dxa"/>
            <w:tcBorders>
              <w:top w:val="single" w:sz="4" w:space="0" w:color="000000"/>
              <w:left w:val="nil"/>
              <w:bottom w:val="nil"/>
              <w:right w:val="nil"/>
            </w:tcBorders>
          </w:tcPr>
          <w:p w14:paraId="15F3F4C4" w14:textId="77777777" w:rsidR="00A46B68" w:rsidRPr="00A3177E" w:rsidRDefault="00A46B68" w:rsidP="00A46B68">
            <w:pPr>
              <w:spacing w:line="240" w:lineRule="auto"/>
              <w:ind w:firstLine="0"/>
              <w:jc w:val="center"/>
              <w:rPr>
                <w:color w:val="000000"/>
              </w:rPr>
            </w:pPr>
          </w:p>
        </w:tc>
        <w:tc>
          <w:tcPr>
            <w:tcW w:w="1098" w:type="dxa"/>
            <w:tcBorders>
              <w:top w:val="single" w:sz="4" w:space="0" w:color="000000"/>
              <w:left w:val="nil"/>
              <w:bottom w:val="nil"/>
              <w:right w:val="nil"/>
            </w:tcBorders>
            <w:shd w:val="clear" w:color="auto" w:fill="auto"/>
            <w:noWrap/>
            <w:vAlign w:val="bottom"/>
            <w:hideMark/>
          </w:tcPr>
          <w:p w14:paraId="4B01D087"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 – 2</w:t>
            </w:r>
          </w:p>
        </w:tc>
        <w:tc>
          <w:tcPr>
            <w:tcW w:w="0" w:type="auto"/>
            <w:tcBorders>
              <w:top w:val="single" w:sz="4" w:space="0" w:color="000000"/>
              <w:left w:val="nil"/>
              <w:bottom w:val="nil"/>
              <w:right w:val="nil"/>
            </w:tcBorders>
            <w:shd w:val="clear" w:color="auto" w:fill="auto"/>
            <w:noWrap/>
            <w:vAlign w:val="bottom"/>
            <w:hideMark/>
          </w:tcPr>
          <w:p w14:paraId="1FA9B645"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2 – 5</w:t>
            </w:r>
          </w:p>
        </w:tc>
        <w:tc>
          <w:tcPr>
            <w:tcW w:w="0" w:type="auto"/>
            <w:tcBorders>
              <w:top w:val="single" w:sz="4" w:space="0" w:color="000000"/>
              <w:left w:val="nil"/>
              <w:bottom w:val="nil"/>
              <w:right w:val="nil"/>
            </w:tcBorders>
            <w:shd w:val="clear" w:color="auto" w:fill="auto"/>
            <w:noWrap/>
            <w:vAlign w:val="bottom"/>
            <w:hideMark/>
          </w:tcPr>
          <w:p w14:paraId="4CC225C5"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5 – 10</w:t>
            </w:r>
          </w:p>
        </w:tc>
        <w:tc>
          <w:tcPr>
            <w:tcW w:w="0" w:type="auto"/>
            <w:tcBorders>
              <w:top w:val="single" w:sz="4" w:space="0" w:color="000000"/>
              <w:left w:val="nil"/>
              <w:bottom w:val="nil"/>
              <w:right w:val="nil"/>
            </w:tcBorders>
            <w:shd w:val="clear" w:color="auto" w:fill="auto"/>
            <w:noWrap/>
            <w:vAlign w:val="bottom"/>
            <w:hideMark/>
          </w:tcPr>
          <w:p w14:paraId="4F2FD2F4"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10 – 25</w:t>
            </w:r>
          </w:p>
        </w:tc>
        <w:tc>
          <w:tcPr>
            <w:tcW w:w="0" w:type="auto"/>
            <w:tcBorders>
              <w:top w:val="single" w:sz="4" w:space="0" w:color="000000"/>
              <w:left w:val="nil"/>
              <w:bottom w:val="nil"/>
              <w:right w:val="nil"/>
            </w:tcBorders>
            <w:shd w:val="clear" w:color="auto" w:fill="auto"/>
            <w:noWrap/>
            <w:vAlign w:val="bottom"/>
            <w:hideMark/>
          </w:tcPr>
          <w:p w14:paraId="78BCB30E"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25 – 35</w:t>
            </w:r>
          </w:p>
        </w:tc>
      </w:tr>
      <w:tr w:rsidR="00A46B68" w:rsidRPr="00A3177E" w14:paraId="4CB61040" w14:textId="77777777" w:rsidTr="002E3F44">
        <w:trPr>
          <w:trHeight w:val="363"/>
        </w:trPr>
        <w:tc>
          <w:tcPr>
            <w:tcW w:w="0" w:type="auto"/>
            <w:tcBorders>
              <w:top w:val="nil"/>
              <w:left w:val="nil"/>
              <w:bottom w:val="single" w:sz="4" w:space="0" w:color="auto"/>
              <w:right w:val="nil"/>
            </w:tcBorders>
            <w:shd w:val="clear" w:color="auto" w:fill="auto"/>
            <w:noWrap/>
            <w:vAlign w:val="center"/>
            <w:hideMark/>
          </w:tcPr>
          <w:p w14:paraId="52C83499"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Soil moisture (% g g</w:t>
            </w:r>
            <w:r w:rsidRPr="00A3177E">
              <w:rPr>
                <w:rFonts w:cs="Times New Roman"/>
                <w:b/>
                <w:bCs/>
                <w:color w:val="000000"/>
                <w:vertAlign w:val="superscript"/>
              </w:rPr>
              <w:t>-1</w:t>
            </w:r>
            <w:r w:rsidRPr="00A3177E">
              <w:rPr>
                <w:rFonts w:cs="Times New Roman"/>
                <w:b/>
                <w:bCs/>
                <w:color w:val="000000"/>
              </w:rPr>
              <w:t>)</w:t>
            </w:r>
          </w:p>
        </w:tc>
        <w:tc>
          <w:tcPr>
            <w:tcW w:w="0" w:type="auto"/>
            <w:tcBorders>
              <w:top w:val="nil"/>
              <w:left w:val="nil"/>
              <w:bottom w:val="single" w:sz="4" w:space="0" w:color="auto"/>
              <w:right w:val="nil"/>
            </w:tcBorders>
            <w:shd w:val="clear" w:color="auto" w:fill="auto"/>
            <w:noWrap/>
            <w:vAlign w:val="bottom"/>
            <w:hideMark/>
          </w:tcPr>
          <w:p w14:paraId="6596C618"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4.99</w:t>
            </w:r>
          </w:p>
        </w:tc>
        <w:tc>
          <w:tcPr>
            <w:tcW w:w="0" w:type="auto"/>
            <w:tcBorders>
              <w:top w:val="nil"/>
              <w:left w:val="nil"/>
              <w:bottom w:val="single" w:sz="4" w:space="0" w:color="auto"/>
              <w:right w:val="nil"/>
            </w:tcBorders>
            <w:shd w:val="clear" w:color="auto" w:fill="auto"/>
            <w:noWrap/>
            <w:vAlign w:val="bottom"/>
            <w:hideMark/>
          </w:tcPr>
          <w:p w14:paraId="643A71D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6.09</w:t>
            </w:r>
          </w:p>
        </w:tc>
        <w:tc>
          <w:tcPr>
            <w:tcW w:w="0" w:type="auto"/>
            <w:tcBorders>
              <w:top w:val="nil"/>
              <w:left w:val="nil"/>
              <w:bottom w:val="single" w:sz="4" w:space="0" w:color="auto"/>
              <w:right w:val="nil"/>
            </w:tcBorders>
            <w:shd w:val="clear" w:color="auto" w:fill="auto"/>
            <w:noWrap/>
            <w:vAlign w:val="bottom"/>
            <w:hideMark/>
          </w:tcPr>
          <w:p w14:paraId="312F21BF"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7.4</w:t>
            </w:r>
          </w:p>
        </w:tc>
        <w:tc>
          <w:tcPr>
            <w:tcW w:w="0" w:type="auto"/>
            <w:tcBorders>
              <w:top w:val="nil"/>
              <w:left w:val="nil"/>
              <w:bottom w:val="single" w:sz="4" w:space="0" w:color="auto"/>
              <w:right w:val="nil"/>
            </w:tcBorders>
            <w:shd w:val="clear" w:color="auto" w:fill="auto"/>
            <w:noWrap/>
            <w:vAlign w:val="bottom"/>
            <w:hideMark/>
          </w:tcPr>
          <w:p w14:paraId="782E7CE4"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8.14</w:t>
            </w:r>
          </w:p>
        </w:tc>
        <w:tc>
          <w:tcPr>
            <w:tcW w:w="0" w:type="auto"/>
            <w:tcBorders>
              <w:top w:val="nil"/>
              <w:left w:val="nil"/>
              <w:bottom w:val="single" w:sz="4" w:space="0" w:color="auto"/>
              <w:right w:val="nil"/>
            </w:tcBorders>
            <w:shd w:val="clear" w:color="auto" w:fill="auto"/>
            <w:noWrap/>
            <w:vAlign w:val="bottom"/>
            <w:hideMark/>
          </w:tcPr>
          <w:p w14:paraId="2A7A353C"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8.47</w:t>
            </w:r>
          </w:p>
        </w:tc>
        <w:tc>
          <w:tcPr>
            <w:tcW w:w="240" w:type="dxa"/>
            <w:tcBorders>
              <w:top w:val="nil"/>
              <w:left w:val="nil"/>
              <w:right w:val="nil"/>
            </w:tcBorders>
          </w:tcPr>
          <w:p w14:paraId="2D5902C2" w14:textId="77777777" w:rsidR="00A46B68" w:rsidRPr="00A3177E" w:rsidRDefault="00A46B68" w:rsidP="00A46B68">
            <w:pPr>
              <w:spacing w:line="240" w:lineRule="auto"/>
              <w:ind w:firstLine="0"/>
              <w:jc w:val="center"/>
              <w:rPr>
                <w:color w:val="000000"/>
              </w:rPr>
            </w:pPr>
          </w:p>
        </w:tc>
        <w:tc>
          <w:tcPr>
            <w:tcW w:w="1098" w:type="dxa"/>
            <w:tcBorders>
              <w:top w:val="nil"/>
              <w:left w:val="nil"/>
              <w:bottom w:val="single" w:sz="4" w:space="0" w:color="auto"/>
              <w:right w:val="nil"/>
            </w:tcBorders>
            <w:shd w:val="clear" w:color="auto" w:fill="auto"/>
            <w:noWrap/>
            <w:vAlign w:val="bottom"/>
            <w:hideMark/>
          </w:tcPr>
          <w:p w14:paraId="4ACB9CA6"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0.55</w:t>
            </w:r>
          </w:p>
        </w:tc>
        <w:tc>
          <w:tcPr>
            <w:tcW w:w="0" w:type="auto"/>
            <w:tcBorders>
              <w:top w:val="nil"/>
              <w:left w:val="nil"/>
              <w:bottom w:val="single" w:sz="4" w:space="0" w:color="auto"/>
              <w:right w:val="nil"/>
            </w:tcBorders>
            <w:shd w:val="clear" w:color="auto" w:fill="auto"/>
            <w:noWrap/>
            <w:vAlign w:val="bottom"/>
            <w:hideMark/>
          </w:tcPr>
          <w:p w14:paraId="004573C9"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1.45</w:t>
            </w:r>
          </w:p>
        </w:tc>
        <w:tc>
          <w:tcPr>
            <w:tcW w:w="0" w:type="auto"/>
            <w:tcBorders>
              <w:top w:val="nil"/>
              <w:left w:val="nil"/>
              <w:bottom w:val="single" w:sz="4" w:space="0" w:color="auto"/>
              <w:right w:val="nil"/>
            </w:tcBorders>
            <w:shd w:val="clear" w:color="auto" w:fill="auto"/>
            <w:noWrap/>
            <w:vAlign w:val="bottom"/>
            <w:hideMark/>
          </w:tcPr>
          <w:p w14:paraId="03779394"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1.63</w:t>
            </w:r>
          </w:p>
        </w:tc>
        <w:tc>
          <w:tcPr>
            <w:tcW w:w="0" w:type="auto"/>
            <w:tcBorders>
              <w:top w:val="nil"/>
              <w:left w:val="nil"/>
              <w:bottom w:val="single" w:sz="4" w:space="0" w:color="auto"/>
              <w:right w:val="nil"/>
            </w:tcBorders>
            <w:shd w:val="clear" w:color="auto" w:fill="auto"/>
            <w:noWrap/>
            <w:vAlign w:val="bottom"/>
            <w:hideMark/>
          </w:tcPr>
          <w:p w14:paraId="1D655907"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3.34</w:t>
            </w:r>
          </w:p>
        </w:tc>
        <w:tc>
          <w:tcPr>
            <w:tcW w:w="0" w:type="auto"/>
            <w:tcBorders>
              <w:top w:val="nil"/>
              <w:left w:val="nil"/>
              <w:bottom w:val="single" w:sz="4" w:space="0" w:color="auto"/>
              <w:right w:val="nil"/>
            </w:tcBorders>
            <w:shd w:val="clear" w:color="auto" w:fill="auto"/>
            <w:noWrap/>
            <w:vAlign w:val="bottom"/>
            <w:hideMark/>
          </w:tcPr>
          <w:p w14:paraId="54153599"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5.5</w:t>
            </w:r>
          </w:p>
        </w:tc>
      </w:tr>
      <w:tr w:rsidR="00A46B68" w:rsidRPr="00A3177E" w14:paraId="08C874E6" w14:textId="77777777" w:rsidTr="002E3F44">
        <w:trPr>
          <w:trHeight w:val="363"/>
        </w:trPr>
        <w:tc>
          <w:tcPr>
            <w:tcW w:w="0" w:type="auto"/>
            <w:tcBorders>
              <w:top w:val="nil"/>
              <w:left w:val="nil"/>
              <w:bottom w:val="nil"/>
              <w:right w:val="nil"/>
            </w:tcBorders>
            <w:shd w:val="clear" w:color="auto" w:fill="auto"/>
            <w:noWrap/>
            <w:vAlign w:val="center"/>
            <w:hideMark/>
          </w:tcPr>
          <w:p w14:paraId="7F9A4B5A"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C</w:t>
            </w:r>
            <w:r w:rsidRPr="00A3177E">
              <w:rPr>
                <w:rFonts w:cs="Times New Roman"/>
                <w:b/>
                <w:bCs/>
                <w:color w:val="000000"/>
                <w:vertAlign w:val="subscript"/>
              </w:rPr>
              <w:t>total</w:t>
            </w:r>
            <w:r w:rsidRPr="00A3177E">
              <w:rPr>
                <w:rFonts w:cs="Times New Roman"/>
                <w:b/>
                <w:bCs/>
                <w:color w:val="000000"/>
              </w:rPr>
              <w:t xml:space="preserve"> (%)</w:t>
            </w:r>
          </w:p>
        </w:tc>
        <w:tc>
          <w:tcPr>
            <w:tcW w:w="0" w:type="auto"/>
            <w:tcBorders>
              <w:top w:val="nil"/>
              <w:left w:val="nil"/>
              <w:bottom w:val="nil"/>
              <w:right w:val="nil"/>
            </w:tcBorders>
            <w:shd w:val="clear" w:color="auto" w:fill="auto"/>
            <w:noWrap/>
            <w:vAlign w:val="bottom"/>
            <w:hideMark/>
          </w:tcPr>
          <w:p w14:paraId="5D49AF4F"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0.17</w:t>
            </w:r>
          </w:p>
        </w:tc>
        <w:tc>
          <w:tcPr>
            <w:tcW w:w="0" w:type="auto"/>
            <w:tcBorders>
              <w:top w:val="nil"/>
              <w:left w:val="nil"/>
              <w:bottom w:val="nil"/>
              <w:right w:val="nil"/>
            </w:tcBorders>
            <w:shd w:val="clear" w:color="auto" w:fill="auto"/>
            <w:noWrap/>
            <w:vAlign w:val="bottom"/>
            <w:hideMark/>
          </w:tcPr>
          <w:p w14:paraId="6ED74E07"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0.17</w:t>
            </w:r>
          </w:p>
        </w:tc>
        <w:tc>
          <w:tcPr>
            <w:tcW w:w="0" w:type="auto"/>
            <w:tcBorders>
              <w:top w:val="nil"/>
              <w:left w:val="nil"/>
              <w:bottom w:val="nil"/>
              <w:right w:val="nil"/>
            </w:tcBorders>
            <w:shd w:val="clear" w:color="auto" w:fill="auto"/>
            <w:noWrap/>
            <w:vAlign w:val="bottom"/>
            <w:hideMark/>
          </w:tcPr>
          <w:p w14:paraId="54D944B3"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0.09</w:t>
            </w:r>
          </w:p>
        </w:tc>
        <w:tc>
          <w:tcPr>
            <w:tcW w:w="0" w:type="auto"/>
            <w:tcBorders>
              <w:top w:val="nil"/>
              <w:left w:val="nil"/>
              <w:bottom w:val="nil"/>
              <w:right w:val="nil"/>
            </w:tcBorders>
            <w:shd w:val="clear" w:color="auto" w:fill="auto"/>
            <w:noWrap/>
            <w:vAlign w:val="bottom"/>
            <w:hideMark/>
          </w:tcPr>
          <w:p w14:paraId="2E2D5F12"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0.11</w:t>
            </w:r>
          </w:p>
        </w:tc>
        <w:tc>
          <w:tcPr>
            <w:tcW w:w="0" w:type="auto"/>
            <w:tcBorders>
              <w:top w:val="nil"/>
              <w:left w:val="nil"/>
              <w:bottom w:val="nil"/>
              <w:right w:val="nil"/>
            </w:tcBorders>
            <w:shd w:val="clear" w:color="auto" w:fill="auto"/>
            <w:noWrap/>
            <w:vAlign w:val="bottom"/>
            <w:hideMark/>
          </w:tcPr>
          <w:p w14:paraId="1DA4F96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0.15</w:t>
            </w:r>
          </w:p>
        </w:tc>
        <w:tc>
          <w:tcPr>
            <w:tcW w:w="240" w:type="dxa"/>
            <w:tcBorders>
              <w:top w:val="nil"/>
              <w:left w:val="nil"/>
              <w:bottom w:val="nil"/>
              <w:right w:val="nil"/>
            </w:tcBorders>
          </w:tcPr>
          <w:p w14:paraId="5D0193CD" w14:textId="77777777" w:rsidR="00A46B68" w:rsidRPr="00A3177E" w:rsidRDefault="00A46B68" w:rsidP="00A46B68">
            <w:pPr>
              <w:spacing w:line="240" w:lineRule="auto"/>
              <w:ind w:firstLine="0"/>
              <w:jc w:val="center"/>
              <w:rPr>
                <w:color w:val="000000"/>
              </w:rPr>
            </w:pPr>
          </w:p>
        </w:tc>
        <w:tc>
          <w:tcPr>
            <w:tcW w:w="1098" w:type="dxa"/>
            <w:tcBorders>
              <w:top w:val="nil"/>
              <w:left w:val="nil"/>
              <w:bottom w:val="nil"/>
              <w:right w:val="nil"/>
            </w:tcBorders>
            <w:shd w:val="clear" w:color="auto" w:fill="auto"/>
            <w:noWrap/>
            <w:vAlign w:val="bottom"/>
            <w:hideMark/>
          </w:tcPr>
          <w:p w14:paraId="20900B12"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0.18</w:t>
            </w:r>
          </w:p>
        </w:tc>
        <w:tc>
          <w:tcPr>
            <w:tcW w:w="0" w:type="auto"/>
            <w:tcBorders>
              <w:top w:val="nil"/>
              <w:left w:val="nil"/>
              <w:bottom w:val="nil"/>
              <w:right w:val="nil"/>
            </w:tcBorders>
            <w:shd w:val="clear" w:color="auto" w:fill="auto"/>
            <w:noWrap/>
            <w:vAlign w:val="bottom"/>
            <w:hideMark/>
          </w:tcPr>
          <w:p w14:paraId="51058515"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0.18</w:t>
            </w:r>
          </w:p>
        </w:tc>
        <w:tc>
          <w:tcPr>
            <w:tcW w:w="0" w:type="auto"/>
            <w:tcBorders>
              <w:top w:val="nil"/>
              <w:left w:val="nil"/>
              <w:bottom w:val="nil"/>
              <w:right w:val="nil"/>
            </w:tcBorders>
            <w:shd w:val="clear" w:color="auto" w:fill="auto"/>
            <w:noWrap/>
            <w:vAlign w:val="bottom"/>
            <w:hideMark/>
          </w:tcPr>
          <w:p w14:paraId="5BCF64C6"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0.12</w:t>
            </w:r>
          </w:p>
        </w:tc>
        <w:tc>
          <w:tcPr>
            <w:tcW w:w="0" w:type="auto"/>
            <w:tcBorders>
              <w:top w:val="nil"/>
              <w:left w:val="nil"/>
              <w:bottom w:val="nil"/>
              <w:right w:val="nil"/>
            </w:tcBorders>
            <w:shd w:val="clear" w:color="auto" w:fill="auto"/>
            <w:noWrap/>
            <w:vAlign w:val="bottom"/>
            <w:hideMark/>
          </w:tcPr>
          <w:p w14:paraId="3E59DA38"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0.13</w:t>
            </w:r>
          </w:p>
        </w:tc>
        <w:tc>
          <w:tcPr>
            <w:tcW w:w="0" w:type="auto"/>
            <w:tcBorders>
              <w:top w:val="nil"/>
              <w:left w:val="nil"/>
              <w:bottom w:val="nil"/>
              <w:right w:val="nil"/>
            </w:tcBorders>
            <w:shd w:val="clear" w:color="auto" w:fill="auto"/>
            <w:noWrap/>
            <w:vAlign w:val="bottom"/>
            <w:hideMark/>
          </w:tcPr>
          <w:p w14:paraId="18156B77"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0.11</w:t>
            </w:r>
          </w:p>
        </w:tc>
      </w:tr>
      <w:tr w:rsidR="00A46B68" w:rsidRPr="00A3177E" w14:paraId="6FACFFC9" w14:textId="77777777" w:rsidTr="002E3F44">
        <w:trPr>
          <w:trHeight w:val="363"/>
        </w:trPr>
        <w:tc>
          <w:tcPr>
            <w:tcW w:w="0" w:type="auto"/>
            <w:tcBorders>
              <w:top w:val="nil"/>
              <w:left w:val="nil"/>
              <w:bottom w:val="nil"/>
              <w:right w:val="nil"/>
            </w:tcBorders>
            <w:shd w:val="clear" w:color="auto" w:fill="auto"/>
            <w:noWrap/>
            <w:vAlign w:val="center"/>
            <w:hideMark/>
          </w:tcPr>
          <w:p w14:paraId="0D3945AB"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C</w:t>
            </w:r>
            <w:r w:rsidRPr="00A3177E">
              <w:rPr>
                <w:rFonts w:cs="Times New Roman"/>
                <w:b/>
                <w:bCs/>
                <w:color w:val="000000"/>
                <w:vertAlign w:val="subscript"/>
              </w:rPr>
              <w:t>organic</w:t>
            </w:r>
            <w:r w:rsidRPr="00A3177E">
              <w:rPr>
                <w:rFonts w:cs="Times New Roman"/>
                <w:b/>
                <w:bCs/>
                <w:color w:val="000000"/>
              </w:rPr>
              <w:t xml:space="preserve"> (%)</w:t>
            </w:r>
          </w:p>
        </w:tc>
        <w:tc>
          <w:tcPr>
            <w:tcW w:w="0" w:type="auto"/>
            <w:tcBorders>
              <w:top w:val="nil"/>
              <w:left w:val="nil"/>
              <w:bottom w:val="nil"/>
              <w:right w:val="nil"/>
            </w:tcBorders>
            <w:shd w:val="clear" w:color="auto" w:fill="auto"/>
            <w:noWrap/>
            <w:vAlign w:val="bottom"/>
            <w:hideMark/>
          </w:tcPr>
          <w:p w14:paraId="693267BE"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0.04</w:t>
            </w:r>
          </w:p>
        </w:tc>
        <w:tc>
          <w:tcPr>
            <w:tcW w:w="0" w:type="auto"/>
            <w:tcBorders>
              <w:top w:val="nil"/>
              <w:left w:val="nil"/>
              <w:bottom w:val="nil"/>
              <w:right w:val="nil"/>
            </w:tcBorders>
            <w:shd w:val="clear" w:color="auto" w:fill="auto"/>
            <w:noWrap/>
            <w:vAlign w:val="bottom"/>
            <w:hideMark/>
          </w:tcPr>
          <w:p w14:paraId="4DC2CDD2"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0.04</w:t>
            </w:r>
          </w:p>
        </w:tc>
        <w:tc>
          <w:tcPr>
            <w:tcW w:w="0" w:type="auto"/>
            <w:tcBorders>
              <w:top w:val="nil"/>
              <w:left w:val="nil"/>
              <w:bottom w:val="nil"/>
              <w:right w:val="nil"/>
            </w:tcBorders>
            <w:shd w:val="clear" w:color="auto" w:fill="auto"/>
            <w:noWrap/>
            <w:vAlign w:val="bottom"/>
            <w:hideMark/>
          </w:tcPr>
          <w:p w14:paraId="455EDD69"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0.04</w:t>
            </w:r>
          </w:p>
        </w:tc>
        <w:tc>
          <w:tcPr>
            <w:tcW w:w="0" w:type="auto"/>
            <w:tcBorders>
              <w:top w:val="nil"/>
              <w:left w:val="nil"/>
              <w:bottom w:val="nil"/>
              <w:right w:val="nil"/>
            </w:tcBorders>
            <w:shd w:val="clear" w:color="auto" w:fill="auto"/>
            <w:noWrap/>
            <w:vAlign w:val="bottom"/>
            <w:hideMark/>
          </w:tcPr>
          <w:p w14:paraId="6360E31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0.04</w:t>
            </w:r>
          </w:p>
        </w:tc>
        <w:tc>
          <w:tcPr>
            <w:tcW w:w="0" w:type="auto"/>
            <w:tcBorders>
              <w:top w:val="nil"/>
              <w:left w:val="nil"/>
              <w:bottom w:val="nil"/>
              <w:right w:val="nil"/>
            </w:tcBorders>
            <w:shd w:val="clear" w:color="auto" w:fill="auto"/>
            <w:noWrap/>
            <w:vAlign w:val="bottom"/>
            <w:hideMark/>
          </w:tcPr>
          <w:p w14:paraId="16F5541C"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0.04</w:t>
            </w:r>
          </w:p>
        </w:tc>
        <w:tc>
          <w:tcPr>
            <w:tcW w:w="240" w:type="dxa"/>
            <w:tcBorders>
              <w:top w:val="nil"/>
              <w:left w:val="nil"/>
              <w:bottom w:val="nil"/>
              <w:right w:val="nil"/>
            </w:tcBorders>
          </w:tcPr>
          <w:p w14:paraId="5CA86CB8" w14:textId="77777777" w:rsidR="00A46B68" w:rsidRPr="00A3177E" w:rsidRDefault="00A46B68" w:rsidP="00A46B68">
            <w:pPr>
              <w:spacing w:line="240" w:lineRule="auto"/>
              <w:ind w:firstLine="0"/>
              <w:jc w:val="center"/>
              <w:rPr>
                <w:color w:val="000000"/>
              </w:rPr>
            </w:pPr>
          </w:p>
        </w:tc>
        <w:tc>
          <w:tcPr>
            <w:tcW w:w="1098" w:type="dxa"/>
            <w:tcBorders>
              <w:top w:val="nil"/>
              <w:left w:val="nil"/>
              <w:bottom w:val="nil"/>
              <w:right w:val="nil"/>
            </w:tcBorders>
            <w:shd w:val="clear" w:color="auto" w:fill="auto"/>
            <w:noWrap/>
            <w:vAlign w:val="bottom"/>
            <w:hideMark/>
          </w:tcPr>
          <w:p w14:paraId="445FB1A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0.02</w:t>
            </w:r>
          </w:p>
        </w:tc>
        <w:tc>
          <w:tcPr>
            <w:tcW w:w="0" w:type="auto"/>
            <w:tcBorders>
              <w:top w:val="nil"/>
              <w:left w:val="nil"/>
              <w:bottom w:val="nil"/>
              <w:right w:val="nil"/>
            </w:tcBorders>
            <w:shd w:val="clear" w:color="auto" w:fill="auto"/>
            <w:noWrap/>
            <w:vAlign w:val="bottom"/>
            <w:hideMark/>
          </w:tcPr>
          <w:p w14:paraId="263003BB"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0.03</w:t>
            </w:r>
          </w:p>
        </w:tc>
        <w:tc>
          <w:tcPr>
            <w:tcW w:w="0" w:type="auto"/>
            <w:tcBorders>
              <w:top w:val="nil"/>
              <w:left w:val="nil"/>
              <w:bottom w:val="nil"/>
              <w:right w:val="nil"/>
            </w:tcBorders>
            <w:shd w:val="clear" w:color="auto" w:fill="auto"/>
            <w:noWrap/>
            <w:vAlign w:val="bottom"/>
            <w:hideMark/>
          </w:tcPr>
          <w:p w14:paraId="1B0BD429"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0.04</w:t>
            </w:r>
          </w:p>
        </w:tc>
        <w:tc>
          <w:tcPr>
            <w:tcW w:w="0" w:type="auto"/>
            <w:tcBorders>
              <w:top w:val="nil"/>
              <w:left w:val="nil"/>
              <w:bottom w:val="nil"/>
              <w:right w:val="nil"/>
            </w:tcBorders>
            <w:shd w:val="clear" w:color="auto" w:fill="auto"/>
            <w:noWrap/>
            <w:vAlign w:val="bottom"/>
            <w:hideMark/>
          </w:tcPr>
          <w:p w14:paraId="2FD6D75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0.05</w:t>
            </w:r>
          </w:p>
        </w:tc>
        <w:tc>
          <w:tcPr>
            <w:tcW w:w="0" w:type="auto"/>
            <w:tcBorders>
              <w:top w:val="nil"/>
              <w:left w:val="nil"/>
              <w:bottom w:val="nil"/>
              <w:right w:val="nil"/>
            </w:tcBorders>
            <w:shd w:val="clear" w:color="auto" w:fill="auto"/>
            <w:noWrap/>
            <w:vAlign w:val="bottom"/>
            <w:hideMark/>
          </w:tcPr>
          <w:p w14:paraId="601062D9"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0.04</w:t>
            </w:r>
          </w:p>
        </w:tc>
      </w:tr>
      <w:tr w:rsidR="00A46B68" w:rsidRPr="00A3177E" w14:paraId="11E860DA" w14:textId="77777777" w:rsidTr="002E3F44">
        <w:trPr>
          <w:trHeight w:val="363"/>
        </w:trPr>
        <w:tc>
          <w:tcPr>
            <w:tcW w:w="0" w:type="auto"/>
            <w:tcBorders>
              <w:top w:val="nil"/>
              <w:left w:val="nil"/>
              <w:bottom w:val="single" w:sz="4" w:space="0" w:color="auto"/>
              <w:right w:val="nil"/>
            </w:tcBorders>
            <w:shd w:val="clear" w:color="auto" w:fill="auto"/>
            <w:noWrap/>
            <w:vAlign w:val="center"/>
            <w:hideMark/>
          </w:tcPr>
          <w:p w14:paraId="5ADDC3DE"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N (%)</w:t>
            </w:r>
          </w:p>
        </w:tc>
        <w:tc>
          <w:tcPr>
            <w:tcW w:w="0" w:type="auto"/>
            <w:tcBorders>
              <w:top w:val="nil"/>
              <w:left w:val="nil"/>
              <w:bottom w:val="single" w:sz="4" w:space="0" w:color="auto"/>
              <w:right w:val="nil"/>
            </w:tcBorders>
            <w:shd w:val="clear" w:color="auto" w:fill="auto"/>
            <w:noWrap/>
            <w:vAlign w:val="bottom"/>
            <w:hideMark/>
          </w:tcPr>
          <w:p w14:paraId="08B0139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0.01</w:t>
            </w:r>
          </w:p>
        </w:tc>
        <w:tc>
          <w:tcPr>
            <w:tcW w:w="0" w:type="auto"/>
            <w:tcBorders>
              <w:top w:val="nil"/>
              <w:left w:val="nil"/>
              <w:bottom w:val="single" w:sz="4" w:space="0" w:color="auto"/>
              <w:right w:val="nil"/>
            </w:tcBorders>
            <w:shd w:val="clear" w:color="auto" w:fill="auto"/>
            <w:noWrap/>
            <w:vAlign w:val="bottom"/>
            <w:hideMark/>
          </w:tcPr>
          <w:p w14:paraId="65ED1A17"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0.01</w:t>
            </w:r>
          </w:p>
        </w:tc>
        <w:tc>
          <w:tcPr>
            <w:tcW w:w="0" w:type="auto"/>
            <w:tcBorders>
              <w:top w:val="nil"/>
              <w:left w:val="nil"/>
              <w:bottom w:val="single" w:sz="4" w:space="0" w:color="auto"/>
              <w:right w:val="nil"/>
            </w:tcBorders>
            <w:shd w:val="clear" w:color="auto" w:fill="auto"/>
            <w:noWrap/>
            <w:vAlign w:val="bottom"/>
            <w:hideMark/>
          </w:tcPr>
          <w:p w14:paraId="540EDD10"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w:t>
            </w:r>
          </w:p>
        </w:tc>
        <w:tc>
          <w:tcPr>
            <w:tcW w:w="0" w:type="auto"/>
            <w:tcBorders>
              <w:top w:val="nil"/>
              <w:left w:val="nil"/>
              <w:bottom w:val="single" w:sz="4" w:space="0" w:color="auto"/>
              <w:right w:val="nil"/>
            </w:tcBorders>
            <w:shd w:val="clear" w:color="auto" w:fill="auto"/>
            <w:noWrap/>
            <w:vAlign w:val="bottom"/>
            <w:hideMark/>
          </w:tcPr>
          <w:p w14:paraId="5943A08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w:t>
            </w:r>
          </w:p>
        </w:tc>
        <w:tc>
          <w:tcPr>
            <w:tcW w:w="0" w:type="auto"/>
            <w:tcBorders>
              <w:top w:val="nil"/>
              <w:left w:val="nil"/>
              <w:bottom w:val="single" w:sz="4" w:space="0" w:color="auto"/>
              <w:right w:val="nil"/>
            </w:tcBorders>
            <w:shd w:val="clear" w:color="auto" w:fill="auto"/>
            <w:noWrap/>
            <w:vAlign w:val="bottom"/>
            <w:hideMark/>
          </w:tcPr>
          <w:p w14:paraId="12733717"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w:t>
            </w:r>
          </w:p>
        </w:tc>
        <w:tc>
          <w:tcPr>
            <w:tcW w:w="240" w:type="dxa"/>
            <w:tcBorders>
              <w:top w:val="nil"/>
              <w:left w:val="nil"/>
              <w:right w:val="nil"/>
            </w:tcBorders>
          </w:tcPr>
          <w:p w14:paraId="6915161D" w14:textId="77777777" w:rsidR="00A46B68" w:rsidRPr="00A3177E" w:rsidRDefault="00A46B68" w:rsidP="00A46B68">
            <w:pPr>
              <w:spacing w:line="240" w:lineRule="auto"/>
              <w:ind w:firstLine="0"/>
              <w:jc w:val="center"/>
              <w:rPr>
                <w:color w:val="000000"/>
              </w:rPr>
            </w:pPr>
          </w:p>
        </w:tc>
        <w:tc>
          <w:tcPr>
            <w:tcW w:w="1098" w:type="dxa"/>
            <w:tcBorders>
              <w:top w:val="nil"/>
              <w:left w:val="nil"/>
              <w:bottom w:val="single" w:sz="4" w:space="0" w:color="auto"/>
              <w:right w:val="nil"/>
            </w:tcBorders>
            <w:shd w:val="clear" w:color="auto" w:fill="auto"/>
            <w:noWrap/>
            <w:vAlign w:val="bottom"/>
            <w:hideMark/>
          </w:tcPr>
          <w:p w14:paraId="68FE4F8B"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w:t>
            </w:r>
          </w:p>
        </w:tc>
        <w:tc>
          <w:tcPr>
            <w:tcW w:w="0" w:type="auto"/>
            <w:tcBorders>
              <w:top w:val="nil"/>
              <w:left w:val="nil"/>
              <w:bottom w:val="single" w:sz="4" w:space="0" w:color="auto"/>
              <w:right w:val="nil"/>
            </w:tcBorders>
            <w:shd w:val="clear" w:color="auto" w:fill="auto"/>
            <w:noWrap/>
            <w:vAlign w:val="bottom"/>
            <w:hideMark/>
          </w:tcPr>
          <w:p w14:paraId="7F3E6EBE"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w:t>
            </w:r>
          </w:p>
        </w:tc>
        <w:tc>
          <w:tcPr>
            <w:tcW w:w="0" w:type="auto"/>
            <w:tcBorders>
              <w:top w:val="nil"/>
              <w:left w:val="nil"/>
              <w:bottom w:val="single" w:sz="4" w:space="0" w:color="auto"/>
              <w:right w:val="nil"/>
            </w:tcBorders>
            <w:shd w:val="clear" w:color="auto" w:fill="auto"/>
            <w:noWrap/>
            <w:vAlign w:val="bottom"/>
            <w:hideMark/>
          </w:tcPr>
          <w:p w14:paraId="192B7AC4"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w:t>
            </w:r>
          </w:p>
        </w:tc>
        <w:tc>
          <w:tcPr>
            <w:tcW w:w="0" w:type="auto"/>
            <w:tcBorders>
              <w:top w:val="nil"/>
              <w:left w:val="nil"/>
              <w:bottom w:val="single" w:sz="4" w:space="0" w:color="auto"/>
              <w:right w:val="nil"/>
            </w:tcBorders>
            <w:shd w:val="clear" w:color="auto" w:fill="auto"/>
            <w:noWrap/>
            <w:vAlign w:val="bottom"/>
            <w:hideMark/>
          </w:tcPr>
          <w:p w14:paraId="341181E7"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0.01</w:t>
            </w:r>
          </w:p>
        </w:tc>
        <w:tc>
          <w:tcPr>
            <w:tcW w:w="0" w:type="auto"/>
            <w:tcBorders>
              <w:top w:val="nil"/>
              <w:left w:val="nil"/>
              <w:bottom w:val="single" w:sz="4" w:space="0" w:color="auto"/>
              <w:right w:val="nil"/>
            </w:tcBorders>
            <w:shd w:val="clear" w:color="auto" w:fill="auto"/>
            <w:noWrap/>
            <w:vAlign w:val="bottom"/>
            <w:hideMark/>
          </w:tcPr>
          <w:p w14:paraId="1EB14673"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w:t>
            </w:r>
          </w:p>
        </w:tc>
      </w:tr>
      <w:tr w:rsidR="00A46B68" w:rsidRPr="00A3177E" w14:paraId="3E07E60B" w14:textId="77777777" w:rsidTr="002E3F44">
        <w:trPr>
          <w:trHeight w:val="363"/>
        </w:trPr>
        <w:tc>
          <w:tcPr>
            <w:tcW w:w="0" w:type="auto"/>
            <w:tcBorders>
              <w:top w:val="nil"/>
              <w:left w:val="nil"/>
              <w:bottom w:val="nil"/>
              <w:right w:val="nil"/>
            </w:tcBorders>
            <w:shd w:val="clear" w:color="auto" w:fill="auto"/>
            <w:noWrap/>
            <w:vAlign w:val="center"/>
            <w:hideMark/>
          </w:tcPr>
          <w:p w14:paraId="1AD85214"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pH</w:t>
            </w:r>
          </w:p>
        </w:tc>
        <w:tc>
          <w:tcPr>
            <w:tcW w:w="0" w:type="auto"/>
            <w:tcBorders>
              <w:top w:val="nil"/>
              <w:left w:val="nil"/>
              <w:bottom w:val="nil"/>
              <w:right w:val="nil"/>
            </w:tcBorders>
            <w:shd w:val="clear" w:color="auto" w:fill="auto"/>
            <w:noWrap/>
            <w:vAlign w:val="bottom"/>
            <w:hideMark/>
          </w:tcPr>
          <w:p w14:paraId="77D19CA8"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w:t>
            </w:r>
          </w:p>
        </w:tc>
        <w:tc>
          <w:tcPr>
            <w:tcW w:w="0" w:type="auto"/>
            <w:tcBorders>
              <w:top w:val="nil"/>
              <w:left w:val="nil"/>
              <w:bottom w:val="nil"/>
              <w:right w:val="nil"/>
            </w:tcBorders>
            <w:shd w:val="clear" w:color="auto" w:fill="auto"/>
            <w:noWrap/>
            <w:vAlign w:val="bottom"/>
            <w:hideMark/>
          </w:tcPr>
          <w:p w14:paraId="3F73DF9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8.17</w:t>
            </w:r>
          </w:p>
        </w:tc>
        <w:tc>
          <w:tcPr>
            <w:tcW w:w="0" w:type="auto"/>
            <w:tcBorders>
              <w:top w:val="nil"/>
              <w:left w:val="nil"/>
              <w:bottom w:val="nil"/>
              <w:right w:val="nil"/>
            </w:tcBorders>
            <w:shd w:val="clear" w:color="auto" w:fill="auto"/>
            <w:noWrap/>
            <w:vAlign w:val="bottom"/>
            <w:hideMark/>
          </w:tcPr>
          <w:p w14:paraId="5B55F97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8.4</w:t>
            </w:r>
          </w:p>
        </w:tc>
        <w:tc>
          <w:tcPr>
            <w:tcW w:w="0" w:type="auto"/>
            <w:tcBorders>
              <w:top w:val="nil"/>
              <w:left w:val="nil"/>
              <w:bottom w:val="nil"/>
              <w:right w:val="nil"/>
            </w:tcBorders>
            <w:shd w:val="clear" w:color="auto" w:fill="auto"/>
            <w:noWrap/>
            <w:vAlign w:val="bottom"/>
            <w:hideMark/>
          </w:tcPr>
          <w:p w14:paraId="0C5091B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8.75</w:t>
            </w:r>
          </w:p>
        </w:tc>
        <w:tc>
          <w:tcPr>
            <w:tcW w:w="0" w:type="auto"/>
            <w:tcBorders>
              <w:top w:val="nil"/>
              <w:left w:val="nil"/>
              <w:bottom w:val="nil"/>
              <w:right w:val="nil"/>
            </w:tcBorders>
            <w:shd w:val="clear" w:color="auto" w:fill="auto"/>
            <w:noWrap/>
            <w:vAlign w:val="bottom"/>
            <w:hideMark/>
          </w:tcPr>
          <w:p w14:paraId="09F1FB03"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8.14</w:t>
            </w:r>
          </w:p>
        </w:tc>
        <w:tc>
          <w:tcPr>
            <w:tcW w:w="240" w:type="dxa"/>
            <w:tcBorders>
              <w:top w:val="nil"/>
              <w:left w:val="nil"/>
              <w:bottom w:val="nil"/>
              <w:right w:val="nil"/>
            </w:tcBorders>
          </w:tcPr>
          <w:p w14:paraId="23374F0D" w14:textId="77777777" w:rsidR="00A46B68" w:rsidRPr="00A3177E" w:rsidRDefault="00A46B68" w:rsidP="00A46B68">
            <w:pPr>
              <w:spacing w:line="240" w:lineRule="auto"/>
              <w:ind w:firstLine="0"/>
              <w:jc w:val="center"/>
              <w:rPr>
                <w:color w:val="000000"/>
              </w:rPr>
            </w:pPr>
          </w:p>
        </w:tc>
        <w:tc>
          <w:tcPr>
            <w:tcW w:w="1098" w:type="dxa"/>
            <w:tcBorders>
              <w:top w:val="nil"/>
              <w:left w:val="nil"/>
              <w:bottom w:val="nil"/>
              <w:right w:val="nil"/>
            </w:tcBorders>
            <w:shd w:val="clear" w:color="auto" w:fill="auto"/>
            <w:noWrap/>
            <w:vAlign w:val="bottom"/>
            <w:hideMark/>
          </w:tcPr>
          <w:p w14:paraId="1BE0589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10.06</w:t>
            </w:r>
          </w:p>
        </w:tc>
        <w:tc>
          <w:tcPr>
            <w:tcW w:w="0" w:type="auto"/>
            <w:tcBorders>
              <w:top w:val="nil"/>
              <w:left w:val="nil"/>
              <w:bottom w:val="nil"/>
              <w:right w:val="nil"/>
            </w:tcBorders>
            <w:shd w:val="clear" w:color="auto" w:fill="auto"/>
            <w:noWrap/>
            <w:vAlign w:val="bottom"/>
            <w:hideMark/>
          </w:tcPr>
          <w:p w14:paraId="08B3CC3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9.84</w:t>
            </w:r>
          </w:p>
        </w:tc>
        <w:tc>
          <w:tcPr>
            <w:tcW w:w="0" w:type="auto"/>
            <w:tcBorders>
              <w:top w:val="nil"/>
              <w:left w:val="nil"/>
              <w:bottom w:val="nil"/>
              <w:right w:val="nil"/>
            </w:tcBorders>
            <w:shd w:val="clear" w:color="auto" w:fill="auto"/>
            <w:noWrap/>
            <w:vAlign w:val="bottom"/>
            <w:hideMark/>
          </w:tcPr>
          <w:p w14:paraId="74AEEDC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9.42</w:t>
            </w:r>
          </w:p>
        </w:tc>
        <w:tc>
          <w:tcPr>
            <w:tcW w:w="0" w:type="auto"/>
            <w:tcBorders>
              <w:top w:val="nil"/>
              <w:left w:val="nil"/>
              <w:bottom w:val="nil"/>
              <w:right w:val="nil"/>
            </w:tcBorders>
            <w:shd w:val="clear" w:color="auto" w:fill="auto"/>
            <w:noWrap/>
            <w:vAlign w:val="bottom"/>
            <w:hideMark/>
          </w:tcPr>
          <w:p w14:paraId="75E54FF9"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8.18</w:t>
            </w:r>
          </w:p>
        </w:tc>
        <w:tc>
          <w:tcPr>
            <w:tcW w:w="0" w:type="auto"/>
            <w:tcBorders>
              <w:top w:val="nil"/>
              <w:left w:val="nil"/>
              <w:bottom w:val="nil"/>
              <w:right w:val="nil"/>
            </w:tcBorders>
            <w:shd w:val="clear" w:color="auto" w:fill="auto"/>
            <w:noWrap/>
            <w:vAlign w:val="bottom"/>
            <w:hideMark/>
          </w:tcPr>
          <w:p w14:paraId="7939EB6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8.98</w:t>
            </w:r>
          </w:p>
        </w:tc>
      </w:tr>
      <w:tr w:rsidR="00A46B68" w:rsidRPr="00A3177E" w14:paraId="7F682938" w14:textId="77777777" w:rsidTr="002E3F44">
        <w:trPr>
          <w:trHeight w:val="363"/>
        </w:trPr>
        <w:tc>
          <w:tcPr>
            <w:tcW w:w="0" w:type="auto"/>
            <w:tcBorders>
              <w:top w:val="nil"/>
              <w:left w:val="nil"/>
              <w:bottom w:val="nil"/>
              <w:right w:val="nil"/>
            </w:tcBorders>
            <w:shd w:val="clear" w:color="auto" w:fill="auto"/>
            <w:noWrap/>
            <w:vAlign w:val="center"/>
            <w:hideMark/>
          </w:tcPr>
          <w:p w14:paraId="50110CEF"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Eh (mV)</w:t>
            </w:r>
          </w:p>
        </w:tc>
        <w:tc>
          <w:tcPr>
            <w:tcW w:w="0" w:type="auto"/>
            <w:tcBorders>
              <w:top w:val="nil"/>
              <w:left w:val="nil"/>
              <w:bottom w:val="nil"/>
              <w:right w:val="nil"/>
            </w:tcBorders>
            <w:shd w:val="clear" w:color="auto" w:fill="auto"/>
            <w:noWrap/>
            <w:vAlign w:val="bottom"/>
            <w:hideMark/>
          </w:tcPr>
          <w:p w14:paraId="392A1DF7"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431.6</w:t>
            </w:r>
          </w:p>
        </w:tc>
        <w:tc>
          <w:tcPr>
            <w:tcW w:w="0" w:type="auto"/>
            <w:tcBorders>
              <w:top w:val="nil"/>
              <w:left w:val="nil"/>
              <w:bottom w:val="nil"/>
              <w:right w:val="nil"/>
            </w:tcBorders>
            <w:shd w:val="clear" w:color="auto" w:fill="auto"/>
            <w:noWrap/>
            <w:vAlign w:val="bottom"/>
            <w:hideMark/>
          </w:tcPr>
          <w:p w14:paraId="1FCC7136"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429.8</w:t>
            </w:r>
          </w:p>
        </w:tc>
        <w:tc>
          <w:tcPr>
            <w:tcW w:w="0" w:type="auto"/>
            <w:tcBorders>
              <w:top w:val="nil"/>
              <w:left w:val="nil"/>
              <w:bottom w:val="nil"/>
              <w:right w:val="nil"/>
            </w:tcBorders>
            <w:shd w:val="clear" w:color="auto" w:fill="auto"/>
            <w:noWrap/>
            <w:vAlign w:val="bottom"/>
            <w:hideMark/>
          </w:tcPr>
          <w:p w14:paraId="011FEE5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419.1</w:t>
            </w:r>
          </w:p>
        </w:tc>
        <w:tc>
          <w:tcPr>
            <w:tcW w:w="0" w:type="auto"/>
            <w:tcBorders>
              <w:top w:val="nil"/>
              <w:left w:val="nil"/>
              <w:bottom w:val="nil"/>
              <w:right w:val="nil"/>
            </w:tcBorders>
            <w:shd w:val="clear" w:color="auto" w:fill="auto"/>
            <w:noWrap/>
            <w:vAlign w:val="bottom"/>
            <w:hideMark/>
          </w:tcPr>
          <w:p w14:paraId="41079BFB"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395.2</w:t>
            </w:r>
          </w:p>
        </w:tc>
        <w:tc>
          <w:tcPr>
            <w:tcW w:w="0" w:type="auto"/>
            <w:tcBorders>
              <w:top w:val="nil"/>
              <w:left w:val="nil"/>
              <w:bottom w:val="nil"/>
              <w:right w:val="nil"/>
            </w:tcBorders>
            <w:shd w:val="clear" w:color="auto" w:fill="auto"/>
            <w:noWrap/>
            <w:vAlign w:val="bottom"/>
            <w:hideMark/>
          </w:tcPr>
          <w:p w14:paraId="5BF7C93F"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419.2</w:t>
            </w:r>
          </w:p>
        </w:tc>
        <w:tc>
          <w:tcPr>
            <w:tcW w:w="240" w:type="dxa"/>
            <w:tcBorders>
              <w:top w:val="nil"/>
              <w:left w:val="nil"/>
              <w:bottom w:val="nil"/>
              <w:right w:val="nil"/>
            </w:tcBorders>
          </w:tcPr>
          <w:p w14:paraId="4BF04BC1" w14:textId="77777777" w:rsidR="00A46B68" w:rsidRPr="00A3177E" w:rsidRDefault="00A46B68" w:rsidP="00A46B68">
            <w:pPr>
              <w:spacing w:line="240" w:lineRule="auto"/>
              <w:ind w:firstLine="0"/>
              <w:jc w:val="center"/>
              <w:rPr>
                <w:color w:val="000000"/>
              </w:rPr>
            </w:pPr>
          </w:p>
        </w:tc>
        <w:tc>
          <w:tcPr>
            <w:tcW w:w="1098" w:type="dxa"/>
            <w:tcBorders>
              <w:top w:val="nil"/>
              <w:left w:val="nil"/>
              <w:bottom w:val="nil"/>
              <w:right w:val="nil"/>
            </w:tcBorders>
            <w:shd w:val="clear" w:color="auto" w:fill="auto"/>
            <w:noWrap/>
            <w:vAlign w:val="bottom"/>
            <w:hideMark/>
          </w:tcPr>
          <w:p w14:paraId="5C970B18"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340</w:t>
            </w:r>
          </w:p>
        </w:tc>
        <w:tc>
          <w:tcPr>
            <w:tcW w:w="0" w:type="auto"/>
            <w:tcBorders>
              <w:top w:val="nil"/>
              <w:left w:val="nil"/>
              <w:bottom w:val="nil"/>
              <w:right w:val="nil"/>
            </w:tcBorders>
            <w:shd w:val="clear" w:color="auto" w:fill="auto"/>
            <w:noWrap/>
            <w:vAlign w:val="bottom"/>
            <w:hideMark/>
          </w:tcPr>
          <w:p w14:paraId="29918BB6"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376.7</w:t>
            </w:r>
          </w:p>
        </w:tc>
        <w:tc>
          <w:tcPr>
            <w:tcW w:w="0" w:type="auto"/>
            <w:tcBorders>
              <w:top w:val="nil"/>
              <w:left w:val="nil"/>
              <w:bottom w:val="nil"/>
              <w:right w:val="nil"/>
            </w:tcBorders>
            <w:shd w:val="clear" w:color="auto" w:fill="auto"/>
            <w:noWrap/>
            <w:vAlign w:val="bottom"/>
            <w:hideMark/>
          </w:tcPr>
          <w:p w14:paraId="4FA97F7C"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427.9</w:t>
            </w:r>
          </w:p>
        </w:tc>
        <w:tc>
          <w:tcPr>
            <w:tcW w:w="0" w:type="auto"/>
            <w:tcBorders>
              <w:top w:val="nil"/>
              <w:left w:val="nil"/>
              <w:bottom w:val="nil"/>
              <w:right w:val="nil"/>
            </w:tcBorders>
            <w:shd w:val="clear" w:color="auto" w:fill="auto"/>
            <w:noWrap/>
            <w:vAlign w:val="bottom"/>
            <w:hideMark/>
          </w:tcPr>
          <w:p w14:paraId="348CA4FE"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487.7</w:t>
            </w:r>
          </w:p>
        </w:tc>
        <w:tc>
          <w:tcPr>
            <w:tcW w:w="0" w:type="auto"/>
            <w:tcBorders>
              <w:top w:val="nil"/>
              <w:left w:val="nil"/>
              <w:bottom w:val="nil"/>
              <w:right w:val="nil"/>
            </w:tcBorders>
            <w:shd w:val="clear" w:color="auto" w:fill="auto"/>
            <w:noWrap/>
            <w:vAlign w:val="bottom"/>
            <w:hideMark/>
          </w:tcPr>
          <w:p w14:paraId="12A28229"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415.3</w:t>
            </w:r>
          </w:p>
        </w:tc>
      </w:tr>
      <w:tr w:rsidR="00A46B68" w:rsidRPr="00A3177E" w14:paraId="2D45548C" w14:textId="77777777" w:rsidTr="002E3F44">
        <w:trPr>
          <w:trHeight w:val="363"/>
        </w:trPr>
        <w:tc>
          <w:tcPr>
            <w:tcW w:w="0" w:type="auto"/>
            <w:tcBorders>
              <w:top w:val="nil"/>
              <w:left w:val="nil"/>
              <w:bottom w:val="single" w:sz="4" w:space="0" w:color="auto"/>
              <w:right w:val="nil"/>
            </w:tcBorders>
            <w:shd w:val="clear" w:color="auto" w:fill="auto"/>
            <w:noWrap/>
            <w:vAlign w:val="center"/>
            <w:hideMark/>
          </w:tcPr>
          <w:p w14:paraId="5A0250BD"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Conductivity (μS cm</w:t>
            </w:r>
            <w:r w:rsidRPr="00A3177E">
              <w:rPr>
                <w:rFonts w:cs="Times New Roman"/>
                <w:b/>
                <w:bCs/>
                <w:color w:val="000000"/>
                <w:vertAlign w:val="superscript"/>
              </w:rPr>
              <w:t>-1</w:t>
            </w:r>
            <w:r w:rsidRPr="00A3177E">
              <w:rPr>
                <w:rFonts w:cs="Times New Roman"/>
                <w:b/>
                <w:bCs/>
                <w:color w:val="000000"/>
              </w:rPr>
              <w:t>)</w:t>
            </w:r>
          </w:p>
        </w:tc>
        <w:tc>
          <w:tcPr>
            <w:tcW w:w="0" w:type="auto"/>
            <w:tcBorders>
              <w:top w:val="nil"/>
              <w:left w:val="nil"/>
              <w:bottom w:val="single" w:sz="4" w:space="0" w:color="auto"/>
              <w:right w:val="nil"/>
            </w:tcBorders>
            <w:shd w:val="clear" w:color="auto" w:fill="auto"/>
            <w:noWrap/>
            <w:vAlign w:val="bottom"/>
            <w:hideMark/>
          </w:tcPr>
          <w:p w14:paraId="25E0453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7,650.00</w:t>
            </w:r>
          </w:p>
        </w:tc>
        <w:tc>
          <w:tcPr>
            <w:tcW w:w="0" w:type="auto"/>
            <w:tcBorders>
              <w:top w:val="nil"/>
              <w:left w:val="nil"/>
              <w:bottom w:val="single" w:sz="4" w:space="0" w:color="auto"/>
              <w:right w:val="nil"/>
            </w:tcBorders>
            <w:shd w:val="clear" w:color="auto" w:fill="auto"/>
            <w:noWrap/>
            <w:vAlign w:val="bottom"/>
            <w:hideMark/>
          </w:tcPr>
          <w:p w14:paraId="27CB3D2C"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1,939.00</w:t>
            </w:r>
          </w:p>
        </w:tc>
        <w:tc>
          <w:tcPr>
            <w:tcW w:w="0" w:type="auto"/>
            <w:tcBorders>
              <w:top w:val="nil"/>
              <w:left w:val="nil"/>
              <w:bottom w:val="single" w:sz="4" w:space="0" w:color="auto"/>
              <w:right w:val="nil"/>
            </w:tcBorders>
            <w:shd w:val="clear" w:color="auto" w:fill="auto"/>
            <w:noWrap/>
            <w:vAlign w:val="bottom"/>
            <w:hideMark/>
          </w:tcPr>
          <w:p w14:paraId="3AF688B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636</w:t>
            </w:r>
          </w:p>
        </w:tc>
        <w:tc>
          <w:tcPr>
            <w:tcW w:w="0" w:type="auto"/>
            <w:tcBorders>
              <w:top w:val="nil"/>
              <w:left w:val="nil"/>
              <w:bottom w:val="single" w:sz="4" w:space="0" w:color="auto"/>
              <w:right w:val="nil"/>
            </w:tcBorders>
            <w:shd w:val="clear" w:color="auto" w:fill="auto"/>
            <w:noWrap/>
            <w:vAlign w:val="bottom"/>
            <w:hideMark/>
          </w:tcPr>
          <w:p w14:paraId="1EE6C1A0"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210.8</w:t>
            </w:r>
          </w:p>
        </w:tc>
        <w:tc>
          <w:tcPr>
            <w:tcW w:w="0" w:type="auto"/>
            <w:tcBorders>
              <w:top w:val="nil"/>
              <w:left w:val="nil"/>
              <w:bottom w:val="single" w:sz="4" w:space="0" w:color="auto"/>
              <w:right w:val="nil"/>
            </w:tcBorders>
            <w:shd w:val="clear" w:color="auto" w:fill="auto"/>
            <w:noWrap/>
            <w:vAlign w:val="bottom"/>
            <w:hideMark/>
          </w:tcPr>
          <w:p w14:paraId="159ECA0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72.6</w:t>
            </w:r>
          </w:p>
        </w:tc>
        <w:tc>
          <w:tcPr>
            <w:tcW w:w="240" w:type="dxa"/>
            <w:tcBorders>
              <w:top w:val="nil"/>
              <w:left w:val="nil"/>
              <w:right w:val="nil"/>
            </w:tcBorders>
          </w:tcPr>
          <w:p w14:paraId="07B848A8" w14:textId="77777777" w:rsidR="00A46B68" w:rsidRPr="00A3177E" w:rsidRDefault="00A46B68" w:rsidP="00A46B68">
            <w:pPr>
              <w:spacing w:line="240" w:lineRule="auto"/>
              <w:ind w:firstLine="0"/>
              <w:jc w:val="center"/>
              <w:rPr>
                <w:color w:val="000000"/>
              </w:rPr>
            </w:pPr>
          </w:p>
        </w:tc>
        <w:tc>
          <w:tcPr>
            <w:tcW w:w="1098" w:type="dxa"/>
            <w:tcBorders>
              <w:top w:val="nil"/>
              <w:left w:val="nil"/>
              <w:bottom w:val="single" w:sz="4" w:space="0" w:color="auto"/>
              <w:right w:val="nil"/>
            </w:tcBorders>
            <w:shd w:val="clear" w:color="auto" w:fill="auto"/>
            <w:noWrap/>
            <w:vAlign w:val="bottom"/>
            <w:hideMark/>
          </w:tcPr>
          <w:p w14:paraId="43C802A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79.5</w:t>
            </w:r>
          </w:p>
        </w:tc>
        <w:tc>
          <w:tcPr>
            <w:tcW w:w="0" w:type="auto"/>
            <w:tcBorders>
              <w:top w:val="nil"/>
              <w:left w:val="nil"/>
              <w:bottom w:val="single" w:sz="4" w:space="0" w:color="auto"/>
              <w:right w:val="nil"/>
            </w:tcBorders>
            <w:shd w:val="clear" w:color="auto" w:fill="auto"/>
            <w:noWrap/>
            <w:vAlign w:val="bottom"/>
            <w:hideMark/>
          </w:tcPr>
          <w:p w14:paraId="6B1AFEFC"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211.4</w:t>
            </w:r>
          </w:p>
        </w:tc>
        <w:tc>
          <w:tcPr>
            <w:tcW w:w="0" w:type="auto"/>
            <w:tcBorders>
              <w:top w:val="nil"/>
              <w:left w:val="nil"/>
              <w:bottom w:val="single" w:sz="4" w:space="0" w:color="auto"/>
              <w:right w:val="nil"/>
            </w:tcBorders>
            <w:shd w:val="clear" w:color="auto" w:fill="auto"/>
            <w:noWrap/>
            <w:vAlign w:val="bottom"/>
            <w:hideMark/>
          </w:tcPr>
          <w:p w14:paraId="05B4F17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214.7</w:t>
            </w:r>
          </w:p>
        </w:tc>
        <w:tc>
          <w:tcPr>
            <w:tcW w:w="0" w:type="auto"/>
            <w:tcBorders>
              <w:top w:val="nil"/>
              <w:left w:val="nil"/>
              <w:bottom w:val="single" w:sz="4" w:space="0" w:color="auto"/>
              <w:right w:val="nil"/>
            </w:tcBorders>
            <w:shd w:val="clear" w:color="auto" w:fill="auto"/>
            <w:noWrap/>
            <w:vAlign w:val="bottom"/>
            <w:hideMark/>
          </w:tcPr>
          <w:p w14:paraId="09A08667"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603</w:t>
            </w:r>
          </w:p>
        </w:tc>
        <w:tc>
          <w:tcPr>
            <w:tcW w:w="0" w:type="auto"/>
            <w:tcBorders>
              <w:top w:val="nil"/>
              <w:left w:val="nil"/>
              <w:bottom w:val="single" w:sz="4" w:space="0" w:color="auto"/>
              <w:right w:val="nil"/>
            </w:tcBorders>
            <w:shd w:val="clear" w:color="auto" w:fill="auto"/>
            <w:noWrap/>
            <w:vAlign w:val="bottom"/>
            <w:hideMark/>
          </w:tcPr>
          <w:p w14:paraId="6E50CFEB"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83.2</w:t>
            </w:r>
          </w:p>
        </w:tc>
      </w:tr>
      <w:tr w:rsidR="00A46B68" w:rsidRPr="00A3177E" w14:paraId="4DC89C76" w14:textId="77777777" w:rsidTr="002E3F44">
        <w:trPr>
          <w:trHeight w:val="363"/>
        </w:trPr>
        <w:tc>
          <w:tcPr>
            <w:tcW w:w="0" w:type="auto"/>
            <w:tcBorders>
              <w:top w:val="nil"/>
              <w:left w:val="nil"/>
              <w:bottom w:val="nil"/>
              <w:right w:val="nil"/>
            </w:tcBorders>
            <w:shd w:val="clear" w:color="auto" w:fill="auto"/>
            <w:noWrap/>
            <w:vAlign w:val="center"/>
            <w:hideMark/>
          </w:tcPr>
          <w:p w14:paraId="57C9412B"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Cl</w:t>
            </w:r>
            <w:r w:rsidRPr="00A3177E">
              <w:rPr>
                <w:rFonts w:cs="Times New Roman"/>
                <w:b/>
                <w:bCs/>
                <w:color w:val="000000"/>
                <w:vertAlign w:val="superscript"/>
              </w:rPr>
              <w:t>-</w:t>
            </w:r>
            <w:r w:rsidRPr="00A3177E">
              <w:rPr>
                <w:rFonts w:cs="Times New Roman"/>
                <w:b/>
                <w:bCs/>
                <w:color w:val="000000"/>
              </w:rPr>
              <w:t xml:space="preserve"> (μg g</w:t>
            </w:r>
            <w:r w:rsidRPr="00A3177E">
              <w:rPr>
                <w:rFonts w:cs="Times New Roman"/>
                <w:b/>
                <w:bCs/>
                <w:color w:val="000000"/>
                <w:vertAlign w:val="superscript"/>
              </w:rPr>
              <w:t>-1</w:t>
            </w:r>
            <w:r w:rsidRPr="00A3177E">
              <w:rPr>
                <w:rFonts w:cs="Times New Roman"/>
                <w:b/>
                <w:bCs/>
                <w:color w:val="000000"/>
              </w:rPr>
              <w:t>)</w:t>
            </w:r>
          </w:p>
        </w:tc>
        <w:tc>
          <w:tcPr>
            <w:tcW w:w="0" w:type="auto"/>
            <w:tcBorders>
              <w:top w:val="nil"/>
              <w:left w:val="nil"/>
              <w:bottom w:val="nil"/>
              <w:right w:val="nil"/>
            </w:tcBorders>
            <w:shd w:val="clear" w:color="auto" w:fill="auto"/>
            <w:noWrap/>
            <w:vAlign w:val="bottom"/>
            <w:hideMark/>
          </w:tcPr>
          <w:p w14:paraId="5ED6054E"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11,973.99</w:t>
            </w:r>
          </w:p>
        </w:tc>
        <w:tc>
          <w:tcPr>
            <w:tcW w:w="0" w:type="auto"/>
            <w:tcBorders>
              <w:top w:val="nil"/>
              <w:left w:val="nil"/>
              <w:bottom w:val="nil"/>
              <w:right w:val="nil"/>
            </w:tcBorders>
            <w:shd w:val="clear" w:color="auto" w:fill="auto"/>
            <w:noWrap/>
            <w:vAlign w:val="bottom"/>
            <w:hideMark/>
          </w:tcPr>
          <w:p w14:paraId="539676BF"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2,249.88</w:t>
            </w:r>
          </w:p>
        </w:tc>
        <w:tc>
          <w:tcPr>
            <w:tcW w:w="0" w:type="auto"/>
            <w:tcBorders>
              <w:top w:val="nil"/>
              <w:left w:val="nil"/>
              <w:bottom w:val="nil"/>
              <w:right w:val="nil"/>
            </w:tcBorders>
            <w:shd w:val="clear" w:color="auto" w:fill="auto"/>
            <w:noWrap/>
            <w:vAlign w:val="bottom"/>
            <w:hideMark/>
          </w:tcPr>
          <w:p w14:paraId="4E566F6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751.37</w:t>
            </w:r>
          </w:p>
        </w:tc>
        <w:tc>
          <w:tcPr>
            <w:tcW w:w="0" w:type="auto"/>
            <w:tcBorders>
              <w:top w:val="nil"/>
              <w:left w:val="nil"/>
              <w:bottom w:val="nil"/>
              <w:right w:val="nil"/>
            </w:tcBorders>
            <w:shd w:val="clear" w:color="auto" w:fill="auto"/>
            <w:noWrap/>
            <w:vAlign w:val="bottom"/>
            <w:hideMark/>
          </w:tcPr>
          <w:p w14:paraId="64FD93F8"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177.74</w:t>
            </w:r>
          </w:p>
        </w:tc>
        <w:tc>
          <w:tcPr>
            <w:tcW w:w="0" w:type="auto"/>
            <w:tcBorders>
              <w:top w:val="nil"/>
              <w:left w:val="nil"/>
              <w:bottom w:val="nil"/>
              <w:right w:val="nil"/>
            </w:tcBorders>
            <w:shd w:val="clear" w:color="auto" w:fill="auto"/>
            <w:noWrap/>
            <w:vAlign w:val="bottom"/>
            <w:hideMark/>
          </w:tcPr>
          <w:p w14:paraId="6F227618"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853.14</w:t>
            </w:r>
          </w:p>
        </w:tc>
        <w:tc>
          <w:tcPr>
            <w:tcW w:w="240" w:type="dxa"/>
            <w:tcBorders>
              <w:top w:val="nil"/>
              <w:left w:val="nil"/>
              <w:bottom w:val="nil"/>
              <w:right w:val="nil"/>
            </w:tcBorders>
          </w:tcPr>
          <w:p w14:paraId="1819713B" w14:textId="77777777" w:rsidR="00A46B68" w:rsidRPr="00A3177E" w:rsidRDefault="00A46B68" w:rsidP="00A46B68">
            <w:pPr>
              <w:spacing w:line="240" w:lineRule="auto"/>
              <w:ind w:firstLine="0"/>
              <w:jc w:val="center"/>
              <w:rPr>
                <w:color w:val="000000"/>
              </w:rPr>
            </w:pPr>
          </w:p>
        </w:tc>
        <w:tc>
          <w:tcPr>
            <w:tcW w:w="1098" w:type="dxa"/>
            <w:tcBorders>
              <w:top w:val="nil"/>
              <w:left w:val="nil"/>
              <w:bottom w:val="nil"/>
              <w:right w:val="nil"/>
            </w:tcBorders>
            <w:shd w:val="clear" w:color="auto" w:fill="auto"/>
            <w:noWrap/>
            <w:vAlign w:val="bottom"/>
            <w:hideMark/>
          </w:tcPr>
          <w:p w14:paraId="23199750"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1.91</w:t>
            </w:r>
          </w:p>
        </w:tc>
        <w:tc>
          <w:tcPr>
            <w:tcW w:w="0" w:type="auto"/>
            <w:tcBorders>
              <w:top w:val="nil"/>
              <w:left w:val="nil"/>
              <w:bottom w:val="nil"/>
              <w:right w:val="nil"/>
            </w:tcBorders>
            <w:shd w:val="clear" w:color="auto" w:fill="auto"/>
            <w:noWrap/>
            <w:vAlign w:val="bottom"/>
            <w:hideMark/>
          </w:tcPr>
          <w:p w14:paraId="27CE985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83.11</w:t>
            </w:r>
          </w:p>
        </w:tc>
        <w:tc>
          <w:tcPr>
            <w:tcW w:w="0" w:type="auto"/>
            <w:tcBorders>
              <w:top w:val="nil"/>
              <w:left w:val="nil"/>
              <w:bottom w:val="nil"/>
              <w:right w:val="nil"/>
            </w:tcBorders>
            <w:shd w:val="clear" w:color="auto" w:fill="auto"/>
            <w:noWrap/>
            <w:vAlign w:val="bottom"/>
            <w:hideMark/>
          </w:tcPr>
          <w:p w14:paraId="3BB788B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239.67</w:t>
            </w:r>
          </w:p>
        </w:tc>
        <w:tc>
          <w:tcPr>
            <w:tcW w:w="0" w:type="auto"/>
            <w:tcBorders>
              <w:top w:val="nil"/>
              <w:left w:val="nil"/>
              <w:bottom w:val="nil"/>
              <w:right w:val="nil"/>
            </w:tcBorders>
            <w:shd w:val="clear" w:color="auto" w:fill="auto"/>
            <w:noWrap/>
            <w:vAlign w:val="bottom"/>
            <w:hideMark/>
          </w:tcPr>
          <w:p w14:paraId="0B03B988"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665.62</w:t>
            </w:r>
          </w:p>
        </w:tc>
        <w:tc>
          <w:tcPr>
            <w:tcW w:w="0" w:type="auto"/>
            <w:tcBorders>
              <w:top w:val="nil"/>
              <w:left w:val="nil"/>
              <w:bottom w:val="nil"/>
              <w:right w:val="nil"/>
            </w:tcBorders>
            <w:shd w:val="clear" w:color="auto" w:fill="auto"/>
            <w:noWrap/>
            <w:vAlign w:val="bottom"/>
            <w:hideMark/>
          </w:tcPr>
          <w:p w14:paraId="28F157F8"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52.53</w:t>
            </w:r>
          </w:p>
        </w:tc>
      </w:tr>
      <w:tr w:rsidR="00A46B68" w:rsidRPr="00A3177E" w14:paraId="23943706" w14:textId="77777777" w:rsidTr="002E3F44">
        <w:trPr>
          <w:trHeight w:val="363"/>
        </w:trPr>
        <w:tc>
          <w:tcPr>
            <w:tcW w:w="0" w:type="auto"/>
            <w:tcBorders>
              <w:top w:val="nil"/>
              <w:left w:val="nil"/>
              <w:bottom w:val="nil"/>
              <w:right w:val="nil"/>
            </w:tcBorders>
            <w:shd w:val="clear" w:color="auto" w:fill="auto"/>
            <w:noWrap/>
            <w:vAlign w:val="center"/>
            <w:hideMark/>
          </w:tcPr>
          <w:p w14:paraId="24272CC4"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SO</w:t>
            </w:r>
            <w:r w:rsidRPr="00A3177E">
              <w:rPr>
                <w:rFonts w:cs="Times New Roman"/>
                <w:b/>
                <w:bCs/>
                <w:color w:val="000000"/>
                <w:vertAlign w:val="subscript"/>
              </w:rPr>
              <w:t>4</w:t>
            </w:r>
            <w:r w:rsidRPr="00A3177E">
              <w:rPr>
                <w:rFonts w:cs="Times New Roman"/>
                <w:b/>
                <w:bCs/>
                <w:color w:val="000000"/>
                <w:vertAlign w:val="superscript"/>
              </w:rPr>
              <w:t>-</w:t>
            </w:r>
            <w:r w:rsidRPr="00A3177E">
              <w:rPr>
                <w:rFonts w:cs="Times New Roman"/>
                <w:b/>
                <w:bCs/>
                <w:color w:val="000000"/>
              </w:rPr>
              <w:t xml:space="preserve"> (μg g</w:t>
            </w:r>
            <w:r w:rsidRPr="00A3177E">
              <w:rPr>
                <w:rFonts w:cs="Times New Roman"/>
                <w:b/>
                <w:bCs/>
                <w:color w:val="000000"/>
                <w:vertAlign w:val="superscript"/>
              </w:rPr>
              <w:t>-1</w:t>
            </w:r>
            <w:r w:rsidRPr="00A3177E">
              <w:rPr>
                <w:rFonts w:cs="Times New Roman"/>
                <w:b/>
                <w:bCs/>
                <w:color w:val="000000"/>
              </w:rPr>
              <w:t>)</w:t>
            </w:r>
          </w:p>
        </w:tc>
        <w:tc>
          <w:tcPr>
            <w:tcW w:w="0" w:type="auto"/>
            <w:tcBorders>
              <w:top w:val="nil"/>
              <w:left w:val="nil"/>
              <w:bottom w:val="nil"/>
              <w:right w:val="nil"/>
            </w:tcBorders>
            <w:shd w:val="clear" w:color="auto" w:fill="auto"/>
            <w:noWrap/>
            <w:vAlign w:val="bottom"/>
            <w:hideMark/>
          </w:tcPr>
          <w:p w14:paraId="0DED2323"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430.35</w:t>
            </w:r>
          </w:p>
        </w:tc>
        <w:tc>
          <w:tcPr>
            <w:tcW w:w="0" w:type="auto"/>
            <w:tcBorders>
              <w:top w:val="nil"/>
              <w:left w:val="nil"/>
              <w:bottom w:val="nil"/>
              <w:right w:val="nil"/>
            </w:tcBorders>
            <w:shd w:val="clear" w:color="auto" w:fill="auto"/>
            <w:noWrap/>
            <w:vAlign w:val="bottom"/>
            <w:hideMark/>
          </w:tcPr>
          <w:p w14:paraId="5D69B793"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151.21</w:t>
            </w:r>
          </w:p>
        </w:tc>
        <w:tc>
          <w:tcPr>
            <w:tcW w:w="0" w:type="auto"/>
            <w:tcBorders>
              <w:top w:val="nil"/>
              <w:left w:val="nil"/>
              <w:bottom w:val="nil"/>
              <w:right w:val="nil"/>
            </w:tcBorders>
            <w:shd w:val="clear" w:color="auto" w:fill="auto"/>
            <w:noWrap/>
            <w:vAlign w:val="bottom"/>
            <w:hideMark/>
          </w:tcPr>
          <w:p w14:paraId="3BB475A5"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44.96</w:t>
            </w:r>
          </w:p>
        </w:tc>
        <w:tc>
          <w:tcPr>
            <w:tcW w:w="0" w:type="auto"/>
            <w:tcBorders>
              <w:top w:val="nil"/>
              <w:left w:val="nil"/>
              <w:bottom w:val="nil"/>
              <w:right w:val="nil"/>
            </w:tcBorders>
            <w:shd w:val="clear" w:color="auto" w:fill="auto"/>
            <w:noWrap/>
            <w:vAlign w:val="bottom"/>
            <w:hideMark/>
          </w:tcPr>
          <w:p w14:paraId="1511FC5B"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28.07</w:t>
            </w:r>
          </w:p>
        </w:tc>
        <w:tc>
          <w:tcPr>
            <w:tcW w:w="0" w:type="auto"/>
            <w:tcBorders>
              <w:top w:val="nil"/>
              <w:left w:val="nil"/>
              <w:bottom w:val="nil"/>
              <w:right w:val="nil"/>
            </w:tcBorders>
            <w:shd w:val="clear" w:color="auto" w:fill="auto"/>
            <w:noWrap/>
            <w:vAlign w:val="bottom"/>
            <w:hideMark/>
          </w:tcPr>
          <w:p w14:paraId="6E0AF87C"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85.19</w:t>
            </w:r>
          </w:p>
        </w:tc>
        <w:tc>
          <w:tcPr>
            <w:tcW w:w="240" w:type="dxa"/>
            <w:tcBorders>
              <w:top w:val="nil"/>
              <w:left w:val="nil"/>
              <w:bottom w:val="nil"/>
              <w:right w:val="nil"/>
            </w:tcBorders>
          </w:tcPr>
          <w:p w14:paraId="35EBAD8D" w14:textId="77777777" w:rsidR="00A46B68" w:rsidRPr="00A3177E" w:rsidRDefault="00A46B68" w:rsidP="00A46B68">
            <w:pPr>
              <w:spacing w:line="240" w:lineRule="auto"/>
              <w:ind w:firstLine="0"/>
              <w:jc w:val="center"/>
              <w:rPr>
                <w:color w:val="000000"/>
              </w:rPr>
            </w:pPr>
          </w:p>
        </w:tc>
        <w:tc>
          <w:tcPr>
            <w:tcW w:w="1098" w:type="dxa"/>
            <w:tcBorders>
              <w:top w:val="nil"/>
              <w:left w:val="nil"/>
              <w:bottom w:val="nil"/>
              <w:right w:val="nil"/>
            </w:tcBorders>
            <w:shd w:val="clear" w:color="auto" w:fill="auto"/>
            <w:noWrap/>
            <w:vAlign w:val="bottom"/>
            <w:hideMark/>
          </w:tcPr>
          <w:p w14:paraId="2D6DC17B"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9.25</w:t>
            </w:r>
          </w:p>
        </w:tc>
        <w:tc>
          <w:tcPr>
            <w:tcW w:w="0" w:type="auto"/>
            <w:tcBorders>
              <w:top w:val="nil"/>
              <w:left w:val="nil"/>
              <w:bottom w:val="nil"/>
              <w:right w:val="nil"/>
            </w:tcBorders>
            <w:shd w:val="clear" w:color="auto" w:fill="auto"/>
            <w:noWrap/>
            <w:vAlign w:val="bottom"/>
            <w:hideMark/>
          </w:tcPr>
          <w:p w14:paraId="66A45B8E"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27.68</w:t>
            </w:r>
          </w:p>
        </w:tc>
        <w:tc>
          <w:tcPr>
            <w:tcW w:w="0" w:type="auto"/>
            <w:tcBorders>
              <w:top w:val="nil"/>
              <w:left w:val="nil"/>
              <w:bottom w:val="nil"/>
              <w:right w:val="nil"/>
            </w:tcBorders>
            <w:shd w:val="clear" w:color="auto" w:fill="auto"/>
            <w:noWrap/>
            <w:vAlign w:val="bottom"/>
            <w:hideMark/>
          </w:tcPr>
          <w:p w14:paraId="4A59488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44.47</w:t>
            </w:r>
          </w:p>
        </w:tc>
        <w:tc>
          <w:tcPr>
            <w:tcW w:w="0" w:type="auto"/>
            <w:tcBorders>
              <w:top w:val="nil"/>
              <w:left w:val="nil"/>
              <w:bottom w:val="nil"/>
              <w:right w:val="nil"/>
            </w:tcBorders>
            <w:shd w:val="clear" w:color="auto" w:fill="auto"/>
            <w:noWrap/>
            <w:vAlign w:val="bottom"/>
            <w:hideMark/>
          </w:tcPr>
          <w:p w14:paraId="5E412DA0"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44.63</w:t>
            </w:r>
          </w:p>
        </w:tc>
        <w:tc>
          <w:tcPr>
            <w:tcW w:w="0" w:type="auto"/>
            <w:tcBorders>
              <w:top w:val="nil"/>
              <w:left w:val="nil"/>
              <w:bottom w:val="nil"/>
              <w:right w:val="nil"/>
            </w:tcBorders>
            <w:shd w:val="clear" w:color="auto" w:fill="auto"/>
            <w:noWrap/>
            <w:vAlign w:val="bottom"/>
            <w:hideMark/>
          </w:tcPr>
          <w:p w14:paraId="05803C4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12.26</w:t>
            </w:r>
          </w:p>
        </w:tc>
      </w:tr>
      <w:tr w:rsidR="00A46B68" w:rsidRPr="00A3177E" w14:paraId="56ECA39A" w14:textId="77777777" w:rsidTr="002E3F44">
        <w:trPr>
          <w:trHeight w:val="363"/>
        </w:trPr>
        <w:tc>
          <w:tcPr>
            <w:tcW w:w="0" w:type="auto"/>
            <w:tcBorders>
              <w:top w:val="nil"/>
              <w:left w:val="nil"/>
              <w:bottom w:val="nil"/>
              <w:right w:val="nil"/>
            </w:tcBorders>
            <w:shd w:val="clear" w:color="auto" w:fill="auto"/>
            <w:noWrap/>
            <w:vAlign w:val="center"/>
            <w:hideMark/>
          </w:tcPr>
          <w:p w14:paraId="080F9782"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PO</w:t>
            </w:r>
            <w:r w:rsidRPr="00A3177E">
              <w:rPr>
                <w:rFonts w:cs="Times New Roman"/>
                <w:b/>
                <w:bCs/>
                <w:color w:val="000000"/>
                <w:vertAlign w:val="subscript"/>
              </w:rPr>
              <w:t>4</w:t>
            </w:r>
            <w:r w:rsidRPr="00A3177E">
              <w:rPr>
                <w:rFonts w:cs="Times New Roman"/>
                <w:b/>
                <w:bCs/>
                <w:color w:val="000000"/>
                <w:vertAlign w:val="superscript"/>
              </w:rPr>
              <w:t>-</w:t>
            </w:r>
            <w:r w:rsidRPr="00A3177E">
              <w:rPr>
                <w:rFonts w:cs="Times New Roman"/>
                <w:b/>
                <w:bCs/>
                <w:color w:val="000000"/>
              </w:rPr>
              <w:t xml:space="preserve"> (μg g</w:t>
            </w:r>
            <w:r w:rsidRPr="00A3177E">
              <w:rPr>
                <w:rFonts w:cs="Times New Roman"/>
                <w:b/>
                <w:bCs/>
                <w:color w:val="000000"/>
                <w:vertAlign w:val="superscript"/>
              </w:rPr>
              <w:t>-1</w:t>
            </w:r>
            <w:r w:rsidRPr="00A3177E">
              <w:rPr>
                <w:rFonts w:cs="Times New Roman"/>
                <w:b/>
                <w:bCs/>
                <w:color w:val="000000"/>
              </w:rPr>
              <w:t>)</w:t>
            </w:r>
          </w:p>
        </w:tc>
        <w:tc>
          <w:tcPr>
            <w:tcW w:w="0" w:type="auto"/>
            <w:tcBorders>
              <w:top w:val="nil"/>
              <w:left w:val="nil"/>
              <w:bottom w:val="nil"/>
              <w:right w:val="nil"/>
            </w:tcBorders>
            <w:shd w:val="clear" w:color="auto" w:fill="auto"/>
            <w:noWrap/>
            <w:vAlign w:val="bottom"/>
            <w:hideMark/>
          </w:tcPr>
          <w:p w14:paraId="5933FDC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15.82</w:t>
            </w:r>
          </w:p>
        </w:tc>
        <w:tc>
          <w:tcPr>
            <w:tcW w:w="0" w:type="auto"/>
            <w:tcBorders>
              <w:top w:val="nil"/>
              <w:left w:val="nil"/>
              <w:bottom w:val="nil"/>
              <w:right w:val="nil"/>
            </w:tcBorders>
            <w:shd w:val="clear" w:color="auto" w:fill="auto"/>
            <w:noWrap/>
            <w:vAlign w:val="bottom"/>
            <w:hideMark/>
          </w:tcPr>
          <w:p w14:paraId="3A9C04A0"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16.04</w:t>
            </w:r>
          </w:p>
        </w:tc>
        <w:tc>
          <w:tcPr>
            <w:tcW w:w="0" w:type="auto"/>
            <w:tcBorders>
              <w:top w:val="nil"/>
              <w:left w:val="nil"/>
              <w:bottom w:val="nil"/>
              <w:right w:val="nil"/>
            </w:tcBorders>
            <w:shd w:val="clear" w:color="auto" w:fill="auto"/>
            <w:noWrap/>
            <w:vAlign w:val="bottom"/>
            <w:hideMark/>
          </w:tcPr>
          <w:p w14:paraId="0E6A4A97"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16.26</w:t>
            </w:r>
          </w:p>
        </w:tc>
        <w:tc>
          <w:tcPr>
            <w:tcW w:w="0" w:type="auto"/>
            <w:tcBorders>
              <w:top w:val="nil"/>
              <w:left w:val="nil"/>
              <w:bottom w:val="nil"/>
              <w:right w:val="nil"/>
            </w:tcBorders>
            <w:shd w:val="clear" w:color="auto" w:fill="auto"/>
            <w:noWrap/>
            <w:vAlign w:val="bottom"/>
            <w:hideMark/>
          </w:tcPr>
          <w:p w14:paraId="1EBC3BE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17.35</w:t>
            </w:r>
          </w:p>
        </w:tc>
        <w:tc>
          <w:tcPr>
            <w:tcW w:w="0" w:type="auto"/>
            <w:tcBorders>
              <w:top w:val="nil"/>
              <w:left w:val="nil"/>
              <w:bottom w:val="nil"/>
              <w:right w:val="nil"/>
            </w:tcBorders>
            <w:shd w:val="clear" w:color="auto" w:fill="auto"/>
            <w:noWrap/>
            <w:vAlign w:val="bottom"/>
            <w:hideMark/>
          </w:tcPr>
          <w:p w14:paraId="3651E2FB"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101.67</w:t>
            </w:r>
          </w:p>
        </w:tc>
        <w:tc>
          <w:tcPr>
            <w:tcW w:w="240" w:type="dxa"/>
            <w:tcBorders>
              <w:top w:val="nil"/>
              <w:left w:val="nil"/>
              <w:bottom w:val="nil"/>
              <w:right w:val="nil"/>
            </w:tcBorders>
          </w:tcPr>
          <w:p w14:paraId="7E7D9285" w14:textId="77777777" w:rsidR="00A46B68" w:rsidRPr="00A3177E" w:rsidRDefault="00A46B68" w:rsidP="00A46B68">
            <w:pPr>
              <w:spacing w:line="240" w:lineRule="auto"/>
              <w:ind w:firstLine="0"/>
              <w:jc w:val="center"/>
              <w:rPr>
                <w:color w:val="000000"/>
              </w:rPr>
            </w:pPr>
          </w:p>
        </w:tc>
        <w:tc>
          <w:tcPr>
            <w:tcW w:w="1098" w:type="dxa"/>
            <w:tcBorders>
              <w:top w:val="nil"/>
              <w:left w:val="nil"/>
              <w:bottom w:val="nil"/>
              <w:right w:val="nil"/>
            </w:tcBorders>
            <w:shd w:val="clear" w:color="auto" w:fill="auto"/>
            <w:noWrap/>
            <w:vAlign w:val="bottom"/>
            <w:hideMark/>
          </w:tcPr>
          <w:p w14:paraId="326AE244"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16.29</w:t>
            </w:r>
          </w:p>
        </w:tc>
        <w:tc>
          <w:tcPr>
            <w:tcW w:w="0" w:type="auto"/>
            <w:tcBorders>
              <w:top w:val="nil"/>
              <w:left w:val="nil"/>
              <w:bottom w:val="nil"/>
              <w:right w:val="nil"/>
            </w:tcBorders>
            <w:shd w:val="clear" w:color="auto" w:fill="auto"/>
            <w:noWrap/>
            <w:vAlign w:val="bottom"/>
            <w:hideMark/>
          </w:tcPr>
          <w:p w14:paraId="49771E8C"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16.59</w:t>
            </w:r>
          </w:p>
        </w:tc>
        <w:tc>
          <w:tcPr>
            <w:tcW w:w="0" w:type="auto"/>
            <w:tcBorders>
              <w:top w:val="nil"/>
              <w:left w:val="nil"/>
              <w:bottom w:val="nil"/>
              <w:right w:val="nil"/>
            </w:tcBorders>
            <w:shd w:val="clear" w:color="auto" w:fill="auto"/>
            <w:noWrap/>
            <w:vAlign w:val="bottom"/>
            <w:hideMark/>
          </w:tcPr>
          <w:p w14:paraId="79DBC483"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15.39</w:t>
            </w:r>
          </w:p>
        </w:tc>
        <w:tc>
          <w:tcPr>
            <w:tcW w:w="0" w:type="auto"/>
            <w:tcBorders>
              <w:top w:val="nil"/>
              <w:left w:val="nil"/>
              <w:bottom w:val="nil"/>
              <w:right w:val="nil"/>
            </w:tcBorders>
            <w:shd w:val="clear" w:color="auto" w:fill="auto"/>
            <w:noWrap/>
            <w:vAlign w:val="bottom"/>
            <w:hideMark/>
          </w:tcPr>
          <w:p w14:paraId="7F0EC5C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15.65</w:t>
            </w:r>
          </w:p>
        </w:tc>
        <w:tc>
          <w:tcPr>
            <w:tcW w:w="0" w:type="auto"/>
            <w:tcBorders>
              <w:top w:val="nil"/>
              <w:left w:val="nil"/>
              <w:bottom w:val="nil"/>
              <w:right w:val="nil"/>
            </w:tcBorders>
            <w:shd w:val="clear" w:color="auto" w:fill="auto"/>
            <w:noWrap/>
            <w:vAlign w:val="bottom"/>
            <w:hideMark/>
          </w:tcPr>
          <w:p w14:paraId="74C57A2A"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16</w:t>
            </w:r>
          </w:p>
        </w:tc>
      </w:tr>
      <w:tr w:rsidR="00A46B68" w:rsidRPr="00A3177E" w14:paraId="4C222EE9" w14:textId="77777777" w:rsidTr="002E3F44">
        <w:trPr>
          <w:trHeight w:val="363"/>
        </w:trPr>
        <w:tc>
          <w:tcPr>
            <w:tcW w:w="0" w:type="auto"/>
            <w:tcBorders>
              <w:top w:val="nil"/>
              <w:left w:val="nil"/>
              <w:bottom w:val="nil"/>
              <w:right w:val="nil"/>
            </w:tcBorders>
            <w:shd w:val="clear" w:color="auto" w:fill="auto"/>
            <w:noWrap/>
            <w:vAlign w:val="center"/>
            <w:hideMark/>
          </w:tcPr>
          <w:p w14:paraId="4F4D3F02"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NO</w:t>
            </w:r>
            <w:r w:rsidRPr="00A3177E">
              <w:rPr>
                <w:rFonts w:cs="Times New Roman"/>
                <w:b/>
                <w:bCs/>
                <w:color w:val="000000"/>
                <w:vertAlign w:val="subscript"/>
              </w:rPr>
              <w:t>3</w:t>
            </w:r>
            <w:r w:rsidRPr="00A3177E">
              <w:rPr>
                <w:rFonts w:cs="Times New Roman"/>
                <w:b/>
                <w:bCs/>
                <w:color w:val="000000"/>
                <w:vertAlign w:val="superscript"/>
              </w:rPr>
              <w:t>-</w:t>
            </w:r>
            <w:r w:rsidRPr="00A3177E">
              <w:rPr>
                <w:rFonts w:cs="Times New Roman"/>
                <w:b/>
                <w:bCs/>
                <w:color w:val="000000"/>
              </w:rPr>
              <w:t xml:space="preserve"> (μg g</w:t>
            </w:r>
            <w:r w:rsidRPr="00A3177E">
              <w:rPr>
                <w:rFonts w:cs="Times New Roman"/>
                <w:b/>
                <w:bCs/>
                <w:color w:val="000000"/>
                <w:vertAlign w:val="superscript"/>
              </w:rPr>
              <w:t>-1</w:t>
            </w:r>
            <w:r w:rsidRPr="00A3177E">
              <w:rPr>
                <w:rFonts w:cs="Times New Roman"/>
                <w:b/>
                <w:bCs/>
                <w:color w:val="000000"/>
              </w:rPr>
              <w:t>)</w:t>
            </w:r>
          </w:p>
        </w:tc>
        <w:tc>
          <w:tcPr>
            <w:tcW w:w="0" w:type="auto"/>
            <w:tcBorders>
              <w:top w:val="nil"/>
              <w:left w:val="nil"/>
              <w:bottom w:val="nil"/>
              <w:right w:val="nil"/>
            </w:tcBorders>
            <w:shd w:val="clear" w:color="auto" w:fill="auto"/>
            <w:noWrap/>
            <w:vAlign w:val="bottom"/>
            <w:hideMark/>
          </w:tcPr>
          <w:p w14:paraId="6177176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470.91</w:t>
            </w:r>
          </w:p>
        </w:tc>
        <w:tc>
          <w:tcPr>
            <w:tcW w:w="0" w:type="auto"/>
            <w:tcBorders>
              <w:top w:val="nil"/>
              <w:left w:val="nil"/>
              <w:bottom w:val="nil"/>
              <w:right w:val="nil"/>
            </w:tcBorders>
            <w:shd w:val="clear" w:color="auto" w:fill="auto"/>
            <w:noWrap/>
            <w:vAlign w:val="bottom"/>
            <w:hideMark/>
          </w:tcPr>
          <w:p w14:paraId="30CA996C"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95.16</w:t>
            </w:r>
          </w:p>
        </w:tc>
        <w:tc>
          <w:tcPr>
            <w:tcW w:w="0" w:type="auto"/>
            <w:tcBorders>
              <w:top w:val="nil"/>
              <w:left w:val="nil"/>
              <w:bottom w:val="nil"/>
              <w:right w:val="nil"/>
            </w:tcBorders>
            <w:shd w:val="clear" w:color="auto" w:fill="auto"/>
            <w:noWrap/>
            <w:vAlign w:val="bottom"/>
            <w:hideMark/>
          </w:tcPr>
          <w:p w14:paraId="676CA27E"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0.78</w:t>
            </w:r>
          </w:p>
        </w:tc>
        <w:tc>
          <w:tcPr>
            <w:tcW w:w="0" w:type="auto"/>
            <w:tcBorders>
              <w:top w:val="nil"/>
              <w:left w:val="nil"/>
              <w:bottom w:val="nil"/>
              <w:right w:val="nil"/>
            </w:tcBorders>
            <w:shd w:val="clear" w:color="auto" w:fill="auto"/>
            <w:noWrap/>
            <w:vAlign w:val="bottom"/>
            <w:hideMark/>
          </w:tcPr>
          <w:p w14:paraId="4DA2A8F2"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7.59</w:t>
            </w:r>
          </w:p>
        </w:tc>
        <w:tc>
          <w:tcPr>
            <w:tcW w:w="0" w:type="auto"/>
            <w:tcBorders>
              <w:top w:val="nil"/>
              <w:left w:val="nil"/>
              <w:bottom w:val="nil"/>
              <w:right w:val="nil"/>
            </w:tcBorders>
            <w:shd w:val="clear" w:color="auto" w:fill="auto"/>
            <w:noWrap/>
            <w:vAlign w:val="bottom"/>
            <w:hideMark/>
          </w:tcPr>
          <w:p w14:paraId="74381857"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33.63</w:t>
            </w:r>
          </w:p>
        </w:tc>
        <w:tc>
          <w:tcPr>
            <w:tcW w:w="240" w:type="dxa"/>
            <w:tcBorders>
              <w:top w:val="nil"/>
              <w:left w:val="nil"/>
              <w:bottom w:val="nil"/>
              <w:right w:val="nil"/>
            </w:tcBorders>
          </w:tcPr>
          <w:p w14:paraId="270AA5F0" w14:textId="77777777" w:rsidR="00A46B68" w:rsidRPr="00A3177E" w:rsidRDefault="00A46B68" w:rsidP="00A46B68">
            <w:pPr>
              <w:spacing w:line="240" w:lineRule="auto"/>
              <w:ind w:firstLine="0"/>
              <w:jc w:val="center"/>
              <w:rPr>
                <w:color w:val="000000"/>
              </w:rPr>
            </w:pPr>
          </w:p>
        </w:tc>
        <w:tc>
          <w:tcPr>
            <w:tcW w:w="1098" w:type="dxa"/>
            <w:tcBorders>
              <w:top w:val="nil"/>
              <w:left w:val="nil"/>
              <w:bottom w:val="nil"/>
              <w:right w:val="nil"/>
            </w:tcBorders>
            <w:shd w:val="clear" w:color="auto" w:fill="auto"/>
            <w:noWrap/>
            <w:vAlign w:val="bottom"/>
            <w:hideMark/>
          </w:tcPr>
          <w:p w14:paraId="5E8CA40E"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1.36</w:t>
            </w:r>
          </w:p>
        </w:tc>
        <w:tc>
          <w:tcPr>
            <w:tcW w:w="0" w:type="auto"/>
            <w:tcBorders>
              <w:top w:val="nil"/>
              <w:left w:val="nil"/>
              <w:bottom w:val="nil"/>
              <w:right w:val="nil"/>
            </w:tcBorders>
            <w:shd w:val="clear" w:color="auto" w:fill="auto"/>
            <w:noWrap/>
            <w:vAlign w:val="bottom"/>
            <w:hideMark/>
          </w:tcPr>
          <w:p w14:paraId="547E8BF2"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4.5</w:t>
            </w:r>
          </w:p>
        </w:tc>
        <w:tc>
          <w:tcPr>
            <w:tcW w:w="0" w:type="auto"/>
            <w:tcBorders>
              <w:top w:val="nil"/>
              <w:left w:val="nil"/>
              <w:bottom w:val="nil"/>
              <w:right w:val="nil"/>
            </w:tcBorders>
            <w:shd w:val="clear" w:color="auto" w:fill="auto"/>
            <w:noWrap/>
            <w:vAlign w:val="bottom"/>
            <w:hideMark/>
          </w:tcPr>
          <w:p w14:paraId="15CB9B1C"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10.62</w:t>
            </w:r>
          </w:p>
        </w:tc>
        <w:tc>
          <w:tcPr>
            <w:tcW w:w="0" w:type="auto"/>
            <w:tcBorders>
              <w:top w:val="nil"/>
              <w:left w:val="nil"/>
              <w:bottom w:val="nil"/>
              <w:right w:val="nil"/>
            </w:tcBorders>
            <w:shd w:val="clear" w:color="auto" w:fill="auto"/>
            <w:noWrap/>
            <w:vAlign w:val="bottom"/>
            <w:hideMark/>
          </w:tcPr>
          <w:p w14:paraId="3F0A2CA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20.79</w:t>
            </w:r>
          </w:p>
        </w:tc>
        <w:tc>
          <w:tcPr>
            <w:tcW w:w="0" w:type="auto"/>
            <w:tcBorders>
              <w:top w:val="nil"/>
              <w:left w:val="nil"/>
              <w:bottom w:val="nil"/>
              <w:right w:val="nil"/>
            </w:tcBorders>
            <w:shd w:val="clear" w:color="auto" w:fill="auto"/>
            <w:noWrap/>
            <w:vAlign w:val="bottom"/>
            <w:hideMark/>
          </w:tcPr>
          <w:p w14:paraId="045F03D2"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0.77</w:t>
            </w:r>
          </w:p>
        </w:tc>
      </w:tr>
      <w:tr w:rsidR="00A46B68" w:rsidRPr="00A3177E" w14:paraId="4710FEE2" w14:textId="77777777" w:rsidTr="002E3F44">
        <w:trPr>
          <w:trHeight w:val="363"/>
        </w:trPr>
        <w:tc>
          <w:tcPr>
            <w:tcW w:w="0" w:type="auto"/>
            <w:tcBorders>
              <w:top w:val="nil"/>
              <w:left w:val="nil"/>
              <w:right w:val="nil"/>
            </w:tcBorders>
            <w:shd w:val="clear" w:color="auto" w:fill="auto"/>
            <w:noWrap/>
            <w:vAlign w:val="center"/>
            <w:hideMark/>
          </w:tcPr>
          <w:p w14:paraId="566E6D25"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NO</w:t>
            </w:r>
            <w:r w:rsidRPr="00A3177E">
              <w:rPr>
                <w:rFonts w:cs="Times New Roman"/>
                <w:b/>
                <w:bCs/>
                <w:color w:val="000000"/>
                <w:vertAlign w:val="subscript"/>
              </w:rPr>
              <w:t>2</w:t>
            </w:r>
            <w:r w:rsidRPr="00A3177E">
              <w:rPr>
                <w:rFonts w:cs="Times New Roman"/>
                <w:b/>
                <w:bCs/>
                <w:color w:val="000000"/>
                <w:vertAlign w:val="superscript"/>
              </w:rPr>
              <w:t>-</w:t>
            </w:r>
            <w:r w:rsidRPr="00A3177E">
              <w:rPr>
                <w:rFonts w:cs="Times New Roman"/>
                <w:b/>
                <w:bCs/>
                <w:color w:val="000000"/>
              </w:rPr>
              <w:t xml:space="preserve"> (μg g</w:t>
            </w:r>
            <w:r w:rsidRPr="00A3177E">
              <w:rPr>
                <w:rFonts w:cs="Times New Roman"/>
                <w:b/>
                <w:bCs/>
                <w:color w:val="000000"/>
                <w:vertAlign w:val="superscript"/>
              </w:rPr>
              <w:t>-1</w:t>
            </w:r>
            <w:r w:rsidRPr="00A3177E">
              <w:rPr>
                <w:rFonts w:cs="Times New Roman"/>
                <w:b/>
                <w:bCs/>
                <w:color w:val="000000"/>
              </w:rPr>
              <w:t>)</w:t>
            </w:r>
          </w:p>
        </w:tc>
        <w:tc>
          <w:tcPr>
            <w:tcW w:w="0" w:type="auto"/>
            <w:tcBorders>
              <w:top w:val="nil"/>
              <w:left w:val="nil"/>
              <w:right w:val="nil"/>
            </w:tcBorders>
            <w:shd w:val="clear" w:color="auto" w:fill="auto"/>
            <w:noWrap/>
            <w:vAlign w:val="bottom"/>
            <w:hideMark/>
          </w:tcPr>
          <w:p w14:paraId="655E0FB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1.14</w:t>
            </w:r>
          </w:p>
        </w:tc>
        <w:tc>
          <w:tcPr>
            <w:tcW w:w="0" w:type="auto"/>
            <w:tcBorders>
              <w:top w:val="nil"/>
              <w:left w:val="nil"/>
              <w:right w:val="nil"/>
            </w:tcBorders>
            <w:shd w:val="clear" w:color="auto" w:fill="auto"/>
            <w:noWrap/>
            <w:vAlign w:val="bottom"/>
            <w:hideMark/>
          </w:tcPr>
          <w:p w14:paraId="648EA3B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1.16</w:t>
            </w:r>
          </w:p>
        </w:tc>
        <w:tc>
          <w:tcPr>
            <w:tcW w:w="0" w:type="auto"/>
            <w:tcBorders>
              <w:top w:val="nil"/>
              <w:left w:val="nil"/>
              <w:right w:val="nil"/>
            </w:tcBorders>
            <w:shd w:val="clear" w:color="auto" w:fill="auto"/>
            <w:noWrap/>
            <w:vAlign w:val="bottom"/>
            <w:hideMark/>
          </w:tcPr>
          <w:p w14:paraId="4F2ABBEE"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1.17</w:t>
            </w:r>
          </w:p>
        </w:tc>
        <w:tc>
          <w:tcPr>
            <w:tcW w:w="0" w:type="auto"/>
            <w:tcBorders>
              <w:top w:val="nil"/>
              <w:left w:val="nil"/>
              <w:right w:val="nil"/>
            </w:tcBorders>
            <w:shd w:val="clear" w:color="auto" w:fill="auto"/>
            <w:noWrap/>
            <w:vAlign w:val="bottom"/>
            <w:hideMark/>
          </w:tcPr>
          <w:p w14:paraId="35787240"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1.18</w:t>
            </w:r>
          </w:p>
        </w:tc>
        <w:tc>
          <w:tcPr>
            <w:tcW w:w="0" w:type="auto"/>
            <w:tcBorders>
              <w:top w:val="nil"/>
              <w:left w:val="nil"/>
              <w:right w:val="nil"/>
            </w:tcBorders>
            <w:shd w:val="clear" w:color="auto" w:fill="auto"/>
            <w:noWrap/>
            <w:vAlign w:val="bottom"/>
            <w:hideMark/>
          </w:tcPr>
          <w:p w14:paraId="68C3E474"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0.63</w:t>
            </w:r>
          </w:p>
        </w:tc>
        <w:tc>
          <w:tcPr>
            <w:tcW w:w="240" w:type="dxa"/>
            <w:tcBorders>
              <w:top w:val="nil"/>
              <w:left w:val="nil"/>
              <w:right w:val="nil"/>
            </w:tcBorders>
          </w:tcPr>
          <w:p w14:paraId="3E2022DD" w14:textId="77777777" w:rsidR="00A46B68" w:rsidRPr="00A3177E" w:rsidRDefault="00A46B68" w:rsidP="00A46B68">
            <w:pPr>
              <w:spacing w:line="240" w:lineRule="auto"/>
              <w:ind w:firstLine="0"/>
              <w:jc w:val="center"/>
              <w:rPr>
                <w:color w:val="000000"/>
              </w:rPr>
            </w:pPr>
          </w:p>
        </w:tc>
        <w:tc>
          <w:tcPr>
            <w:tcW w:w="1098" w:type="dxa"/>
            <w:tcBorders>
              <w:top w:val="nil"/>
              <w:left w:val="nil"/>
              <w:right w:val="nil"/>
            </w:tcBorders>
            <w:shd w:val="clear" w:color="auto" w:fill="auto"/>
            <w:noWrap/>
            <w:vAlign w:val="bottom"/>
            <w:hideMark/>
          </w:tcPr>
          <w:p w14:paraId="71E64143"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1.09</w:t>
            </w:r>
          </w:p>
        </w:tc>
        <w:tc>
          <w:tcPr>
            <w:tcW w:w="0" w:type="auto"/>
            <w:tcBorders>
              <w:top w:val="nil"/>
              <w:left w:val="nil"/>
              <w:right w:val="nil"/>
            </w:tcBorders>
            <w:shd w:val="clear" w:color="auto" w:fill="auto"/>
            <w:noWrap/>
            <w:vAlign w:val="bottom"/>
            <w:hideMark/>
          </w:tcPr>
          <w:p w14:paraId="2962A466"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1.1</w:t>
            </w:r>
          </w:p>
        </w:tc>
        <w:tc>
          <w:tcPr>
            <w:tcW w:w="0" w:type="auto"/>
            <w:tcBorders>
              <w:top w:val="nil"/>
              <w:left w:val="nil"/>
              <w:right w:val="nil"/>
            </w:tcBorders>
            <w:shd w:val="clear" w:color="auto" w:fill="auto"/>
            <w:noWrap/>
            <w:vAlign w:val="bottom"/>
            <w:hideMark/>
          </w:tcPr>
          <w:p w14:paraId="484996A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1.11</w:t>
            </w:r>
          </w:p>
        </w:tc>
        <w:tc>
          <w:tcPr>
            <w:tcW w:w="0" w:type="auto"/>
            <w:tcBorders>
              <w:top w:val="nil"/>
              <w:left w:val="nil"/>
              <w:right w:val="nil"/>
            </w:tcBorders>
            <w:shd w:val="clear" w:color="auto" w:fill="auto"/>
            <w:noWrap/>
            <w:vAlign w:val="bottom"/>
            <w:hideMark/>
          </w:tcPr>
          <w:p w14:paraId="4A263879"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1.13</w:t>
            </w:r>
          </w:p>
        </w:tc>
        <w:tc>
          <w:tcPr>
            <w:tcW w:w="0" w:type="auto"/>
            <w:tcBorders>
              <w:top w:val="nil"/>
              <w:left w:val="nil"/>
              <w:right w:val="nil"/>
            </w:tcBorders>
            <w:shd w:val="clear" w:color="auto" w:fill="auto"/>
            <w:noWrap/>
            <w:vAlign w:val="bottom"/>
            <w:hideMark/>
          </w:tcPr>
          <w:p w14:paraId="37515AB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1.15</w:t>
            </w:r>
          </w:p>
        </w:tc>
      </w:tr>
      <w:tr w:rsidR="00A46B68" w:rsidRPr="00A3177E" w14:paraId="6D83D0F1" w14:textId="77777777" w:rsidTr="002E3F44">
        <w:trPr>
          <w:trHeight w:val="363"/>
        </w:trPr>
        <w:tc>
          <w:tcPr>
            <w:tcW w:w="0" w:type="auto"/>
            <w:tcBorders>
              <w:top w:val="nil"/>
              <w:left w:val="nil"/>
              <w:bottom w:val="single" w:sz="4" w:space="0" w:color="000000"/>
              <w:right w:val="nil"/>
            </w:tcBorders>
            <w:shd w:val="clear" w:color="auto" w:fill="auto"/>
            <w:noWrap/>
            <w:vAlign w:val="center"/>
            <w:hideMark/>
          </w:tcPr>
          <w:p w14:paraId="720F01FC" w14:textId="77777777" w:rsidR="00A46B68" w:rsidRPr="00A3177E" w:rsidRDefault="00A46B68" w:rsidP="00A46B68">
            <w:pPr>
              <w:spacing w:line="240" w:lineRule="auto"/>
              <w:ind w:firstLine="0"/>
              <w:rPr>
                <w:rFonts w:cs="Times New Roman"/>
                <w:b/>
                <w:bCs/>
                <w:color w:val="000000"/>
              </w:rPr>
            </w:pPr>
            <w:r w:rsidRPr="00A3177E">
              <w:rPr>
                <w:rFonts w:cs="Times New Roman"/>
                <w:b/>
                <w:bCs/>
                <w:color w:val="000000"/>
              </w:rPr>
              <w:t>Br</w:t>
            </w:r>
            <w:r w:rsidRPr="00A3177E">
              <w:rPr>
                <w:rFonts w:cs="Times New Roman"/>
                <w:b/>
                <w:bCs/>
                <w:color w:val="000000"/>
                <w:vertAlign w:val="superscript"/>
              </w:rPr>
              <w:t>-</w:t>
            </w:r>
            <w:r w:rsidRPr="00A3177E">
              <w:rPr>
                <w:rFonts w:cs="Times New Roman"/>
                <w:b/>
                <w:bCs/>
                <w:color w:val="000000"/>
              </w:rPr>
              <w:t xml:space="preserve"> (μg g</w:t>
            </w:r>
            <w:r w:rsidRPr="00A3177E">
              <w:rPr>
                <w:rFonts w:cs="Times New Roman"/>
                <w:b/>
                <w:bCs/>
                <w:color w:val="000000"/>
                <w:vertAlign w:val="superscript"/>
              </w:rPr>
              <w:t>-1</w:t>
            </w:r>
            <w:r w:rsidRPr="00A3177E">
              <w:rPr>
                <w:rFonts w:cs="Times New Roman"/>
                <w:b/>
                <w:bCs/>
                <w:color w:val="000000"/>
              </w:rPr>
              <w:t>)</w:t>
            </w:r>
          </w:p>
        </w:tc>
        <w:tc>
          <w:tcPr>
            <w:tcW w:w="0" w:type="auto"/>
            <w:tcBorders>
              <w:top w:val="nil"/>
              <w:left w:val="nil"/>
              <w:bottom w:val="single" w:sz="4" w:space="0" w:color="000000"/>
              <w:right w:val="nil"/>
            </w:tcBorders>
            <w:shd w:val="clear" w:color="auto" w:fill="auto"/>
            <w:noWrap/>
            <w:vAlign w:val="bottom"/>
            <w:hideMark/>
          </w:tcPr>
          <w:p w14:paraId="44CC113D"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2.41</w:t>
            </w:r>
          </w:p>
        </w:tc>
        <w:tc>
          <w:tcPr>
            <w:tcW w:w="0" w:type="auto"/>
            <w:tcBorders>
              <w:top w:val="nil"/>
              <w:left w:val="nil"/>
              <w:bottom w:val="single" w:sz="4" w:space="0" w:color="000000"/>
              <w:right w:val="nil"/>
            </w:tcBorders>
            <w:shd w:val="clear" w:color="auto" w:fill="auto"/>
            <w:noWrap/>
            <w:vAlign w:val="bottom"/>
            <w:hideMark/>
          </w:tcPr>
          <w:p w14:paraId="63BE3231"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1.03</w:t>
            </w:r>
          </w:p>
        </w:tc>
        <w:tc>
          <w:tcPr>
            <w:tcW w:w="0" w:type="auto"/>
            <w:tcBorders>
              <w:top w:val="nil"/>
              <w:left w:val="nil"/>
              <w:bottom w:val="single" w:sz="4" w:space="0" w:color="000000"/>
              <w:right w:val="nil"/>
            </w:tcBorders>
            <w:shd w:val="clear" w:color="auto" w:fill="auto"/>
            <w:noWrap/>
            <w:vAlign w:val="bottom"/>
            <w:hideMark/>
          </w:tcPr>
          <w:p w14:paraId="12986442"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1.05</w:t>
            </w:r>
          </w:p>
        </w:tc>
        <w:tc>
          <w:tcPr>
            <w:tcW w:w="0" w:type="auto"/>
            <w:tcBorders>
              <w:top w:val="nil"/>
              <w:left w:val="nil"/>
              <w:bottom w:val="single" w:sz="4" w:space="0" w:color="000000"/>
              <w:right w:val="nil"/>
            </w:tcBorders>
            <w:shd w:val="clear" w:color="auto" w:fill="auto"/>
            <w:noWrap/>
            <w:vAlign w:val="bottom"/>
            <w:hideMark/>
          </w:tcPr>
          <w:p w14:paraId="7B4B0560"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1.06</w:t>
            </w:r>
          </w:p>
        </w:tc>
        <w:tc>
          <w:tcPr>
            <w:tcW w:w="0" w:type="auto"/>
            <w:tcBorders>
              <w:top w:val="nil"/>
              <w:left w:val="nil"/>
              <w:bottom w:val="single" w:sz="4" w:space="0" w:color="000000"/>
              <w:right w:val="nil"/>
            </w:tcBorders>
            <w:shd w:val="clear" w:color="auto" w:fill="auto"/>
            <w:noWrap/>
            <w:vAlign w:val="bottom"/>
            <w:hideMark/>
          </w:tcPr>
          <w:p w14:paraId="081A2612"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1.05</w:t>
            </w:r>
          </w:p>
        </w:tc>
        <w:tc>
          <w:tcPr>
            <w:tcW w:w="240" w:type="dxa"/>
            <w:tcBorders>
              <w:top w:val="nil"/>
              <w:left w:val="nil"/>
              <w:bottom w:val="single" w:sz="4" w:space="0" w:color="000000"/>
              <w:right w:val="nil"/>
            </w:tcBorders>
          </w:tcPr>
          <w:p w14:paraId="6E332D1E" w14:textId="77777777" w:rsidR="00A46B68" w:rsidRPr="00A3177E" w:rsidRDefault="00A46B68" w:rsidP="00A46B68">
            <w:pPr>
              <w:spacing w:line="240" w:lineRule="auto"/>
              <w:ind w:firstLine="0"/>
              <w:jc w:val="center"/>
              <w:rPr>
                <w:color w:val="000000"/>
              </w:rPr>
            </w:pPr>
          </w:p>
        </w:tc>
        <w:tc>
          <w:tcPr>
            <w:tcW w:w="1098" w:type="dxa"/>
            <w:tcBorders>
              <w:top w:val="nil"/>
              <w:left w:val="nil"/>
              <w:bottom w:val="single" w:sz="4" w:space="0" w:color="000000"/>
              <w:right w:val="nil"/>
            </w:tcBorders>
            <w:shd w:val="clear" w:color="auto" w:fill="auto"/>
            <w:noWrap/>
            <w:vAlign w:val="bottom"/>
            <w:hideMark/>
          </w:tcPr>
          <w:p w14:paraId="3C56DB06"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0.97</w:t>
            </w:r>
          </w:p>
        </w:tc>
        <w:tc>
          <w:tcPr>
            <w:tcW w:w="0" w:type="auto"/>
            <w:tcBorders>
              <w:top w:val="nil"/>
              <w:left w:val="nil"/>
              <w:bottom w:val="single" w:sz="4" w:space="0" w:color="000000"/>
              <w:right w:val="nil"/>
            </w:tcBorders>
            <w:shd w:val="clear" w:color="auto" w:fill="auto"/>
            <w:noWrap/>
            <w:vAlign w:val="bottom"/>
            <w:hideMark/>
          </w:tcPr>
          <w:p w14:paraId="6B1D4A39"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0.98</w:t>
            </w:r>
          </w:p>
        </w:tc>
        <w:tc>
          <w:tcPr>
            <w:tcW w:w="0" w:type="auto"/>
            <w:tcBorders>
              <w:top w:val="nil"/>
              <w:left w:val="nil"/>
              <w:bottom w:val="single" w:sz="4" w:space="0" w:color="000000"/>
              <w:right w:val="nil"/>
            </w:tcBorders>
            <w:shd w:val="clear" w:color="auto" w:fill="auto"/>
            <w:noWrap/>
            <w:vAlign w:val="bottom"/>
            <w:hideMark/>
          </w:tcPr>
          <w:p w14:paraId="5DB54CC3"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0.99</w:t>
            </w:r>
          </w:p>
        </w:tc>
        <w:tc>
          <w:tcPr>
            <w:tcW w:w="0" w:type="auto"/>
            <w:tcBorders>
              <w:top w:val="nil"/>
              <w:left w:val="nil"/>
              <w:bottom w:val="single" w:sz="4" w:space="0" w:color="000000"/>
              <w:right w:val="nil"/>
            </w:tcBorders>
            <w:shd w:val="clear" w:color="auto" w:fill="auto"/>
            <w:noWrap/>
            <w:vAlign w:val="bottom"/>
            <w:hideMark/>
          </w:tcPr>
          <w:p w14:paraId="0F4ECFF3"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1.01</w:t>
            </w:r>
          </w:p>
        </w:tc>
        <w:tc>
          <w:tcPr>
            <w:tcW w:w="0" w:type="auto"/>
            <w:tcBorders>
              <w:top w:val="nil"/>
              <w:left w:val="nil"/>
              <w:bottom w:val="single" w:sz="4" w:space="0" w:color="000000"/>
              <w:right w:val="nil"/>
            </w:tcBorders>
            <w:shd w:val="clear" w:color="auto" w:fill="auto"/>
            <w:noWrap/>
            <w:vAlign w:val="bottom"/>
            <w:hideMark/>
          </w:tcPr>
          <w:p w14:paraId="5D8C6176" w14:textId="77777777" w:rsidR="00A46B68" w:rsidRPr="00A3177E" w:rsidRDefault="00A46B68" w:rsidP="00A46B68">
            <w:pPr>
              <w:spacing w:line="240" w:lineRule="auto"/>
              <w:ind w:firstLine="0"/>
              <w:jc w:val="center"/>
              <w:rPr>
                <w:rFonts w:cs="Times New Roman"/>
                <w:color w:val="000000"/>
              </w:rPr>
            </w:pPr>
            <w:r w:rsidRPr="00A3177E">
              <w:rPr>
                <w:rFonts w:cs="Times New Roman"/>
                <w:color w:val="000000"/>
              </w:rPr>
              <w:t>1.03</w:t>
            </w:r>
          </w:p>
        </w:tc>
      </w:tr>
    </w:tbl>
    <w:p w14:paraId="74F3AF06" w14:textId="77777777" w:rsidR="00A46B68" w:rsidRPr="00A3177E" w:rsidRDefault="00A46B68" w:rsidP="00A46B68">
      <w:pPr>
        <w:spacing w:line="240" w:lineRule="auto"/>
        <w:ind w:firstLine="0"/>
        <w:rPr>
          <w:rFonts w:cs="Times New Roman"/>
        </w:rPr>
      </w:pPr>
    </w:p>
    <w:p w14:paraId="438E7496" w14:textId="77777777" w:rsidR="00A46B68" w:rsidRDefault="00A46B68" w:rsidP="00A46B68">
      <w:pPr>
        <w:spacing w:line="240" w:lineRule="auto"/>
        <w:ind w:firstLine="0"/>
        <w:sectPr w:rsidR="00A46B68" w:rsidSect="00A46B68">
          <w:pgSz w:w="15840" w:h="12240" w:orient="landscape"/>
          <w:pgMar w:top="1440" w:right="1440" w:bottom="1440" w:left="1440" w:header="720" w:footer="720" w:gutter="0"/>
          <w:cols w:space="720"/>
          <w:docGrid w:linePitch="360"/>
        </w:sectPr>
      </w:pPr>
    </w:p>
    <w:p w14:paraId="4B1B7EA0" w14:textId="0AC16AE3" w:rsidR="00A46B68" w:rsidRPr="00562BA2" w:rsidRDefault="00A46B68" w:rsidP="00F13F6D">
      <w:pPr>
        <w:pStyle w:val="Caption"/>
        <w:rPr>
          <w:b w:val="0"/>
          <w:bCs w:val="0"/>
          <w:i/>
          <w:iCs w:val="0"/>
        </w:rPr>
      </w:pPr>
      <w:bookmarkStart w:id="179" w:name="_Toc193668454"/>
      <w:bookmarkStart w:id="180" w:name="_Hlk193628393"/>
      <w:r>
        <w:lastRenderedPageBreak/>
        <w:t xml:space="preserve">Table </w:t>
      </w:r>
      <w:fldSimple w:instr=" STYLEREF 1 \s ">
        <w:r w:rsidR="00971287">
          <w:rPr>
            <w:noProof/>
          </w:rPr>
          <w:t>3</w:t>
        </w:r>
      </w:fldSimple>
      <w:r>
        <w:t>.</w:t>
      </w:r>
      <w:fldSimple w:instr=" SEQ Table \* ARABIC \s 1 ">
        <w:r w:rsidR="00971287">
          <w:rPr>
            <w:noProof/>
          </w:rPr>
          <w:t>3</w:t>
        </w:r>
      </w:fldSimple>
      <w:r>
        <w:t xml:space="preserve">. Summary of DNA extraction methods attempted on sample WB1. </w:t>
      </w:r>
      <w:r w:rsidRPr="00562BA2">
        <w:rPr>
          <w:b w:val="0"/>
          <w:bCs w:val="0"/>
          <w:i/>
          <w:iCs w:val="0"/>
        </w:rPr>
        <w:t>LOD – limit of detection; CTAB – Cetrimonium bromide; EtOH – Ethanol; MB – Difco Marine Broth 2216; MeOH – Methanol; PBS – Phosphate buffered saline.</w:t>
      </w:r>
      <w:bookmarkEnd w:id="179"/>
    </w:p>
    <w:tbl>
      <w:tblPr>
        <w:tblW w:w="9298" w:type="dxa"/>
        <w:tblLook w:val="04A0" w:firstRow="1" w:lastRow="0" w:firstColumn="1" w:lastColumn="0" w:noHBand="0" w:noVBand="1"/>
      </w:tblPr>
      <w:tblGrid>
        <w:gridCol w:w="2163"/>
        <w:gridCol w:w="2429"/>
        <w:gridCol w:w="2048"/>
        <w:gridCol w:w="1334"/>
        <w:gridCol w:w="1324"/>
      </w:tblGrid>
      <w:tr w:rsidR="00A46B68" w:rsidRPr="00A12D67" w14:paraId="700B5495" w14:textId="77777777" w:rsidTr="00A46B68">
        <w:trPr>
          <w:trHeight w:val="20"/>
        </w:trPr>
        <w:tc>
          <w:tcPr>
            <w:tcW w:w="2160" w:type="dxa"/>
            <w:tcBorders>
              <w:top w:val="single" w:sz="4" w:space="0" w:color="auto"/>
              <w:left w:val="nil"/>
              <w:bottom w:val="single" w:sz="4" w:space="0" w:color="auto"/>
              <w:right w:val="nil"/>
            </w:tcBorders>
            <w:shd w:val="clear" w:color="auto" w:fill="auto"/>
            <w:vAlign w:val="bottom"/>
            <w:hideMark/>
          </w:tcPr>
          <w:p w14:paraId="78D59BAF" w14:textId="77777777" w:rsidR="00A46B68" w:rsidRPr="00A12D67" w:rsidRDefault="00A46B68" w:rsidP="00A46B68">
            <w:pPr>
              <w:spacing w:line="240" w:lineRule="auto"/>
              <w:ind w:firstLine="0"/>
              <w:rPr>
                <w:b/>
                <w:bCs/>
                <w:color w:val="000000"/>
              </w:rPr>
            </w:pPr>
            <w:r w:rsidRPr="00A12D67">
              <w:rPr>
                <w:b/>
                <w:bCs/>
                <w:color w:val="000000"/>
              </w:rPr>
              <w:t>Extraction Method</w:t>
            </w:r>
          </w:p>
        </w:tc>
        <w:tc>
          <w:tcPr>
            <w:tcW w:w="2430" w:type="dxa"/>
            <w:tcBorders>
              <w:top w:val="single" w:sz="4" w:space="0" w:color="auto"/>
              <w:left w:val="nil"/>
              <w:bottom w:val="single" w:sz="4" w:space="0" w:color="auto"/>
              <w:right w:val="nil"/>
            </w:tcBorders>
            <w:shd w:val="clear" w:color="auto" w:fill="auto"/>
            <w:vAlign w:val="bottom"/>
            <w:hideMark/>
          </w:tcPr>
          <w:p w14:paraId="35C2876E" w14:textId="77777777" w:rsidR="00A46B68" w:rsidRPr="00A12D67" w:rsidRDefault="00A46B68" w:rsidP="00A46B68">
            <w:pPr>
              <w:spacing w:line="240" w:lineRule="auto"/>
              <w:ind w:firstLine="0"/>
              <w:rPr>
                <w:b/>
                <w:bCs/>
                <w:color w:val="000000"/>
              </w:rPr>
            </w:pPr>
            <w:r w:rsidRPr="00A12D67">
              <w:rPr>
                <w:b/>
                <w:bCs/>
                <w:color w:val="000000"/>
              </w:rPr>
              <w:t>Starting material</w:t>
            </w:r>
          </w:p>
        </w:tc>
        <w:tc>
          <w:tcPr>
            <w:tcW w:w="2049" w:type="dxa"/>
            <w:tcBorders>
              <w:top w:val="single" w:sz="4" w:space="0" w:color="auto"/>
              <w:left w:val="nil"/>
              <w:bottom w:val="single" w:sz="4" w:space="0" w:color="auto"/>
              <w:right w:val="nil"/>
            </w:tcBorders>
            <w:shd w:val="clear" w:color="auto" w:fill="auto"/>
            <w:vAlign w:val="bottom"/>
            <w:hideMark/>
          </w:tcPr>
          <w:p w14:paraId="02D24E5F" w14:textId="77777777" w:rsidR="00A46B68" w:rsidRPr="00A12D67" w:rsidRDefault="00A46B68" w:rsidP="00A46B68">
            <w:pPr>
              <w:spacing w:line="240" w:lineRule="auto"/>
              <w:ind w:firstLine="0"/>
              <w:rPr>
                <w:b/>
                <w:bCs/>
                <w:color w:val="000000"/>
              </w:rPr>
            </w:pPr>
            <w:r w:rsidRPr="00A12D67">
              <w:rPr>
                <w:b/>
                <w:bCs/>
                <w:color w:val="000000"/>
              </w:rPr>
              <w:t>DNA Concentration Method</w:t>
            </w:r>
          </w:p>
        </w:tc>
        <w:tc>
          <w:tcPr>
            <w:tcW w:w="1334" w:type="dxa"/>
            <w:tcBorders>
              <w:top w:val="single" w:sz="4" w:space="0" w:color="auto"/>
              <w:left w:val="nil"/>
              <w:bottom w:val="single" w:sz="4" w:space="0" w:color="auto"/>
              <w:right w:val="nil"/>
            </w:tcBorders>
            <w:shd w:val="clear" w:color="auto" w:fill="auto"/>
            <w:vAlign w:val="bottom"/>
            <w:hideMark/>
          </w:tcPr>
          <w:p w14:paraId="591549F5" w14:textId="77777777" w:rsidR="00A46B68" w:rsidRPr="00A12D67" w:rsidRDefault="00A46B68" w:rsidP="00A46B68">
            <w:pPr>
              <w:spacing w:line="240" w:lineRule="auto"/>
              <w:ind w:firstLine="0"/>
              <w:jc w:val="center"/>
              <w:rPr>
                <w:b/>
                <w:bCs/>
                <w:color w:val="000000"/>
              </w:rPr>
            </w:pPr>
            <w:r w:rsidRPr="00A12D67">
              <w:rPr>
                <w:b/>
                <w:bCs/>
                <w:color w:val="000000"/>
              </w:rPr>
              <w:t>Total g extracted</w:t>
            </w:r>
          </w:p>
        </w:tc>
        <w:tc>
          <w:tcPr>
            <w:tcW w:w="1325" w:type="dxa"/>
            <w:tcBorders>
              <w:top w:val="single" w:sz="4" w:space="0" w:color="auto"/>
              <w:left w:val="nil"/>
              <w:bottom w:val="single" w:sz="4" w:space="0" w:color="auto"/>
              <w:right w:val="nil"/>
            </w:tcBorders>
            <w:shd w:val="clear" w:color="auto" w:fill="auto"/>
            <w:vAlign w:val="bottom"/>
            <w:hideMark/>
          </w:tcPr>
          <w:p w14:paraId="20C325BB" w14:textId="77777777" w:rsidR="00A46B68" w:rsidRDefault="00A46B68" w:rsidP="00A46B68">
            <w:pPr>
              <w:spacing w:line="240" w:lineRule="auto"/>
              <w:ind w:firstLine="0"/>
              <w:jc w:val="center"/>
              <w:rPr>
                <w:b/>
                <w:bCs/>
                <w:color w:val="000000"/>
              </w:rPr>
            </w:pPr>
            <w:r w:rsidRPr="00A12D67">
              <w:rPr>
                <w:b/>
                <w:bCs/>
                <w:color w:val="000000"/>
              </w:rPr>
              <w:t xml:space="preserve">Yield </w:t>
            </w:r>
          </w:p>
          <w:p w14:paraId="798B4CB9" w14:textId="77777777" w:rsidR="00A46B68" w:rsidRPr="00A12D67" w:rsidRDefault="00A46B68" w:rsidP="00A46B68">
            <w:pPr>
              <w:spacing w:line="240" w:lineRule="auto"/>
              <w:ind w:firstLine="0"/>
              <w:jc w:val="center"/>
              <w:rPr>
                <w:b/>
                <w:bCs/>
                <w:color w:val="000000"/>
              </w:rPr>
            </w:pPr>
            <w:r w:rsidRPr="00A12D67">
              <w:rPr>
                <w:b/>
                <w:bCs/>
                <w:color w:val="000000"/>
              </w:rPr>
              <w:t>(ng DNA)</w:t>
            </w:r>
          </w:p>
        </w:tc>
      </w:tr>
      <w:tr w:rsidR="00A46B68" w:rsidRPr="00A12D67" w14:paraId="1DE99560" w14:textId="77777777" w:rsidTr="00A46B68">
        <w:trPr>
          <w:trHeight w:val="20"/>
        </w:trPr>
        <w:tc>
          <w:tcPr>
            <w:tcW w:w="2160" w:type="dxa"/>
            <w:vMerge w:val="restart"/>
            <w:tcBorders>
              <w:left w:val="nil"/>
              <w:right w:val="nil"/>
            </w:tcBorders>
            <w:shd w:val="clear" w:color="auto" w:fill="auto"/>
            <w:vAlign w:val="center"/>
          </w:tcPr>
          <w:p w14:paraId="7DB8D03C" w14:textId="77777777" w:rsidR="00A46B68" w:rsidRPr="00A12D67" w:rsidRDefault="00A46B68" w:rsidP="00A46B68">
            <w:pPr>
              <w:spacing w:line="240" w:lineRule="auto"/>
              <w:ind w:firstLine="0"/>
              <w:rPr>
                <w:color w:val="000000"/>
              </w:rPr>
            </w:pPr>
            <w:r>
              <w:rPr>
                <w:color w:val="000000"/>
              </w:rPr>
              <w:t>DNeasy PowerLyzer</w:t>
            </w:r>
            <w:r w:rsidRPr="00A12D67">
              <w:rPr>
                <w:color w:val="000000"/>
              </w:rPr>
              <w:t xml:space="preserve"> </w:t>
            </w:r>
            <w:r>
              <w:rPr>
                <w:color w:val="000000"/>
              </w:rPr>
              <w:t>PowerSoil Kit</w:t>
            </w:r>
            <w:r w:rsidRPr="00A12D67">
              <w:rPr>
                <w:color w:val="000000"/>
              </w:rPr>
              <w:t xml:space="preserve"> (Qiagen)</w:t>
            </w:r>
          </w:p>
        </w:tc>
        <w:tc>
          <w:tcPr>
            <w:tcW w:w="2430" w:type="dxa"/>
            <w:tcBorders>
              <w:left w:val="nil"/>
              <w:right w:val="nil"/>
            </w:tcBorders>
            <w:shd w:val="clear" w:color="auto" w:fill="auto"/>
            <w:vAlign w:val="center"/>
          </w:tcPr>
          <w:p w14:paraId="36199498" w14:textId="77777777" w:rsidR="00A46B68" w:rsidRPr="00A12D67" w:rsidRDefault="00A46B68" w:rsidP="00A46B68">
            <w:pPr>
              <w:spacing w:line="240" w:lineRule="auto"/>
              <w:ind w:left="288" w:hanging="288"/>
              <w:rPr>
                <w:color w:val="000000"/>
              </w:rPr>
            </w:pPr>
            <w:r>
              <w:rPr>
                <w:color w:val="000000"/>
              </w:rPr>
              <w:t>Soil</w:t>
            </w:r>
          </w:p>
        </w:tc>
        <w:tc>
          <w:tcPr>
            <w:tcW w:w="2049" w:type="dxa"/>
            <w:tcBorders>
              <w:top w:val="nil"/>
              <w:left w:val="nil"/>
              <w:bottom w:val="nil"/>
              <w:right w:val="nil"/>
            </w:tcBorders>
            <w:shd w:val="clear" w:color="auto" w:fill="auto"/>
            <w:vAlign w:val="center"/>
            <w:hideMark/>
          </w:tcPr>
          <w:p w14:paraId="0E665C5F" w14:textId="77777777" w:rsidR="00A46B68" w:rsidRPr="00A12D67" w:rsidRDefault="00A46B68" w:rsidP="00A46B68">
            <w:pPr>
              <w:spacing w:line="240" w:lineRule="auto"/>
              <w:ind w:left="288" w:hanging="288"/>
              <w:rPr>
                <w:color w:val="000000"/>
              </w:rPr>
            </w:pPr>
            <w:r w:rsidRPr="00A12D67">
              <w:rPr>
                <w:color w:val="000000"/>
              </w:rPr>
              <w:t>Lyophilizer</w:t>
            </w:r>
          </w:p>
        </w:tc>
        <w:tc>
          <w:tcPr>
            <w:tcW w:w="1334" w:type="dxa"/>
            <w:tcBorders>
              <w:top w:val="nil"/>
              <w:left w:val="nil"/>
              <w:bottom w:val="nil"/>
              <w:right w:val="nil"/>
            </w:tcBorders>
            <w:shd w:val="clear" w:color="auto" w:fill="auto"/>
            <w:vAlign w:val="center"/>
            <w:hideMark/>
          </w:tcPr>
          <w:p w14:paraId="07F25120" w14:textId="77777777" w:rsidR="00A46B68" w:rsidRPr="00A12D67" w:rsidRDefault="00A46B68" w:rsidP="00A46B68">
            <w:pPr>
              <w:spacing w:line="240" w:lineRule="auto"/>
              <w:ind w:firstLine="0"/>
              <w:jc w:val="center"/>
              <w:rPr>
                <w:color w:val="000000"/>
              </w:rPr>
            </w:pPr>
            <w:r w:rsidRPr="00A12D67">
              <w:rPr>
                <w:color w:val="000000"/>
              </w:rPr>
              <w:t>3.37</w:t>
            </w:r>
          </w:p>
        </w:tc>
        <w:tc>
          <w:tcPr>
            <w:tcW w:w="1325" w:type="dxa"/>
            <w:tcBorders>
              <w:top w:val="nil"/>
              <w:left w:val="nil"/>
              <w:bottom w:val="nil"/>
              <w:right w:val="nil"/>
            </w:tcBorders>
            <w:shd w:val="clear" w:color="auto" w:fill="auto"/>
            <w:vAlign w:val="center"/>
            <w:hideMark/>
          </w:tcPr>
          <w:p w14:paraId="761EFD55" w14:textId="77777777" w:rsidR="00A46B68" w:rsidRPr="00074FF3" w:rsidRDefault="00A46B68" w:rsidP="00A46B68">
            <w:pPr>
              <w:spacing w:line="240" w:lineRule="auto"/>
              <w:ind w:firstLine="0"/>
              <w:jc w:val="center"/>
              <w:rPr>
                <w:color w:val="000000"/>
              </w:rPr>
            </w:pPr>
            <w:r w:rsidRPr="00074FF3">
              <w:rPr>
                <w:color w:val="000000"/>
              </w:rPr>
              <w:t>2.70</w:t>
            </w:r>
          </w:p>
        </w:tc>
      </w:tr>
      <w:tr w:rsidR="00A46B68" w:rsidRPr="00A12D67" w14:paraId="3C6AEDDA" w14:textId="77777777" w:rsidTr="00A46B68">
        <w:trPr>
          <w:trHeight w:val="20"/>
        </w:trPr>
        <w:tc>
          <w:tcPr>
            <w:tcW w:w="2160" w:type="dxa"/>
            <w:vMerge/>
            <w:tcBorders>
              <w:left w:val="nil"/>
              <w:right w:val="nil"/>
            </w:tcBorders>
            <w:shd w:val="clear" w:color="auto" w:fill="auto"/>
            <w:vAlign w:val="center"/>
          </w:tcPr>
          <w:p w14:paraId="25144224" w14:textId="77777777" w:rsidR="00A46B68" w:rsidRPr="00A12D67" w:rsidRDefault="00A46B68" w:rsidP="00A46B68">
            <w:pPr>
              <w:spacing w:line="240" w:lineRule="auto"/>
              <w:ind w:firstLine="0"/>
              <w:rPr>
                <w:color w:val="000000"/>
              </w:rPr>
            </w:pPr>
          </w:p>
        </w:tc>
        <w:tc>
          <w:tcPr>
            <w:tcW w:w="2430" w:type="dxa"/>
            <w:tcBorders>
              <w:left w:val="nil"/>
              <w:right w:val="nil"/>
            </w:tcBorders>
            <w:shd w:val="clear" w:color="auto" w:fill="auto"/>
            <w:vAlign w:val="center"/>
          </w:tcPr>
          <w:p w14:paraId="153A36BF" w14:textId="77777777" w:rsidR="00A46B68" w:rsidRPr="00A12D67" w:rsidRDefault="00A46B68" w:rsidP="00A46B68">
            <w:pPr>
              <w:spacing w:line="240" w:lineRule="auto"/>
              <w:ind w:left="288" w:hanging="288"/>
              <w:rPr>
                <w:color w:val="000000"/>
              </w:rPr>
            </w:pPr>
            <w:r>
              <w:rPr>
                <w:color w:val="000000"/>
              </w:rPr>
              <w:t>Soil</w:t>
            </w:r>
          </w:p>
        </w:tc>
        <w:tc>
          <w:tcPr>
            <w:tcW w:w="2049" w:type="dxa"/>
            <w:tcBorders>
              <w:top w:val="nil"/>
              <w:left w:val="nil"/>
              <w:bottom w:val="nil"/>
              <w:right w:val="nil"/>
            </w:tcBorders>
            <w:shd w:val="clear" w:color="auto" w:fill="auto"/>
            <w:vAlign w:val="center"/>
            <w:hideMark/>
          </w:tcPr>
          <w:p w14:paraId="755304CA" w14:textId="77777777" w:rsidR="00A46B68" w:rsidRPr="00A12D67" w:rsidRDefault="00A46B68" w:rsidP="00A46B68">
            <w:pPr>
              <w:spacing w:line="240" w:lineRule="auto"/>
              <w:ind w:left="288" w:hanging="288"/>
              <w:rPr>
                <w:color w:val="000000"/>
              </w:rPr>
            </w:pPr>
            <w:r w:rsidRPr="00A12D67">
              <w:rPr>
                <w:color w:val="000000"/>
              </w:rPr>
              <w:t>SpeedVac</w:t>
            </w:r>
          </w:p>
        </w:tc>
        <w:tc>
          <w:tcPr>
            <w:tcW w:w="1334" w:type="dxa"/>
            <w:tcBorders>
              <w:top w:val="nil"/>
              <w:left w:val="nil"/>
              <w:bottom w:val="nil"/>
              <w:right w:val="nil"/>
            </w:tcBorders>
            <w:shd w:val="clear" w:color="auto" w:fill="auto"/>
            <w:vAlign w:val="center"/>
            <w:hideMark/>
          </w:tcPr>
          <w:p w14:paraId="0CEBBD8F" w14:textId="77777777" w:rsidR="00A46B68" w:rsidRPr="00A12D67" w:rsidRDefault="00A46B68" w:rsidP="00A46B68">
            <w:pPr>
              <w:spacing w:line="240" w:lineRule="auto"/>
              <w:ind w:firstLine="0"/>
              <w:jc w:val="center"/>
              <w:rPr>
                <w:color w:val="000000"/>
              </w:rPr>
            </w:pPr>
            <w:r w:rsidRPr="00A12D67">
              <w:rPr>
                <w:color w:val="000000"/>
              </w:rPr>
              <w:t>3.87</w:t>
            </w:r>
          </w:p>
        </w:tc>
        <w:tc>
          <w:tcPr>
            <w:tcW w:w="1325" w:type="dxa"/>
            <w:tcBorders>
              <w:top w:val="nil"/>
              <w:left w:val="nil"/>
              <w:bottom w:val="nil"/>
              <w:right w:val="nil"/>
            </w:tcBorders>
            <w:shd w:val="clear" w:color="auto" w:fill="auto"/>
            <w:vAlign w:val="center"/>
            <w:hideMark/>
          </w:tcPr>
          <w:p w14:paraId="4AD3DA4F" w14:textId="77777777" w:rsidR="00A46B68" w:rsidRPr="00074FF3" w:rsidRDefault="00A46B68" w:rsidP="00A46B68">
            <w:pPr>
              <w:spacing w:line="240" w:lineRule="auto"/>
              <w:ind w:firstLine="0"/>
              <w:jc w:val="center"/>
              <w:rPr>
                <w:color w:val="000000"/>
              </w:rPr>
            </w:pPr>
            <w:r w:rsidRPr="00074FF3">
              <w:rPr>
                <w:color w:val="000000"/>
              </w:rPr>
              <w:t>&lt; LOD</w:t>
            </w:r>
          </w:p>
        </w:tc>
      </w:tr>
      <w:tr w:rsidR="00A46B68" w:rsidRPr="00A12D67" w14:paraId="1B8908F0" w14:textId="77777777" w:rsidTr="00A46B68">
        <w:trPr>
          <w:trHeight w:val="20"/>
        </w:trPr>
        <w:tc>
          <w:tcPr>
            <w:tcW w:w="2160" w:type="dxa"/>
            <w:vMerge/>
            <w:tcBorders>
              <w:left w:val="nil"/>
              <w:right w:val="nil"/>
            </w:tcBorders>
            <w:shd w:val="clear" w:color="auto" w:fill="auto"/>
            <w:vAlign w:val="center"/>
          </w:tcPr>
          <w:p w14:paraId="6D33A646" w14:textId="77777777" w:rsidR="00A46B68" w:rsidRPr="00A12D67" w:rsidRDefault="00A46B68" w:rsidP="00A46B68">
            <w:pPr>
              <w:spacing w:line="240" w:lineRule="auto"/>
              <w:ind w:firstLine="0"/>
              <w:rPr>
                <w:color w:val="000000"/>
              </w:rPr>
            </w:pPr>
          </w:p>
        </w:tc>
        <w:tc>
          <w:tcPr>
            <w:tcW w:w="2430" w:type="dxa"/>
            <w:tcBorders>
              <w:left w:val="nil"/>
              <w:bottom w:val="nil"/>
              <w:right w:val="nil"/>
            </w:tcBorders>
            <w:shd w:val="clear" w:color="auto" w:fill="auto"/>
            <w:vAlign w:val="center"/>
          </w:tcPr>
          <w:p w14:paraId="717EC2B6" w14:textId="77777777" w:rsidR="00A46B68" w:rsidRPr="00A12D67" w:rsidRDefault="00A46B68" w:rsidP="00A46B68">
            <w:pPr>
              <w:spacing w:line="240" w:lineRule="auto"/>
              <w:ind w:left="288" w:hanging="288"/>
              <w:rPr>
                <w:color w:val="000000"/>
              </w:rPr>
            </w:pPr>
            <w:r>
              <w:rPr>
                <w:color w:val="000000"/>
              </w:rPr>
              <w:t>Soil</w:t>
            </w:r>
          </w:p>
        </w:tc>
        <w:tc>
          <w:tcPr>
            <w:tcW w:w="2049" w:type="dxa"/>
            <w:tcBorders>
              <w:top w:val="nil"/>
              <w:left w:val="nil"/>
              <w:bottom w:val="nil"/>
              <w:right w:val="nil"/>
            </w:tcBorders>
            <w:shd w:val="clear" w:color="auto" w:fill="auto"/>
            <w:vAlign w:val="center"/>
            <w:hideMark/>
          </w:tcPr>
          <w:p w14:paraId="2700C6EA" w14:textId="77777777" w:rsidR="00A46B68" w:rsidRPr="00074FF3" w:rsidRDefault="00A46B68" w:rsidP="00A46B68">
            <w:pPr>
              <w:spacing w:line="240" w:lineRule="auto"/>
              <w:ind w:left="288" w:hanging="288"/>
              <w:rPr>
                <w:color w:val="000000"/>
              </w:rPr>
            </w:pPr>
            <w:r w:rsidRPr="00074FF3">
              <w:rPr>
                <w:color w:val="000000"/>
              </w:rPr>
              <w:t>DNA Clean and Concentrator Kit (Zymo)</w:t>
            </w:r>
          </w:p>
        </w:tc>
        <w:tc>
          <w:tcPr>
            <w:tcW w:w="1334" w:type="dxa"/>
            <w:tcBorders>
              <w:top w:val="nil"/>
              <w:left w:val="nil"/>
              <w:bottom w:val="nil"/>
              <w:right w:val="nil"/>
            </w:tcBorders>
            <w:shd w:val="clear" w:color="auto" w:fill="auto"/>
            <w:vAlign w:val="center"/>
            <w:hideMark/>
          </w:tcPr>
          <w:p w14:paraId="63DBD027" w14:textId="77777777" w:rsidR="00A46B68" w:rsidRPr="00A12D67" w:rsidRDefault="00A46B68" w:rsidP="00A46B68">
            <w:pPr>
              <w:spacing w:line="240" w:lineRule="auto"/>
              <w:ind w:firstLine="0"/>
              <w:jc w:val="center"/>
              <w:rPr>
                <w:color w:val="000000"/>
              </w:rPr>
            </w:pPr>
            <w:r w:rsidRPr="00A12D67">
              <w:rPr>
                <w:color w:val="000000"/>
              </w:rPr>
              <w:t>1.62</w:t>
            </w:r>
          </w:p>
        </w:tc>
        <w:tc>
          <w:tcPr>
            <w:tcW w:w="1325" w:type="dxa"/>
            <w:tcBorders>
              <w:top w:val="nil"/>
              <w:left w:val="nil"/>
              <w:bottom w:val="nil"/>
              <w:right w:val="nil"/>
            </w:tcBorders>
            <w:shd w:val="clear" w:color="auto" w:fill="auto"/>
            <w:vAlign w:val="center"/>
            <w:hideMark/>
          </w:tcPr>
          <w:p w14:paraId="02CD5D82" w14:textId="77777777" w:rsidR="00A46B68" w:rsidRPr="00074FF3" w:rsidRDefault="00A46B68" w:rsidP="00A46B68">
            <w:pPr>
              <w:spacing w:line="240" w:lineRule="auto"/>
              <w:ind w:firstLine="0"/>
              <w:jc w:val="center"/>
              <w:rPr>
                <w:color w:val="000000"/>
              </w:rPr>
            </w:pPr>
            <w:r w:rsidRPr="00074FF3">
              <w:rPr>
                <w:color w:val="000000"/>
              </w:rPr>
              <w:t>6.20</w:t>
            </w:r>
          </w:p>
        </w:tc>
      </w:tr>
      <w:tr w:rsidR="00A46B68" w:rsidRPr="00A12D67" w14:paraId="42624CCC" w14:textId="77777777" w:rsidTr="00A46B68">
        <w:trPr>
          <w:trHeight w:val="20"/>
        </w:trPr>
        <w:tc>
          <w:tcPr>
            <w:tcW w:w="2160" w:type="dxa"/>
            <w:vMerge/>
            <w:tcBorders>
              <w:left w:val="nil"/>
              <w:right w:val="nil"/>
            </w:tcBorders>
            <w:shd w:val="clear" w:color="auto" w:fill="auto"/>
            <w:vAlign w:val="center"/>
          </w:tcPr>
          <w:p w14:paraId="7328A851" w14:textId="77777777" w:rsidR="00A46B68" w:rsidRPr="00A12D67" w:rsidRDefault="00A46B68" w:rsidP="00A46B68">
            <w:pPr>
              <w:spacing w:line="240" w:lineRule="auto"/>
              <w:ind w:firstLine="0"/>
              <w:rPr>
                <w:color w:val="000000"/>
              </w:rPr>
            </w:pPr>
          </w:p>
        </w:tc>
        <w:tc>
          <w:tcPr>
            <w:tcW w:w="2430" w:type="dxa"/>
            <w:tcBorders>
              <w:top w:val="nil"/>
              <w:left w:val="nil"/>
              <w:bottom w:val="nil"/>
              <w:right w:val="nil"/>
            </w:tcBorders>
            <w:shd w:val="clear" w:color="auto" w:fill="auto"/>
            <w:vAlign w:val="center"/>
            <w:hideMark/>
          </w:tcPr>
          <w:p w14:paraId="79CE270E" w14:textId="77777777" w:rsidR="00A46B68" w:rsidRPr="00A12D67" w:rsidRDefault="00A46B68" w:rsidP="00A46B68">
            <w:pPr>
              <w:spacing w:line="240" w:lineRule="auto"/>
              <w:ind w:left="288" w:hanging="288"/>
              <w:rPr>
                <w:color w:val="000000"/>
              </w:rPr>
            </w:pPr>
            <w:r w:rsidRPr="00A12D67">
              <w:rPr>
                <w:color w:val="000000"/>
              </w:rPr>
              <w:t>Soil extract: PBS</w:t>
            </w:r>
          </w:p>
        </w:tc>
        <w:tc>
          <w:tcPr>
            <w:tcW w:w="2049" w:type="dxa"/>
            <w:tcBorders>
              <w:top w:val="nil"/>
              <w:left w:val="nil"/>
              <w:bottom w:val="nil"/>
              <w:right w:val="nil"/>
            </w:tcBorders>
            <w:shd w:val="clear" w:color="auto" w:fill="auto"/>
            <w:vAlign w:val="center"/>
          </w:tcPr>
          <w:p w14:paraId="74BD3932" w14:textId="77777777" w:rsidR="00A46B68" w:rsidRPr="00A12D67" w:rsidRDefault="00A46B68" w:rsidP="00A46B68">
            <w:pPr>
              <w:spacing w:line="240" w:lineRule="auto"/>
              <w:ind w:left="288" w:hanging="288"/>
              <w:rPr>
                <w:color w:val="000000"/>
              </w:rPr>
            </w:pPr>
          </w:p>
        </w:tc>
        <w:tc>
          <w:tcPr>
            <w:tcW w:w="1334" w:type="dxa"/>
            <w:tcBorders>
              <w:top w:val="nil"/>
              <w:left w:val="nil"/>
              <w:bottom w:val="nil"/>
              <w:right w:val="nil"/>
            </w:tcBorders>
            <w:shd w:val="clear" w:color="auto" w:fill="auto"/>
            <w:vAlign w:val="center"/>
            <w:hideMark/>
          </w:tcPr>
          <w:p w14:paraId="1A482FC6" w14:textId="77777777" w:rsidR="00A46B68" w:rsidRPr="00A12D67" w:rsidRDefault="00A46B68" w:rsidP="00A46B68">
            <w:pPr>
              <w:spacing w:line="240" w:lineRule="auto"/>
              <w:ind w:firstLine="0"/>
              <w:jc w:val="center"/>
              <w:rPr>
                <w:color w:val="000000"/>
              </w:rPr>
            </w:pPr>
            <w:r w:rsidRPr="00A12D67">
              <w:rPr>
                <w:color w:val="000000"/>
              </w:rPr>
              <w:t>3.20</w:t>
            </w:r>
          </w:p>
        </w:tc>
        <w:tc>
          <w:tcPr>
            <w:tcW w:w="1325" w:type="dxa"/>
            <w:tcBorders>
              <w:top w:val="nil"/>
              <w:left w:val="nil"/>
              <w:bottom w:val="nil"/>
              <w:right w:val="nil"/>
            </w:tcBorders>
            <w:shd w:val="clear" w:color="auto" w:fill="auto"/>
            <w:vAlign w:val="center"/>
            <w:hideMark/>
          </w:tcPr>
          <w:p w14:paraId="5E5D751A" w14:textId="77777777" w:rsidR="00A46B68" w:rsidRPr="00074FF3" w:rsidRDefault="00A46B68" w:rsidP="00A46B68">
            <w:pPr>
              <w:spacing w:line="240" w:lineRule="auto"/>
              <w:ind w:firstLine="0"/>
              <w:jc w:val="center"/>
              <w:rPr>
                <w:color w:val="000000"/>
              </w:rPr>
            </w:pPr>
            <w:r w:rsidRPr="00074FF3">
              <w:rPr>
                <w:color w:val="000000"/>
              </w:rPr>
              <w:t>&lt; LOD</w:t>
            </w:r>
          </w:p>
        </w:tc>
      </w:tr>
      <w:tr w:rsidR="00A46B68" w:rsidRPr="00A12D67" w14:paraId="5822B8E9" w14:textId="77777777" w:rsidTr="00A46B68">
        <w:trPr>
          <w:trHeight w:val="20"/>
        </w:trPr>
        <w:tc>
          <w:tcPr>
            <w:tcW w:w="2160" w:type="dxa"/>
            <w:vMerge/>
            <w:tcBorders>
              <w:left w:val="nil"/>
              <w:right w:val="nil"/>
            </w:tcBorders>
            <w:shd w:val="clear" w:color="auto" w:fill="auto"/>
            <w:vAlign w:val="center"/>
          </w:tcPr>
          <w:p w14:paraId="50290C98" w14:textId="77777777" w:rsidR="00A46B68" w:rsidRPr="00A12D67" w:rsidRDefault="00A46B68" w:rsidP="00A46B68">
            <w:pPr>
              <w:spacing w:line="240" w:lineRule="auto"/>
              <w:ind w:firstLine="0"/>
              <w:rPr>
                <w:color w:val="000000"/>
              </w:rPr>
            </w:pPr>
          </w:p>
        </w:tc>
        <w:tc>
          <w:tcPr>
            <w:tcW w:w="2430" w:type="dxa"/>
            <w:tcBorders>
              <w:top w:val="nil"/>
              <w:left w:val="nil"/>
              <w:bottom w:val="nil"/>
              <w:right w:val="nil"/>
            </w:tcBorders>
            <w:shd w:val="clear" w:color="auto" w:fill="auto"/>
            <w:vAlign w:val="center"/>
            <w:hideMark/>
          </w:tcPr>
          <w:p w14:paraId="51D4FEEE" w14:textId="77777777" w:rsidR="00A46B68" w:rsidRPr="00A12D67" w:rsidRDefault="00A46B68" w:rsidP="00A46B68">
            <w:pPr>
              <w:spacing w:line="240" w:lineRule="auto"/>
              <w:ind w:left="288" w:hanging="288"/>
              <w:rPr>
                <w:color w:val="000000"/>
              </w:rPr>
            </w:pPr>
            <w:r w:rsidRPr="00A12D67">
              <w:rPr>
                <w:color w:val="000000"/>
              </w:rPr>
              <w:t>Soil extract: PBS, filter concentrated</w:t>
            </w:r>
          </w:p>
        </w:tc>
        <w:tc>
          <w:tcPr>
            <w:tcW w:w="2049" w:type="dxa"/>
            <w:tcBorders>
              <w:top w:val="nil"/>
              <w:left w:val="nil"/>
              <w:bottom w:val="nil"/>
              <w:right w:val="nil"/>
            </w:tcBorders>
            <w:shd w:val="clear" w:color="auto" w:fill="auto"/>
            <w:vAlign w:val="center"/>
          </w:tcPr>
          <w:p w14:paraId="7344D6E3" w14:textId="77777777" w:rsidR="00A46B68" w:rsidRPr="00A12D67" w:rsidRDefault="00A46B68" w:rsidP="00A46B68">
            <w:pPr>
              <w:spacing w:line="240" w:lineRule="auto"/>
              <w:ind w:left="288" w:hanging="288"/>
              <w:rPr>
                <w:color w:val="000000"/>
              </w:rPr>
            </w:pPr>
          </w:p>
        </w:tc>
        <w:tc>
          <w:tcPr>
            <w:tcW w:w="1334" w:type="dxa"/>
            <w:tcBorders>
              <w:top w:val="nil"/>
              <w:left w:val="nil"/>
              <w:bottom w:val="nil"/>
              <w:right w:val="nil"/>
            </w:tcBorders>
            <w:shd w:val="clear" w:color="auto" w:fill="auto"/>
            <w:vAlign w:val="center"/>
            <w:hideMark/>
          </w:tcPr>
          <w:p w14:paraId="32F4A7EB" w14:textId="77777777" w:rsidR="00A46B68" w:rsidRPr="00A12D67" w:rsidRDefault="00A46B68" w:rsidP="00A46B68">
            <w:pPr>
              <w:spacing w:line="240" w:lineRule="auto"/>
              <w:ind w:firstLine="0"/>
              <w:jc w:val="center"/>
              <w:rPr>
                <w:color w:val="000000"/>
              </w:rPr>
            </w:pPr>
            <w:r w:rsidRPr="00A12D67">
              <w:rPr>
                <w:color w:val="000000"/>
              </w:rPr>
              <w:t>15.73</w:t>
            </w:r>
          </w:p>
        </w:tc>
        <w:tc>
          <w:tcPr>
            <w:tcW w:w="1325" w:type="dxa"/>
            <w:tcBorders>
              <w:top w:val="nil"/>
              <w:left w:val="nil"/>
              <w:bottom w:val="nil"/>
              <w:right w:val="nil"/>
            </w:tcBorders>
            <w:shd w:val="clear" w:color="auto" w:fill="auto"/>
            <w:vAlign w:val="center"/>
            <w:hideMark/>
          </w:tcPr>
          <w:p w14:paraId="6EDABA1C" w14:textId="77777777" w:rsidR="00A46B68" w:rsidRPr="00074FF3" w:rsidRDefault="00A46B68" w:rsidP="00A46B68">
            <w:pPr>
              <w:spacing w:line="240" w:lineRule="auto"/>
              <w:ind w:firstLine="0"/>
              <w:jc w:val="center"/>
              <w:rPr>
                <w:color w:val="000000"/>
              </w:rPr>
            </w:pPr>
            <w:r w:rsidRPr="00074FF3">
              <w:rPr>
                <w:color w:val="000000"/>
              </w:rPr>
              <w:t>&lt; LOD</w:t>
            </w:r>
          </w:p>
        </w:tc>
      </w:tr>
      <w:tr w:rsidR="00A46B68" w:rsidRPr="00A12D67" w14:paraId="0E0BE3CE" w14:textId="77777777" w:rsidTr="00A46B68">
        <w:trPr>
          <w:trHeight w:val="20"/>
        </w:trPr>
        <w:tc>
          <w:tcPr>
            <w:tcW w:w="2160" w:type="dxa"/>
            <w:vMerge/>
            <w:tcBorders>
              <w:left w:val="nil"/>
              <w:right w:val="nil"/>
            </w:tcBorders>
            <w:shd w:val="clear" w:color="auto" w:fill="auto"/>
            <w:vAlign w:val="center"/>
          </w:tcPr>
          <w:p w14:paraId="471C9C7C" w14:textId="77777777" w:rsidR="00A46B68" w:rsidRPr="00A12D67" w:rsidRDefault="00A46B68" w:rsidP="00A46B68">
            <w:pPr>
              <w:spacing w:line="240" w:lineRule="auto"/>
              <w:ind w:firstLine="0"/>
              <w:rPr>
                <w:color w:val="000000"/>
              </w:rPr>
            </w:pPr>
          </w:p>
        </w:tc>
        <w:tc>
          <w:tcPr>
            <w:tcW w:w="2430" w:type="dxa"/>
            <w:tcBorders>
              <w:top w:val="nil"/>
              <w:left w:val="nil"/>
              <w:bottom w:val="nil"/>
              <w:right w:val="nil"/>
            </w:tcBorders>
            <w:shd w:val="clear" w:color="auto" w:fill="auto"/>
            <w:vAlign w:val="center"/>
            <w:hideMark/>
          </w:tcPr>
          <w:p w14:paraId="2FAC12B8" w14:textId="77777777" w:rsidR="00A46B68" w:rsidRPr="00A12D67" w:rsidRDefault="00A46B68" w:rsidP="00A46B68">
            <w:pPr>
              <w:spacing w:line="240" w:lineRule="auto"/>
              <w:ind w:left="288" w:hanging="288"/>
              <w:rPr>
                <w:color w:val="000000"/>
              </w:rPr>
            </w:pPr>
            <w:r w:rsidRPr="00A12D67">
              <w:rPr>
                <w:color w:val="000000"/>
              </w:rPr>
              <w:t>Soil extract: PBS, lyophilized</w:t>
            </w:r>
          </w:p>
        </w:tc>
        <w:tc>
          <w:tcPr>
            <w:tcW w:w="2049" w:type="dxa"/>
            <w:tcBorders>
              <w:top w:val="nil"/>
              <w:left w:val="nil"/>
              <w:bottom w:val="nil"/>
              <w:right w:val="nil"/>
            </w:tcBorders>
            <w:shd w:val="clear" w:color="auto" w:fill="auto"/>
            <w:vAlign w:val="center"/>
          </w:tcPr>
          <w:p w14:paraId="7756F63B" w14:textId="77777777" w:rsidR="00A46B68" w:rsidRPr="00A12D67" w:rsidRDefault="00A46B68" w:rsidP="00A46B68">
            <w:pPr>
              <w:spacing w:line="240" w:lineRule="auto"/>
              <w:ind w:left="288" w:hanging="288"/>
              <w:rPr>
                <w:color w:val="000000"/>
              </w:rPr>
            </w:pPr>
          </w:p>
        </w:tc>
        <w:tc>
          <w:tcPr>
            <w:tcW w:w="1334" w:type="dxa"/>
            <w:tcBorders>
              <w:top w:val="nil"/>
              <w:left w:val="nil"/>
              <w:bottom w:val="nil"/>
              <w:right w:val="nil"/>
            </w:tcBorders>
            <w:shd w:val="clear" w:color="auto" w:fill="auto"/>
            <w:vAlign w:val="center"/>
            <w:hideMark/>
          </w:tcPr>
          <w:p w14:paraId="5E312A05" w14:textId="77777777" w:rsidR="00A46B68" w:rsidRPr="00A12D67" w:rsidRDefault="00A46B68" w:rsidP="00A46B68">
            <w:pPr>
              <w:spacing w:line="240" w:lineRule="auto"/>
              <w:ind w:firstLine="0"/>
              <w:jc w:val="center"/>
              <w:rPr>
                <w:color w:val="000000"/>
              </w:rPr>
            </w:pPr>
            <w:r w:rsidRPr="00A12D67">
              <w:rPr>
                <w:color w:val="000000"/>
              </w:rPr>
              <w:t>3.89</w:t>
            </w:r>
          </w:p>
        </w:tc>
        <w:tc>
          <w:tcPr>
            <w:tcW w:w="1325" w:type="dxa"/>
            <w:tcBorders>
              <w:top w:val="nil"/>
              <w:left w:val="nil"/>
              <w:bottom w:val="nil"/>
              <w:right w:val="nil"/>
            </w:tcBorders>
            <w:shd w:val="clear" w:color="auto" w:fill="auto"/>
            <w:vAlign w:val="center"/>
            <w:hideMark/>
          </w:tcPr>
          <w:p w14:paraId="1F25F3EF" w14:textId="77777777" w:rsidR="00A46B68" w:rsidRPr="00074FF3" w:rsidRDefault="00A46B68" w:rsidP="00A46B68">
            <w:pPr>
              <w:spacing w:line="240" w:lineRule="auto"/>
              <w:ind w:firstLine="0"/>
              <w:jc w:val="center"/>
              <w:rPr>
                <w:color w:val="000000"/>
              </w:rPr>
            </w:pPr>
            <w:r w:rsidRPr="00074FF3">
              <w:rPr>
                <w:color w:val="000000"/>
              </w:rPr>
              <w:t>&lt; LOD</w:t>
            </w:r>
          </w:p>
        </w:tc>
      </w:tr>
      <w:tr w:rsidR="00A46B68" w:rsidRPr="00A12D67" w14:paraId="52AAE546" w14:textId="77777777" w:rsidTr="00A46B68">
        <w:trPr>
          <w:trHeight w:val="20"/>
        </w:trPr>
        <w:tc>
          <w:tcPr>
            <w:tcW w:w="2160" w:type="dxa"/>
            <w:vMerge/>
            <w:tcBorders>
              <w:left w:val="nil"/>
              <w:right w:val="nil"/>
            </w:tcBorders>
            <w:shd w:val="clear" w:color="auto" w:fill="auto"/>
            <w:vAlign w:val="center"/>
          </w:tcPr>
          <w:p w14:paraId="792F105A" w14:textId="77777777" w:rsidR="00A46B68" w:rsidRPr="00A12D67" w:rsidRDefault="00A46B68" w:rsidP="00A46B68">
            <w:pPr>
              <w:spacing w:line="240" w:lineRule="auto"/>
              <w:ind w:firstLine="0"/>
              <w:rPr>
                <w:color w:val="000000"/>
              </w:rPr>
            </w:pPr>
          </w:p>
        </w:tc>
        <w:tc>
          <w:tcPr>
            <w:tcW w:w="2430" w:type="dxa"/>
            <w:tcBorders>
              <w:top w:val="nil"/>
              <w:left w:val="nil"/>
              <w:bottom w:val="nil"/>
              <w:right w:val="nil"/>
            </w:tcBorders>
            <w:shd w:val="clear" w:color="auto" w:fill="auto"/>
            <w:vAlign w:val="center"/>
            <w:hideMark/>
          </w:tcPr>
          <w:p w14:paraId="1D934795" w14:textId="77777777" w:rsidR="00A46B68" w:rsidRPr="00A12D67" w:rsidRDefault="00A46B68" w:rsidP="00A46B68">
            <w:pPr>
              <w:spacing w:line="240" w:lineRule="auto"/>
              <w:ind w:left="288" w:hanging="288"/>
              <w:rPr>
                <w:color w:val="000000"/>
              </w:rPr>
            </w:pPr>
            <w:r w:rsidRPr="00A12D67">
              <w:rPr>
                <w:color w:val="000000"/>
              </w:rPr>
              <w:t>Soil extract: PBS, pelleted</w:t>
            </w:r>
          </w:p>
        </w:tc>
        <w:tc>
          <w:tcPr>
            <w:tcW w:w="2049" w:type="dxa"/>
            <w:tcBorders>
              <w:top w:val="nil"/>
              <w:left w:val="nil"/>
              <w:bottom w:val="nil"/>
              <w:right w:val="nil"/>
            </w:tcBorders>
            <w:shd w:val="clear" w:color="auto" w:fill="auto"/>
            <w:vAlign w:val="center"/>
          </w:tcPr>
          <w:p w14:paraId="362DCE69" w14:textId="77777777" w:rsidR="00A46B68" w:rsidRPr="00A12D67" w:rsidRDefault="00A46B68" w:rsidP="00A46B68">
            <w:pPr>
              <w:spacing w:line="240" w:lineRule="auto"/>
              <w:ind w:left="288" w:hanging="288"/>
              <w:rPr>
                <w:color w:val="000000"/>
              </w:rPr>
            </w:pPr>
          </w:p>
        </w:tc>
        <w:tc>
          <w:tcPr>
            <w:tcW w:w="1334" w:type="dxa"/>
            <w:tcBorders>
              <w:top w:val="nil"/>
              <w:left w:val="nil"/>
              <w:bottom w:val="nil"/>
              <w:right w:val="nil"/>
            </w:tcBorders>
            <w:shd w:val="clear" w:color="auto" w:fill="auto"/>
            <w:vAlign w:val="center"/>
            <w:hideMark/>
          </w:tcPr>
          <w:p w14:paraId="16545D3A" w14:textId="77777777" w:rsidR="00A46B68" w:rsidRPr="00A12D67" w:rsidRDefault="00A46B68" w:rsidP="00A46B68">
            <w:pPr>
              <w:spacing w:line="240" w:lineRule="auto"/>
              <w:ind w:firstLine="0"/>
              <w:jc w:val="center"/>
              <w:rPr>
                <w:color w:val="000000"/>
              </w:rPr>
            </w:pPr>
            <w:r w:rsidRPr="00A12D67">
              <w:rPr>
                <w:color w:val="000000"/>
              </w:rPr>
              <w:t>7.93</w:t>
            </w:r>
          </w:p>
        </w:tc>
        <w:tc>
          <w:tcPr>
            <w:tcW w:w="1325" w:type="dxa"/>
            <w:tcBorders>
              <w:top w:val="nil"/>
              <w:left w:val="nil"/>
              <w:bottom w:val="nil"/>
              <w:right w:val="nil"/>
            </w:tcBorders>
            <w:shd w:val="clear" w:color="auto" w:fill="auto"/>
            <w:vAlign w:val="center"/>
            <w:hideMark/>
          </w:tcPr>
          <w:p w14:paraId="3D892DB2" w14:textId="77777777" w:rsidR="00A46B68" w:rsidRPr="00074FF3" w:rsidRDefault="00A46B68" w:rsidP="00A46B68">
            <w:pPr>
              <w:spacing w:line="240" w:lineRule="auto"/>
              <w:ind w:firstLine="0"/>
              <w:jc w:val="center"/>
              <w:rPr>
                <w:color w:val="000000"/>
              </w:rPr>
            </w:pPr>
            <w:r w:rsidRPr="00074FF3">
              <w:rPr>
                <w:color w:val="000000"/>
              </w:rPr>
              <w:t>3.00</w:t>
            </w:r>
          </w:p>
        </w:tc>
      </w:tr>
      <w:tr w:rsidR="00A46B68" w:rsidRPr="00A12D67" w14:paraId="6B73C101" w14:textId="77777777" w:rsidTr="00A46B68">
        <w:trPr>
          <w:trHeight w:val="20"/>
        </w:trPr>
        <w:tc>
          <w:tcPr>
            <w:tcW w:w="2160" w:type="dxa"/>
            <w:vMerge/>
            <w:tcBorders>
              <w:left w:val="nil"/>
              <w:right w:val="nil"/>
            </w:tcBorders>
            <w:shd w:val="clear" w:color="auto" w:fill="auto"/>
            <w:vAlign w:val="center"/>
          </w:tcPr>
          <w:p w14:paraId="012A7F95" w14:textId="77777777" w:rsidR="00A46B68" w:rsidRPr="00A12D67" w:rsidRDefault="00A46B68" w:rsidP="00A46B68">
            <w:pPr>
              <w:spacing w:line="240" w:lineRule="auto"/>
              <w:ind w:firstLine="0"/>
              <w:rPr>
                <w:color w:val="000000"/>
              </w:rPr>
            </w:pPr>
          </w:p>
        </w:tc>
        <w:tc>
          <w:tcPr>
            <w:tcW w:w="2430" w:type="dxa"/>
            <w:tcBorders>
              <w:top w:val="nil"/>
              <w:left w:val="nil"/>
              <w:bottom w:val="nil"/>
              <w:right w:val="nil"/>
            </w:tcBorders>
            <w:shd w:val="clear" w:color="auto" w:fill="auto"/>
            <w:vAlign w:val="center"/>
            <w:hideMark/>
          </w:tcPr>
          <w:p w14:paraId="566D1FBD" w14:textId="77777777" w:rsidR="00A46B68" w:rsidRPr="00A12D67" w:rsidRDefault="00A46B68" w:rsidP="00A46B68">
            <w:pPr>
              <w:spacing w:line="240" w:lineRule="auto"/>
              <w:ind w:left="288" w:hanging="288"/>
              <w:rPr>
                <w:color w:val="000000"/>
              </w:rPr>
            </w:pPr>
            <w:r w:rsidRPr="00A12D67">
              <w:rPr>
                <w:color w:val="000000"/>
              </w:rPr>
              <w:t>Soil extract: PBS + MB, pelleted</w:t>
            </w:r>
          </w:p>
        </w:tc>
        <w:tc>
          <w:tcPr>
            <w:tcW w:w="2049" w:type="dxa"/>
            <w:tcBorders>
              <w:top w:val="nil"/>
              <w:left w:val="nil"/>
              <w:bottom w:val="nil"/>
              <w:right w:val="nil"/>
            </w:tcBorders>
            <w:shd w:val="clear" w:color="auto" w:fill="auto"/>
            <w:vAlign w:val="center"/>
          </w:tcPr>
          <w:p w14:paraId="336780BC" w14:textId="77777777" w:rsidR="00A46B68" w:rsidRPr="00A12D67" w:rsidRDefault="00A46B68" w:rsidP="00A46B68">
            <w:pPr>
              <w:spacing w:line="240" w:lineRule="auto"/>
              <w:ind w:left="288" w:hanging="288"/>
              <w:rPr>
                <w:color w:val="000000"/>
              </w:rPr>
            </w:pPr>
          </w:p>
        </w:tc>
        <w:tc>
          <w:tcPr>
            <w:tcW w:w="1334" w:type="dxa"/>
            <w:tcBorders>
              <w:top w:val="nil"/>
              <w:left w:val="nil"/>
              <w:bottom w:val="nil"/>
              <w:right w:val="nil"/>
            </w:tcBorders>
            <w:shd w:val="clear" w:color="auto" w:fill="auto"/>
            <w:vAlign w:val="center"/>
            <w:hideMark/>
          </w:tcPr>
          <w:p w14:paraId="24C280E5" w14:textId="77777777" w:rsidR="00A46B68" w:rsidRPr="00A12D67" w:rsidRDefault="00A46B68" w:rsidP="00A46B68">
            <w:pPr>
              <w:spacing w:line="240" w:lineRule="auto"/>
              <w:ind w:firstLine="0"/>
              <w:jc w:val="center"/>
              <w:rPr>
                <w:color w:val="000000"/>
              </w:rPr>
            </w:pPr>
            <w:r w:rsidRPr="00A12D67">
              <w:rPr>
                <w:color w:val="000000"/>
              </w:rPr>
              <w:t>2.20</w:t>
            </w:r>
          </w:p>
        </w:tc>
        <w:tc>
          <w:tcPr>
            <w:tcW w:w="1325" w:type="dxa"/>
            <w:tcBorders>
              <w:top w:val="nil"/>
              <w:left w:val="nil"/>
              <w:bottom w:val="nil"/>
              <w:right w:val="nil"/>
            </w:tcBorders>
            <w:shd w:val="clear" w:color="auto" w:fill="auto"/>
            <w:vAlign w:val="center"/>
            <w:hideMark/>
          </w:tcPr>
          <w:p w14:paraId="54D78770" w14:textId="77777777" w:rsidR="00A46B68" w:rsidRPr="00074FF3" w:rsidRDefault="00A46B68" w:rsidP="00A46B68">
            <w:pPr>
              <w:spacing w:line="240" w:lineRule="auto"/>
              <w:ind w:firstLine="0"/>
              <w:jc w:val="center"/>
              <w:rPr>
                <w:color w:val="000000"/>
              </w:rPr>
            </w:pPr>
            <w:r w:rsidRPr="00074FF3">
              <w:rPr>
                <w:color w:val="000000"/>
              </w:rPr>
              <w:t>2.58</w:t>
            </w:r>
          </w:p>
        </w:tc>
      </w:tr>
      <w:tr w:rsidR="00A46B68" w:rsidRPr="00A12D67" w14:paraId="70949854" w14:textId="77777777" w:rsidTr="00A46B68">
        <w:trPr>
          <w:trHeight w:val="20"/>
        </w:trPr>
        <w:tc>
          <w:tcPr>
            <w:tcW w:w="2160" w:type="dxa"/>
            <w:vMerge/>
            <w:tcBorders>
              <w:left w:val="nil"/>
              <w:right w:val="nil"/>
            </w:tcBorders>
            <w:shd w:val="clear" w:color="auto" w:fill="auto"/>
            <w:vAlign w:val="center"/>
          </w:tcPr>
          <w:p w14:paraId="52C04417" w14:textId="77777777" w:rsidR="00A46B68" w:rsidRPr="00A12D67" w:rsidRDefault="00A46B68" w:rsidP="00A46B68">
            <w:pPr>
              <w:spacing w:line="240" w:lineRule="auto"/>
              <w:ind w:firstLine="0"/>
              <w:rPr>
                <w:color w:val="000000"/>
              </w:rPr>
            </w:pPr>
          </w:p>
        </w:tc>
        <w:tc>
          <w:tcPr>
            <w:tcW w:w="2430" w:type="dxa"/>
            <w:tcBorders>
              <w:top w:val="nil"/>
              <w:left w:val="nil"/>
              <w:bottom w:val="nil"/>
              <w:right w:val="nil"/>
            </w:tcBorders>
            <w:shd w:val="clear" w:color="auto" w:fill="auto"/>
            <w:vAlign w:val="center"/>
            <w:hideMark/>
          </w:tcPr>
          <w:p w14:paraId="35010298" w14:textId="77777777" w:rsidR="00A46B68" w:rsidRPr="00A12D67" w:rsidRDefault="00A46B68" w:rsidP="00A46B68">
            <w:pPr>
              <w:spacing w:line="240" w:lineRule="auto"/>
              <w:ind w:left="288" w:hanging="288"/>
              <w:rPr>
                <w:color w:val="000000"/>
              </w:rPr>
            </w:pPr>
            <w:r w:rsidRPr="00A12D67">
              <w:rPr>
                <w:color w:val="000000"/>
              </w:rPr>
              <w:t>Soil extract: PBS + MB, lyophilized</w:t>
            </w:r>
          </w:p>
        </w:tc>
        <w:tc>
          <w:tcPr>
            <w:tcW w:w="2049" w:type="dxa"/>
            <w:tcBorders>
              <w:top w:val="nil"/>
              <w:left w:val="nil"/>
              <w:bottom w:val="nil"/>
              <w:right w:val="nil"/>
            </w:tcBorders>
            <w:shd w:val="clear" w:color="auto" w:fill="auto"/>
            <w:vAlign w:val="center"/>
          </w:tcPr>
          <w:p w14:paraId="02CD4BB4" w14:textId="77777777" w:rsidR="00A46B68" w:rsidRPr="00A12D67" w:rsidRDefault="00A46B68" w:rsidP="00A46B68">
            <w:pPr>
              <w:spacing w:line="240" w:lineRule="auto"/>
              <w:ind w:left="288" w:hanging="288"/>
              <w:rPr>
                <w:color w:val="000000"/>
              </w:rPr>
            </w:pPr>
          </w:p>
        </w:tc>
        <w:tc>
          <w:tcPr>
            <w:tcW w:w="1334" w:type="dxa"/>
            <w:tcBorders>
              <w:top w:val="nil"/>
              <w:left w:val="nil"/>
              <w:bottom w:val="nil"/>
              <w:right w:val="nil"/>
            </w:tcBorders>
            <w:shd w:val="clear" w:color="auto" w:fill="auto"/>
            <w:vAlign w:val="center"/>
            <w:hideMark/>
          </w:tcPr>
          <w:p w14:paraId="18DDDAA3" w14:textId="77777777" w:rsidR="00A46B68" w:rsidRPr="00A12D67" w:rsidRDefault="00A46B68" w:rsidP="00A46B68">
            <w:pPr>
              <w:spacing w:line="240" w:lineRule="auto"/>
              <w:ind w:firstLine="0"/>
              <w:jc w:val="center"/>
              <w:rPr>
                <w:color w:val="000000"/>
              </w:rPr>
            </w:pPr>
            <w:r w:rsidRPr="00A12D67">
              <w:rPr>
                <w:color w:val="000000"/>
              </w:rPr>
              <w:t>6.61</w:t>
            </w:r>
          </w:p>
        </w:tc>
        <w:tc>
          <w:tcPr>
            <w:tcW w:w="1325" w:type="dxa"/>
            <w:tcBorders>
              <w:top w:val="nil"/>
              <w:left w:val="nil"/>
              <w:bottom w:val="nil"/>
              <w:right w:val="nil"/>
            </w:tcBorders>
            <w:shd w:val="clear" w:color="auto" w:fill="auto"/>
            <w:vAlign w:val="center"/>
            <w:hideMark/>
          </w:tcPr>
          <w:p w14:paraId="12195312" w14:textId="77777777" w:rsidR="00A46B68" w:rsidRPr="00074FF3" w:rsidRDefault="00A46B68" w:rsidP="00A46B68">
            <w:pPr>
              <w:spacing w:line="240" w:lineRule="auto"/>
              <w:ind w:firstLine="0"/>
              <w:jc w:val="center"/>
              <w:rPr>
                <w:color w:val="000000"/>
              </w:rPr>
            </w:pPr>
            <w:r w:rsidRPr="00074FF3">
              <w:rPr>
                <w:color w:val="000000"/>
              </w:rPr>
              <w:t>&lt; LOD</w:t>
            </w:r>
          </w:p>
        </w:tc>
      </w:tr>
      <w:tr w:rsidR="00A46B68" w:rsidRPr="00A12D67" w14:paraId="6FDD1C32" w14:textId="77777777" w:rsidTr="00A46B68">
        <w:trPr>
          <w:trHeight w:val="20"/>
        </w:trPr>
        <w:tc>
          <w:tcPr>
            <w:tcW w:w="2160" w:type="dxa"/>
            <w:vMerge/>
            <w:tcBorders>
              <w:left w:val="nil"/>
              <w:right w:val="nil"/>
            </w:tcBorders>
            <w:shd w:val="clear" w:color="auto" w:fill="auto"/>
            <w:vAlign w:val="center"/>
          </w:tcPr>
          <w:p w14:paraId="0FA4B09A" w14:textId="77777777" w:rsidR="00A46B68" w:rsidRPr="00A12D67" w:rsidRDefault="00A46B68" w:rsidP="00A46B68">
            <w:pPr>
              <w:spacing w:line="240" w:lineRule="auto"/>
              <w:ind w:firstLine="0"/>
              <w:rPr>
                <w:color w:val="000000"/>
              </w:rPr>
            </w:pPr>
          </w:p>
        </w:tc>
        <w:tc>
          <w:tcPr>
            <w:tcW w:w="2430" w:type="dxa"/>
            <w:tcBorders>
              <w:top w:val="nil"/>
              <w:left w:val="nil"/>
              <w:bottom w:val="nil"/>
              <w:right w:val="nil"/>
            </w:tcBorders>
            <w:shd w:val="clear" w:color="auto" w:fill="auto"/>
            <w:vAlign w:val="center"/>
            <w:hideMark/>
          </w:tcPr>
          <w:p w14:paraId="3C17AE95" w14:textId="77777777" w:rsidR="00A46B68" w:rsidRPr="00A12D67" w:rsidRDefault="00A46B68" w:rsidP="00A46B68">
            <w:pPr>
              <w:spacing w:line="240" w:lineRule="auto"/>
              <w:ind w:left="288" w:hanging="288"/>
              <w:rPr>
                <w:color w:val="000000"/>
              </w:rPr>
            </w:pPr>
            <w:r w:rsidRPr="00A12D67">
              <w:rPr>
                <w:color w:val="000000"/>
              </w:rPr>
              <w:t>Soil extract: PBS + 10% MeOH</w:t>
            </w:r>
            <w:r w:rsidRPr="00A12D67">
              <w:rPr>
                <w:color w:val="000000"/>
                <w:vertAlign w:val="superscript"/>
              </w:rPr>
              <w:t>1</w:t>
            </w:r>
          </w:p>
        </w:tc>
        <w:tc>
          <w:tcPr>
            <w:tcW w:w="2049" w:type="dxa"/>
            <w:tcBorders>
              <w:top w:val="nil"/>
              <w:left w:val="nil"/>
              <w:bottom w:val="nil"/>
              <w:right w:val="nil"/>
            </w:tcBorders>
            <w:shd w:val="clear" w:color="auto" w:fill="auto"/>
            <w:vAlign w:val="center"/>
          </w:tcPr>
          <w:p w14:paraId="73914B2A" w14:textId="77777777" w:rsidR="00A46B68" w:rsidRPr="00A12D67" w:rsidRDefault="00A46B68" w:rsidP="00A46B68">
            <w:pPr>
              <w:spacing w:line="240" w:lineRule="auto"/>
              <w:ind w:left="288" w:hanging="288"/>
              <w:rPr>
                <w:color w:val="000000"/>
              </w:rPr>
            </w:pPr>
          </w:p>
        </w:tc>
        <w:tc>
          <w:tcPr>
            <w:tcW w:w="1334" w:type="dxa"/>
            <w:tcBorders>
              <w:top w:val="nil"/>
              <w:left w:val="nil"/>
              <w:bottom w:val="nil"/>
              <w:right w:val="nil"/>
            </w:tcBorders>
            <w:shd w:val="clear" w:color="auto" w:fill="auto"/>
            <w:vAlign w:val="center"/>
            <w:hideMark/>
          </w:tcPr>
          <w:p w14:paraId="27FD7D93" w14:textId="77777777" w:rsidR="00A46B68" w:rsidRPr="00A12D67" w:rsidRDefault="00A46B68" w:rsidP="00A46B68">
            <w:pPr>
              <w:spacing w:line="240" w:lineRule="auto"/>
              <w:ind w:firstLine="0"/>
              <w:jc w:val="center"/>
              <w:rPr>
                <w:color w:val="000000"/>
              </w:rPr>
            </w:pPr>
            <w:r w:rsidRPr="00A12D67">
              <w:rPr>
                <w:color w:val="000000"/>
              </w:rPr>
              <w:t>3.54</w:t>
            </w:r>
          </w:p>
        </w:tc>
        <w:tc>
          <w:tcPr>
            <w:tcW w:w="1325" w:type="dxa"/>
            <w:tcBorders>
              <w:top w:val="nil"/>
              <w:left w:val="nil"/>
              <w:bottom w:val="nil"/>
              <w:right w:val="nil"/>
            </w:tcBorders>
            <w:shd w:val="clear" w:color="auto" w:fill="auto"/>
            <w:vAlign w:val="center"/>
            <w:hideMark/>
          </w:tcPr>
          <w:p w14:paraId="42C738DC" w14:textId="77777777" w:rsidR="00A46B68" w:rsidRPr="00074FF3" w:rsidRDefault="00A46B68" w:rsidP="00A46B68">
            <w:pPr>
              <w:spacing w:line="240" w:lineRule="auto"/>
              <w:ind w:firstLine="0"/>
              <w:jc w:val="center"/>
              <w:rPr>
                <w:color w:val="000000"/>
              </w:rPr>
            </w:pPr>
            <w:r w:rsidRPr="00074FF3">
              <w:rPr>
                <w:color w:val="000000"/>
              </w:rPr>
              <w:t>&lt; LOD</w:t>
            </w:r>
          </w:p>
        </w:tc>
      </w:tr>
      <w:tr w:rsidR="00A46B68" w:rsidRPr="00A12D67" w14:paraId="619E87B3" w14:textId="77777777" w:rsidTr="00A46B68">
        <w:trPr>
          <w:trHeight w:val="20"/>
        </w:trPr>
        <w:tc>
          <w:tcPr>
            <w:tcW w:w="2160" w:type="dxa"/>
            <w:vMerge/>
            <w:tcBorders>
              <w:left w:val="nil"/>
              <w:bottom w:val="single" w:sz="4" w:space="0" w:color="auto"/>
              <w:right w:val="nil"/>
            </w:tcBorders>
            <w:shd w:val="clear" w:color="auto" w:fill="auto"/>
            <w:vAlign w:val="center"/>
          </w:tcPr>
          <w:p w14:paraId="108FA6EC" w14:textId="77777777" w:rsidR="00A46B68" w:rsidRPr="00A12D67" w:rsidRDefault="00A46B68" w:rsidP="00A46B68">
            <w:pPr>
              <w:spacing w:line="240" w:lineRule="auto"/>
              <w:ind w:firstLine="0"/>
              <w:rPr>
                <w:color w:val="000000"/>
              </w:rPr>
            </w:pPr>
          </w:p>
        </w:tc>
        <w:tc>
          <w:tcPr>
            <w:tcW w:w="2430" w:type="dxa"/>
            <w:tcBorders>
              <w:top w:val="nil"/>
              <w:left w:val="nil"/>
              <w:bottom w:val="single" w:sz="4" w:space="0" w:color="auto"/>
              <w:right w:val="nil"/>
            </w:tcBorders>
            <w:shd w:val="clear" w:color="auto" w:fill="auto"/>
            <w:vAlign w:val="center"/>
            <w:hideMark/>
          </w:tcPr>
          <w:p w14:paraId="72036FD7" w14:textId="77777777" w:rsidR="00A46B68" w:rsidRPr="00A12D67" w:rsidRDefault="00A46B68" w:rsidP="00A46B68">
            <w:pPr>
              <w:spacing w:line="240" w:lineRule="auto"/>
              <w:ind w:left="288" w:hanging="288"/>
              <w:rPr>
                <w:color w:val="000000"/>
              </w:rPr>
            </w:pPr>
            <w:r w:rsidRPr="00A12D67">
              <w:rPr>
                <w:color w:val="000000"/>
              </w:rPr>
              <w:t>Soil extract: PBS + 10% MeOH</w:t>
            </w:r>
            <w:r w:rsidRPr="00A12D67">
              <w:rPr>
                <w:color w:val="000000"/>
                <w:vertAlign w:val="superscript"/>
              </w:rPr>
              <w:t>1</w:t>
            </w:r>
            <w:r w:rsidRPr="00A12D67">
              <w:rPr>
                <w:color w:val="000000"/>
              </w:rPr>
              <w:t>, lyophilized</w:t>
            </w:r>
          </w:p>
        </w:tc>
        <w:tc>
          <w:tcPr>
            <w:tcW w:w="2049" w:type="dxa"/>
            <w:tcBorders>
              <w:top w:val="nil"/>
              <w:left w:val="nil"/>
              <w:bottom w:val="single" w:sz="4" w:space="0" w:color="auto"/>
              <w:right w:val="nil"/>
            </w:tcBorders>
            <w:shd w:val="clear" w:color="auto" w:fill="auto"/>
            <w:vAlign w:val="center"/>
          </w:tcPr>
          <w:p w14:paraId="08E68F95" w14:textId="77777777" w:rsidR="00A46B68" w:rsidRPr="00A12D67" w:rsidRDefault="00A46B68" w:rsidP="00A46B68">
            <w:pPr>
              <w:spacing w:line="240" w:lineRule="auto"/>
              <w:ind w:left="288" w:hanging="288"/>
              <w:rPr>
                <w:color w:val="000000"/>
              </w:rPr>
            </w:pPr>
          </w:p>
        </w:tc>
        <w:tc>
          <w:tcPr>
            <w:tcW w:w="1334" w:type="dxa"/>
            <w:tcBorders>
              <w:top w:val="nil"/>
              <w:left w:val="nil"/>
              <w:bottom w:val="single" w:sz="4" w:space="0" w:color="auto"/>
              <w:right w:val="nil"/>
            </w:tcBorders>
            <w:shd w:val="clear" w:color="auto" w:fill="auto"/>
            <w:vAlign w:val="center"/>
            <w:hideMark/>
          </w:tcPr>
          <w:p w14:paraId="101F0001" w14:textId="77777777" w:rsidR="00A46B68" w:rsidRPr="00A12D67" w:rsidRDefault="00A46B68" w:rsidP="00A46B68">
            <w:pPr>
              <w:spacing w:line="240" w:lineRule="auto"/>
              <w:ind w:firstLine="0"/>
              <w:jc w:val="center"/>
              <w:rPr>
                <w:color w:val="000000"/>
              </w:rPr>
            </w:pPr>
            <w:r w:rsidRPr="00A12D67">
              <w:rPr>
                <w:color w:val="000000"/>
              </w:rPr>
              <w:t>8.24</w:t>
            </w:r>
          </w:p>
        </w:tc>
        <w:tc>
          <w:tcPr>
            <w:tcW w:w="1325" w:type="dxa"/>
            <w:tcBorders>
              <w:top w:val="nil"/>
              <w:left w:val="nil"/>
              <w:bottom w:val="single" w:sz="4" w:space="0" w:color="auto"/>
              <w:right w:val="nil"/>
            </w:tcBorders>
            <w:shd w:val="clear" w:color="auto" w:fill="auto"/>
            <w:vAlign w:val="center"/>
            <w:hideMark/>
          </w:tcPr>
          <w:p w14:paraId="104FD4AC" w14:textId="77777777" w:rsidR="00A46B68" w:rsidRPr="00074FF3" w:rsidRDefault="00A46B68" w:rsidP="00A46B68">
            <w:pPr>
              <w:spacing w:line="240" w:lineRule="auto"/>
              <w:ind w:firstLine="0"/>
              <w:jc w:val="center"/>
              <w:rPr>
                <w:color w:val="000000"/>
              </w:rPr>
            </w:pPr>
            <w:r w:rsidRPr="00074FF3">
              <w:rPr>
                <w:color w:val="000000"/>
              </w:rPr>
              <w:t>&lt; LOD</w:t>
            </w:r>
          </w:p>
        </w:tc>
      </w:tr>
      <w:tr w:rsidR="00A46B68" w:rsidRPr="00A12D67" w14:paraId="73FCC958" w14:textId="77777777" w:rsidTr="00A46B68">
        <w:trPr>
          <w:trHeight w:val="20"/>
        </w:trPr>
        <w:tc>
          <w:tcPr>
            <w:tcW w:w="2160" w:type="dxa"/>
            <w:tcBorders>
              <w:top w:val="single" w:sz="4" w:space="0" w:color="auto"/>
              <w:left w:val="nil"/>
              <w:bottom w:val="single" w:sz="4" w:space="0" w:color="auto"/>
              <w:right w:val="nil"/>
            </w:tcBorders>
            <w:shd w:val="clear" w:color="auto" w:fill="auto"/>
            <w:vAlign w:val="center"/>
            <w:hideMark/>
          </w:tcPr>
          <w:p w14:paraId="19C8C73B" w14:textId="77777777" w:rsidR="00A46B68" w:rsidRPr="00A12D67" w:rsidRDefault="00A46B68" w:rsidP="00A46B68">
            <w:pPr>
              <w:spacing w:line="240" w:lineRule="auto"/>
              <w:ind w:firstLine="0"/>
              <w:rPr>
                <w:color w:val="000000"/>
              </w:rPr>
            </w:pPr>
            <w:r>
              <w:rPr>
                <w:color w:val="000000"/>
              </w:rPr>
              <w:t xml:space="preserve">DNeasy </w:t>
            </w:r>
            <w:r w:rsidRPr="00A12D67">
              <w:rPr>
                <w:color w:val="000000"/>
              </w:rPr>
              <w:t>Power</w:t>
            </w:r>
            <w:r>
              <w:rPr>
                <w:color w:val="000000"/>
              </w:rPr>
              <w:t>S</w:t>
            </w:r>
            <w:r w:rsidRPr="00A12D67">
              <w:rPr>
                <w:color w:val="000000"/>
              </w:rPr>
              <w:t>oil Pro (Qiagen)</w:t>
            </w:r>
          </w:p>
        </w:tc>
        <w:tc>
          <w:tcPr>
            <w:tcW w:w="2430" w:type="dxa"/>
            <w:tcBorders>
              <w:top w:val="single" w:sz="4" w:space="0" w:color="auto"/>
              <w:left w:val="nil"/>
              <w:bottom w:val="single" w:sz="4" w:space="0" w:color="auto"/>
              <w:right w:val="nil"/>
            </w:tcBorders>
            <w:shd w:val="clear" w:color="auto" w:fill="auto"/>
            <w:vAlign w:val="center"/>
            <w:hideMark/>
          </w:tcPr>
          <w:p w14:paraId="468FD6CF" w14:textId="77777777" w:rsidR="00A46B68" w:rsidRPr="00A12D67" w:rsidRDefault="00A46B68" w:rsidP="00A46B68">
            <w:pPr>
              <w:spacing w:line="240" w:lineRule="auto"/>
              <w:ind w:left="288" w:hanging="288"/>
              <w:rPr>
                <w:color w:val="000000"/>
              </w:rPr>
            </w:pPr>
            <w:r w:rsidRPr="00A12D67">
              <w:rPr>
                <w:color w:val="000000"/>
              </w:rPr>
              <w:t>Soil</w:t>
            </w:r>
          </w:p>
        </w:tc>
        <w:tc>
          <w:tcPr>
            <w:tcW w:w="2049" w:type="dxa"/>
            <w:tcBorders>
              <w:top w:val="single" w:sz="4" w:space="0" w:color="auto"/>
              <w:left w:val="nil"/>
              <w:bottom w:val="single" w:sz="4" w:space="0" w:color="auto"/>
              <w:right w:val="nil"/>
            </w:tcBorders>
            <w:shd w:val="clear" w:color="auto" w:fill="auto"/>
            <w:vAlign w:val="center"/>
            <w:hideMark/>
          </w:tcPr>
          <w:p w14:paraId="17309BC4" w14:textId="77777777" w:rsidR="00A46B68" w:rsidRPr="00A12D67" w:rsidRDefault="00A46B68" w:rsidP="00A46B68">
            <w:pPr>
              <w:spacing w:line="240" w:lineRule="auto"/>
              <w:ind w:left="288" w:hanging="288"/>
              <w:rPr>
                <w:color w:val="000000"/>
              </w:rPr>
            </w:pPr>
          </w:p>
        </w:tc>
        <w:tc>
          <w:tcPr>
            <w:tcW w:w="1334" w:type="dxa"/>
            <w:tcBorders>
              <w:top w:val="single" w:sz="4" w:space="0" w:color="auto"/>
              <w:left w:val="nil"/>
              <w:bottom w:val="single" w:sz="4" w:space="0" w:color="auto"/>
              <w:right w:val="nil"/>
            </w:tcBorders>
            <w:shd w:val="clear" w:color="auto" w:fill="auto"/>
            <w:vAlign w:val="center"/>
            <w:hideMark/>
          </w:tcPr>
          <w:p w14:paraId="3ED47C81" w14:textId="77777777" w:rsidR="00A46B68" w:rsidRPr="00A12D67" w:rsidRDefault="00A46B68" w:rsidP="00A46B68">
            <w:pPr>
              <w:spacing w:line="240" w:lineRule="auto"/>
              <w:ind w:firstLine="0"/>
              <w:jc w:val="center"/>
              <w:rPr>
                <w:color w:val="000000"/>
              </w:rPr>
            </w:pPr>
            <w:r w:rsidRPr="00A12D67">
              <w:rPr>
                <w:color w:val="000000"/>
              </w:rPr>
              <w:t>1.92</w:t>
            </w:r>
          </w:p>
        </w:tc>
        <w:tc>
          <w:tcPr>
            <w:tcW w:w="1325" w:type="dxa"/>
            <w:tcBorders>
              <w:top w:val="single" w:sz="4" w:space="0" w:color="auto"/>
              <w:left w:val="nil"/>
              <w:bottom w:val="single" w:sz="4" w:space="0" w:color="auto"/>
              <w:right w:val="nil"/>
            </w:tcBorders>
            <w:shd w:val="clear" w:color="auto" w:fill="auto"/>
            <w:vAlign w:val="center"/>
            <w:hideMark/>
          </w:tcPr>
          <w:p w14:paraId="78B93395" w14:textId="77777777" w:rsidR="00A46B68" w:rsidRPr="00074FF3" w:rsidRDefault="00A46B68" w:rsidP="00A46B68">
            <w:pPr>
              <w:spacing w:line="240" w:lineRule="auto"/>
              <w:ind w:firstLine="0"/>
              <w:jc w:val="center"/>
              <w:rPr>
                <w:color w:val="000000"/>
              </w:rPr>
            </w:pPr>
            <w:r w:rsidRPr="00074FF3">
              <w:rPr>
                <w:color w:val="000000"/>
              </w:rPr>
              <w:t>6.95</w:t>
            </w:r>
          </w:p>
        </w:tc>
      </w:tr>
      <w:tr w:rsidR="00A46B68" w:rsidRPr="00A12D67" w14:paraId="0E2D44F8" w14:textId="77777777" w:rsidTr="00A46B68">
        <w:trPr>
          <w:trHeight w:val="20"/>
        </w:trPr>
        <w:tc>
          <w:tcPr>
            <w:tcW w:w="2160" w:type="dxa"/>
            <w:tcBorders>
              <w:top w:val="single" w:sz="4" w:space="0" w:color="auto"/>
              <w:left w:val="nil"/>
              <w:bottom w:val="single" w:sz="4" w:space="0" w:color="auto"/>
              <w:right w:val="nil"/>
            </w:tcBorders>
            <w:shd w:val="clear" w:color="auto" w:fill="auto"/>
            <w:vAlign w:val="center"/>
            <w:hideMark/>
          </w:tcPr>
          <w:p w14:paraId="43C53CAA" w14:textId="77777777" w:rsidR="00A46B68" w:rsidRPr="00A12D67" w:rsidRDefault="00A46B68" w:rsidP="00A46B68">
            <w:pPr>
              <w:spacing w:line="240" w:lineRule="auto"/>
              <w:ind w:firstLine="0"/>
              <w:rPr>
                <w:color w:val="000000"/>
              </w:rPr>
            </w:pPr>
            <w:r w:rsidRPr="00A12D67">
              <w:rPr>
                <w:color w:val="000000"/>
              </w:rPr>
              <w:t>Fast</w:t>
            </w:r>
            <w:r>
              <w:rPr>
                <w:color w:val="000000"/>
              </w:rPr>
              <w:t xml:space="preserve">DNA spin </w:t>
            </w:r>
            <w:r w:rsidRPr="00A12D67">
              <w:rPr>
                <w:color w:val="000000"/>
              </w:rPr>
              <w:t xml:space="preserve">Kit </w:t>
            </w:r>
            <w:r>
              <w:rPr>
                <w:color w:val="000000"/>
              </w:rPr>
              <w:t xml:space="preserve">for 10 g Soil </w:t>
            </w:r>
            <w:r w:rsidRPr="00A12D67">
              <w:rPr>
                <w:color w:val="000000"/>
              </w:rPr>
              <w:t>(MP Bio)</w:t>
            </w:r>
          </w:p>
        </w:tc>
        <w:tc>
          <w:tcPr>
            <w:tcW w:w="2430" w:type="dxa"/>
            <w:tcBorders>
              <w:top w:val="single" w:sz="4" w:space="0" w:color="auto"/>
              <w:left w:val="nil"/>
              <w:bottom w:val="single" w:sz="4" w:space="0" w:color="auto"/>
              <w:right w:val="nil"/>
            </w:tcBorders>
            <w:shd w:val="clear" w:color="auto" w:fill="auto"/>
            <w:vAlign w:val="center"/>
            <w:hideMark/>
          </w:tcPr>
          <w:p w14:paraId="00B51DCE" w14:textId="77777777" w:rsidR="00A46B68" w:rsidRPr="00A12D67" w:rsidRDefault="00A46B68" w:rsidP="00A46B68">
            <w:pPr>
              <w:spacing w:line="240" w:lineRule="auto"/>
              <w:ind w:left="288" w:hanging="288"/>
              <w:rPr>
                <w:color w:val="000000"/>
              </w:rPr>
            </w:pPr>
            <w:r w:rsidRPr="00A12D67">
              <w:rPr>
                <w:color w:val="000000"/>
              </w:rPr>
              <w:t>Soil</w:t>
            </w:r>
          </w:p>
        </w:tc>
        <w:tc>
          <w:tcPr>
            <w:tcW w:w="2049" w:type="dxa"/>
            <w:tcBorders>
              <w:top w:val="single" w:sz="4" w:space="0" w:color="auto"/>
              <w:left w:val="nil"/>
              <w:bottom w:val="single" w:sz="4" w:space="0" w:color="auto"/>
              <w:right w:val="nil"/>
            </w:tcBorders>
            <w:shd w:val="clear" w:color="auto" w:fill="auto"/>
            <w:vAlign w:val="center"/>
            <w:hideMark/>
          </w:tcPr>
          <w:p w14:paraId="3F45055C" w14:textId="77777777" w:rsidR="00A46B68" w:rsidRPr="00A12D67" w:rsidRDefault="00A46B68" w:rsidP="00A46B68">
            <w:pPr>
              <w:spacing w:line="240" w:lineRule="auto"/>
              <w:ind w:left="288" w:hanging="288"/>
              <w:rPr>
                <w:color w:val="000000"/>
              </w:rPr>
            </w:pPr>
            <w:r w:rsidRPr="00A12D67">
              <w:rPr>
                <w:color w:val="000000"/>
              </w:rPr>
              <w:t>EtOH Precipitation</w:t>
            </w:r>
          </w:p>
        </w:tc>
        <w:tc>
          <w:tcPr>
            <w:tcW w:w="1334" w:type="dxa"/>
            <w:tcBorders>
              <w:top w:val="single" w:sz="4" w:space="0" w:color="auto"/>
              <w:left w:val="nil"/>
              <w:bottom w:val="single" w:sz="4" w:space="0" w:color="auto"/>
              <w:right w:val="nil"/>
            </w:tcBorders>
            <w:shd w:val="clear" w:color="auto" w:fill="auto"/>
            <w:vAlign w:val="center"/>
            <w:hideMark/>
          </w:tcPr>
          <w:p w14:paraId="55EB63A1" w14:textId="77777777" w:rsidR="00A46B68" w:rsidRPr="00A12D67" w:rsidRDefault="00A46B68" w:rsidP="00A46B68">
            <w:pPr>
              <w:spacing w:line="240" w:lineRule="auto"/>
              <w:ind w:firstLine="0"/>
              <w:jc w:val="center"/>
              <w:rPr>
                <w:color w:val="000000"/>
              </w:rPr>
            </w:pPr>
            <w:r w:rsidRPr="00A12D67">
              <w:rPr>
                <w:color w:val="000000"/>
              </w:rPr>
              <w:t>9.15</w:t>
            </w:r>
          </w:p>
        </w:tc>
        <w:tc>
          <w:tcPr>
            <w:tcW w:w="1325" w:type="dxa"/>
            <w:tcBorders>
              <w:top w:val="single" w:sz="4" w:space="0" w:color="auto"/>
              <w:left w:val="nil"/>
              <w:bottom w:val="single" w:sz="4" w:space="0" w:color="auto"/>
              <w:right w:val="nil"/>
            </w:tcBorders>
            <w:shd w:val="clear" w:color="auto" w:fill="auto"/>
            <w:vAlign w:val="center"/>
            <w:hideMark/>
          </w:tcPr>
          <w:p w14:paraId="4259E830" w14:textId="77777777" w:rsidR="00A46B68" w:rsidRPr="00074FF3" w:rsidRDefault="00A46B68" w:rsidP="00A46B68">
            <w:pPr>
              <w:spacing w:line="240" w:lineRule="auto"/>
              <w:ind w:firstLine="0"/>
              <w:jc w:val="center"/>
              <w:rPr>
                <w:color w:val="000000"/>
              </w:rPr>
            </w:pPr>
            <w:r w:rsidRPr="00074FF3">
              <w:rPr>
                <w:color w:val="000000"/>
              </w:rPr>
              <w:t>1.65</w:t>
            </w:r>
          </w:p>
        </w:tc>
      </w:tr>
      <w:tr w:rsidR="00A46B68" w:rsidRPr="00A12D67" w14:paraId="6BEA1D15" w14:textId="77777777" w:rsidTr="00A46B68">
        <w:trPr>
          <w:trHeight w:val="20"/>
        </w:trPr>
        <w:tc>
          <w:tcPr>
            <w:tcW w:w="2160" w:type="dxa"/>
            <w:tcBorders>
              <w:top w:val="single" w:sz="4" w:space="0" w:color="auto"/>
              <w:left w:val="nil"/>
              <w:bottom w:val="single" w:sz="4" w:space="0" w:color="auto"/>
              <w:right w:val="nil"/>
            </w:tcBorders>
            <w:shd w:val="clear" w:color="auto" w:fill="auto"/>
            <w:vAlign w:val="center"/>
            <w:hideMark/>
          </w:tcPr>
          <w:p w14:paraId="79BB952A" w14:textId="77777777" w:rsidR="00A46B68" w:rsidRPr="00A12D67" w:rsidRDefault="00A46B68" w:rsidP="00A46B68">
            <w:pPr>
              <w:spacing w:line="240" w:lineRule="auto"/>
              <w:ind w:firstLine="0"/>
              <w:rPr>
                <w:color w:val="000000"/>
              </w:rPr>
            </w:pPr>
            <w:r w:rsidRPr="00A12D67">
              <w:rPr>
                <w:color w:val="000000"/>
              </w:rPr>
              <w:t>CTAB (10%) + Chloroform</w:t>
            </w:r>
            <w:r w:rsidRPr="00A12D67">
              <w:rPr>
                <w:color w:val="000000"/>
                <w:vertAlign w:val="superscript"/>
              </w:rPr>
              <w:t>2</w:t>
            </w:r>
          </w:p>
        </w:tc>
        <w:tc>
          <w:tcPr>
            <w:tcW w:w="2430" w:type="dxa"/>
            <w:tcBorders>
              <w:top w:val="single" w:sz="4" w:space="0" w:color="auto"/>
              <w:left w:val="nil"/>
              <w:bottom w:val="single" w:sz="4" w:space="0" w:color="auto"/>
              <w:right w:val="nil"/>
            </w:tcBorders>
            <w:shd w:val="clear" w:color="auto" w:fill="auto"/>
            <w:vAlign w:val="center"/>
            <w:hideMark/>
          </w:tcPr>
          <w:p w14:paraId="2C565981" w14:textId="77777777" w:rsidR="00A46B68" w:rsidRPr="00A12D67" w:rsidRDefault="00A46B68" w:rsidP="00A46B68">
            <w:pPr>
              <w:spacing w:line="240" w:lineRule="auto"/>
              <w:ind w:left="288" w:hanging="288"/>
              <w:rPr>
                <w:color w:val="000000"/>
              </w:rPr>
            </w:pPr>
            <w:r w:rsidRPr="00A12D67">
              <w:rPr>
                <w:color w:val="000000"/>
              </w:rPr>
              <w:t>Soil</w:t>
            </w:r>
          </w:p>
        </w:tc>
        <w:tc>
          <w:tcPr>
            <w:tcW w:w="2049" w:type="dxa"/>
            <w:tcBorders>
              <w:top w:val="single" w:sz="4" w:space="0" w:color="auto"/>
              <w:left w:val="nil"/>
              <w:bottom w:val="single" w:sz="4" w:space="0" w:color="auto"/>
              <w:right w:val="nil"/>
            </w:tcBorders>
            <w:shd w:val="clear" w:color="auto" w:fill="auto"/>
            <w:vAlign w:val="center"/>
            <w:hideMark/>
          </w:tcPr>
          <w:p w14:paraId="07B47D69" w14:textId="77777777" w:rsidR="00A46B68" w:rsidRPr="00A12D67" w:rsidRDefault="00A46B68" w:rsidP="00A46B68">
            <w:pPr>
              <w:spacing w:line="240" w:lineRule="auto"/>
              <w:ind w:left="288" w:hanging="288"/>
              <w:rPr>
                <w:color w:val="000000"/>
              </w:rPr>
            </w:pPr>
            <w:r w:rsidRPr="00A12D67">
              <w:rPr>
                <w:color w:val="000000"/>
              </w:rPr>
              <w:t>EtOH Precipitation</w:t>
            </w:r>
          </w:p>
        </w:tc>
        <w:tc>
          <w:tcPr>
            <w:tcW w:w="1334" w:type="dxa"/>
            <w:tcBorders>
              <w:top w:val="single" w:sz="4" w:space="0" w:color="auto"/>
              <w:left w:val="nil"/>
              <w:bottom w:val="single" w:sz="4" w:space="0" w:color="auto"/>
              <w:right w:val="nil"/>
            </w:tcBorders>
            <w:shd w:val="clear" w:color="auto" w:fill="auto"/>
            <w:vAlign w:val="center"/>
            <w:hideMark/>
          </w:tcPr>
          <w:p w14:paraId="323BECED" w14:textId="77777777" w:rsidR="00A46B68" w:rsidRPr="00A12D67" w:rsidRDefault="00A46B68" w:rsidP="00A46B68">
            <w:pPr>
              <w:spacing w:line="240" w:lineRule="auto"/>
              <w:ind w:firstLine="0"/>
              <w:jc w:val="center"/>
              <w:rPr>
                <w:color w:val="000000"/>
              </w:rPr>
            </w:pPr>
            <w:r w:rsidRPr="00A12D67">
              <w:rPr>
                <w:color w:val="000000"/>
              </w:rPr>
              <w:t>3.00</w:t>
            </w:r>
          </w:p>
        </w:tc>
        <w:tc>
          <w:tcPr>
            <w:tcW w:w="1325" w:type="dxa"/>
            <w:tcBorders>
              <w:top w:val="single" w:sz="4" w:space="0" w:color="auto"/>
              <w:left w:val="nil"/>
              <w:bottom w:val="single" w:sz="4" w:space="0" w:color="auto"/>
              <w:right w:val="nil"/>
            </w:tcBorders>
            <w:shd w:val="clear" w:color="auto" w:fill="auto"/>
            <w:vAlign w:val="center"/>
            <w:hideMark/>
          </w:tcPr>
          <w:p w14:paraId="3FFD1A63" w14:textId="77777777" w:rsidR="00A46B68" w:rsidRPr="00074FF3" w:rsidRDefault="00A46B68" w:rsidP="00A46B68">
            <w:pPr>
              <w:spacing w:line="240" w:lineRule="auto"/>
              <w:ind w:firstLine="0"/>
              <w:jc w:val="center"/>
              <w:rPr>
                <w:color w:val="000000"/>
              </w:rPr>
            </w:pPr>
            <w:r w:rsidRPr="00074FF3">
              <w:rPr>
                <w:color w:val="000000"/>
              </w:rPr>
              <w:t>&lt; LOD</w:t>
            </w:r>
          </w:p>
        </w:tc>
      </w:tr>
      <w:tr w:rsidR="00A46B68" w:rsidRPr="00A12D67" w14:paraId="65B34300" w14:textId="77777777" w:rsidTr="00A46B68">
        <w:trPr>
          <w:trHeight w:val="20"/>
        </w:trPr>
        <w:tc>
          <w:tcPr>
            <w:tcW w:w="2160" w:type="dxa"/>
            <w:tcBorders>
              <w:top w:val="single" w:sz="4" w:space="0" w:color="auto"/>
              <w:left w:val="nil"/>
              <w:bottom w:val="single" w:sz="4" w:space="0" w:color="auto"/>
              <w:right w:val="nil"/>
            </w:tcBorders>
            <w:shd w:val="clear" w:color="auto" w:fill="auto"/>
            <w:vAlign w:val="center"/>
            <w:hideMark/>
          </w:tcPr>
          <w:p w14:paraId="0F6A95A9" w14:textId="77777777" w:rsidR="00A46B68" w:rsidRPr="00A12D67" w:rsidRDefault="00A46B68" w:rsidP="00A46B68">
            <w:pPr>
              <w:spacing w:line="240" w:lineRule="auto"/>
              <w:ind w:firstLine="0"/>
              <w:rPr>
                <w:color w:val="000000"/>
              </w:rPr>
            </w:pPr>
            <w:r w:rsidRPr="00A12D67">
              <w:rPr>
                <w:color w:val="000000"/>
              </w:rPr>
              <w:t>CTAB (1%) + Phenol:Chloroform</w:t>
            </w:r>
            <w:r w:rsidRPr="00A12D67">
              <w:rPr>
                <w:color w:val="000000"/>
                <w:vertAlign w:val="superscript"/>
              </w:rPr>
              <w:t>3</w:t>
            </w:r>
          </w:p>
        </w:tc>
        <w:tc>
          <w:tcPr>
            <w:tcW w:w="2430" w:type="dxa"/>
            <w:tcBorders>
              <w:top w:val="single" w:sz="4" w:space="0" w:color="auto"/>
              <w:left w:val="nil"/>
              <w:bottom w:val="single" w:sz="4" w:space="0" w:color="auto"/>
              <w:right w:val="nil"/>
            </w:tcBorders>
            <w:shd w:val="clear" w:color="auto" w:fill="auto"/>
            <w:vAlign w:val="center"/>
            <w:hideMark/>
          </w:tcPr>
          <w:p w14:paraId="06FC1E95" w14:textId="77777777" w:rsidR="00A46B68" w:rsidRPr="00A12D67" w:rsidRDefault="00A46B68" w:rsidP="00A46B68">
            <w:pPr>
              <w:spacing w:line="240" w:lineRule="auto"/>
              <w:ind w:left="288" w:hanging="288"/>
              <w:rPr>
                <w:color w:val="000000"/>
              </w:rPr>
            </w:pPr>
            <w:r w:rsidRPr="00A12D67">
              <w:rPr>
                <w:color w:val="000000"/>
              </w:rPr>
              <w:t>Soi</w:t>
            </w:r>
            <w:r>
              <w:rPr>
                <w:color w:val="000000"/>
              </w:rPr>
              <w:t>l</w:t>
            </w:r>
          </w:p>
        </w:tc>
        <w:tc>
          <w:tcPr>
            <w:tcW w:w="2049" w:type="dxa"/>
            <w:tcBorders>
              <w:top w:val="single" w:sz="4" w:space="0" w:color="auto"/>
              <w:left w:val="nil"/>
              <w:bottom w:val="single" w:sz="4" w:space="0" w:color="auto"/>
              <w:right w:val="nil"/>
            </w:tcBorders>
            <w:shd w:val="clear" w:color="auto" w:fill="auto"/>
            <w:vAlign w:val="center"/>
            <w:hideMark/>
          </w:tcPr>
          <w:p w14:paraId="112DF7B9" w14:textId="77777777" w:rsidR="00A46B68" w:rsidRPr="00A12D67" w:rsidRDefault="00A46B68" w:rsidP="00A46B68">
            <w:pPr>
              <w:spacing w:line="240" w:lineRule="auto"/>
              <w:ind w:left="288" w:hanging="288"/>
              <w:rPr>
                <w:color w:val="000000"/>
              </w:rPr>
            </w:pPr>
            <w:r w:rsidRPr="00A12D67">
              <w:rPr>
                <w:color w:val="000000"/>
              </w:rPr>
              <w:t>EtOH Precipitation</w:t>
            </w:r>
          </w:p>
        </w:tc>
        <w:tc>
          <w:tcPr>
            <w:tcW w:w="1334" w:type="dxa"/>
            <w:tcBorders>
              <w:top w:val="single" w:sz="4" w:space="0" w:color="auto"/>
              <w:left w:val="nil"/>
              <w:bottom w:val="single" w:sz="4" w:space="0" w:color="auto"/>
              <w:right w:val="nil"/>
            </w:tcBorders>
            <w:shd w:val="clear" w:color="auto" w:fill="auto"/>
            <w:vAlign w:val="center"/>
            <w:hideMark/>
          </w:tcPr>
          <w:p w14:paraId="2B853386" w14:textId="77777777" w:rsidR="00A46B68" w:rsidRPr="00A12D67" w:rsidRDefault="00A46B68" w:rsidP="00A46B68">
            <w:pPr>
              <w:spacing w:line="240" w:lineRule="auto"/>
              <w:ind w:firstLine="0"/>
              <w:jc w:val="center"/>
              <w:rPr>
                <w:color w:val="000000"/>
              </w:rPr>
            </w:pPr>
            <w:r>
              <w:rPr>
                <w:color w:val="000000"/>
              </w:rPr>
              <w:t>4.12</w:t>
            </w:r>
          </w:p>
        </w:tc>
        <w:tc>
          <w:tcPr>
            <w:tcW w:w="1325" w:type="dxa"/>
            <w:tcBorders>
              <w:top w:val="single" w:sz="4" w:space="0" w:color="auto"/>
              <w:left w:val="nil"/>
              <w:bottom w:val="single" w:sz="4" w:space="0" w:color="auto"/>
              <w:right w:val="nil"/>
            </w:tcBorders>
            <w:shd w:val="clear" w:color="auto" w:fill="auto"/>
            <w:vAlign w:val="center"/>
            <w:hideMark/>
          </w:tcPr>
          <w:p w14:paraId="301661D0" w14:textId="77777777" w:rsidR="00A46B68" w:rsidRPr="00074FF3" w:rsidRDefault="00A46B68" w:rsidP="00A46B68">
            <w:pPr>
              <w:spacing w:line="240" w:lineRule="auto"/>
              <w:ind w:firstLine="0"/>
              <w:jc w:val="center"/>
              <w:rPr>
                <w:color w:val="000000"/>
              </w:rPr>
            </w:pPr>
            <w:r w:rsidRPr="00074FF3">
              <w:rPr>
                <w:color w:val="000000"/>
              </w:rPr>
              <w:t>12.6</w:t>
            </w:r>
          </w:p>
        </w:tc>
      </w:tr>
      <w:tr w:rsidR="00A46B68" w:rsidRPr="00A12D67" w14:paraId="2C71358B" w14:textId="77777777" w:rsidTr="00A46B68">
        <w:trPr>
          <w:trHeight w:val="20"/>
        </w:trPr>
        <w:tc>
          <w:tcPr>
            <w:tcW w:w="2160" w:type="dxa"/>
            <w:tcBorders>
              <w:top w:val="single" w:sz="4" w:space="0" w:color="auto"/>
              <w:left w:val="nil"/>
              <w:bottom w:val="single" w:sz="4" w:space="0" w:color="auto"/>
              <w:right w:val="nil"/>
            </w:tcBorders>
            <w:shd w:val="clear" w:color="auto" w:fill="auto"/>
            <w:vAlign w:val="center"/>
          </w:tcPr>
          <w:p w14:paraId="291E3A0F" w14:textId="77777777" w:rsidR="00A46B68" w:rsidRPr="00A12D67" w:rsidRDefault="00A46B68" w:rsidP="00A46B68">
            <w:pPr>
              <w:spacing w:line="240" w:lineRule="auto"/>
              <w:ind w:firstLine="0"/>
              <w:rPr>
                <w:color w:val="000000"/>
              </w:rPr>
            </w:pPr>
          </w:p>
        </w:tc>
        <w:tc>
          <w:tcPr>
            <w:tcW w:w="2430" w:type="dxa"/>
            <w:tcBorders>
              <w:top w:val="single" w:sz="4" w:space="0" w:color="auto"/>
              <w:left w:val="nil"/>
              <w:bottom w:val="single" w:sz="4" w:space="0" w:color="auto"/>
              <w:right w:val="nil"/>
            </w:tcBorders>
            <w:shd w:val="clear" w:color="auto" w:fill="auto"/>
            <w:vAlign w:val="center"/>
          </w:tcPr>
          <w:p w14:paraId="07A609E0" w14:textId="77777777" w:rsidR="00A46B68" w:rsidRPr="00A12D67" w:rsidRDefault="00A46B68" w:rsidP="00A46B68">
            <w:pPr>
              <w:spacing w:line="240" w:lineRule="auto"/>
              <w:ind w:firstLine="0"/>
              <w:rPr>
                <w:color w:val="000000"/>
              </w:rPr>
            </w:pPr>
          </w:p>
        </w:tc>
        <w:tc>
          <w:tcPr>
            <w:tcW w:w="2049" w:type="dxa"/>
            <w:tcBorders>
              <w:top w:val="single" w:sz="4" w:space="0" w:color="auto"/>
              <w:left w:val="nil"/>
              <w:bottom w:val="single" w:sz="4" w:space="0" w:color="auto"/>
              <w:right w:val="nil"/>
            </w:tcBorders>
            <w:shd w:val="clear" w:color="auto" w:fill="auto"/>
            <w:vAlign w:val="center"/>
          </w:tcPr>
          <w:p w14:paraId="07D5813D" w14:textId="77777777" w:rsidR="00A46B68" w:rsidRPr="00EA6775" w:rsidRDefault="00A46B68" w:rsidP="00A46B68">
            <w:pPr>
              <w:spacing w:line="240" w:lineRule="auto"/>
              <w:ind w:firstLine="0"/>
              <w:jc w:val="right"/>
              <w:rPr>
                <w:b/>
                <w:bCs/>
                <w:color w:val="000000"/>
              </w:rPr>
            </w:pPr>
            <w:r w:rsidRPr="00EA6775">
              <w:rPr>
                <w:b/>
                <w:bCs/>
                <w:color w:val="000000"/>
              </w:rPr>
              <w:t>Total:</w:t>
            </w:r>
          </w:p>
        </w:tc>
        <w:tc>
          <w:tcPr>
            <w:tcW w:w="1334" w:type="dxa"/>
            <w:tcBorders>
              <w:top w:val="single" w:sz="4" w:space="0" w:color="auto"/>
              <w:left w:val="nil"/>
              <w:bottom w:val="single" w:sz="4" w:space="0" w:color="auto"/>
              <w:right w:val="nil"/>
            </w:tcBorders>
            <w:shd w:val="clear" w:color="auto" w:fill="auto"/>
            <w:vAlign w:val="center"/>
          </w:tcPr>
          <w:p w14:paraId="24CBB0BE" w14:textId="77777777" w:rsidR="00A46B68" w:rsidRDefault="00A46B68" w:rsidP="00A46B68">
            <w:pPr>
              <w:spacing w:line="240" w:lineRule="auto"/>
              <w:ind w:firstLine="0"/>
              <w:jc w:val="center"/>
              <w:rPr>
                <w:b/>
                <w:bCs/>
                <w:color w:val="000000"/>
              </w:rPr>
            </w:pPr>
            <w:r>
              <w:rPr>
                <w:b/>
                <w:bCs/>
                <w:color w:val="000000"/>
              </w:rPr>
              <w:t>80.03 g</w:t>
            </w:r>
          </w:p>
        </w:tc>
        <w:tc>
          <w:tcPr>
            <w:tcW w:w="1325" w:type="dxa"/>
            <w:tcBorders>
              <w:top w:val="single" w:sz="4" w:space="0" w:color="auto"/>
              <w:left w:val="nil"/>
              <w:bottom w:val="single" w:sz="4" w:space="0" w:color="auto"/>
              <w:right w:val="nil"/>
            </w:tcBorders>
            <w:shd w:val="clear" w:color="auto" w:fill="auto"/>
            <w:vAlign w:val="center"/>
          </w:tcPr>
          <w:p w14:paraId="3548299D" w14:textId="77777777" w:rsidR="00A46B68" w:rsidRDefault="00A46B68" w:rsidP="00A46B68">
            <w:pPr>
              <w:spacing w:line="240" w:lineRule="auto"/>
              <w:ind w:firstLine="0"/>
              <w:jc w:val="center"/>
              <w:rPr>
                <w:b/>
                <w:bCs/>
                <w:color w:val="000000"/>
              </w:rPr>
            </w:pPr>
            <w:r>
              <w:rPr>
                <w:b/>
                <w:bCs/>
                <w:color w:val="000000"/>
              </w:rPr>
              <w:t>35.68 ng</w:t>
            </w:r>
          </w:p>
        </w:tc>
      </w:tr>
      <w:tr w:rsidR="00A46B68" w:rsidRPr="00A12D67" w14:paraId="75849D95" w14:textId="77777777" w:rsidTr="00A46B68">
        <w:trPr>
          <w:trHeight w:val="20"/>
        </w:trPr>
        <w:tc>
          <w:tcPr>
            <w:tcW w:w="9298" w:type="dxa"/>
            <w:gridSpan w:val="5"/>
            <w:tcBorders>
              <w:top w:val="single" w:sz="4" w:space="0" w:color="auto"/>
              <w:left w:val="nil"/>
              <w:right w:val="nil"/>
            </w:tcBorders>
            <w:shd w:val="clear" w:color="auto" w:fill="auto"/>
          </w:tcPr>
          <w:p w14:paraId="0E1FD03E" w14:textId="77777777" w:rsidR="00A46B68" w:rsidRPr="00A12D67" w:rsidRDefault="00A46B68" w:rsidP="00A46B68">
            <w:pPr>
              <w:spacing w:line="240" w:lineRule="auto"/>
              <w:ind w:firstLine="0"/>
              <w:rPr>
                <w:color w:val="000000"/>
              </w:rPr>
            </w:pPr>
            <w:r>
              <w:rPr>
                <w:color w:val="000000"/>
                <w:vertAlign w:val="superscript"/>
              </w:rPr>
              <w:t>1</w:t>
            </w:r>
            <w:r w:rsidRPr="00A12D67">
              <w:t xml:space="preserve">Purcell et al. </w:t>
            </w:r>
            <w:r>
              <w:t>(</w:t>
            </w:r>
            <w:r w:rsidRPr="00A12D67">
              <w:t>2014)</w:t>
            </w:r>
            <w:r>
              <w:rPr>
                <w:color w:val="000000"/>
              </w:rPr>
              <w:t xml:space="preserve">; </w:t>
            </w:r>
            <w:r>
              <w:rPr>
                <w:color w:val="000000"/>
                <w:vertAlign w:val="superscript"/>
              </w:rPr>
              <w:t>2</w:t>
            </w:r>
            <w:r w:rsidRPr="00A12D67">
              <w:t xml:space="preserve">Campen </w:t>
            </w:r>
            <w:r>
              <w:t>(</w:t>
            </w:r>
            <w:r w:rsidRPr="00A12D67">
              <w:t>2015)</w:t>
            </w:r>
            <w:r>
              <w:rPr>
                <w:color w:val="000000"/>
              </w:rPr>
              <w:t xml:space="preserve">; </w:t>
            </w:r>
            <w:r>
              <w:rPr>
                <w:color w:val="000000"/>
                <w:vertAlign w:val="superscript"/>
              </w:rPr>
              <w:t>3</w:t>
            </w:r>
            <w:r w:rsidRPr="00A12D67">
              <w:t xml:space="preserve">Mitchell and Takacs-Vesbach </w:t>
            </w:r>
            <w:r>
              <w:t>(</w:t>
            </w:r>
            <w:r w:rsidRPr="00A12D67">
              <w:t>2008)</w:t>
            </w:r>
          </w:p>
        </w:tc>
      </w:tr>
      <w:bookmarkEnd w:id="180"/>
    </w:tbl>
    <w:p w14:paraId="7B9E4CC5" w14:textId="77777777" w:rsidR="00A46B68" w:rsidRPr="00372D69" w:rsidRDefault="00A46B68" w:rsidP="00F13F6D">
      <w:pPr>
        <w:pStyle w:val="Caption"/>
      </w:pPr>
    </w:p>
    <w:p w14:paraId="02F41449" w14:textId="77777777" w:rsidR="00A46B68" w:rsidRDefault="00A46B68" w:rsidP="00A46B68">
      <w:pPr>
        <w:spacing w:line="240" w:lineRule="auto"/>
        <w:ind w:firstLine="0"/>
        <w:rPr>
          <w:b/>
          <w:bCs/>
          <w:color w:val="000000" w:themeColor="text1"/>
        </w:rPr>
      </w:pPr>
      <w:r>
        <w:rPr>
          <w:bCs/>
          <w:iCs/>
        </w:rPr>
        <w:br w:type="page"/>
      </w:r>
    </w:p>
    <w:bookmarkStart w:id="181" w:name="_Toc193668455"/>
    <w:p w14:paraId="68BAEB97" w14:textId="38F8C76C" w:rsidR="00A46B68" w:rsidRDefault="00724E7D" w:rsidP="00F13F6D">
      <w:pPr>
        <w:pStyle w:val="Caption"/>
        <w:rPr>
          <w:i/>
          <w:noProof/>
        </w:rPr>
      </w:pPr>
      <w:r>
        <w:rPr>
          <w:noProof/>
        </w:rPr>
        <w:lastRenderedPageBreak/>
        <mc:AlternateContent>
          <mc:Choice Requires="wps">
            <w:drawing>
              <wp:anchor distT="0" distB="0" distL="114300" distR="114300" simplePos="0" relativeHeight="251751424" behindDoc="0" locked="0" layoutInCell="1" allowOverlap="1" wp14:anchorId="31F573DA" wp14:editId="36ED3121">
                <wp:simplePos x="0" y="0"/>
                <wp:positionH relativeFrom="column">
                  <wp:posOffset>1076325</wp:posOffset>
                </wp:positionH>
                <wp:positionV relativeFrom="paragraph">
                  <wp:posOffset>-10307314</wp:posOffset>
                </wp:positionV>
                <wp:extent cx="1753235" cy="139065"/>
                <wp:effectExtent l="0" t="0" r="18415" b="13335"/>
                <wp:wrapNone/>
                <wp:docPr id="1458253506" name="Rectangle 23"/>
                <wp:cNvGraphicFramePr/>
                <a:graphic xmlns:a="http://schemas.openxmlformats.org/drawingml/2006/main">
                  <a:graphicData uri="http://schemas.microsoft.com/office/word/2010/wordprocessingShape">
                    <wps:wsp>
                      <wps:cNvSpPr/>
                      <wps:spPr>
                        <a:xfrm>
                          <a:off x="0" y="0"/>
                          <a:ext cx="1753235" cy="13906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9FDD59" id="Rectangle 23" o:spid="_x0000_s1026" style="position:absolute;margin-left:84.75pt;margin-top:-811.6pt;width:138.05pt;height:10.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" fillcolor="white [3212]" strokecolor="white [3212]" strokeweight="2pt"/>
            </w:pict>
          </mc:Fallback>
        </mc:AlternateContent>
      </w:r>
      <w:r w:rsidR="00A46B68" w:rsidRPr="004A7652">
        <w:t xml:space="preserve">Table </w:t>
      </w:r>
      <w:fldSimple w:instr=" STYLEREF 1 \s ">
        <w:r w:rsidR="00971287">
          <w:rPr>
            <w:noProof/>
          </w:rPr>
          <w:t>3</w:t>
        </w:r>
      </w:fldSimple>
      <w:r w:rsidR="00A46B68">
        <w:t>.</w:t>
      </w:r>
      <w:fldSimple w:instr=" SEQ Table \* ARABIC \s 1 ">
        <w:r w:rsidR="00971287">
          <w:rPr>
            <w:noProof/>
          </w:rPr>
          <w:t>4</w:t>
        </w:r>
      </w:fldSimple>
      <w:r w:rsidR="00A46B68" w:rsidRPr="004A7652">
        <w:t>.</w:t>
      </w:r>
      <w:r w:rsidR="00A46B68" w:rsidRPr="00562244">
        <w:t xml:space="preserve"> </w:t>
      </w:r>
      <w:r w:rsidR="00A46B68" w:rsidRPr="004A7652">
        <w:t>Corr</w:t>
      </w:r>
      <w:r w:rsidR="00A46B68" w:rsidRPr="004A7652">
        <w:rPr>
          <w:noProof/>
        </w:rPr>
        <w:t>elations between alpha diversity and conductivity</w:t>
      </w:r>
      <w:r w:rsidR="00A46B68" w:rsidRPr="004A7652">
        <w:rPr>
          <w:i/>
          <w:noProof/>
        </w:rPr>
        <w:t>.</w:t>
      </w:r>
      <w:bookmarkEnd w:id="181"/>
    </w:p>
    <w:tbl>
      <w:tblPr>
        <w:tblW w:w="8168" w:type="dxa"/>
        <w:tblLook w:val="04A0" w:firstRow="1" w:lastRow="0" w:firstColumn="1" w:lastColumn="0" w:noHBand="0" w:noVBand="1"/>
      </w:tblPr>
      <w:tblGrid>
        <w:gridCol w:w="1921"/>
        <w:gridCol w:w="1249"/>
        <w:gridCol w:w="1249"/>
        <w:gridCol w:w="1250"/>
        <w:gridCol w:w="1205"/>
        <w:gridCol w:w="1294"/>
      </w:tblGrid>
      <w:tr w:rsidR="00F02D0D" w:rsidRPr="00F02D0D" w14:paraId="196C2AE6" w14:textId="77777777" w:rsidTr="00F02D0D">
        <w:trPr>
          <w:trHeight w:val="314"/>
        </w:trPr>
        <w:tc>
          <w:tcPr>
            <w:tcW w:w="1921" w:type="dxa"/>
            <w:tcBorders>
              <w:top w:val="single" w:sz="4" w:space="0" w:color="000000"/>
              <w:left w:val="nil"/>
              <w:bottom w:val="single" w:sz="4" w:space="0" w:color="000000"/>
              <w:right w:val="nil"/>
            </w:tcBorders>
            <w:shd w:val="clear" w:color="auto" w:fill="auto"/>
            <w:noWrap/>
            <w:vAlign w:val="bottom"/>
            <w:hideMark/>
          </w:tcPr>
          <w:p w14:paraId="6CC95266" w14:textId="4AD8C42A" w:rsidR="00F02D0D" w:rsidRPr="00F02D0D" w:rsidRDefault="00F02D0D" w:rsidP="00F02D0D">
            <w:pPr>
              <w:spacing w:line="240" w:lineRule="auto"/>
              <w:ind w:firstLine="0"/>
              <w:rPr>
                <w:rFonts w:cs="Times New Roman"/>
                <w:b/>
                <w:bCs/>
                <w:color w:val="000000"/>
                <w:sz w:val="22"/>
                <w:szCs w:val="22"/>
              </w:rPr>
            </w:pPr>
          </w:p>
        </w:tc>
        <w:tc>
          <w:tcPr>
            <w:tcW w:w="1249" w:type="dxa"/>
            <w:tcBorders>
              <w:top w:val="single" w:sz="4" w:space="0" w:color="000000"/>
              <w:left w:val="nil"/>
              <w:bottom w:val="single" w:sz="4" w:space="0" w:color="000000"/>
              <w:right w:val="nil"/>
            </w:tcBorders>
            <w:shd w:val="clear" w:color="auto" w:fill="auto"/>
            <w:noWrap/>
            <w:vAlign w:val="bottom"/>
            <w:hideMark/>
          </w:tcPr>
          <w:p w14:paraId="026B08FF" w14:textId="77777777" w:rsidR="00F02D0D" w:rsidRPr="00F02D0D" w:rsidRDefault="00F02D0D" w:rsidP="00F02D0D">
            <w:pPr>
              <w:spacing w:line="240" w:lineRule="auto"/>
              <w:ind w:firstLine="0"/>
              <w:rPr>
                <w:rFonts w:cs="Times New Roman"/>
                <w:b/>
                <w:bCs/>
                <w:color w:val="000000"/>
              </w:rPr>
            </w:pPr>
          </w:p>
        </w:tc>
        <w:tc>
          <w:tcPr>
            <w:tcW w:w="2499" w:type="dxa"/>
            <w:gridSpan w:val="2"/>
            <w:tcBorders>
              <w:top w:val="single" w:sz="4" w:space="0" w:color="000000"/>
              <w:left w:val="nil"/>
              <w:bottom w:val="single" w:sz="4" w:space="0" w:color="000000"/>
              <w:right w:val="nil"/>
            </w:tcBorders>
            <w:shd w:val="clear" w:color="auto" w:fill="auto"/>
            <w:noWrap/>
            <w:vAlign w:val="bottom"/>
            <w:hideMark/>
          </w:tcPr>
          <w:p w14:paraId="5F44CE84" w14:textId="77777777" w:rsidR="00F02D0D" w:rsidRPr="00F02D0D" w:rsidRDefault="00F02D0D" w:rsidP="00F02D0D">
            <w:pPr>
              <w:spacing w:line="240" w:lineRule="auto"/>
              <w:ind w:firstLine="0"/>
              <w:jc w:val="center"/>
              <w:rPr>
                <w:rFonts w:cs="Times New Roman"/>
                <w:b/>
                <w:bCs/>
                <w:color w:val="000000"/>
                <w:sz w:val="22"/>
                <w:szCs w:val="22"/>
              </w:rPr>
            </w:pPr>
            <w:r w:rsidRPr="00F02D0D">
              <w:rPr>
                <w:rFonts w:cs="Times New Roman"/>
                <w:b/>
                <w:bCs/>
                <w:color w:val="000000"/>
                <w:sz w:val="22"/>
                <w:szCs w:val="22"/>
              </w:rPr>
              <w:t>Inside Seep</w:t>
            </w:r>
          </w:p>
        </w:tc>
        <w:tc>
          <w:tcPr>
            <w:tcW w:w="2499" w:type="dxa"/>
            <w:gridSpan w:val="2"/>
            <w:tcBorders>
              <w:top w:val="single" w:sz="4" w:space="0" w:color="000000"/>
              <w:left w:val="nil"/>
              <w:bottom w:val="single" w:sz="4" w:space="0" w:color="000000"/>
              <w:right w:val="nil"/>
            </w:tcBorders>
            <w:shd w:val="clear" w:color="auto" w:fill="auto"/>
            <w:noWrap/>
            <w:vAlign w:val="bottom"/>
            <w:hideMark/>
          </w:tcPr>
          <w:p w14:paraId="6DB37A6A" w14:textId="77777777" w:rsidR="00F02D0D" w:rsidRPr="00F02D0D" w:rsidRDefault="00F02D0D" w:rsidP="00F02D0D">
            <w:pPr>
              <w:spacing w:line="240" w:lineRule="auto"/>
              <w:ind w:firstLine="0"/>
              <w:jc w:val="center"/>
              <w:rPr>
                <w:rFonts w:cs="Times New Roman"/>
                <w:b/>
                <w:bCs/>
                <w:color w:val="000000"/>
                <w:sz w:val="22"/>
                <w:szCs w:val="22"/>
              </w:rPr>
            </w:pPr>
            <w:r w:rsidRPr="00F02D0D">
              <w:rPr>
                <w:rFonts w:cs="Times New Roman"/>
                <w:b/>
                <w:bCs/>
                <w:color w:val="000000"/>
                <w:sz w:val="22"/>
                <w:szCs w:val="22"/>
              </w:rPr>
              <w:t>Outside Seep</w:t>
            </w:r>
          </w:p>
        </w:tc>
      </w:tr>
      <w:tr w:rsidR="00F02D0D" w:rsidRPr="00F02D0D" w14:paraId="6C0F2D68" w14:textId="77777777" w:rsidTr="00F02D0D">
        <w:trPr>
          <w:trHeight w:val="314"/>
        </w:trPr>
        <w:tc>
          <w:tcPr>
            <w:tcW w:w="1921" w:type="dxa"/>
            <w:tcBorders>
              <w:top w:val="single" w:sz="4" w:space="0" w:color="000000"/>
              <w:left w:val="nil"/>
              <w:bottom w:val="single" w:sz="4" w:space="0" w:color="000000"/>
              <w:right w:val="nil"/>
            </w:tcBorders>
            <w:shd w:val="clear" w:color="auto" w:fill="auto"/>
            <w:noWrap/>
            <w:vAlign w:val="bottom"/>
            <w:hideMark/>
          </w:tcPr>
          <w:p w14:paraId="65B66CBB" w14:textId="1327585A" w:rsidR="00F02D0D" w:rsidRPr="00F02D0D" w:rsidRDefault="00F02D0D" w:rsidP="00F02D0D">
            <w:pPr>
              <w:spacing w:line="240" w:lineRule="auto"/>
              <w:ind w:firstLine="0"/>
              <w:rPr>
                <w:rFonts w:cs="Times New Roman"/>
                <w:b/>
                <w:bCs/>
                <w:color w:val="000000"/>
                <w:sz w:val="22"/>
                <w:szCs w:val="22"/>
              </w:rPr>
            </w:pPr>
            <w:r w:rsidRPr="00F02D0D">
              <w:rPr>
                <w:rFonts w:cs="Times New Roman"/>
                <w:b/>
                <w:bCs/>
                <w:color w:val="000000"/>
                <w:sz w:val="22"/>
                <w:szCs w:val="22"/>
              </w:rPr>
              <w:t>Clustering</w:t>
            </w:r>
          </w:p>
        </w:tc>
        <w:tc>
          <w:tcPr>
            <w:tcW w:w="1249" w:type="dxa"/>
            <w:tcBorders>
              <w:top w:val="single" w:sz="4" w:space="0" w:color="000000"/>
              <w:left w:val="nil"/>
              <w:bottom w:val="single" w:sz="4" w:space="0" w:color="000000"/>
              <w:right w:val="nil"/>
            </w:tcBorders>
            <w:shd w:val="clear" w:color="auto" w:fill="auto"/>
            <w:noWrap/>
            <w:vAlign w:val="bottom"/>
            <w:hideMark/>
          </w:tcPr>
          <w:p w14:paraId="22761E19" w14:textId="77777777" w:rsidR="00F02D0D" w:rsidRPr="00F02D0D" w:rsidRDefault="00F02D0D" w:rsidP="00F02D0D">
            <w:pPr>
              <w:spacing w:line="240" w:lineRule="auto"/>
              <w:ind w:firstLine="0"/>
              <w:rPr>
                <w:rFonts w:cs="Times New Roman"/>
                <w:b/>
                <w:bCs/>
                <w:color w:val="000000"/>
                <w:sz w:val="22"/>
                <w:szCs w:val="22"/>
              </w:rPr>
            </w:pPr>
          </w:p>
        </w:tc>
        <w:tc>
          <w:tcPr>
            <w:tcW w:w="1249" w:type="dxa"/>
            <w:tcBorders>
              <w:top w:val="single" w:sz="4" w:space="0" w:color="000000"/>
              <w:left w:val="nil"/>
              <w:bottom w:val="single" w:sz="4" w:space="0" w:color="000000"/>
              <w:right w:val="nil"/>
            </w:tcBorders>
            <w:shd w:val="clear" w:color="auto" w:fill="auto"/>
            <w:noWrap/>
            <w:vAlign w:val="center"/>
            <w:hideMark/>
          </w:tcPr>
          <w:p w14:paraId="286D6898" w14:textId="77777777" w:rsidR="00F02D0D" w:rsidRPr="00F02D0D" w:rsidRDefault="00F02D0D" w:rsidP="00F02D0D">
            <w:pPr>
              <w:spacing w:line="240" w:lineRule="auto"/>
              <w:ind w:firstLine="0"/>
              <w:jc w:val="center"/>
              <w:rPr>
                <w:rFonts w:cs="Times New Roman"/>
                <w:b/>
                <w:bCs/>
                <w:color w:val="000000"/>
                <w:sz w:val="22"/>
                <w:szCs w:val="22"/>
              </w:rPr>
            </w:pPr>
            <w:r w:rsidRPr="00F02D0D">
              <w:rPr>
                <w:rFonts w:cs="Times New Roman"/>
                <w:b/>
                <w:bCs/>
                <w:color w:val="000000"/>
                <w:sz w:val="22"/>
                <w:szCs w:val="22"/>
              </w:rPr>
              <w:t>ASV</w:t>
            </w:r>
          </w:p>
        </w:tc>
        <w:tc>
          <w:tcPr>
            <w:tcW w:w="1249" w:type="dxa"/>
            <w:tcBorders>
              <w:top w:val="single" w:sz="4" w:space="0" w:color="000000"/>
              <w:left w:val="nil"/>
              <w:bottom w:val="single" w:sz="4" w:space="0" w:color="000000"/>
              <w:right w:val="nil"/>
            </w:tcBorders>
            <w:shd w:val="clear" w:color="auto" w:fill="auto"/>
            <w:noWrap/>
            <w:vAlign w:val="center"/>
            <w:hideMark/>
          </w:tcPr>
          <w:p w14:paraId="08525BF3" w14:textId="77777777" w:rsidR="00F02D0D" w:rsidRPr="00F02D0D" w:rsidRDefault="00F02D0D" w:rsidP="00F02D0D">
            <w:pPr>
              <w:spacing w:line="240" w:lineRule="auto"/>
              <w:ind w:firstLine="0"/>
              <w:jc w:val="center"/>
              <w:rPr>
                <w:rFonts w:cs="Times New Roman"/>
                <w:b/>
                <w:bCs/>
                <w:color w:val="000000"/>
                <w:sz w:val="22"/>
                <w:szCs w:val="22"/>
              </w:rPr>
            </w:pPr>
            <w:r w:rsidRPr="00F02D0D">
              <w:rPr>
                <w:rFonts w:cs="Times New Roman"/>
                <w:b/>
                <w:bCs/>
                <w:color w:val="000000"/>
                <w:sz w:val="22"/>
                <w:szCs w:val="22"/>
              </w:rPr>
              <w:t>OTU</w:t>
            </w:r>
          </w:p>
        </w:tc>
        <w:tc>
          <w:tcPr>
            <w:tcW w:w="1205" w:type="dxa"/>
            <w:tcBorders>
              <w:top w:val="single" w:sz="4" w:space="0" w:color="000000"/>
              <w:left w:val="nil"/>
              <w:bottom w:val="single" w:sz="4" w:space="0" w:color="000000"/>
              <w:right w:val="nil"/>
            </w:tcBorders>
            <w:shd w:val="clear" w:color="auto" w:fill="auto"/>
            <w:noWrap/>
            <w:vAlign w:val="center"/>
            <w:hideMark/>
          </w:tcPr>
          <w:p w14:paraId="5A9E2CC0" w14:textId="77777777" w:rsidR="00F02D0D" w:rsidRPr="00F02D0D" w:rsidRDefault="00F02D0D" w:rsidP="00F02D0D">
            <w:pPr>
              <w:spacing w:line="240" w:lineRule="auto"/>
              <w:ind w:firstLine="0"/>
              <w:jc w:val="center"/>
              <w:rPr>
                <w:rFonts w:cs="Times New Roman"/>
                <w:b/>
                <w:bCs/>
                <w:color w:val="000000"/>
                <w:sz w:val="22"/>
                <w:szCs w:val="22"/>
              </w:rPr>
            </w:pPr>
            <w:r w:rsidRPr="00F02D0D">
              <w:rPr>
                <w:rFonts w:cs="Times New Roman"/>
                <w:b/>
                <w:bCs/>
                <w:color w:val="000000"/>
                <w:sz w:val="22"/>
                <w:szCs w:val="22"/>
              </w:rPr>
              <w:t>ASV</w:t>
            </w:r>
          </w:p>
        </w:tc>
        <w:tc>
          <w:tcPr>
            <w:tcW w:w="1294" w:type="dxa"/>
            <w:tcBorders>
              <w:top w:val="single" w:sz="4" w:space="0" w:color="000000"/>
              <w:left w:val="nil"/>
              <w:bottom w:val="single" w:sz="4" w:space="0" w:color="000000"/>
              <w:right w:val="nil"/>
            </w:tcBorders>
            <w:shd w:val="clear" w:color="auto" w:fill="auto"/>
            <w:noWrap/>
            <w:vAlign w:val="center"/>
            <w:hideMark/>
          </w:tcPr>
          <w:p w14:paraId="0127B9CA" w14:textId="77777777" w:rsidR="00F02D0D" w:rsidRPr="00F02D0D" w:rsidRDefault="00F02D0D" w:rsidP="00F02D0D">
            <w:pPr>
              <w:spacing w:line="240" w:lineRule="auto"/>
              <w:ind w:firstLine="0"/>
              <w:jc w:val="center"/>
              <w:rPr>
                <w:rFonts w:cs="Times New Roman"/>
                <w:b/>
                <w:bCs/>
                <w:color w:val="000000"/>
                <w:sz w:val="22"/>
                <w:szCs w:val="22"/>
              </w:rPr>
            </w:pPr>
            <w:r w:rsidRPr="00F02D0D">
              <w:rPr>
                <w:rFonts w:cs="Times New Roman"/>
                <w:b/>
                <w:bCs/>
                <w:color w:val="000000"/>
                <w:sz w:val="22"/>
                <w:szCs w:val="22"/>
              </w:rPr>
              <w:t>OTU</w:t>
            </w:r>
          </w:p>
        </w:tc>
      </w:tr>
      <w:tr w:rsidR="00F02D0D" w:rsidRPr="00F02D0D" w14:paraId="5B81C63F" w14:textId="77777777" w:rsidTr="00F02D0D">
        <w:trPr>
          <w:trHeight w:val="314"/>
        </w:trPr>
        <w:tc>
          <w:tcPr>
            <w:tcW w:w="1921" w:type="dxa"/>
            <w:tcBorders>
              <w:top w:val="single" w:sz="4" w:space="0" w:color="000000"/>
              <w:left w:val="nil"/>
              <w:bottom w:val="nil"/>
              <w:right w:val="nil"/>
            </w:tcBorders>
            <w:shd w:val="clear" w:color="auto" w:fill="auto"/>
            <w:noWrap/>
            <w:vAlign w:val="bottom"/>
            <w:hideMark/>
          </w:tcPr>
          <w:p w14:paraId="1D4DE360" w14:textId="77777777" w:rsidR="00F02D0D" w:rsidRPr="00F02D0D" w:rsidRDefault="00F02D0D" w:rsidP="00F02D0D">
            <w:pPr>
              <w:spacing w:line="240" w:lineRule="auto"/>
              <w:ind w:firstLine="0"/>
              <w:rPr>
                <w:rFonts w:cs="Times New Roman"/>
                <w:b/>
                <w:bCs/>
                <w:color w:val="000000"/>
                <w:sz w:val="22"/>
                <w:szCs w:val="22"/>
              </w:rPr>
            </w:pPr>
            <w:r w:rsidRPr="00F02D0D">
              <w:rPr>
                <w:rFonts w:cs="Times New Roman"/>
                <w:b/>
                <w:bCs/>
                <w:color w:val="000000"/>
                <w:sz w:val="22"/>
                <w:szCs w:val="22"/>
              </w:rPr>
              <w:t>Richness</w:t>
            </w:r>
          </w:p>
        </w:tc>
        <w:tc>
          <w:tcPr>
            <w:tcW w:w="1249" w:type="dxa"/>
            <w:tcBorders>
              <w:top w:val="single" w:sz="4" w:space="0" w:color="000000"/>
              <w:left w:val="nil"/>
              <w:bottom w:val="nil"/>
              <w:right w:val="nil"/>
            </w:tcBorders>
            <w:shd w:val="clear" w:color="auto" w:fill="auto"/>
            <w:noWrap/>
            <w:vAlign w:val="bottom"/>
            <w:hideMark/>
          </w:tcPr>
          <w:p w14:paraId="50188ACD" w14:textId="77777777" w:rsidR="00F02D0D" w:rsidRPr="00F02D0D" w:rsidRDefault="00F02D0D" w:rsidP="00F02D0D">
            <w:pPr>
              <w:spacing w:line="240" w:lineRule="auto"/>
              <w:ind w:firstLine="0"/>
              <w:rPr>
                <w:rFonts w:cs="Times New Roman"/>
                <w:color w:val="000000"/>
                <w:sz w:val="22"/>
                <w:szCs w:val="22"/>
              </w:rPr>
            </w:pPr>
            <w:r w:rsidRPr="00F02D0D">
              <w:rPr>
                <w:rFonts w:cs="Times New Roman"/>
                <w:color w:val="000000"/>
                <w:sz w:val="22"/>
                <w:szCs w:val="22"/>
              </w:rPr>
              <w:t>R</w:t>
            </w:r>
            <w:r w:rsidRPr="00F02D0D">
              <w:rPr>
                <w:rFonts w:cs="Times New Roman"/>
                <w:color w:val="000000"/>
                <w:sz w:val="22"/>
                <w:szCs w:val="22"/>
                <w:vertAlign w:val="superscript"/>
              </w:rPr>
              <w:t>2</w:t>
            </w:r>
          </w:p>
        </w:tc>
        <w:tc>
          <w:tcPr>
            <w:tcW w:w="1249" w:type="dxa"/>
            <w:tcBorders>
              <w:top w:val="single" w:sz="4" w:space="0" w:color="000000"/>
              <w:left w:val="nil"/>
              <w:bottom w:val="nil"/>
              <w:right w:val="nil"/>
            </w:tcBorders>
            <w:shd w:val="clear" w:color="auto" w:fill="auto"/>
            <w:noWrap/>
            <w:vAlign w:val="center"/>
            <w:hideMark/>
          </w:tcPr>
          <w:p w14:paraId="5891CBC3"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-0.948</w:t>
            </w:r>
          </w:p>
        </w:tc>
        <w:tc>
          <w:tcPr>
            <w:tcW w:w="1249" w:type="dxa"/>
            <w:tcBorders>
              <w:top w:val="single" w:sz="4" w:space="0" w:color="000000"/>
              <w:left w:val="nil"/>
              <w:bottom w:val="nil"/>
              <w:right w:val="nil"/>
            </w:tcBorders>
            <w:shd w:val="clear" w:color="auto" w:fill="auto"/>
            <w:noWrap/>
            <w:vAlign w:val="center"/>
            <w:hideMark/>
          </w:tcPr>
          <w:p w14:paraId="6C42EA41"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-0.898</w:t>
            </w:r>
          </w:p>
        </w:tc>
        <w:tc>
          <w:tcPr>
            <w:tcW w:w="1205" w:type="dxa"/>
            <w:tcBorders>
              <w:top w:val="single" w:sz="4" w:space="0" w:color="000000"/>
              <w:left w:val="nil"/>
              <w:bottom w:val="nil"/>
              <w:right w:val="nil"/>
            </w:tcBorders>
            <w:shd w:val="clear" w:color="auto" w:fill="auto"/>
            <w:noWrap/>
            <w:vAlign w:val="center"/>
            <w:hideMark/>
          </w:tcPr>
          <w:p w14:paraId="5E21A776"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-0.166</w:t>
            </w:r>
          </w:p>
        </w:tc>
        <w:tc>
          <w:tcPr>
            <w:tcW w:w="1294" w:type="dxa"/>
            <w:tcBorders>
              <w:top w:val="single" w:sz="4" w:space="0" w:color="000000"/>
              <w:left w:val="nil"/>
              <w:bottom w:val="nil"/>
              <w:right w:val="nil"/>
            </w:tcBorders>
            <w:shd w:val="clear" w:color="auto" w:fill="auto"/>
            <w:noWrap/>
            <w:vAlign w:val="center"/>
            <w:hideMark/>
          </w:tcPr>
          <w:p w14:paraId="4C2250C7"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-0.202</w:t>
            </w:r>
          </w:p>
        </w:tc>
      </w:tr>
      <w:tr w:rsidR="00F02D0D" w:rsidRPr="00F02D0D" w14:paraId="7CE74ACF" w14:textId="77777777" w:rsidTr="00F02D0D">
        <w:trPr>
          <w:trHeight w:val="314"/>
        </w:trPr>
        <w:tc>
          <w:tcPr>
            <w:tcW w:w="1921" w:type="dxa"/>
            <w:tcBorders>
              <w:top w:val="nil"/>
              <w:left w:val="nil"/>
              <w:bottom w:val="nil"/>
              <w:right w:val="nil"/>
            </w:tcBorders>
            <w:shd w:val="clear" w:color="auto" w:fill="auto"/>
            <w:noWrap/>
            <w:vAlign w:val="bottom"/>
            <w:hideMark/>
          </w:tcPr>
          <w:p w14:paraId="1C9F4491" w14:textId="77777777" w:rsidR="00F02D0D" w:rsidRPr="00F02D0D" w:rsidRDefault="00F02D0D" w:rsidP="00F02D0D">
            <w:pPr>
              <w:spacing w:line="240" w:lineRule="auto"/>
              <w:ind w:firstLine="0"/>
              <w:jc w:val="right"/>
              <w:rPr>
                <w:rFonts w:cs="Times New Roman"/>
                <w:b/>
                <w:bCs/>
                <w:color w:val="000000"/>
                <w:sz w:val="22"/>
                <w:szCs w:val="22"/>
              </w:rPr>
            </w:pPr>
          </w:p>
        </w:tc>
        <w:tc>
          <w:tcPr>
            <w:tcW w:w="1249" w:type="dxa"/>
            <w:tcBorders>
              <w:top w:val="nil"/>
              <w:left w:val="nil"/>
              <w:bottom w:val="nil"/>
              <w:right w:val="nil"/>
            </w:tcBorders>
            <w:shd w:val="clear" w:color="auto" w:fill="auto"/>
            <w:noWrap/>
            <w:vAlign w:val="bottom"/>
            <w:hideMark/>
          </w:tcPr>
          <w:p w14:paraId="251634D0" w14:textId="77777777" w:rsidR="00F02D0D" w:rsidRPr="00F02D0D" w:rsidRDefault="00F02D0D" w:rsidP="00F02D0D">
            <w:pPr>
              <w:spacing w:line="240" w:lineRule="auto"/>
              <w:ind w:firstLine="0"/>
              <w:rPr>
                <w:rFonts w:cs="Times New Roman"/>
                <w:color w:val="000000"/>
                <w:sz w:val="22"/>
                <w:szCs w:val="22"/>
              </w:rPr>
            </w:pPr>
            <w:r w:rsidRPr="00F02D0D">
              <w:rPr>
                <w:rFonts w:cs="Times New Roman"/>
                <w:color w:val="000000"/>
                <w:sz w:val="22"/>
                <w:szCs w:val="22"/>
              </w:rPr>
              <w:t>p-value</w:t>
            </w:r>
          </w:p>
        </w:tc>
        <w:tc>
          <w:tcPr>
            <w:tcW w:w="1249" w:type="dxa"/>
            <w:tcBorders>
              <w:top w:val="nil"/>
              <w:left w:val="nil"/>
              <w:bottom w:val="nil"/>
              <w:right w:val="nil"/>
            </w:tcBorders>
            <w:shd w:val="clear" w:color="auto" w:fill="auto"/>
            <w:noWrap/>
            <w:vAlign w:val="center"/>
            <w:hideMark/>
          </w:tcPr>
          <w:p w14:paraId="5FF4C3A3"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0.0264*</w:t>
            </w:r>
          </w:p>
        </w:tc>
        <w:tc>
          <w:tcPr>
            <w:tcW w:w="1249" w:type="dxa"/>
            <w:tcBorders>
              <w:top w:val="nil"/>
              <w:left w:val="nil"/>
              <w:bottom w:val="nil"/>
              <w:right w:val="nil"/>
            </w:tcBorders>
            <w:shd w:val="clear" w:color="auto" w:fill="auto"/>
            <w:noWrap/>
            <w:vAlign w:val="center"/>
            <w:hideMark/>
          </w:tcPr>
          <w:p w14:paraId="4C022745"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0.0524</w:t>
            </w:r>
          </w:p>
        </w:tc>
        <w:tc>
          <w:tcPr>
            <w:tcW w:w="1205" w:type="dxa"/>
            <w:tcBorders>
              <w:top w:val="nil"/>
              <w:left w:val="nil"/>
              <w:bottom w:val="nil"/>
              <w:right w:val="nil"/>
            </w:tcBorders>
            <w:shd w:val="clear" w:color="auto" w:fill="auto"/>
            <w:noWrap/>
            <w:vAlign w:val="center"/>
            <w:hideMark/>
          </w:tcPr>
          <w:p w14:paraId="09A960DB"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0.496</w:t>
            </w:r>
          </w:p>
        </w:tc>
        <w:tc>
          <w:tcPr>
            <w:tcW w:w="1294" w:type="dxa"/>
            <w:tcBorders>
              <w:top w:val="nil"/>
              <w:left w:val="nil"/>
              <w:bottom w:val="nil"/>
              <w:right w:val="nil"/>
            </w:tcBorders>
            <w:shd w:val="clear" w:color="auto" w:fill="auto"/>
            <w:noWrap/>
            <w:vAlign w:val="center"/>
            <w:hideMark/>
          </w:tcPr>
          <w:p w14:paraId="41F55C6B"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0.4477</w:t>
            </w:r>
          </w:p>
        </w:tc>
      </w:tr>
      <w:tr w:rsidR="00F02D0D" w:rsidRPr="00F02D0D" w14:paraId="4CD13226" w14:textId="77777777" w:rsidTr="00F02D0D">
        <w:trPr>
          <w:trHeight w:val="314"/>
        </w:trPr>
        <w:tc>
          <w:tcPr>
            <w:tcW w:w="1921" w:type="dxa"/>
            <w:tcBorders>
              <w:top w:val="nil"/>
              <w:left w:val="nil"/>
              <w:bottom w:val="nil"/>
              <w:right w:val="nil"/>
            </w:tcBorders>
            <w:shd w:val="clear" w:color="auto" w:fill="auto"/>
            <w:noWrap/>
            <w:vAlign w:val="bottom"/>
            <w:hideMark/>
          </w:tcPr>
          <w:p w14:paraId="502DF483" w14:textId="77777777" w:rsidR="00F02D0D" w:rsidRPr="00F02D0D" w:rsidRDefault="00F02D0D" w:rsidP="00F02D0D">
            <w:pPr>
              <w:spacing w:line="240" w:lineRule="auto"/>
              <w:ind w:firstLine="0"/>
              <w:rPr>
                <w:rFonts w:cs="Times New Roman"/>
                <w:b/>
                <w:bCs/>
                <w:color w:val="000000"/>
                <w:sz w:val="22"/>
                <w:szCs w:val="22"/>
              </w:rPr>
            </w:pPr>
            <w:r w:rsidRPr="00F02D0D">
              <w:rPr>
                <w:rFonts w:cs="Times New Roman"/>
                <w:b/>
                <w:bCs/>
                <w:color w:val="000000"/>
                <w:sz w:val="22"/>
                <w:szCs w:val="22"/>
              </w:rPr>
              <w:t>Shannon</w:t>
            </w:r>
          </w:p>
        </w:tc>
        <w:tc>
          <w:tcPr>
            <w:tcW w:w="1249" w:type="dxa"/>
            <w:tcBorders>
              <w:top w:val="nil"/>
              <w:left w:val="nil"/>
              <w:bottom w:val="nil"/>
              <w:right w:val="nil"/>
            </w:tcBorders>
            <w:shd w:val="clear" w:color="auto" w:fill="auto"/>
            <w:noWrap/>
            <w:vAlign w:val="bottom"/>
            <w:hideMark/>
          </w:tcPr>
          <w:p w14:paraId="0E0A359C" w14:textId="77777777" w:rsidR="00F02D0D" w:rsidRPr="00F02D0D" w:rsidRDefault="00F02D0D" w:rsidP="00F02D0D">
            <w:pPr>
              <w:spacing w:line="240" w:lineRule="auto"/>
              <w:ind w:firstLine="0"/>
              <w:rPr>
                <w:rFonts w:cs="Times New Roman"/>
                <w:color w:val="000000"/>
                <w:sz w:val="22"/>
                <w:szCs w:val="22"/>
              </w:rPr>
            </w:pPr>
            <w:r w:rsidRPr="00F02D0D">
              <w:rPr>
                <w:rFonts w:cs="Times New Roman"/>
                <w:color w:val="000000"/>
                <w:sz w:val="22"/>
                <w:szCs w:val="22"/>
              </w:rPr>
              <w:t>R</w:t>
            </w:r>
            <w:r w:rsidRPr="00F02D0D">
              <w:rPr>
                <w:rFonts w:cs="Times New Roman"/>
                <w:color w:val="000000"/>
                <w:sz w:val="22"/>
                <w:szCs w:val="22"/>
                <w:vertAlign w:val="superscript"/>
              </w:rPr>
              <w:t>2</w:t>
            </w:r>
          </w:p>
        </w:tc>
        <w:tc>
          <w:tcPr>
            <w:tcW w:w="1249" w:type="dxa"/>
            <w:tcBorders>
              <w:top w:val="nil"/>
              <w:left w:val="nil"/>
              <w:bottom w:val="nil"/>
              <w:right w:val="nil"/>
            </w:tcBorders>
            <w:shd w:val="clear" w:color="auto" w:fill="auto"/>
            <w:noWrap/>
            <w:vAlign w:val="center"/>
            <w:hideMark/>
          </w:tcPr>
          <w:p w14:paraId="38B76A5A"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-0.952</w:t>
            </w:r>
          </w:p>
        </w:tc>
        <w:tc>
          <w:tcPr>
            <w:tcW w:w="1249" w:type="dxa"/>
            <w:tcBorders>
              <w:top w:val="nil"/>
              <w:left w:val="nil"/>
              <w:bottom w:val="nil"/>
              <w:right w:val="nil"/>
            </w:tcBorders>
            <w:shd w:val="clear" w:color="auto" w:fill="auto"/>
            <w:noWrap/>
            <w:vAlign w:val="center"/>
            <w:hideMark/>
          </w:tcPr>
          <w:p w14:paraId="6F77DFE0"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-0.903</w:t>
            </w:r>
          </w:p>
        </w:tc>
        <w:tc>
          <w:tcPr>
            <w:tcW w:w="1205" w:type="dxa"/>
            <w:tcBorders>
              <w:top w:val="nil"/>
              <w:left w:val="nil"/>
              <w:bottom w:val="nil"/>
              <w:right w:val="nil"/>
            </w:tcBorders>
            <w:shd w:val="clear" w:color="auto" w:fill="auto"/>
            <w:noWrap/>
            <w:vAlign w:val="center"/>
            <w:hideMark/>
          </w:tcPr>
          <w:p w14:paraId="64D484C4"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0.392</w:t>
            </w:r>
          </w:p>
        </w:tc>
        <w:tc>
          <w:tcPr>
            <w:tcW w:w="1294" w:type="dxa"/>
            <w:tcBorders>
              <w:top w:val="nil"/>
              <w:left w:val="nil"/>
              <w:bottom w:val="nil"/>
              <w:right w:val="nil"/>
            </w:tcBorders>
            <w:shd w:val="clear" w:color="auto" w:fill="auto"/>
            <w:noWrap/>
            <w:vAlign w:val="center"/>
            <w:hideMark/>
          </w:tcPr>
          <w:p w14:paraId="47F63EBA"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0.497</w:t>
            </w:r>
          </w:p>
        </w:tc>
      </w:tr>
      <w:tr w:rsidR="00F02D0D" w:rsidRPr="00F02D0D" w14:paraId="59581880" w14:textId="77777777" w:rsidTr="00F02D0D">
        <w:trPr>
          <w:trHeight w:val="314"/>
        </w:trPr>
        <w:tc>
          <w:tcPr>
            <w:tcW w:w="1921" w:type="dxa"/>
            <w:tcBorders>
              <w:top w:val="nil"/>
              <w:left w:val="nil"/>
              <w:bottom w:val="nil"/>
              <w:right w:val="nil"/>
            </w:tcBorders>
            <w:shd w:val="clear" w:color="auto" w:fill="auto"/>
            <w:noWrap/>
            <w:vAlign w:val="bottom"/>
            <w:hideMark/>
          </w:tcPr>
          <w:p w14:paraId="107DA7B6" w14:textId="29621FCC" w:rsidR="00F02D0D" w:rsidRPr="00F02D0D" w:rsidRDefault="00F02D0D" w:rsidP="00F02D0D">
            <w:pPr>
              <w:spacing w:line="240" w:lineRule="auto"/>
              <w:ind w:firstLine="0"/>
              <w:jc w:val="right"/>
              <w:rPr>
                <w:rFonts w:cs="Times New Roman"/>
                <w:b/>
                <w:bCs/>
                <w:color w:val="000000"/>
                <w:sz w:val="22"/>
                <w:szCs w:val="22"/>
              </w:rPr>
            </w:pPr>
          </w:p>
        </w:tc>
        <w:tc>
          <w:tcPr>
            <w:tcW w:w="1249" w:type="dxa"/>
            <w:tcBorders>
              <w:top w:val="nil"/>
              <w:left w:val="nil"/>
              <w:bottom w:val="nil"/>
              <w:right w:val="nil"/>
            </w:tcBorders>
            <w:shd w:val="clear" w:color="auto" w:fill="auto"/>
            <w:noWrap/>
            <w:vAlign w:val="bottom"/>
            <w:hideMark/>
          </w:tcPr>
          <w:p w14:paraId="3F97A4AB" w14:textId="68CE31F0" w:rsidR="00F02D0D" w:rsidRPr="00F02D0D" w:rsidRDefault="00F02D0D" w:rsidP="00F02D0D">
            <w:pPr>
              <w:spacing w:line="240" w:lineRule="auto"/>
              <w:ind w:firstLine="0"/>
              <w:rPr>
                <w:rFonts w:cs="Times New Roman"/>
                <w:color w:val="000000"/>
                <w:sz w:val="22"/>
                <w:szCs w:val="22"/>
              </w:rPr>
            </w:pPr>
            <w:r w:rsidRPr="00F02D0D">
              <w:rPr>
                <w:rFonts w:cs="Times New Roman"/>
                <w:color w:val="000000"/>
                <w:sz w:val="22"/>
                <w:szCs w:val="22"/>
              </w:rPr>
              <w:t>p-value</w:t>
            </w:r>
          </w:p>
        </w:tc>
        <w:tc>
          <w:tcPr>
            <w:tcW w:w="1249" w:type="dxa"/>
            <w:tcBorders>
              <w:top w:val="nil"/>
              <w:left w:val="nil"/>
              <w:bottom w:val="nil"/>
              <w:right w:val="nil"/>
            </w:tcBorders>
            <w:shd w:val="clear" w:color="auto" w:fill="auto"/>
            <w:noWrap/>
            <w:vAlign w:val="center"/>
            <w:hideMark/>
          </w:tcPr>
          <w:p w14:paraId="37950CC3"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0.0246*</w:t>
            </w:r>
          </w:p>
        </w:tc>
        <w:tc>
          <w:tcPr>
            <w:tcW w:w="1249" w:type="dxa"/>
            <w:tcBorders>
              <w:top w:val="nil"/>
              <w:left w:val="nil"/>
              <w:bottom w:val="nil"/>
              <w:right w:val="nil"/>
            </w:tcBorders>
            <w:shd w:val="clear" w:color="auto" w:fill="auto"/>
            <w:noWrap/>
            <w:vAlign w:val="center"/>
            <w:hideMark/>
          </w:tcPr>
          <w:p w14:paraId="6C176A1B"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0.0497*</w:t>
            </w:r>
          </w:p>
        </w:tc>
        <w:tc>
          <w:tcPr>
            <w:tcW w:w="1205" w:type="dxa"/>
            <w:tcBorders>
              <w:top w:val="nil"/>
              <w:left w:val="nil"/>
              <w:bottom w:val="nil"/>
              <w:right w:val="nil"/>
            </w:tcBorders>
            <w:shd w:val="clear" w:color="auto" w:fill="auto"/>
            <w:noWrap/>
            <w:vAlign w:val="center"/>
            <w:hideMark/>
          </w:tcPr>
          <w:p w14:paraId="594E82C5"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0.259</w:t>
            </w:r>
          </w:p>
        </w:tc>
        <w:tc>
          <w:tcPr>
            <w:tcW w:w="1294" w:type="dxa"/>
            <w:tcBorders>
              <w:top w:val="nil"/>
              <w:left w:val="nil"/>
              <w:bottom w:val="nil"/>
              <w:right w:val="nil"/>
            </w:tcBorders>
            <w:shd w:val="clear" w:color="auto" w:fill="auto"/>
            <w:noWrap/>
            <w:vAlign w:val="center"/>
            <w:hideMark/>
          </w:tcPr>
          <w:p w14:paraId="33FBAE3D"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0.183</w:t>
            </w:r>
          </w:p>
        </w:tc>
      </w:tr>
      <w:tr w:rsidR="00F02D0D" w:rsidRPr="00F02D0D" w14:paraId="4ABF8AA0" w14:textId="77777777" w:rsidTr="00F02D0D">
        <w:trPr>
          <w:trHeight w:val="314"/>
        </w:trPr>
        <w:tc>
          <w:tcPr>
            <w:tcW w:w="1921" w:type="dxa"/>
            <w:tcBorders>
              <w:top w:val="nil"/>
              <w:left w:val="nil"/>
              <w:bottom w:val="nil"/>
              <w:right w:val="nil"/>
            </w:tcBorders>
            <w:shd w:val="clear" w:color="auto" w:fill="auto"/>
            <w:noWrap/>
            <w:vAlign w:val="bottom"/>
            <w:hideMark/>
          </w:tcPr>
          <w:p w14:paraId="23B0C523" w14:textId="229AC574" w:rsidR="00F02D0D" w:rsidRPr="00F02D0D" w:rsidRDefault="00F02D0D" w:rsidP="00F02D0D">
            <w:pPr>
              <w:spacing w:line="240" w:lineRule="auto"/>
              <w:ind w:firstLine="0"/>
              <w:rPr>
                <w:rFonts w:cs="Times New Roman"/>
                <w:b/>
                <w:bCs/>
                <w:color w:val="000000"/>
                <w:sz w:val="22"/>
                <w:szCs w:val="22"/>
              </w:rPr>
            </w:pPr>
            <w:r w:rsidRPr="00F02D0D">
              <w:rPr>
                <w:rFonts w:cs="Times New Roman"/>
                <w:b/>
                <w:bCs/>
                <w:color w:val="000000"/>
                <w:sz w:val="22"/>
                <w:szCs w:val="22"/>
              </w:rPr>
              <w:t>Inverse Simpson</w:t>
            </w:r>
          </w:p>
        </w:tc>
        <w:tc>
          <w:tcPr>
            <w:tcW w:w="1249" w:type="dxa"/>
            <w:tcBorders>
              <w:top w:val="nil"/>
              <w:left w:val="nil"/>
              <w:bottom w:val="nil"/>
              <w:right w:val="nil"/>
            </w:tcBorders>
            <w:shd w:val="clear" w:color="auto" w:fill="auto"/>
            <w:noWrap/>
            <w:vAlign w:val="bottom"/>
            <w:hideMark/>
          </w:tcPr>
          <w:p w14:paraId="4F879300" w14:textId="77777777" w:rsidR="00F02D0D" w:rsidRPr="00F02D0D" w:rsidRDefault="00F02D0D" w:rsidP="00F02D0D">
            <w:pPr>
              <w:spacing w:line="240" w:lineRule="auto"/>
              <w:ind w:firstLine="0"/>
              <w:rPr>
                <w:rFonts w:cs="Times New Roman"/>
                <w:color w:val="000000"/>
                <w:sz w:val="22"/>
                <w:szCs w:val="22"/>
              </w:rPr>
            </w:pPr>
            <w:r w:rsidRPr="00F02D0D">
              <w:rPr>
                <w:rFonts w:cs="Times New Roman"/>
                <w:color w:val="000000"/>
                <w:sz w:val="22"/>
                <w:szCs w:val="22"/>
              </w:rPr>
              <w:t>R</w:t>
            </w:r>
            <w:r w:rsidRPr="00F02D0D">
              <w:rPr>
                <w:rFonts w:cs="Times New Roman"/>
                <w:color w:val="000000"/>
                <w:sz w:val="22"/>
                <w:szCs w:val="22"/>
                <w:vertAlign w:val="superscript"/>
              </w:rPr>
              <w:t>2</w:t>
            </w:r>
          </w:p>
        </w:tc>
        <w:tc>
          <w:tcPr>
            <w:tcW w:w="1249" w:type="dxa"/>
            <w:tcBorders>
              <w:top w:val="nil"/>
              <w:left w:val="nil"/>
              <w:bottom w:val="nil"/>
              <w:right w:val="nil"/>
            </w:tcBorders>
            <w:shd w:val="clear" w:color="auto" w:fill="auto"/>
            <w:noWrap/>
            <w:vAlign w:val="center"/>
            <w:hideMark/>
          </w:tcPr>
          <w:p w14:paraId="1F1F4530"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-0.926</w:t>
            </w:r>
          </w:p>
        </w:tc>
        <w:tc>
          <w:tcPr>
            <w:tcW w:w="1249" w:type="dxa"/>
            <w:tcBorders>
              <w:top w:val="nil"/>
              <w:left w:val="nil"/>
              <w:bottom w:val="nil"/>
              <w:right w:val="nil"/>
            </w:tcBorders>
            <w:shd w:val="clear" w:color="auto" w:fill="auto"/>
            <w:noWrap/>
            <w:vAlign w:val="center"/>
            <w:hideMark/>
          </w:tcPr>
          <w:p w14:paraId="0DAE0248"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-0.883</w:t>
            </w:r>
          </w:p>
        </w:tc>
        <w:tc>
          <w:tcPr>
            <w:tcW w:w="1205" w:type="dxa"/>
            <w:tcBorders>
              <w:top w:val="nil"/>
              <w:left w:val="nil"/>
              <w:bottom w:val="nil"/>
              <w:right w:val="nil"/>
            </w:tcBorders>
            <w:shd w:val="clear" w:color="auto" w:fill="auto"/>
            <w:noWrap/>
            <w:vAlign w:val="center"/>
            <w:hideMark/>
          </w:tcPr>
          <w:p w14:paraId="679A2E57"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0.587</w:t>
            </w:r>
          </w:p>
        </w:tc>
        <w:tc>
          <w:tcPr>
            <w:tcW w:w="1294" w:type="dxa"/>
            <w:tcBorders>
              <w:top w:val="nil"/>
              <w:left w:val="nil"/>
              <w:bottom w:val="nil"/>
              <w:right w:val="nil"/>
            </w:tcBorders>
            <w:shd w:val="clear" w:color="auto" w:fill="auto"/>
            <w:noWrap/>
            <w:vAlign w:val="center"/>
            <w:hideMark/>
          </w:tcPr>
          <w:p w14:paraId="20F0A390"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0.543</w:t>
            </w:r>
          </w:p>
        </w:tc>
      </w:tr>
      <w:tr w:rsidR="00F02D0D" w:rsidRPr="00F02D0D" w14:paraId="0E8ACCF9" w14:textId="77777777" w:rsidTr="00F02D0D">
        <w:trPr>
          <w:trHeight w:val="314"/>
        </w:trPr>
        <w:tc>
          <w:tcPr>
            <w:tcW w:w="1921" w:type="dxa"/>
            <w:tcBorders>
              <w:top w:val="nil"/>
              <w:left w:val="nil"/>
              <w:bottom w:val="nil"/>
              <w:right w:val="nil"/>
            </w:tcBorders>
            <w:shd w:val="clear" w:color="auto" w:fill="auto"/>
            <w:noWrap/>
            <w:vAlign w:val="bottom"/>
            <w:hideMark/>
          </w:tcPr>
          <w:p w14:paraId="3136089F" w14:textId="4686B5C9" w:rsidR="00F02D0D" w:rsidRPr="00F02D0D" w:rsidRDefault="00F02D0D" w:rsidP="00F02D0D">
            <w:pPr>
              <w:spacing w:line="240" w:lineRule="auto"/>
              <w:ind w:firstLine="0"/>
              <w:jc w:val="right"/>
              <w:rPr>
                <w:rFonts w:cs="Times New Roman"/>
                <w:b/>
                <w:bCs/>
                <w:color w:val="000000"/>
                <w:sz w:val="22"/>
                <w:szCs w:val="22"/>
              </w:rPr>
            </w:pPr>
          </w:p>
        </w:tc>
        <w:tc>
          <w:tcPr>
            <w:tcW w:w="1249" w:type="dxa"/>
            <w:tcBorders>
              <w:top w:val="nil"/>
              <w:left w:val="nil"/>
              <w:bottom w:val="nil"/>
              <w:right w:val="nil"/>
            </w:tcBorders>
            <w:shd w:val="clear" w:color="auto" w:fill="auto"/>
            <w:noWrap/>
            <w:vAlign w:val="bottom"/>
            <w:hideMark/>
          </w:tcPr>
          <w:p w14:paraId="00F59634" w14:textId="77777777" w:rsidR="00F02D0D" w:rsidRPr="00F02D0D" w:rsidRDefault="00F02D0D" w:rsidP="00F02D0D">
            <w:pPr>
              <w:spacing w:line="240" w:lineRule="auto"/>
              <w:ind w:firstLine="0"/>
              <w:rPr>
                <w:rFonts w:cs="Times New Roman"/>
                <w:color w:val="000000"/>
                <w:sz w:val="22"/>
                <w:szCs w:val="22"/>
              </w:rPr>
            </w:pPr>
            <w:r w:rsidRPr="00F02D0D">
              <w:rPr>
                <w:rFonts w:cs="Times New Roman"/>
                <w:color w:val="000000"/>
                <w:sz w:val="22"/>
                <w:szCs w:val="22"/>
              </w:rPr>
              <w:t>p-value</w:t>
            </w:r>
          </w:p>
        </w:tc>
        <w:tc>
          <w:tcPr>
            <w:tcW w:w="1249" w:type="dxa"/>
            <w:tcBorders>
              <w:top w:val="nil"/>
              <w:left w:val="nil"/>
              <w:bottom w:val="nil"/>
              <w:right w:val="nil"/>
            </w:tcBorders>
            <w:shd w:val="clear" w:color="auto" w:fill="auto"/>
            <w:noWrap/>
            <w:vAlign w:val="center"/>
            <w:hideMark/>
          </w:tcPr>
          <w:p w14:paraId="68900595"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0.0380*</w:t>
            </w:r>
          </w:p>
        </w:tc>
        <w:tc>
          <w:tcPr>
            <w:tcW w:w="1249" w:type="dxa"/>
            <w:tcBorders>
              <w:top w:val="nil"/>
              <w:left w:val="nil"/>
              <w:bottom w:val="nil"/>
              <w:right w:val="nil"/>
            </w:tcBorders>
            <w:shd w:val="clear" w:color="auto" w:fill="auto"/>
            <w:noWrap/>
            <w:vAlign w:val="center"/>
            <w:hideMark/>
          </w:tcPr>
          <w:p w14:paraId="783303E9"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0.0604</w:t>
            </w:r>
          </w:p>
        </w:tc>
        <w:tc>
          <w:tcPr>
            <w:tcW w:w="1205" w:type="dxa"/>
            <w:tcBorders>
              <w:top w:val="nil"/>
              <w:left w:val="nil"/>
              <w:bottom w:val="nil"/>
              <w:right w:val="nil"/>
            </w:tcBorders>
            <w:shd w:val="clear" w:color="auto" w:fill="auto"/>
            <w:noWrap/>
            <w:vAlign w:val="center"/>
            <w:hideMark/>
          </w:tcPr>
          <w:p w14:paraId="582A04B1"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0.131</w:t>
            </w:r>
          </w:p>
        </w:tc>
        <w:tc>
          <w:tcPr>
            <w:tcW w:w="1294" w:type="dxa"/>
            <w:tcBorders>
              <w:top w:val="nil"/>
              <w:left w:val="nil"/>
              <w:bottom w:val="nil"/>
              <w:right w:val="nil"/>
            </w:tcBorders>
            <w:shd w:val="clear" w:color="auto" w:fill="auto"/>
            <w:noWrap/>
            <w:vAlign w:val="center"/>
            <w:hideMark/>
          </w:tcPr>
          <w:p w14:paraId="5F02EEAA"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0.1557</w:t>
            </w:r>
          </w:p>
        </w:tc>
      </w:tr>
      <w:tr w:rsidR="00F02D0D" w:rsidRPr="00F02D0D" w14:paraId="20DB6D3E" w14:textId="77777777" w:rsidTr="00F02D0D">
        <w:trPr>
          <w:trHeight w:val="314"/>
        </w:trPr>
        <w:tc>
          <w:tcPr>
            <w:tcW w:w="1921" w:type="dxa"/>
            <w:tcBorders>
              <w:top w:val="nil"/>
              <w:left w:val="nil"/>
              <w:right w:val="nil"/>
            </w:tcBorders>
            <w:shd w:val="clear" w:color="auto" w:fill="auto"/>
            <w:noWrap/>
            <w:vAlign w:val="bottom"/>
            <w:hideMark/>
          </w:tcPr>
          <w:p w14:paraId="7DE61E6E" w14:textId="77777777" w:rsidR="00F02D0D" w:rsidRPr="00F02D0D" w:rsidRDefault="00F02D0D" w:rsidP="00F02D0D">
            <w:pPr>
              <w:spacing w:line="240" w:lineRule="auto"/>
              <w:ind w:firstLine="0"/>
              <w:rPr>
                <w:rFonts w:cs="Times New Roman"/>
                <w:b/>
                <w:bCs/>
                <w:color w:val="000000"/>
                <w:sz w:val="22"/>
                <w:szCs w:val="22"/>
              </w:rPr>
            </w:pPr>
            <w:r w:rsidRPr="00F02D0D">
              <w:rPr>
                <w:rFonts w:cs="Times New Roman"/>
                <w:b/>
                <w:bCs/>
                <w:color w:val="000000"/>
                <w:sz w:val="22"/>
                <w:szCs w:val="22"/>
              </w:rPr>
              <w:t>Chao1</w:t>
            </w:r>
          </w:p>
        </w:tc>
        <w:tc>
          <w:tcPr>
            <w:tcW w:w="1249" w:type="dxa"/>
            <w:tcBorders>
              <w:top w:val="nil"/>
              <w:left w:val="nil"/>
              <w:right w:val="nil"/>
            </w:tcBorders>
            <w:shd w:val="clear" w:color="auto" w:fill="auto"/>
            <w:noWrap/>
            <w:vAlign w:val="bottom"/>
            <w:hideMark/>
          </w:tcPr>
          <w:p w14:paraId="002A6816" w14:textId="77777777" w:rsidR="00F02D0D" w:rsidRPr="00F02D0D" w:rsidRDefault="00F02D0D" w:rsidP="00F02D0D">
            <w:pPr>
              <w:spacing w:line="240" w:lineRule="auto"/>
              <w:ind w:firstLine="0"/>
              <w:rPr>
                <w:rFonts w:cs="Times New Roman"/>
                <w:color w:val="000000"/>
                <w:sz w:val="22"/>
                <w:szCs w:val="22"/>
              </w:rPr>
            </w:pPr>
            <w:r w:rsidRPr="00F02D0D">
              <w:rPr>
                <w:rFonts w:cs="Times New Roman"/>
                <w:color w:val="000000"/>
                <w:sz w:val="22"/>
                <w:szCs w:val="22"/>
              </w:rPr>
              <w:t>R</w:t>
            </w:r>
            <w:r w:rsidRPr="00F02D0D">
              <w:rPr>
                <w:rFonts w:cs="Times New Roman"/>
                <w:color w:val="000000"/>
                <w:sz w:val="22"/>
                <w:szCs w:val="22"/>
                <w:vertAlign w:val="superscript"/>
              </w:rPr>
              <w:t>2</w:t>
            </w:r>
          </w:p>
        </w:tc>
        <w:tc>
          <w:tcPr>
            <w:tcW w:w="1249" w:type="dxa"/>
            <w:tcBorders>
              <w:top w:val="nil"/>
              <w:left w:val="nil"/>
              <w:right w:val="nil"/>
            </w:tcBorders>
            <w:shd w:val="clear" w:color="auto" w:fill="auto"/>
            <w:noWrap/>
            <w:vAlign w:val="center"/>
            <w:hideMark/>
          </w:tcPr>
          <w:p w14:paraId="75E7CCDC"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-0.948</w:t>
            </w:r>
          </w:p>
        </w:tc>
        <w:tc>
          <w:tcPr>
            <w:tcW w:w="1249" w:type="dxa"/>
            <w:tcBorders>
              <w:top w:val="nil"/>
              <w:left w:val="nil"/>
              <w:right w:val="nil"/>
            </w:tcBorders>
            <w:shd w:val="clear" w:color="auto" w:fill="auto"/>
            <w:noWrap/>
            <w:vAlign w:val="center"/>
            <w:hideMark/>
          </w:tcPr>
          <w:p w14:paraId="58AB0EF4"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-0.898</w:t>
            </w:r>
          </w:p>
        </w:tc>
        <w:tc>
          <w:tcPr>
            <w:tcW w:w="1205" w:type="dxa"/>
            <w:tcBorders>
              <w:top w:val="nil"/>
              <w:left w:val="nil"/>
              <w:right w:val="nil"/>
            </w:tcBorders>
            <w:shd w:val="clear" w:color="auto" w:fill="auto"/>
            <w:noWrap/>
            <w:vAlign w:val="center"/>
            <w:hideMark/>
          </w:tcPr>
          <w:p w14:paraId="3569989C"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-0.15</w:t>
            </w:r>
          </w:p>
        </w:tc>
        <w:tc>
          <w:tcPr>
            <w:tcW w:w="1294" w:type="dxa"/>
            <w:tcBorders>
              <w:top w:val="nil"/>
              <w:left w:val="nil"/>
              <w:right w:val="nil"/>
            </w:tcBorders>
            <w:shd w:val="clear" w:color="auto" w:fill="auto"/>
            <w:noWrap/>
            <w:vAlign w:val="center"/>
            <w:hideMark/>
          </w:tcPr>
          <w:p w14:paraId="2F1056B7"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-0.204</w:t>
            </w:r>
          </w:p>
        </w:tc>
      </w:tr>
      <w:tr w:rsidR="00F02D0D" w:rsidRPr="00F02D0D" w14:paraId="45EB49D1" w14:textId="77777777" w:rsidTr="00F02D0D">
        <w:trPr>
          <w:trHeight w:val="314"/>
        </w:trPr>
        <w:tc>
          <w:tcPr>
            <w:tcW w:w="1921" w:type="dxa"/>
            <w:tcBorders>
              <w:top w:val="nil"/>
              <w:left w:val="nil"/>
              <w:bottom w:val="single" w:sz="4" w:space="0" w:color="000000"/>
              <w:right w:val="nil"/>
            </w:tcBorders>
            <w:shd w:val="clear" w:color="auto" w:fill="auto"/>
            <w:noWrap/>
            <w:vAlign w:val="bottom"/>
            <w:hideMark/>
          </w:tcPr>
          <w:p w14:paraId="1CFAB74C" w14:textId="77777777" w:rsidR="00F02D0D" w:rsidRPr="00F02D0D" w:rsidRDefault="00F02D0D" w:rsidP="00F02D0D">
            <w:pPr>
              <w:spacing w:line="240" w:lineRule="auto"/>
              <w:ind w:firstLine="0"/>
              <w:jc w:val="right"/>
              <w:rPr>
                <w:rFonts w:cs="Times New Roman"/>
                <w:color w:val="000000"/>
                <w:sz w:val="22"/>
                <w:szCs w:val="22"/>
              </w:rPr>
            </w:pPr>
          </w:p>
        </w:tc>
        <w:tc>
          <w:tcPr>
            <w:tcW w:w="1249" w:type="dxa"/>
            <w:tcBorders>
              <w:top w:val="nil"/>
              <w:left w:val="nil"/>
              <w:bottom w:val="single" w:sz="4" w:space="0" w:color="000000"/>
              <w:right w:val="nil"/>
            </w:tcBorders>
            <w:shd w:val="clear" w:color="auto" w:fill="auto"/>
            <w:noWrap/>
            <w:vAlign w:val="bottom"/>
            <w:hideMark/>
          </w:tcPr>
          <w:p w14:paraId="595694EE" w14:textId="77777777" w:rsidR="00F02D0D" w:rsidRPr="00F02D0D" w:rsidRDefault="00F02D0D" w:rsidP="00F02D0D">
            <w:pPr>
              <w:spacing w:line="240" w:lineRule="auto"/>
              <w:ind w:firstLine="0"/>
              <w:rPr>
                <w:rFonts w:cs="Times New Roman"/>
                <w:color w:val="000000"/>
                <w:sz w:val="22"/>
                <w:szCs w:val="22"/>
              </w:rPr>
            </w:pPr>
            <w:r w:rsidRPr="00F02D0D">
              <w:rPr>
                <w:rFonts w:cs="Times New Roman"/>
                <w:color w:val="000000"/>
                <w:sz w:val="22"/>
                <w:szCs w:val="22"/>
              </w:rPr>
              <w:t>p-value</w:t>
            </w:r>
          </w:p>
        </w:tc>
        <w:tc>
          <w:tcPr>
            <w:tcW w:w="1249" w:type="dxa"/>
            <w:tcBorders>
              <w:top w:val="nil"/>
              <w:left w:val="nil"/>
              <w:bottom w:val="single" w:sz="4" w:space="0" w:color="000000"/>
              <w:right w:val="nil"/>
            </w:tcBorders>
            <w:shd w:val="clear" w:color="auto" w:fill="auto"/>
            <w:noWrap/>
            <w:vAlign w:val="center"/>
            <w:hideMark/>
          </w:tcPr>
          <w:p w14:paraId="699C62BF"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0.0265*</w:t>
            </w:r>
          </w:p>
        </w:tc>
        <w:tc>
          <w:tcPr>
            <w:tcW w:w="1249" w:type="dxa"/>
            <w:tcBorders>
              <w:top w:val="nil"/>
              <w:left w:val="nil"/>
              <w:bottom w:val="single" w:sz="4" w:space="0" w:color="000000"/>
              <w:right w:val="nil"/>
            </w:tcBorders>
            <w:shd w:val="clear" w:color="auto" w:fill="auto"/>
            <w:noWrap/>
            <w:vAlign w:val="center"/>
            <w:hideMark/>
          </w:tcPr>
          <w:p w14:paraId="2F8535FE"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0.5238</w:t>
            </w:r>
          </w:p>
        </w:tc>
        <w:tc>
          <w:tcPr>
            <w:tcW w:w="1205" w:type="dxa"/>
            <w:tcBorders>
              <w:top w:val="nil"/>
              <w:left w:val="nil"/>
              <w:bottom w:val="single" w:sz="4" w:space="0" w:color="000000"/>
              <w:right w:val="nil"/>
            </w:tcBorders>
            <w:shd w:val="clear" w:color="auto" w:fill="auto"/>
            <w:noWrap/>
            <w:vAlign w:val="center"/>
            <w:hideMark/>
          </w:tcPr>
          <w:p w14:paraId="24752DBD"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0.519</w:t>
            </w:r>
          </w:p>
        </w:tc>
        <w:tc>
          <w:tcPr>
            <w:tcW w:w="1294" w:type="dxa"/>
            <w:tcBorders>
              <w:top w:val="nil"/>
              <w:left w:val="nil"/>
              <w:bottom w:val="single" w:sz="4" w:space="0" w:color="000000"/>
              <w:right w:val="nil"/>
            </w:tcBorders>
            <w:shd w:val="clear" w:color="auto" w:fill="auto"/>
            <w:noWrap/>
            <w:vAlign w:val="center"/>
            <w:hideMark/>
          </w:tcPr>
          <w:p w14:paraId="3E6864AE" w14:textId="77777777" w:rsidR="00F02D0D" w:rsidRPr="00F02D0D" w:rsidRDefault="00F02D0D" w:rsidP="00F02D0D">
            <w:pPr>
              <w:spacing w:line="240" w:lineRule="auto"/>
              <w:ind w:firstLine="0"/>
              <w:jc w:val="center"/>
              <w:rPr>
                <w:rFonts w:cs="Times New Roman"/>
                <w:color w:val="000000"/>
                <w:sz w:val="22"/>
                <w:szCs w:val="22"/>
              </w:rPr>
            </w:pPr>
            <w:r w:rsidRPr="00F02D0D">
              <w:rPr>
                <w:rFonts w:cs="Times New Roman"/>
                <w:color w:val="000000"/>
                <w:sz w:val="22"/>
                <w:szCs w:val="22"/>
              </w:rPr>
              <w:t>0.4454</w:t>
            </w:r>
          </w:p>
        </w:tc>
      </w:tr>
    </w:tbl>
    <w:p w14:paraId="526E9EF0" w14:textId="77777777" w:rsidR="00F02D0D" w:rsidRPr="00F02D0D" w:rsidRDefault="00F02D0D" w:rsidP="00F02D0D"/>
    <w:p w14:paraId="1A816A5F" w14:textId="77777777" w:rsidR="00A46B68" w:rsidRDefault="00A46B68" w:rsidP="00A46B68">
      <w:pPr>
        <w:spacing w:line="240" w:lineRule="auto"/>
        <w:ind w:firstLine="0"/>
        <w:rPr>
          <w:b/>
          <w:bCs/>
        </w:rPr>
      </w:pPr>
    </w:p>
    <w:p w14:paraId="71DA8803" w14:textId="52E32057" w:rsidR="00A46B68" w:rsidRPr="00562244" w:rsidRDefault="00A46B68" w:rsidP="00F13F6D">
      <w:pPr>
        <w:pStyle w:val="Caption"/>
        <w:rPr>
          <w:i/>
        </w:rPr>
      </w:pPr>
      <w:bookmarkStart w:id="182" w:name="_Toc193668456"/>
      <w:r w:rsidRPr="004A7652">
        <w:t xml:space="preserve">Table </w:t>
      </w:r>
      <w:fldSimple w:instr=" STYLEREF 1 \s ">
        <w:r w:rsidR="00971287">
          <w:rPr>
            <w:noProof/>
          </w:rPr>
          <w:t>3</w:t>
        </w:r>
      </w:fldSimple>
      <w:r>
        <w:t>.</w:t>
      </w:r>
      <w:fldSimple w:instr=" SEQ Table \* ARABIC \s 1 ">
        <w:r w:rsidR="00971287">
          <w:rPr>
            <w:noProof/>
          </w:rPr>
          <w:t>5</w:t>
        </w:r>
      </w:fldSimple>
      <w:r w:rsidRPr="004A7652">
        <w:t>. Summary of seep metagenomes.</w:t>
      </w:r>
      <w:bookmarkEnd w:id="182"/>
    </w:p>
    <w:tbl>
      <w:tblPr>
        <w:tblW w:w="8486" w:type="dxa"/>
        <w:tblLook w:val="04A0" w:firstRow="1" w:lastRow="0" w:firstColumn="1" w:lastColumn="0" w:noHBand="0" w:noVBand="1"/>
      </w:tblPr>
      <w:tblGrid>
        <w:gridCol w:w="1428"/>
        <w:gridCol w:w="1462"/>
        <w:gridCol w:w="1337"/>
        <w:gridCol w:w="1337"/>
        <w:gridCol w:w="1461"/>
        <w:gridCol w:w="1461"/>
      </w:tblGrid>
      <w:tr w:rsidR="00F02D0D" w:rsidRPr="00F02D0D" w14:paraId="116F1E9E" w14:textId="77777777" w:rsidTr="00F02D0D">
        <w:trPr>
          <w:trHeight w:val="343"/>
        </w:trPr>
        <w:tc>
          <w:tcPr>
            <w:tcW w:w="0" w:type="auto"/>
            <w:tcBorders>
              <w:top w:val="nil"/>
              <w:left w:val="nil"/>
              <w:bottom w:val="single" w:sz="4" w:space="0" w:color="000000"/>
              <w:right w:val="nil"/>
            </w:tcBorders>
            <w:shd w:val="clear" w:color="auto" w:fill="auto"/>
            <w:noWrap/>
            <w:vAlign w:val="bottom"/>
            <w:hideMark/>
          </w:tcPr>
          <w:p w14:paraId="2E58839F" w14:textId="77777777" w:rsidR="00F02D0D" w:rsidRPr="00F02D0D" w:rsidRDefault="00F02D0D" w:rsidP="00F02D0D">
            <w:pPr>
              <w:spacing w:line="240" w:lineRule="auto"/>
              <w:ind w:firstLine="0"/>
              <w:rPr>
                <w:rFonts w:cs="Times New Roman"/>
                <w:b/>
                <w:bCs/>
                <w:color w:val="000000"/>
              </w:rPr>
            </w:pPr>
            <w:r w:rsidRPr="00F02D0D">
              <w:rPr>
                <w:rFonts w:cs="Times New Roman"/>
                <w:b/>
                <w:bCs/>
                <w:color w:val="000000"/>
              </w:rPr>
              <w:t>Sample</w:t>
            </w:r>
          </w:p>
        </w:tc>
        <w:tc>
          <w:tcPr>
            <w:tcW w:w="0" w:type="auto"/>
            <w:tcBorders>
              <w:top w:val="nil"/>
              <w:left w:val="nil"/>
              <w:bottom w:val="single" w:sz="4" w:space="0" w:color="000000"/>
              <w:right w:val="nil"/>
            </w:tcBorders>
            <w:shd w:val="clear" w:color="auto" w:fill="auto"/>
            <w:noWrap/>
            <w:vAlign w:val="center"/>
            <w:hideMark/>
          </w:tcPr>
          <w:p w14:paraId="14BE2CB4" w14:textId="77777777" w:rsidR="00F02D0D" w:rsidRPr="00F02D0D" w:rsidRDefault="00F02D0D" w:rsidP="00F02D0D">
            <w:pPr>
              <w:spacing w:line="240" w:lineRule="auto"/>
              <w:ind w:firstLine="0"/>
              <w:jc w:val="center"/>
              <w:rPr>
                <w:rFonts w:cs="Times New Roman"/>
                <w:b/>
                <w:bCs/>
                <w:color w:val="000000"/>
              </w:rPr>
            </w:pPr>
            <w:r w:rsidRPr="00F02D0D">
              <w:rPr>
                <w:rFonts w:cs="Times New Roman"/>
                <w:b/>
                <w:bCs/>
                <w:color w:val="000000"/>
              </w:rPr>
              <w:t>WB3</w:t>
            </w:r>
          </w:p>
        </w:tc>
        <w:tc>
          <w:tcPr>
            <w:tcW w:w="0" w:type="auto"/>
            <w:tcBorders>
              <w:top w:val="nil"/>
              <w:left w:val="nil"/>
              <w:bottom w:val="single" w:sz="4" w:space="0" w:color="000000"/>
              <w:right w:val="nil"/>
            </w:tcBorders>
            <w:shd w:val="clear" w:color="auto" w:fill="auto"/>
            <w:noWrap/>
            <w:vAlign w:val="center"/>
            <w:hideMark/>
          </w:tcPr>
          <w:p w14:paraId="5EC5AE5F" w14:textId="77777777" w:rsidR="00F02D0D" w:rsidRPr="00F02D0D" w:rsidRDefault="00F02D0D" w:rsidP="00F02D0D">
            <w:pPr>
              <w:spacing w:line="240" w:lineRule="auto"/>
              <w:ind w:firstLine="0"/>
              <w:jc w:val="center"/>
              <w:rPr>
                <w:rFonts w:cs="Times New Roman"/>
                <w:b/>
                <w:bCs/>
                <w:color w:val="000000"/>
              </w:rPr>
            </w:pPr>
            <w:r w:rsidRPr="00F02D0D">
              <w:rPr>
                <w:rFonts w:cs="Times New Roman"/>
                <w:b/>
                <w:bCs/>
                <w:color w:val="000000"/>
              </w:rPr>
              <w:t>WB5</w:t>
            </w:r>
          </w:p>
        </w:tc>
        <w:tc>
          <w:tcPr>
            <w:tcW w:w="0" w:type="auto"/>
            <w:tcBorders>
              <w:top w:val="nil"/>
              <w:left w:val="nil"/>
              <w:bottom w:val="single" w:sz="4" w:space="0" w:color="000000"/>
              <w:right w:val="nil"/>
            </w:tcBorders>
            <w:shd w:val="clear" w:color="auto" w:fill="auto"/>
            <w:noWrap/>
            <w:vAlign w:val="center"/>
            <w:hideMark/>
          </w:tcPr>
          <w:p w14:paraId="60BF64D0" w14:textId="77777777" w:rsidR="00F02D0D" w:rsidRPr="00F02D0D" w:rsidRDefault="00F02D0D" w:rsidP="00F02D0D">
            <w:pPr>
              <w:spacing w:line="240" w:lineRule="auto"/>
              <w:ind w:firstLine="0"/>
              <w:jc w:val="center"/>
              <w:rPr>
                <w:rFonts w:cs="Times New Roman"/>
                <w:b/>
                <w:bCs/>
                <w:color w:val="000000"/>
              </w:rPr>
            </w:pPr>
            <w:r w:rsidRPr="00F02D0D">
              <w:rPr>
                <w:rFonts w:cs="Times New Roman"/>
                <w:b/>
                <w:bCs/>
                <w:color w:val="000000"/>
              </w:rPr>
              <w:t>DA1</w:t>
            </w:r>
          </w:p>
        </w:tc>
        <w:tc>
          <w:tcPr>
            <w:tcW w:w="0" w:type="auto"/>
            <w:tcBorders>
              <w:top w:val="nil"/>
              <w:left w:val="nil"/>
              <w:bottom w:val="single" w:sz="4" w:space="0" w:color="000000"/>
              <w:right w:val="nil"/>
            </w:tcBorders>
            <w:shd w:val="clear" w:color="auto" w:fill="auto"/>
            <w:noWrap/>
            <w:vAlign w:val="center"/>
            <w:hideMark/>
          </w:tcPr>
          <w:p w14:paraId="298B701B" w14:textId="77777777" w:rsidR="00F02D0D" w:rsidRPr="00F02D0D" w:rsidRDefault="00F02D0D" w:rsidP="00F02D0D">
            <w:pPr>
              <w:spacing w:line="240" w:lineRule="auto"/>
              <w:ind w:firstLine="0"/>
              <w:jc w:val="center"/>
              <w:rPr>
                <w:rFonts w:cs="Times New Roman"/>
                <w:b/>
                <w:bCs/>
                <w:color w:val="000000"/>
              </w:rPr>
            </w:pPr>
            <w:r w:rsidRPr="00F02D0D">
              <w:rPr>
                <w:rFonts w:cs="Times New Roman"/>
                <w:b/>
                <w:bCs/>
                <w:color w:val="000000"/>
              </w:rPr>
              <w:t>DA3</w:t>
            </w:r>
          </w:p>
        </w:tc>
        <w:tc>
          <w:tcPr>
            <w:tcW w:w="0" w:type="auto"/>
            <w:tcBorders>
              <w:top w:val="nil"/>
              <w:left w:val="nil"/>
              <w:bottom w:val="single" w:sz="4" w:space="0" w:color="000000"/>
              <w:right w:val="nil"/>
            </w:tcBorders>
            <w:shd w:val="clear" w:color="auto" w:fill="auto"/>
            <w:noWrap/>
            <w:vAlign w:val="center"/>
            <w:hideMark/>
          </w:tcPr>
          <w:p w14:paraId="65588EE7" w14:textId="77777777" w:rsidR="00F02D0D" w:rsidRPr="00F02D0D" w:rsidRDefault="00F02D0D" w:rsidP="00F02D0D">
            <w:pPr>
              <w:spacing w:line="240" w:lineRule="auto"/>
              <w:ind w:firstLine="0"/>
              <w:jc w:val="center"/>
              <w:rPr>
                <w:rFonts w:cs="Times New Roman"/>
                <w:b/>
                <w:bCs/>
                <w:color w:val="000000"/>
              </w:rPr>
            </w:pPr>
            <w:r w:rsidRPr="00F02D0D">
              <w:rPr>
                <w:rFonts w:cs="Times New Roman"/>
                <w:b/>
                <w:bCs/>
                <w:color w:val="000000"/>
              </w:rPr>
              <w:t>DA5</w:t>
            </w:r>
          </w:p>
        </w:tc>
      </w:tr>
      <w:tr w:rsidR="00F02D0D" w:rsidRPr="00F02D0D" w14:paraId="09A026F6" w14:textId="77777777" w:rsidTr="00F02D0D">
        <w:trPr>
          <w:trHeight w:val="343"/>
        </w:trPr>
        <w:tc>
          <w:tcPr>
            <w:tcW w:w="0" w:type="auto"/>
            <w:tcBorders>
              <w:top w:val="single" w:sz="4" w:space="0" w:color="000000"/>
              <w:left w:val="nil"/>
              <w:bottom w:val="nil"/>
              <w:right w:val="nil"/>
            </w:tcBorders>
            <w:shd w:val="clear" w:color="auto" w:fill="auto"/>
            <w:noWrap/>
            <w:vAlign w:val="bottom"/>
            <w:hideMark/>
          </w:tcPr>
          <w:p w14:paraId="6EF6600C" w14:textId="77777777" w:rsidR="00F02D0D" w:rsidRPr="00F02D0D" w:rsidRDefault="00F02D0D" w:rsidP="00F02D0D">
            <w:pPr>
              <w:spacing w:line="240" w:lineRule="auto"/>
              <w:ind w:firstLine="0"/>
              <w:rPr>
                <w:rFonts w:cs="Times New Roman"/>
                <w:color w:val="000000"/>
              </w:rPr>
            </w:pPr>
            <w:r w:rsidRPr="00F02D0D">
              <w:rPr>
                <w:rFonts w:cs="Times New Roman"/>
                <w:color w:val="000000"/>
              </w:rPr>
              <w:t>Raw Reads</w:t>
            </w:r>
          </w:p>
        </w:tc>
        <w:tc>
          <w:tcPr>
            <w:tcW w:w="0" w:type="auto"/>
            <w:tcBorders>
              <w:top w:val="single" w:sz="4" w:space="0" w:color="000000"/>
              <w:left w:val="nil"/>
              <w:bottom w:val="nil"/>
              <w:right w:val="nil"/>
            </w:tcBorders>
            <w:shd w:val="clear" w:color="auto" w:fill="auto"/>
            <w:noWrap/>
            <w:vAlign w:val="center"/>
            <w:hideMark/>
          </w:tcPr>
          <w:p w14:paraId="7CCFA597" w14:textId="5BD44360" w:rsidR="00F02D0D" w:rsidRPr="00F02D0D" w:rsidRDefault="00F02D0D" w:rsidP="00F02D0D">
            <w:pPr>
              <w:spacing w:line="240" w:lineRule="auto"/>
              <w:ind w:firstLine="0"/>
              <w:jc w:val="center"/>
              <w:rPr>
                <w:rFonts w:cs="Times New Roman"/>
                <w:color w:val="000000"/>
              </w:rPr>
            </w:pPr>
            <w:r w:rsidRPr="00F02D0D">
              <w:rPr>
                <w:rFonts w:cs="Times New Roman"/>
                <w:color w:val="000000"/>
              </w:rPr>
              <w:t>137755858</w:t>
            </w:r>
          </w:p>
        </w:tc>
        <w:tc>
          <w:tcPr>
            <w:tcW w:w="0" w:type="auto"/>
            <w:tcBorders>
              <w:top w:val="single" w:sz="4" w:space="0" w:color="000000"/>
              <w:left w:val="nil"/>
              <w:bottom w:val="nil"/>
              <w:right w:val="nil"/>
            </w:tcBorders>
            <w:shd w:val="clear" w:color="auto" w:fill="auto"/>
            <w:noWrap/>
            <w:vAlign w:val="center"/>
            <w:hideMark/>
          </w:tcPr>
          <w:p w14:paraId="45108E29"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59256510</w:t>
            </w:r>
          </w:p>
        </w:tc>
        <w:tc>
          <w:tcPr>
            <w:tcW w:w="0" w:type="auto"/>
            <w:tcBorders>
              <w:top w:val="single" w:sz="4" w:space="0" w:color="000000"/>
              <w:left w:val="nil"/>
              <w:bottom w:val="nil"/>
              <w:right w:val="nil"/>
            </w:tcBorders>
            <w:shd w:val="clear" w:color="auto" w:fill="auto"/>
            <w:noWrap/>
            <w:vAlign w:val="center"/>
            <w:hideMark/>
          </w:tcPr>
          <w:p w14:paraId="272AA1EC"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82118836</w:t>
            </w:r>
          </w:p>
        </w:tc>
        <w:tc>
          <w:tcPr>
            <w:tcW w:w="0" w:type="auto"/>
            <w:tcBorders>
              <w:top w:val="single" w:sz="4" w:space="0" w:color="000000"/>
              <w:left w:val="nil"/>
              <w:bottom w:val="nil"/>
              <w:right w:val="nil"/>
            </w:tcBorders>
            <w:shd w:val="clear" w:color="auto" w:fill="auto"/>
            <w:noWrap/>
            <w:vAlign w:val="center"/>
            <w:hideMark/>
          </w:tcPr>
          <w:p w14:paraId="2992AB36"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86774794</w:t>
            </w:r>
          </w:p>
        </w:tc>
        <w:tc>
          <w:tcPr>
            <w:tcW w:w="0" w:type="auto"/>
            <w:tcBorders>
              <w:top w:val="single" w:sz="4" w:space="0" w:color="000000"/>
              <w:left w:val="nil"/>
              <w:bottom w:val="nil"/>
              <w:right w:val="nil"/>
            </w:tcBorders>
            <w:shd w:val="clear" w:color="auto" w:fill="auto"/>
            <w:noWrap/>
            <w:vAlign w:val="center"/>
            <w:hideMark/>
          </w:tcPr>
          <w:p w14:paraId="7ABEED3D"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151624792</w:t>
            </w:r>
          </w:p>
        </w:tc>
      </w:tr>
      <w:tr w:rsidR="00F02D0D" w:rsidRPr="00F02D0D" w14:paraId="167B051A" w14:textId="77777777" w:rsidTr="00F02D0D">
        <w:trPr>
          <w:trHeight w:val="343"/>
        </w:trPr>
        <w:tc>
          <w:tcPr>
            <w:tcW w:w="0" w:type="auto"/>
            <w:gridSpan w:val="6"/>
            <w:tcBorders>
              <w:top w:val="single" w:sz="4" w:space="0" w:color="000000"/>
              <w:left w:val="nil"/>
              <w:bottom w:val="nil"/>
              <w:right w:val="nil"/>
            </w:tcBorders>
            <w:shd w:val="clear" w:color="auto" w:fill="auto"/>
            <w:noWrap/>
            <w:vAlign w:val="center"/>
          </w:tcPr>
          <w:p w14:paraId="4C4BE41D" w14:textId="506A22D6" w:rsidR="00F02D0D" w:rsidRPr="00F02D0D" w:rsidRDefault="00F02D0D" w:rsidP="00A36D35">
            <w:pPr>
              <w:spacing w:line="240" w:lineRule="auto"/>
              <w:ind w:firstLine="0"/>
              <w:rPr>
                <w:rFonts w:cs="Times New Roman"/>
                <w:color w:val="000000"/>
              </w:rPr>
            </w:pPr>
            <w:r>
              <w:rPr>
                <w:rFonts w:cs="Times New Roman"/>
                <w:b/>
                <w:bCs/>
                <w:color w:val="000000"/>
              </w:rPr>
              <w:t>Assembly Statistics</w:t>
            </w:r>
          </w:p>
        </w:tc>
      </w:tr>
      <w:tr w:rsidR="00F02D0D" w:rsidRPr="00F02D0D" w14:paraId="0282413C" w14:textId="77777777" w:rsidTr="00F02D0D">
        <w:trPr>
          <w:trHeight w:val="343"/>
        </w:trPr>
        <w:tc>
          <w:tcPr>
            <w:tcW w:w="0" w:type="auto"/>
            <w:tcBorders>
              <w:top w:val="nil"/>
              <w:left w:val="nil"/>
              <w:bottom w:val="nil"/>
              <w:right w:val="nil"/>
            </w:tcBorders>
            <w:shd w:val="clear" w:color="auto" w:fill="auto"/>
            <w:noWrap/>
            <w:vAlign w:val="bottom"/>
            <w:hideMark/>
          </w:tcPr>
          <w:p w14:paraId="60037120" w14:textId="61429E36" w:rsidR="00F02D0D" w:rsidRPr="00F02D0D" w:rsidRDefault="00F02D0D" w:rsidP="00F02D0D">
            <w:pPr>
              <w:spacing w:line="240" w:lineRule="auto"/>
              <w:ind w:firstLine="0"/>
              <w:rPr>
                <w:rFonts w:cs="Times New Roman"/>
                <w:color w:val="000000"/>
              </w:rPr>
            </w:pPr>
            <w:r w:rsidRPr="00F02D0D">
              <w:rPr>
                <w:rFonts w:cs="Times New Roman"/>
                <w:color w:val="000000"/>
              </w:rPr>
              <w:t>Contigs</w:t>
            </w:r>
          </w:p>
        </w:tc>
        <w:tc>
          <w:tcPr>
            <w:tcW w:w="0" w:type="auto"/>
            <w:tcBorders>
              <w:top w:val="nil"/>
              <w:left w:val="nil"/>
              <w:bottom w:val="nil"/>
              <w:right w:val="nil"/>
            </w:tcBorders>
            <w:shd w:val="clear" w:color="auto" w:fill="auto"/>
            <w:noWrap/>
            <w:vAlign w:val="center"/>
            <w:hideMark/>
          </w:tcPr>
          <w:p w14:paraId="7F17B695"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2067989</w:t>
            </w:r>
          </w:p>
        </w:tc>
        <w:tc>
          <w:tcPr>
            <w:tcW w:w="0" w:type="auto"/>
            <w:tcBorders>
              <w:top w:val="nil"/>
              <w:left w:val="nil"/>
              <w:bottom w:val="nil"/>
              <w:right w:val="nil"/>
            </w:tcBorders>
            <w:shd w:val="clear" w:color="auto" w:fill="auto"/>
            <w:noWrap/>
            <w:vAlign w:val="center"/>
            <w:hideMark/>
          </w:tcPr>
          <w:p w14:paraId="4BC469CA"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2093273</w:t>
            </w:r>
          </w:p>
        </w:tc>
        <w:tc>
          <w:tcPr>
            <w:tcW w:w="0" w:type="auto"/>
            <w:tcBorders>
              <w:top w:val="nil"/>
              <w:left w:val="nil"/>
              <w:bottom w:val="nil"/>
              <w:right w:val="nil"/>
            </w:tcBorders>
            <w:shd w:val="clear" w:color="auto" w:fill="auto"/>
            <w:noWrap/>
            <w:vAlign w:val="center"/>
            <w:hideMark/>
          </w:tcPr>
          <w:p w14:paraId="491B475E"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883786</w:t>
            </w:r>
          </w:p>
        </w:tc>
        <w:tc>
          <w:tcPr>
            <w:tcW w:w="0" w:type="auto"/>
            <w:tcBorders>
              <w:top w:val="nil"/>
              <w:left w:val="nil"/>
              <w:bottom w:val="nil"/>
              <w:right w:val="nil"/>
            </w:tcBorders>
            <w:shd w:val="clear" w:color="auto" w:fill="auto"/>
            <w:noWrap/>
            <w:vAlign w:val="center"/>
            <w:hideMark/>
          </w:tcPr>
          <w:p w14:paraId="368DCAF3"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2384080</w:t>
            </w:r>
          </w:p>
        </w:tc>
        <w:tc>
          <w:tcPr>
            <w:tcW w:w="0" w:type="auto"/>
            <w:tcBorders>
              <w:top w:val="nil"/>
              <w:left w:val="nil"/>
              <w:bottom w:val="nil"/>
              <w:right w:val="nil"/>
            </w:tcBorders>
            <w:shd w:val="clear" w:color="auto" w:fill="auto"/>
            <w:noWrap/>
            <w:vAlign w:val="center"/>
            <w:hideMark/>
          </w:tcPr>
          <w:p w14:paraId="78AF9208"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2454894</w:t>
            </w:r>
          </w:p>
        </w:tc>
      </w:tr>
      <w:tr w:rsidR="00F02D0D" w:rsidRPr="00F02D0D" w14:paraId="52E4C210" w14:textId="77777777" w:rsidTr="00F02D0D">
        <w:trPr>
          <w:trHeight w:val="343"/>
        </w:trPr>
        <w:tc>
          <w:tcPr>
            <w:tcW w:w="0" w:type="auto"/>
            <w:tcBorders>
              <w:top w:val="nil"/>
              <w:left w:val="nil"/>
              <w:bottom w:val="nil"/>
              <w:right w:val="nil"/>
            </w:tcBorders>
            <w:shd w:val="clear" w:color="auto" w:fill="auto"/>
            <w:noWrap/>
            <w:vAlign w:val="bottom"/>
            <w:hideMark/>
          </w:tcPr>
          <w:p w14:paraId="5A0D45E1" w14:textId="77777777" w:rsidR="00F02D0D" w:rsidRPr="00F02D0D" w:rsidRDefault="00F02D0D" w:rsidP="00F02D0D">
            <w:pPr>
              <w:spacing w:line="240" w:lineRule="auto"/>
              <w:ind w:firstLine="0"/>
              <w:rPr>
                <w:rFonts w:cs="Times New Roman"/>
                <w:color w:val="000000"/>
              </w:rPr>
            </w:pPr>
            <w:r w:rsidRPr="00F02D0D">
              <w:rPr>
                <w:rFonts w:cs="Times New Roman"/>
                <w:color w:val="000000"/>
              </w:rPr>
              <w:t>Total length</w:t>
            </w:r>
          </w:p>
        </w:tc>
        <w:tc>
          <w:tcPr>
            <w:tcW w:w="0" w:type="auto"/>
            <w:tcBorders>
              <w:top w:val="nil"/>
              <w:left w:val="nil"/>
              <w:bottom w:val="nil"/>
              <w:right w:val="nil"/>
            </w:tcBorders>
            <w:shd w:val="clear" w:color="auto" w:fill="auto"/>
            <w:noWrap/>
            <w:vAlign w:val="center"/>
            <w:hideMark/>
          </w:tcPr>
          <w:p w14:paraId="4A3EB397"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1162116085</w:t>
            </w:r>
          </w:p>
        </w:tc>
        <w:tc>
          <w:tcPr>
            <w:tcW w:w="0" w:type="auto"/>
            <w:tcBorders>
              <w:top w:val="nil"/>
              <w:left w:val="nil"/>
              <w:bottom w:val="nil"/>
              <w:right w:val="nil"/>
            </w:tcBorders>
            <w:shd w:val="clear" w:color="auto" w:fill="auto"/>
            <w:noWrap/>
            <w:vAlign w:val="center"/>
            <w:hideMark/>
          </w:tcPr>
          <w:p w14:paraId="627C7315"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979132320</w:t>
            </w:r>
          </w:p>
        </w:tc>
        <w:tc>
          <w:tcPr>
            <w:tcW w:w="0" w:type="auto"/>
            <w:tcBorders>
              <w:top w:val="nil"/>
              <w:left w:val="nil"/>
              <w:bottom w:val="nil"/>
              <w:right w:val="nil"/>
            </w:tcBorders>
            <w:shd w:val="clear" w:color="auto" w:fill="auto"/>
            <w:noWrap/>
            <w:vAlign w:val="center"/>
            <w:hideMark/>
          </w:tcPr>
          <w:p w14:paraId="5B57D48E"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430357049</w:t>
            </w:r>
          </w:p>
        </w:tc>
        <w:tc>
          <w:tcPr>
            <w:tcW w:w="0" w:type="auto"/>
            <w:tcBorders>
              <w:top w:val="nil"/>
              <w:left w:val="nil"/>
              <w:bottom w:val="nil"/>
              <w:right w:val="nil"/>
            </w:tcBorders>
            <w:shd w:val="clear" w:color="auto" w:fill="auto"/>
            <w:noWrap/>
            <w:vAlign w:val="center"/>
            <w:hideMark/>
          </w:tcPr>
          <w:p w14:paraId="538222F4"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1141340702</w:t>
            </w:r>
          </w:p>
        </w:tc>
        <w:tc>
          <w:tcPr>
            <w:tcW w:w="0" w:type="auto"/>
            <w:tcBorders>
              <w:top w:val="nil"/>
              <w:left w:val="nil"/>
              <w:bottom w:val="nil"/>
              <w:right w:val="nil"/>
            </w:tcBorders>
            <w:shd w:val="clear" w:color="auto" w:fill="auto"/>
            <w:noWrap/>
            <w:vAlign w:val="center"/>
            <w:hideMark/>
          </w:tcPr>
          <w:p w14:paraId="4283BC8A"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1332500421</w:t>
            </w:r>
          </w:p>
        </w:tc>
      </w:tr>
      <w:tr w:rsidR="00F02D0D" w:rsidRPr="00F02D0D" w14:paraId="11495E6B" w14:textId="77777777" w:rsidTr="00F02D0D">
        <w:trPr>
          <w:trHeight w:val="343"/>
        </w:trPr>
        <w:tc>
          <w:tcPr>
            <w:tcW w:w="0" w:type="auto"/>
            <w:tcBorders>
              <w:top w:val="nil"/>
              <w:left w:val="nil"/>
              <w:right w:val="nil"/>
            </w:tcBorders>
            <w:shd w:val="clear" w:color="auto" w:fill="auto"/>
            <w:noWrap/>
            <w:vAlign w:val="bottom"/>
            <w:hideMark/>
          </w:tcPr>
          <w:p w14:paraId="2CF5C80A" w14:textId="77777777" w:rsidR="00F02D0D" w:rsidRPr="00F02D0D" w:rsidRDefault="00F02D0D" w:rsidP="00F02D0D">
            <w:pPr>
              <w:spacing w:line="240" w:lineRule="auto"/>
              <w:ind w:firstLine="0"/>
              <w:rPr>
                <w:rFonts w:cs="Times New Roman"/>
                <w:color w:val="000000"/>
              </w:rPr>
            </w:pPr>
            <w:r w:rsidRPr="00F02D0D">
              <w:rPr>
                <w:rFonts w:cs="Times New Roman"/>
                <w:color w:val="000000"/>
              </w:rPr>
              <w:t>N50</w:t>
            </w:r>
          </w:p>
        </w:tc>
        <w:tc>
          <w:tcPr>
            <w:tcW w:w="0" w:type="auto"/>
            <w:tcBorders>
              <w:top w:val="nil"/>
              <w:left w:val="nil"/>
              <w:right w:val="nil"/>
            </w:tcBorders>
            <w:shd w:val="clear" w:color="auto" w:fill="auto"/>
            <w:noWrap/>
            <w:vAlign w:val="center"/>
            <w:hideMark/>
          </w:tcPr>
          <w:p w14:paraId="6C07F482" w14:textId="2636A922" w:rsidR="00F02D0D" w:rsidRPr="00F02D0D" w:rsidRDefault="00F02D0D" w:rsidP="00F02D0D">
            <w:pPr>
              <w:spacing w:line="240" w:lineRule="auto"/>
              <w:ind w:firstLine="0"/>
              <w:jc w:val="center"/>
              <w:rPr>
                <w:rFonts w:cs="Times New Roman"/>
                <w:color w:val="000000"/>
              </w:rPr>
            </w:pPr>
            <w:r w:rsidRPr="00F02D0D">
              <w:rPr>
                <w:rFonts w:cs="Times New Roman"/>
                <w:color w:val="000000"/>
              </w:rPr>
              <w:t>2134</w:t>
            </w:r>
          </w:p>
        </w:tc>
        <w:tc>
          <w:tcPr>
            <w:tcW w:w="0" w:type="auto"/>
            <w:tcBorders>
              <w:top w:val="nil"/>
              <w:left w:val="nil"/>
              <w:right w:val="nil"/>
            </w:tcBorders>
            <w:shd w:val="clear" w:color="auto" w:fill="auto"/>
            <w:noWrap/>
            <w:vAlign w:val="center"/>
            <w:hideMark/>
          </w:tcPr>
          <w:p w14:paraId="083C0702"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1797</w:t>
            </w:r>
          </w:p>
        </w:tc>
        <w:tc>
          <w:tcPr>
            <w:tcW w:w="0" w:type="auto"/>
            <w:tcBorders>
              <w:top w:val="nil"/>
              <w:left w:val="nil"/>
              <w:right w:val="nil"/>
            </w:tcBorders>
            <w:shd w:val="clear" w:color="auto" w:fill="auto"/>
            <w:noWrap/>
            <w:vAlign w:val="center"/>
            <w:hideMark/>
          </w:tcPr>
          <w:p w14:paraId="01E57ADF"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1902</w:t>
            </w:r>
          </w:p>
        </w:tc>
        <w:tc>
          <w:tcPr>
            <w:tcW w:w="0" w:type="auto"/>
            <w:tcBorders>
              <w:top w:val="nil"/>
              <w:left w:val="nil"/>
              <w:right w:val="nil"/>
            </w:tcBorders>
            <w:shd w:val="clear" w:color="auto" w:fill="auto"/>
            <w:noWrap/>
            <w:vAlign w:val="center"/>
            <w:hideMark/>
          </w:tcPr>
          <w:p w14:paraId="5BA777C1"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1792</w:t>
            </w:r>
          </w:p>
        </w:tc>
        <w:tc>
          <w:tcPr>
            <w:tcW w:w="0" w:type="auto"/>
            <w:tcBorders>
              <w:top w:val="nil"/>
              <w:left w:val="nil"/>
              <w:right w:val="nil"/>
            </w:tcBorders>
            <w:shd w:val="clear" w:color="auto" w:fill="auto"/>
            <w:noWrap/>
            <w:vAlign w:val="center"/>
            <w:hideMark/>
          </w:tcPr>
          <w:p w14:paraId="42AA108A"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2288</w:t>
            </w:r>
          </w:p>
        </w:tc>
      </w:tr>
      <w:tr w:rsidR="00F02D0D" w:rsidRPr="00F02D0D" w14:paraId="7BDE5337" w14:textId="77777777" w:rsidTr="00F02D0D">
        <w:trPr>
          <w:trHeight w:val="343"/>
        </w:trPr>
        <w:tc>
          <w:tcPr>
            <w:tcW w:w="0" w:type="auto"/>
            <w:tcBorders>
              <w:top w:val="nil"/>
              <w:left w:val="nil"/>
              <w:bottom w:val="single" w:sz="4" w:space="0" w:color="000000"/>
              <w:right w:val="nil"/>
            </w:tcBorders>
            <w:shd w:val="clear" w:color="auto" w:fill="auto"/>
            <w:noWrap/>
            <w:vAlign w:val="bottom"/>
            <w:hideMark/>
          </w:tcPr>
          <w:p w14:paraId="46B7F202" w14:textId="77777777" w:rsidR="00F02D0D" w:rsidRPr="00F02D0D" w:rsidRDefault="00F02D0D" w:rsidP="00F02D0D">
            <w:pPr>
              <w:spacing w:line="240" w:lineRule="auto"/>
              <w:ind w:firstLine="0"/>
              <w:rPr>
                <w:rFonts w:cs="Times New Roman"/>
                <w:color w:val="000000"/>
              </w:rPr>
            </w:pPr>
            <w:r w:rsidRPr="00F02D0D">
              <w:rPr>
                <w:rFonts w:cs="Times New Roman"/>
                <w:color w:val="000000"/>
              </w:rPr>
              <w:t>L50</w:t>
            </w:r>
          </w:p>
        </w:tc>
        <w:tc>
          <w:tcPr>
            <w:tcW w:w="0" w:type="auto"/>
            <w:tcBorders>
              <w:top w:val="nil"/>
              <w:left w:val="nil"/>
              <w:bottom w:val="single" w:sz="4" w:space="0" w:color="000000"/>
              <w:right w:val="nil"/>
            </w:tcBorders>
            <w:shd w:val="clear" w:color="auto" w:fill="auto"/>
            <w:noWrap/>
            <w:vAlign w:val="center"/>
            <w:hideMark/>
          </w:tcPr>
          <w:p w14:paraId="19CC06FA" w14:textId="474D66B7" w:rsidR="00F02D0D" w:rsidRPr="00F02D0D" w:rsidRDefault="00F02D0D" w:rsidP="00F02D0D">
            <w:pPr>
              <w:spacing w:line="240" w:lineRule="auto"/>
              <w:ind w:firstLine="0"/>
              <w:jc w:val="center"/>
              <w:rPr>
                <w:rFonts w:cs="Times New Roman"/>
                <w:color w:val="000000"/>
              </w:rPr>
            </w:pPr>
            <w:r w:rsidRPr="00F02D0D">
              <w:rPr>
                <w:rFonts w:cs="Times New Roman"/>
                <w:color w:val="000000"/>
              </w:rPr>
              <w:t>56804</w:t>
            </w:r>
          </w:p>
        </w:tc>
        <w:tc>
          <w:tcPr>
            <w:tcW w:w="0" w:type="auto"/>
            <w:tcBorders>
              <w:top w:val="nil"/>
              <w:left w:val="nil"/>
              <w:bottom w:val="single" w:sz="4" w:space="0" w:color="000000"/>
              <w:right w:val="nil"/>
            </w:tcBorders>
            <w:shd w:val="clear" w:color="auto" w:fill="auto"/>
            <w:noWrap/>
            <w:vAlign w:val="center"/>
            <w:hideMark/>
          </w:tcPr>
          <w:p w14:paraId="43346CE7"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50462</w:t>
            </w:r>
          </w:p>
        </w:tc>
        <w:tc>
          <w:tcPr>
            <w:tcW w:w="0" w:type="auto"/>
            <w:tcBorders>
              <w:top w:val="nil"/>
              <w:left w:val="nil"/>
              <w:bottom w:val="single" w:sz="4" w:space="0" w:color="000000"/>
              <w:right w:val="nil"/>
            </w:tcBorders>
            <w:shd w:val="clear" w:color="auto" w:fill="auto"/>
            <w:noWrap/>
            <w:vAlign w:val="center"/>
            <w:hideMark/>
          </w:tcPr>
          <w:p w14:paraId="4D42A9B7"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24189</w:t>
            </w:r>
          </w:p>
        </w:tc>
        <w:tc>
          <w:tcPr>
            <w:tcW w:w="0" w:type="auto"/>
            <w:tcBorders>
              <w:top w:val="nil"/>
              <w:left w:val="nil"/>
              <w:bottom w:val="single" w:sz="4" w:space="0" w:color="000000"/>
              <w:right w:val="nil"/>
            </w:tcBorders>
            <w:shd w:val="clear" w:color="auto" w:fill="auto"/>
            <w:noWrap/>
            <w:vAlign w:val="center"/>
            <w:hideMark/>
          </w:tcPr>
          <w:p w14:paraId="1175BC7B"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59865</w:t>
            </w:r>
          </w:p>
        </w:tc>
        <w:tc>
          <w:tcPr>
            <w:tcW w:w="0" w:type="auto"/>
            <w:tcBorders>
              <w:top w:val="nil"/>
              <w:left w:val="nil"/>
              <w:bottom w:val="single" w:sz="4" w:space="0" w:color="000000"/>
              <w:right w:val="nil"/>
            </w:tcBorders>
            <w:shd w:val="clear" w:color="auto" w:fill="auto"/>
            <w:noWrap/>
            <w:vAlign w:val="center"/>
            <w:hideMark/>
          </w:tcPr>
          <w:p w14:paraId="6CCC7CD8"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60785</w:t>
            </w:r>
          </w:p>
        </w:tc>
      </w:tr>
      <w:tr w:rsidR="00F02D0D" w:rsidRPr="00F02D0D" w14:paraId="2B3657E3" w14:textId="77777777" w:rsidTr="00F02D0D">
        <w:trPr>
          <w:trHeight w:val="343"/>
        </w:trPr>
        <w:tc>
          <w:tcPr>
            <w:tcW w:w="0" w:type="auto"/>
            <w:gridSpan w:val="6"/>
            <w:tcBorders>
              <w:top w:val="single" w:sz="4" w:space="0" w:color="000000"/>
              <w:left w:val="nil"/>
              <w:bottom w:val="nil"/>
              <w:right w:val="nil"/>
            </w:tcBorders>
            <w:shd w:val="clear" w:color="auto" w:fill="auto"/>
            <w:noWrap/>
            <w:vAlign w:val="center"/>
          </w:tcPr>
          <w:p w14:paraId="2BAD1CCB" w14:textId="456A2647" w:rsidR="00F02D0D" w:rsidRPr="00F02D0D" w:rsidRDefault="00F02D0D" w:rsidP="00A36D35">
            <w:pPr>
              <w:spacing w:line="240" w:lineRule="auto"/>
              <w:ind w:firstLine="0"/>
              <w:rPr>
                <w:rFonts w:cs="Times New Roman"/>
                <w:b/>
                <w:bCs/>
                <w:color w:val="000000"/>
              </w:rPr>
            </w:pPr>
            <w:r w:rsidRPr="00F02D0D">
              <w:rPr>
                <w:rFonts w:cs="Times New Roman"/>
                <w:b/>
                <w:bCs/>
                <w:color w:val="000000"/>
              </w:rPr>
              <w:t>Annotation Statistics</w:t>
            </w:r>
          </w:p>
        </w:tc>
      </w:tr>
      <w:tr w:rsidR="00F02D0D" w:rsidRPr="00F02D0D" w14:paraId="007F57CE" w14:textId="77777777" w:rsidTr="00F02D0D">
        <w:trPr>
          <w:trHeight w:val="343"/>
        </w:trPr>
        <w:tc>
          <w:tcPr>
            <w:tcW w:w="0" w:type="auto"/>
            <w:tcBorders>
              <w:top w:val="nil"/>
              <w:left w:val="nil"/>
              <w:bottom w:val="nil"/>
              <w:right w:val="nil"/>
            </w:tcBorders>
            <w:shd w:val="clear" w:color="auto" w:fill="auto"/>
            <w:noWrap/>
            <w:vAlign w:val="bottom"/>
            <w:hideMark/>
          </w:tcPr>
          <w:p w14:paraId="1B2B62CA" w14:textId="77777777" w:rsidR="00F02D0D" w:rsidRPr="00F02D0D" w:rsidRDefault="00F02D0D" w:rsidP="00F02D0D">
            <w:pPr>
              <w:spacing w:line="240" w:lineRule="auto"/>
              <w:ind w:firstLine="0"/>
              <w:rPr>
                <w:rFonts w:cs="Times New Roman"/>
                <w:color w:val="000000"/>
              </w:rPr>
            </w:pPr>
            <w:r w:rsidRPr="00F02D0D">
              <w:rPr>
                <w:rFonts w:cs="Times New Roman"/>
                <w:color w:val="000000"/>
              </w:rPr>
              <w:t>CDS</w:t>
            </w:r>
          </w:p>
        </w:tc>
        <w:tc>
          <w:tcPr>
            <w:tcW w:w="0" w:type="auto"/>
            <w:tcBorders>
              <w:top w:val="nil"/>
              <w:left w:val="nil"/>
              <w:bottom w:val="nil"/>
              <w:right w:val="nil"/>
            </w:tcBorders>
            <w:shd w:val="clear" w:color="auto" w:fill="auto"/>
            <w:noWrap/>
            <w:vAlign w:val="center"/>
            <w:hideMark/>
          </w:tcPr>
          <w:p w14:paraId="6A7991F5" w14:textId="4C9DA109" w:rsidR="00F02D0D" w:rsidRPr="00F02D0D" w:rsidRDefault="00F02D0D" w:rsidP="00F02D0D">
            <w:pPr>
              <w:spacing w:line="240" w:lineRule="auto"/>
              <w:ind w:firstLine="0"/>
              <w:jc w:val="center"/>
              <w:rPr>
                <w:rFonts w:cs="Times New Roman"/>
                <w:color w:val="000000"/>
              </w:rPr>
            </w:pPr>
            <w:r w:rsidRPr="00F02D0D">
              <w:rPr>
                <w:rFonts w:cs="Times New Roman"/>
                <w:color w:val="000000"/>
              </w:rPr>
              <w:t>2600565</w:t>
            </w:r>
          </w:p>
        </w:tc>
        <w:tc>
          <w:tcPr>
            <w:tcW w:w="0" w:type="auto"/>
            <w:tcBorders>
              <w:top w:val="nil"/>
              <w:left w:val="nil"/>
              <w:bottom w:val="nil"/>
              <w:right w:val="nil"/>
            </w:tcBorders>
            <w:shd w:val="clear" w:color="auto" w:fill="auto"/>
            <w:noWrap/>
            <w:vAlign w:val="center"/>
            <w:hideMark/>
          </w:tcPr>
          <w:p w14:paraId="54E15525"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2518443</w:t>
            </w:r>
          </w:p>
        </w:tc>
        <w:tc>
          <w:tcPr>
            <w:tcW w:w="0" w:type="auto"/>
            <w:tcBorders>
              <w:top w:val="nil"/>
              <w:left w:val="nil"/>
              <w:bottom w:val="nil"/>
              <w:right w:val="nil"/>
            </w:tcBorders>
            <w:shd w:val="clear" w:color="auto" w:fill="auto"/>
            <w:noWrap/>
            <w:vAlign w:val="center"/>
            <w:hideMark/>
          </w:tcPr>
          <w:p w14:paraId="638C50EB"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1016430</w:t>
            </w:r>
          </w:p>
        </w:tc>
        <w:tc>
          <w:tcPr>
            <w:tcW w:w="0" w:type="auto"/>
            <w:tcBorders>
              <w:top w:val="nil"/>
              <w:left w:val="nil"/>
              <w:bottom w:val="nil"/>
              <w:right w:val="nil"/>
            </w:tcBorders>
            <w:shd w:val="clear" w:color="auto" w:fill="auto"/>
            <w:noWrap/>
            <w:vAlign w:val="center"/>
            <w:hideMark/>
          </w:tcPr>
          <w:p w14:paraId="19093777"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2831713</w:t>
            </w:r>
          </w:p>
        </w:tc>
        <w:tc>
          <w:tcPr>
            <w:tcW w:w="0" w:type="auto"/>
            <w:tcBorders>
              <w:top w:val="nil"/>
              <w:left w:val="nil"/>
              <w:bottom w:val="nil"/>
              <w:right w:val="nil"/>
            </w:tcBorders>
            <w:shd w:val="clear" w:color="auto" w:fill="auto"/>
            <w:noWrap/>
            <w:vAlign w:val="center"/>
            <w:hideMark/>
          </w:tcPr>
          <w:p w14:paraId="11A19FE2"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3047930</w:t>
            </w:r>
          </w:p>
        </w:tc>
      </w:tr>
      <w:tr w:rsidR="00F02D0D" w:rsidRPr="00F02D0D" w14:paraId="0435207C" w14:textId="77777777" w:rsidTr="00F02D0D">
        <w:trPr>
          <w:trHeight w:val="343"/>
        </w:trPr>
        <w:tc>
          <w:tcPr>
            <w:tcW w:w="0" w:type="auto"/>
            <w:tcBorders>
              <w:top w:val="nil"/>
              <w:left w:val="nil"/>
              <w:right w:val="nil"/>
            </w:tcBorders>
            <w:shd w:val="clear" w:color="auto" w:fill="auto"/>
            <w:noWrap/>
            <w:vAlign w:val="bottom"/>
            <w:hideMark/>
          </w:tcPr>
          <w:p w14:paraId="30581DE1" w14:textId="77777777" w:rsidR="00F02D0D" w:rsidRPr="00F02D0D" w:rsidRDefault="00F02D0D" w:rsidP="00F02D0D">
            <w:pPr>
              <w:spacing w:line="240" w:lineRule="auto"/>
              <w:ind w:firstLine="0"/>
              <w:rPr>
                <w:rFonts w:cs="Times New Roman"/>
                <w:color w:val="000000"/>
              </w:rPr>
            </w:pPr>
            <w:r w:rsidRPr="00F02D0D">
              <w:rPr>
                <w:rFonts w:cs="Times New Roman"/>
                <w:color w:val="000000"/>
              </w:rPr>
              <w:t>Genes</w:t>
            </w:r>
          </w:p>
        </w:tc>
        <w:tc>
          <w:tcPr>
            <w:tcW w:w="0" w:type="auto"/>
            <w:tcBorders>
              <w:top w:val="nil"/>
              <w:left w:val="nil"/>
              <w:right w:val="nil"/>
            </w:tcBorders>
            <w:shd w:val="clear" w:color="auto" w:fill="auto"/>
            <w:noWrap/>
            <w:vAlign w:val="center"/>
            <w:hideMark/>
          </w:tcPr>
          <w:p w14:paraId="3F7F0261"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2600828</w:t>
            </w:r>
          </w:p>
        </w:tc>
        <w:tc>
          <w:tcPr>
            <w:tcW w:w="0" w:type="auto"/>
            <w:tcBorders>
              <w:top w:val="nil"/>
              <w:left w:val="nil"/>
              <w:right w:val="nil"/>
            </w:tcBorders>
            <w:shd w:val="clear" w:color="auto" w:fill="auto"/>
            <w:noWrap/>
            <w:vAlign w:val="center"/>
            <w:hideMark/>
          </w:tcPr>
          <w:p w14:paraId="068B06B7"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2518681</w:t>
            </w:r>
          </w:p>
        </w:tc>
        <w:tc>
          <w:tcPr>
            <w:tcW w:w="0" w:type="auto"/>
            <w:tcBorders>
              <w:top w:val="nil"/>
              <w:left w:val="nil"/>
              <w:right w:val="nil"/>
            </w:tcBorders>
            <w:shd w:val="clear" w:color="auto" w:fill="auto"/>
            <w:noWrap/>
            <w:vAlign w:val="center"/>
            <w:hideMark/>
          </w:tcPr>
          <w:p w14:paraId="1E8D5095"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1016521</w:t>
            </w:r>
          </w:p>
        </w:tc>
        <w:tc>
          <w:tcPr>
            <w:tcW w:w="0" w:type="auto"/>
            <w:tcBorders>
              <w:top w:val="nil"/>
              <w:left w:val="nil"/>
              <w:right w:val="nil"/>
            </w:tcBorders>
            <w:shd w:val="clear" w:color="auto" w:fill="auto"/>
            <w:noWrap/>
            <w:vAlign w:val="center"/>
            <w:hideMark/>
          </w:tcPr>
          <w:p w14:paraId="2E591D27"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2831954</w:t>
            </w:r>
          </w:p>
        </w:tc>
        <w:tc>
          <w:tcPr>
            <w:tcW w:w="0" w:type="auto"/>
            <w:tcBorders>
              <w:top w:val="nil"/>
              <w:left w:val="nil"/>
              <w:right w:val="nil"/>
            </w:tcBorders>
            <w:shd w:val="clear" w:color="auto" w:fill="auto"/>
            <w:noWrap/>
            <w:vAlign w:val="center"/>
            <w:hideMark/>
          </w:tcPr>
          <w:p w14:paraId="2BC01D69"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3048243</w:t>
            </w:r>
          </w:p>
        </w:tc>
      </w:tr>
      <w:tr w:rsidR="00F02D0D" w:rsidRPr="00F02D0D" w14:paraId="7EBEF9BA" w14:textId="77777777" w:rsidTr="00F02D0D">
        <w:trPr>
          <w:trHeight w:val="343"/>
        </w:trPr>
        <w:tc>
          <w:tcPr>
            <w:tcW w:w="0" w:type="auto"/>
            <w:tcBorders>
              <w:top w:val="nil"/>
              <w:left w:val="nil"/>
              <w:bottom w:val="single" w:sz="4" w:space="0" w:color="000000"/>
              <w:right w:val="nil"/>
            </w:tcBorders>
            <w:shd w:val="clear" w:color="auto" w:fill="auto"/>
            <w:noWrap/>
            <w:vAlign w:val="bottom"/>
            <w:hideMark/>
          </w:tcPr>
          <w:p w14:paraId="052BF8A3" w14:textId="77777777" w:rsidR="00F02D0D" w:rsidRPr="00F02D0D" w:rsidRDefault="00F02D0D" w:rsidP="00F02D0D">
            <w:pPr>
              <w:spacing w:line="240" w:lineRule="auto"/>
              <w:ind w:firstLine="0"/>
              <w:rPr>
                <w:rFonts w:cs="Times New Roman"/>
                <w:color w:val="000000"/>
              </w:rPr>
            </w:pPr>
            <w:r w:rsidRPr="00F02D0D">
              <w:rPr>
                <w:rFonts w:cs="Times New Roman"/>
                <w:color w:val="000000"/>
              </w:rPr>
              <w:t>rRNA</w:t>
            </w:r>
          </w:p>
        </w:tc>
        <w:tc>
          <w:tcPr>
            <w:tcW w:w="0" w:type="auto"/>
            <w:tcBorders>
              <w:top w:val="nil"/>
              <w:left w:val="nil"/>
              <w:bottom w:val="single" w:sz="4" w:space="0" w:color="000000"/>
              <w:right w:val="nil"/>
            </w:tcBorders>
            <w:shd w:val="clear" w:color="auto" w:fill="auto"/>
            <w:noWrap/>
            <w:vAlign w:val="center"/>
            <w:hideMark/>
          </w:tcPr>
          <w:p w14:paraId="02EE328D"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263</w:t>
            </w:r>
          </w:p>
        </w:tc>
        <w:tc>
          <w:tcPr>
            <w:tcW w:w="0" w:type="auto"/>
            <w:tcBorders>
              <w:top w:val="nil"/>
              <w:left w:val="nil"/>
              <w:bottom w:val="single" w:sz="4" w:space="0" w:color="000000"/>
              <w:right w:val="nil"/>
            </w:tcBorders>
            <w:shd w:val="clear" w:color="auto" w:fill="auto"/>
            <w:noWrap/>
            <w:vAlign w:val="center"/>
            <w:hideMark/>
          </w:tcPr>
          <w:p w14:paraId="0715FA95"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238</w:t>
            </w:r>
          </w:p>
        </w:tc>
        <w:tc>
          <w:tcPr>
            <w:tcW w:w="0" w:type="auto"/>
            <w:tcBorders>
              <w:top w:val="nil"/>
              <w:left w:val="nil"/>
              <w:bottom w:val="single" w:sz="4" w:space="0" w:color="000000"/>
              <w:right w:val="nil"/>
            </w:tcBorders>
            <w:shd w:val="clear" w:color="auto" w:fill="auto"/>
            <w:noWrap/>
            <w:vAlign w:val="center"/>
            <w:hideMark/>
          </w:tcPr>
          <w:p w14:paraId="713AD1D0"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91</w:t>
            </w:r>
          </w:p>
        </w:tc>
        <w:tc>
          <w:tcPr>
            <w:tcW w:w="0" w:type="auto"/>
            <w:tcBorders>
              <w:top w:val="nil"/>
              <w:left w:val="nil"/>
              <w:bottom w:val="single" w:sz="4" w:space="0" w:color="000000"/>
              <w:right w:val="nil"/>
            </w:tcBorders>
            <w:shd w:val="clear" w:color="auto" w:fill="auto"/>
            <w:noWrap/>
            <w:vAlign w:val="center"/>
            <w:hideMark/>
          </w:tcPr>
          <w:p w14:paraId="7890056C"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241</w:t>
            </w:r>
          </w:p>
        </w:tc>
        <w:tc>
          <w:tcPr>
            <w:tcW w:w="0" w:type="auto"/>
            <w:tcBorders>
              <w:top w:val="nil"/>
              <w:left w:val="nil"/>
              <w:bottom w:val="single" w:sz="4" w:space="0" w:color="000000"/>
              <w:right w:val="nil"/>
            </w:tcBorders>
            <w:shd w:val="clear" w:color="auto" w:fill="auto"/>
            <w:noWrap/>
            <w:vAlign w:val="center"/>
            <w:hideMark/>
          </w:tcPr>
          <w:p w14:paraId="482CEE4E" w14:textId="77777777" w:rsidR="00F02D0D" w:rsidRPr="00F02D0D" w:rsidRDefault="00F02D0D" w:rsidP="00F02D0D">
            <w:pPr>
              <w:spacing w:line="240" w:lineRule="auto"/>
              <w:ind w:firstLine="0"/>
              <w:jc w:val="center"/>
              <w:rPr>
                <w:rFonts w:cs="Times New Roman"/>
                <w:color w:val="000000"/>
              </w:rPr>
            </w:pPr>
            <w:r w:rsidRPr="00F02D0D">
              <w:rPr>
                <w:rFonts w:cs="Times New Roman"/>
                <w:color w:val="000000"/>
              </w:rPr>
              <w:t>313</w:t>
            </w:r>
          </w:p>
        </w:tc>
      </w:tr>
    </w:tbl>
    <w:p w14:paraId="4EA22E01" w14:textId="77777777" w:rsidR="00A46B68" w:rsidRDefault="00A46B68" w:rsidP="00A46B68">
      <w:pPr>
        <w:spacing w:line="240" w:lineRule="auto"/>
        <w:ind w:firstLine="0"/>
        <w:rPr>
          <w:b/>
          <w:bCs/>
        </w:rPr>
      </w:pPr>
    </w:p>
    <w:p w14:paraId="3ECBAC16" w14:textId="3FF264B2" w:rsidR="00A46B68" w:rsidRDefault="00A46B68" w:rsidP="00A46B68">
      <w:pPr>
        <w:spacing w:line="240" w:lineRule="auto"/>
        <w:ind w:firstLine="0"/>
        <w:rPr>
          <w:b/>
          <w:bCs/>
        </w:rPr>
      </w:pPr>
      <w:r>
        <w:rPr>
          <w:b/>
          <w:bCs/>
        </w:rPr>
        <w:br w:type="page"/>
      </w:r>
    </w:p>
    <w:p w14:paraId="78128F75" w14:textId="556A1AD6" w:rsidR="00724E7D" w:rsidRPr="00724E7D" w:rsidRDefault="00A46B68" w:rsidP="00724E7D">
      <w:pPr>
        <w:pStyle w:val="Caption"/>
        <w:rPr>
          <w:noProof/>
          <w:sz w:val="2"/>
          <w:szCs w:val="2"/>
        </w:rPr>
      </w:pPr>
      <w:bookmarkStart w:id="183" w:name="_Toc193668457"/>
      <w:r w:rsidRPr="004A7652">
        <w:lastRenderedPageBreak/>
        <w:t xml:space="preserve">Table </w:t>
      </w:r>
      <w:fldSimple w:instr=" STYLEREF 1 \s ">
        <w:r w:rsidR="00971287">
          <w:rPr>
            <w:noProof/>
          </w:rPr>
          <w:t>3</w:t>
        </w:r>
      </w:fldSimple>
      <w:r>
        <w:t>.</w:t>
      </w:r>
      <w:fldSimple w:instr=" SEQ Table \* ARABIC \s 1 ">
        <w:r w:rsidR="00971287">
          <w:rPr>
            <w:noProof/>
          </w:rPr>
          <w:t>6</w:t>
        </w:r>
      </w:fldSimple>
      <w:r w:rsidRPr="004A7652">
        <w:t>. St</w:t>
      </w:r>
      <w:r w:rsidRPr="00CD3B2A">
        <w:t>rains utilized in whole-genome comparisons.</w:t>
      </w:r>
      <w:r>
        <w:t xml:space="preserve"> </w:t>
      </w:r>
      <w:r w:rsidRPr="00FA0ACD">
        <w:rPr>
          <w:b w:val="0"/>
          <w:bCs w:val="0"/>
        </w:rPr>
        <w:t>Digital DNA-DNA hybridization (dDDH) is relative to the Gillisia sp. FRX26 genome.</w:t>
      </w:r>
      <w:r w:rsidR="00A36D35" w:rsidRPr="00FA0ACD">
        <w:rPr>
          <w:b w:val="0"/>
          <w:bCs w:val="0"/>
        </w:rPr>
        <w:t xml:space="preserve"> </w:t>
      </w:r>
      <w:r w:rsidR="00A36D35" w:rsidRPr="00FA0ACD">
        <w:rPr>
          <w:b w:val="0"/>
          <w:bCs w:val="0"/>
          <w:i/>
        </w:rPr>
        <w:t>CDS – Coding sequences.</w:t>
      </w:r>
      <w:bookmarkEnd w:id="183"/>
      <w:r w:rsidR="00724E7D" w:rsidRPr="00724E7D">
        <w:rPr>
          <w:noProof/>
        </w:rPr>
        <w:t xml:space="preserve"> </w:t>
      </w:r>
    </w:p>
    <w:p w14:paraId="10547082" w14:textId="2F77C176" w:rsidR="00724E7D" w:rsidRPr="00724E7D" w:rsidRDefault="00724E7D" w:rsidP="00724E7D">
      <w:pPr>
        <w:rPr>
          <w:sz w:val="4"/>
          <w:szCs w:val="4"/>
        </w:rPr>
      </w:pPr>
      <w:r>
        <w:rPr>
          <w:noProof/>
        </w:rPr>
        <mc:AlternateContent>
          <mc:Choice Requires="wps">
            <w:drawing>
              <wp:anchor distT="0" distB="0" distL="114300" distR="114300" simplePos="0" relativeHeight="251753472" behindDoc="0" locked="0" layoutInCell="1" allowOverlap="1" wp14:anchorId="789C6B30" wp14:editId="65D2A9CC">
                <wp:simplePos x="0" y="0"/>
                <wp:positionH relativeFrom="column">
                  <wp:posOffset>0</wp:posOffset>
                </wp:positionH>
                <wp:positionV relativeFrom="paragraph">
                  <wp:posOffset>31449</wp:posOffset>
                </wp:positionV>
                <wp:extent cx="1753235" cy="186055"/>
                <wp:effectExtent l="0" t="0" r="18415" b="23495"/>
                <wp:wrapNone/>
                <wp:docPr id="153001464" name="Rectangle 23"/>
                <wp:cNvGraphicFramePr/>
                <a:graphic xmlns:a="http://schemas.openxmlformats.org/drawingml/2006/main">
                  <a:graphicData uri="http://schemas.microsoft.com/office/word/2010/wordprocessingShape">
                    <wps:wsp>
                      <wps:cNvSpPr/>
                      <wps:spPr>
                        <a:xfrm>
                          <a:off x="0" y="0"/>
                          <a:ext cx="1753235" cy="18605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B8F1AA" id="Rectangle 23" o:spid="_x0000_s1026" style="position:absolute;margin-left:0;margin-top:2.5pt;width:138.05pt;height:14.6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" fillcolor="white [3212]" strokecolor="white [3212]" strokeweight="2pt"/>
            </w:pict>
          </mc:Fallback>
        </mc:AlternateContent>
      </w:r>
    </w:p>
    <w:tbl>
      <w:tblPr>
        <w:tblW w:w="0" w:type="auto"/>
        <w:tblLayout w:type="fixed"/>
        <w:tblCellMar>
          <w:top w:w="43" w:type="dxa"/>
          <w:left w:w="58" w:type="dxa"/>
          <w:bottom w:w="43" w:type="dxa"/>
        </w:tblCellMar>
        <w:tblLook w:val="04A0" w:firstRow="1" w:lastRow="0" w:firstColumn="1" w:lastColumn="0" w:noHBand="0" w:noVBand="1"/>
      </w:tblPr>
      <w:tblGrid>
        <w:gridCol w:w="3510"/>
        <w:gridCol w:w="2070"/>
        <w:gridCol w:w="1260"/>
        <w:gridCol w:w="827"/>
        <w:gridCol w:w="935"/>
      </w:tblGrid>
      <w:tr w:rsidR="00724E7D" w:rsidRPr="004A7652" w14:paraId="1C74B1FA" w14:textId="77777777" w:rsidTr="00724E7D">
        <w:trPr>
          <w:trHeight w:val="20"/>
          <w:tblHeader/>
        </w:trPr>
        <w:tc>
          <w:tcPr>
            <w:tcW w:w="3510" w:type="dxa"/>
            <w:tcBorders>
              <w:left w:val="nil"/>
              <w:bottom w:val="single" w:sz="4" w:space="0" w:color="auto"/>
              <w:right w:val="nil"/>
            </w:tcBorders>
            <w:shd w:val="clear" w:color="auto" w:fill="auto"/>
            <w:noWrap/>
            <w:vAlign w:val="bottom"/>
          </w:tcPr>
          <w:p w14:paraId="1EF0B5C9" w14:textId="5C6BD283" w:rsidR="00724E7D" w:rsidRDefault="00724E7D" w:rsidP="00A46B68">
            <w:pPr>
              <w:spacing w:line="240" w:lineRule="auto"/>
              <w:ind w:firstLine="0"/>
              <w:rPr>
                <w:b/>
                <w:bCs/>
                <w:color w:val="000000"/>
              </w:rPr>
            </w:pPr>
            <w:r>
              <w:rPr>
                <w:b/>
                <w:bCs/>
                <w:color w:val="000000"/>
              </w:rPr>
              <w:t>Table 3.6 (Continued)</w:t>
            </w:r>
          </w:p>
        </w:tc>
        <w:tc>
          <w:tcPr>
            <w:tcW w:w="2070" w:type="dxa"/>
            <w:tcBorders>
              <w:left w:val="nil"/>
              <w:bottom w:val="single" w:sz="4" w:space="0" w:color="auto"/>
              <w:right w:val="nil"/>
            </w:tcBorders>
            <w:shd w:val="clear" w:color="auto" w:fill="auto"/>
            <w:noWrap/>
            <w:vAlign w:val="bottom"/>
          </w:tcPr>
          <w:p w14:paraId="137A9572" w14:textId="77777777" w:rsidR="00724E7D" w:rsidRPr="00CD3B2A" w:rsidRDefault="00724E7D" w:rsidP="00A46B68">
            <w:pPr>
              <w:spacing w:line="240" w:lineRule="auto"/>
              <w:ind w:firstLine="0"/>
              <w:jc w:val="center"/>
              <w:rPr>
                <w:b/>
                <w:bCs/>
                <w:color w:val="000000"/>
              </w:rPr>
            </w:pPr>
          </w:p>
        </w:tc>
        <w:tc>
          <w:tcPr>
            <w:tcW w:w="1260" w:type="dxa"/>
            <w:tcBorders>
              <w:left w:val="nil"/>
              <w:bottom w:val="single" w:sz="4" w:space="0" w:color="auto"/>
              <w:right w:val="nil"/>
            </w:tcBorders>
            <w:shd w:val="clear" w:color="auto" w:fill="auto"/>
            <w:noWrap/>
            <w:vAlign w:val="bottom"/>
          </w:tcPr>
          <w:p w14:paraId="60C3FD72" w14:textId="77777777" w:rsidR="00724E7D" w:rsidRPr="00CD3B2A" w:rsidRDefault="00724E7D" w:rsidP="00A46B68">
            <w:pPr>
              <w:spacing w:line="240" w:lineRule="auto"/>
              <w:ind w:firstLine="0"/>
              <w:jc w:val="center"/>
              <w:rPr>
                <w:b/>
                <w:bCs/>
                <w:color w:val="000000"/>
              </w:rPr>
            </w:pPr>
          </w:p>
        </w:tc>
        <w:tc>
          <w:tcPr>
            <w:tcW w:w="827" w:type="dxa"/>
            <w:tcBorders>
              <w:left w:val="nil"/>
              <w:bottom w:val="single" w:sz="4" w:space="0" w:color="auto"/>
              <w:right w:val="nil"/>
            </w:tcBorders>
            <w:shd w:val="clear" w:color="auto" w:fill="auto"/>
            <w:noWrap/>
            <w:vAlign w:val="bottom"/>
          </w:tcPr>
          <w:p w14:paraId="59DEDFBF" w14:textId="77777777" w:rsidR="00724E7D" w:rsidRPr="00CD3B2A" w:rsidRDefault="00724E7D" w:rsidP="00A46B68">
            <w:pPr>
              <w:spacing w:line="240" w:lineRule="auto"/>
              <w:ind w:firstLine="0"/>
              <w:jc w:val="center"/>
              <w:rPr>
                <w:b/>
                <w:bCs/>
                <w:color w:val="000000"/>
              </w:rPr>
            </w:pPr>
          </w:p>
        </w:tc>
        <w:tc>
          <w:tcPr>
            <w:tcW w:w="935" w:type="dxa"/>
            <w:tcBorders>
              <w:left w:val="nil"/>
              <w:bottom w:val="single" w:sz="4" w:space="0" w:color="auto"/>
              <w:right w:val="nil"/>
            </w:tcBorders>
            <w:shd w:val="clear" w:color="auto" w:fill="auto"/>
            <w:noWrap/>
            <w:vAlign w:val="bottom"/>
          </w:tcPr>
          <w:p w14:paraId="563A7A5A" w14:textId="77777777" w:rsidR="00724E7D" w:rsidRPr="00CD3B2A" w:rsidRDefault="00724E7D" w:rsidP="00A46B68">
            <w:pPr>
              <w:spacing w:line="240" w:lineRule="auto"/>
              <w:ind w:firstLine="0"/>
              <w:jc w:val="center"/>
              <w:rPr>
                <w:b/>
                <w:bCs/>
                <w:color w:val="000000"/>
              </w:rPr>
            </w:pPr>
          </w:p>
        </w:tc>
      </w:tr>
      <w:tr w:rsidR="00A36D35" w:rsidRPr="004A7652" w14:paraId="1900CC2B" w14:textId="77777777" w:rsidTr="00724E7D">
        <w:trPr>
          <w:trHeight w:val="20"/>
          <w:tblHeader/>
        </w:trPr>
        <w:tc>
          <w:tcPr>
            <w:tcW w:w="3510" w:type="dxa"/>
            <w:tcBorders>
              <w:top w:val="single" w:sz="4" w:space="0" w:color="auto"/>
              <w:left w:val="nil"/>
              <w:bottom w:val="single" w:sz="4" w:space="0" w:color="auto"/>
              <w:right w:val="nil"/>
            </w:tcBorders>
            <w:shd w:val="clear" w:color="auto" w:fill="auto"/>
            <w:noWrap/>
            <w:vAlign w:val="bottom"/>
            <w:hideMark/>
          </w:tcPr>
          <w:p w14:paraId="56F52876" w14:textId="73A77C10" w:rsidR="00A36D35" w:rsidRPr="00CD3B2A" w:rsidRDefault="00A36D35" w:rsidP="00A46B68">
            <w:pPr>
              <w:spacing w:line="240" w:lineRule="auto"/>
              <w:ind w:firstLine="0"/>
              <w:rPr>
                <w:b/>
                <w:bCs/>
                <w:color w:val="000000"/>
              </w:rPr>
            </w:pPr>
            <w:r w:rsidRPr="00CD3B2A">
              <w:rPr>
                <w:b/>
                <w:bCs/>
                <w:color w:val="000000"/>
              </w:rPr>
              <w:t>Strain</w:t>
            </w:r>
          </w:p>
        </w:tc>
        <w:tc>
          <w:tcPr>
            <w:tcW w:w="2070" w:type="dxa"/>
            <w:tcBorders>
              <w:top w:val="single" w:sz="4" w:space="0" w:color="auto"/>
              <w:left w:val="nil"/>
              <w:bottom w:val="single" w:sz="4" w:space="0" w:color="auto"/>
              <w:right w:val="nil"/>
            </w:tcBorders>
            <w:shd w:val="clear" w:color="auto" w:fill="auto"/>
            <w:noWrap/>
            <w:vAlign w:val="bottom"/>
            <w:hideMark/>
          </w:tcPr>
          <w:p w14:paraId="1CA16857" w14:textId="77777777" w:rsidR="00A36D35" w:rsidRPr="00CD3B2A" w:rsidRDefault="00A36D35" w:rsidP="00A46B68">
            <w:pPr>
              <w:spacing w:line="240" w:lineRule="auto"/>
              <w:ind w:firstLine="0"/>
              <w:jc w:val="center"/>
              <w:rPr>
                <w:b/>
                <w:bCs/>
                <w:color w:val="000000"/>
              </w:rPr>
            </w:pPr>
            <w:r w:rsidRPr="00CD3B2A">
              <w:rPr>
                <w:b/>
                <w:bCs/>
                <w:color w:val="000000"/>
              </w:rPr>
              <w:t>Isolation Site</w:t>
            </w:r>
          </w:p>
        </w:tc>
        <w:tc>
          <w:tcPr>
            <w:tcW w:w="1260" w:type="dxa"/>
            <w:tcBorders>
              <w:top w:val="single" w:sz="4" w:space="0" w:color="auto"/>
              <w:left w:val="nil"/>
              <w:bottom w:val="single" w:sz="4" w:space="0" w:color="auto"/>
              <w:right w:val="nil"/>
            </w:tcBorders>
            <w:shd w:val="clear" w:color="auto" w:fill="auto"/>
            <w:noWrap/>
            <w:vAlign w:val="bottom"/>
            <w:hideMark/>
          </w:tcPr>
          <w:p w14:paraId="772C8AC6" w14:textId="5D4D9F05" w:rsidR="00A36D35" w:rsidRPr="00CD3B2A" w:rsidRDefault="00A36D35" w:rsidP="00A46B68">
            <w:pPr>
              <w:spacing w:line="240" w:lineRule="auto"/>
              <w:ind w:firstLine="0"/>
              <w:jc w:val="center"/>
              <w:rPr>
                <w:b/>
                <w:bCs/>
                <w:color w:val="000000"/>
              </w:rPr>
            </w:pPr>
            <w:r w:rsidRPr="00CD3B2A">
              <w:rPr>
                <w:b/>
                <w:bCs/>
                <w:color w:val="000000"/>
              </w:rPr>
              <w:t>Genome Size</w:t>
            </w:r>
            <w:r>
              <w:rPr>
                <w:b/>
                <w:bCs/>
                <w:color w:val="000000"/>
              </w:rPr>
              <w:t xml:space="preserve"> (Gb)</w:t>
            </w:r>
          </w:p>
        </w:tc>
        <w:tc>
          <w:tcPr>
            <w:tcW w:w="827" w:type="dxa"/>
            <w:tcBorders>
              <w:top w:val="single" w:sz="4" w:space="0" w:color="auto"/>
              <w:left w:val="nil"/>
              <w:bottom w:val="single" w:sz="4" w:space="0" w:color="auto"/>
              <w:right w:val="nil"/>
            </w:tcBorders>
            <w:shd w:val="clear" w:color="auto" w:fill="auto"/>
            <w:noWrap/>
            <w:vAlign w:val="bottom"/>
            <w:hideMark/>
          </w:tcPr>
          <w:p w14:paraId="02D4BE7A" w14:textId="3261AF6D" w:rsidR="00A36D35" w:rsidRPr="00CD3B2A" w:rsidRDefault="00A36D35" w:rsidP="00A46B68">
            <w:pPr>
              <w:spacing w:line="240" w:lineRule="auto"/>
              <w:ind w:firstLine="0"/>
              <w:jc w:val="center"/>
              <w:rPr>
                <w:b/>
                <w:bCs/>
                <w:color w:val="000000"/>
              </w:rPr>
            </w:pPr>
            <w:r w:rsidRPr="00CD3B2A">
              <w:rPr>
                <w:b/>
                <w:bCs/>
                <w:color w:val="000000"/>
              </w:rPr>
              <w:t>#</w:t>
            </w:r>
            <w:r>
              <w:rPr>
                <w:b/>
                <w:bCs/>
                <w:color w:val="000000"/>
              </w:rPr>
              <w:t>CDS</w:t>
            </w:r>
          </w:p>
        </w:tc>
        <w:tc>
          <w:tcPr>
            <w:tcW w:w="935" w:type="dxa"/>
            <w:tcBorders>
              <w:top w:val="single" w:sz="4" w:space="0" w:color="auto"/>
              <w:left w:val="nil"/>
              <w:bottom w:val="single" w:sz="4" w:space="0" w:color="auto"/>
              <w:right w:val="nil"/>
            </w:tcBorders>
            <w:shd w:val="clear" w:color="auto" w:fill="auto"/>
            <w:noWrap/>
            <w:vAlign w:val="bottom"/>
            <w:hideMark/>
          </w:tcPr>
          <w:p w14:paraId="369BFB34" w14:textId="02B857C9" w:rsidR="00A36D35" w:rsidRPr="00CD3B2A" w:rsidRDefault="00A36D35" w:rsidP="00A46B68">
            <w:pPr>
              <w:spacing w:line="240" w:lineRule="auto"/>
              <w:ind w:firstLine="0"/>
              <w:jc w:val="center"/>
              <w:rPr>
                <w:b/>
                <w:bCs/>
                <w:color w:val="000000"/>
              </w:rPr>
            </w:pPr>
            <w:r w:rsidRPr="00CD3B2A">
              <w:rPr>
                <w:b/>
                <w:bCs/>
                <w:color w:val="000000"/>
              </w:rPr>
              <w:t>dDDH</w:t>
            </w:r>
            <w:r w:rsidR="00C20B57">
              <w:rPr>
                <w:b/>
                <w:bCs/>
                <w:color w:val="000000"/>
              </w:rPr>
              <w:t xml:space="preserve"> </w:t>
            </w:r>
            <w:r w:rsidRPr="004A7652">
              <w:rPr>
                <w:b/>
                <w:bCs/>
                <w:color w:val="000000"/>
              </w:rPr>
              <w:t>(%)</w:t>
            </w:r>
          </w:p>
        </w:tc>
      </w:tr>
      <w:tr w:rsidR="00A36D35" w:rsidRPr="004A7652" w14:paraId="025E6AD9" w14:textId="77777777" w:rsidTr="00AB0D75">
        <w:trPr>
          <w:trHeight w:val="20"/>
        </w:trPr>
        <w:tc>
          <w:tcPr>
            <w:tcW w:w="3510" w:type="dxa"/>
            <w:tcBorders>
              <w:top w:val="single" w:sz="4" w:space="0" w:color="auto"/>
              <w:left w:val="nil"/>
              <w:bottom w:val="nil"/>
              <w:right w:val="nil"/>
            </w:tcBorders>
            <w:shd w:val="clear" w:color="auto" w:fill="auto"/>
            <w:noWrap/>
            <w:vAlign w:val="center"/>
            <w:hideMark/>
          </w:tcPr>
          <w:p w14:paraId="4EA542AB" w14:textId="303D6E0D" w:rsidR="00A36D35" w:rsidRPr="004A7652" w:rsidRDefault="00A36D35" w:rsidP="00A46B68">
            <w:pPr>
              <w:spacing w:line="240" w:lineRule="auto"/>
              <w:ind w:left="144" w:firstLine="0"/>
              <w:rPr>
                <w:color w:val="000000"/>
              </w:rPr>
            </w:pPr>
            <w:r w:rsidRPr="00CD3B2A">
              <w:rPr>
                <w:i/>
                <w:iCs/>
                <w:color w:val="000000"/>
              </w:rPr>
              <w:t>Gillisia limnaea</w:t>
            </w:r>
            <w:r w:rsidRPr="00CD3B2A">
              <w:rPr>
                <w:color w:val="000000"/>
              </w:rPr>
              <w:t xml:space="preserve"> </w:t>
            </w:r>
          </w:p>
          <w:p w14:paraId="34FB8B0A" w14:textId="63155168" w:rsidR="00A36D35" w:rsidRPr="00CD3B2A" w:rsidRDefault="00A36D35" w:rsidP="00A46B68">
            <w:pPr>
              <w:spacing w:line="240" w:lineRule="auto"/>
              <w:ind w:left="144" w:firstLine="0"/>
              <w:rPr>
                <w:color w:val="000000"/>
              </w:rPr>
            </w:pPr>
            <w:r w:rsidRPr="00CD3B2A">
              <w:rPr>
                <w:color w:val="000000"/>
              </w:rPr>
              <w:t>DSM 15749</w:t>
            </w:r>
            <w:r>
              <w:rPr>
                <w:color w:val="000000"/>
              </w:rPr>
              <w:t xml:space="preserve"> (</w:t>
            </w:r>
            <w:r w:rsidRPr="00CD3B2A">
              <w:rPr>
                <w:color w:val="000000"/>
              </w:rPr>
              <w:t>GCA_000243235</w:t>
            </w:r>
            <w:r>
              <w:rPr>
                <w:color w:val="000000"/>
              </w:rPr>
              <w:t>)</w:t>
            </w:r>
          </w:p>
        </w:tc>
        <w:tc>
          <w:tcPr>
            <w:tcW w:w="2070" w:type="dxa"/>
            <w:tcBorders>
              <w:top w:val="single" w:sz="4" w:space="0" w:color="auto"/>
              <w:left w:val="nil"/>
              <w:bottom w:val="nil"/>
              <w:right w:val="nil"/>
            </w:tcBorders>
            <w:shd w:val="clear" w:color="auto" w:fill="auto"/>
            <w:noWrap/>
            <w:vAlign w:val="center"/>
            <w:hideMark/>
          </w:tcPr>
          <w:p w14:paraId="13209D59" w14:textId="77777777" w:rsidR="00A36D35" w:rsidRPr="00CD3B2A" w:rsidRDefault="00A36D35" w:rsidP="00A46B68">
            <w:pPr>
              <w:spacing w:line="240" w:lineRule="auto"/>
              <w:ind w:firstLine="0"/>
              <w:jc w:val="center"/>
              <w:rPr>
                <w:color w:val="000000"/>
              </w:rPr>
            </w:pPr>
            <w:r w:rsidRPr="00CD3B2A">
              <w:rPr>
                <w:color w:val="000000"/>
              </w:rPr>
              <w:t>Microbial mat, Lake Fryxell, Antarctica</w:t>
            </w:r>
          </w:p>
        </w:tc>
        <w:tc>
          <w:tcPr>
            <w:tcW w:w="1260" w:type="dxa"/>
            <w:tcBorders>
              <w:top w:val="single" w:sz="4" w:space="0" w:color="auto"/>
              <w:left w:val="nil"/>
              <w:bottom w:val="nil"/>
              <w:right w:val="nil"/>
            </w:tcBorders>
            <w:shd w:val="clear" w:color="auto" w:fill="auto"/>
            <w:noWrap/>
            <w:vAlign w:val="center"/>
            <w:hideMark/>
          </w:tcPr>
          <w:p w14:paraId="65412DDB" w14:textId="3AE632B2" w:rsidR="00A36D35" w:rsidRPr="00CD3B2A" w:rsidRDefault="00A36D35" w:rsidP="00A46B68">
            <w:pPr>
              <w:spacing w:line="240" w:lineRule="auto"/>
              <w:ind w:firstLine="0"/>
              <w:jc w:val="center"/>
              <w:rPr>
                <w:color w:val="000000"/>
              </w:rPr>
            </w:pPr>
            <w:r w:rsidRPr="00CD3B2A">
              <w:rPr>
                <w:color w:val="000000"/>
              </w:rPr>
              <w:t>3</w:t>
            </w:r>
            <w:r>
              <w:rPr>
                <w:color w:val="000000"/>
              </w:rPr>
              <w:t>.</w:t>
            </w:r>
            <w:r w:rsidRPr="00CD3B2A">
              <w:rPr>
                <w:color w:val="000000"/>
              </w:rPr>
              <w:t>9</w:t>
            </w:r>
          </w:p>
        </w:tc>
        <w:tc>
          <w:tcPr>
            <w:tcW w:w="827" w:type="dxa"/>
            <w:tcBorders>
              <w:top w:val="single" w:sz="4" w:space="0" w:color="auto"/>
              <w:left w:val="nil"/>
              <w:bottom w:val="nil"/>
              <w:right w:val="nil"/>
            </w:tcBorders>
            <w:shd w:val="clear" w:color="auto" w:fill="auto"/>
            <w:noWrap/>
            <w:vAlign w:val="center"/>
            <w:hideMark/>
          </w:tcPr>
          <w:p w14:paraId="10891230" w14:textId="77777777" w:rsidR="00A36D35" w:rsidRPr="00CD3B2A" w:rsidRDefault="00A36D35" w:rsidP="00A46B68">
            <w:pPr>
              <w:spacing w:line="240" w:lineRule="auto"/>
              <w:ind w:firstLine="0"/>
              <w:jc w:val="center"/>
              <w:rPr>
                <w:color w:val="000000"/>
              </w:rPr>
            </w:pPr>
            <w:r w:rsidRPr="00CD3B2A">
              <w:rPr>
                <w:color w:val="000000"/>
              </w:rPr>
              <w:t>3569</w:t>
            </w:r>
          </w:p>
        </w:tc>
        <w:tc>
          <w:tcPr>
            <w:tcW w:w="935" w:type="dxa"/>
            <w:tcBorders>
              <w:top w:val="single" w:sz="4" w:space="0" w:color="auto"/>
              <w:left w:val="nil"/>
              <w:bottom w:val="nil"/>
              <w:right w:val="nil"/>
            </w:tcBorders>
            <w:shd w:val="clear" w:color="auto" w:fill="auto"/>
            <w:noWrap/>
            <w:vAlign w:val="center"/>
            <w:hideMark/>
          </w:tcPr>
          <w:p w14:paraId="758B76ED" w14:textId="77777777" w:rsidR="00A36D35" w:rsidRPr="00CD3B2A" w:rsidRDefault="00A36D35" w:rsidP="00A46B68">
            <w:pPr>
              <w:spacing w:line="240" w:lineRule="auto"/>
              <w:ind w:firstLine="0"/>
              <w:jc w:val="center"/>
              <w:rPr>
                <w:color w:val="000000"/>
              </w:rPr>
            </w:pPr>
            <w:r w:rsidRPr="00CD3B2A">
              <w:rPr>
                <w:color w:val="000000"/>
              </w:rPr>
              <w:t>22.6</w:t>
            </w:r>
          </w:p>
        </w:tc>
      </w:tr>
      <w:tr w:rsidR="00A36D35" w:rsidRPr="004A7652" w14:paraId="0916DFC4" w14:textId="77777777" w:rsidTr="00AB0D75">
        <w:trPr>
          <w:trHeight w:val="20"/>
        </w:trPr>
        <w:tc>
          <w:tcPr>
            <w:tcW w:w="3510" w:type="dxa"/>
            <w:tcBorders>
              <w:top w:val="nil"/>
              <w:left w:val="nil"/>
              <w:bottom w:val="nil"/>
              <w:right w:val="nil"/>
            </w:tcBorders>
            <w:shd w:val="clear" w:color="auto" w:fill="auto"/>
            <w:noWrap/>
            <w:vAlign w:val="center"/>
            <w:hideMark/>
          </w:tcPr>
          <w:p w14:paraId="7B35A6F9" w14:textId="4DB4D022" w:rsidR="00A36D35" w:rsidRPr="00CD3B2A" w:rsidRDefault="00A36D35" w:rsidP="00A46B68">
            <w:pPr>
              <w:spacing w:line="240" w:lineRule="auto"/>
              <w:ind w:left="144" w:firstLine="0"/>
              <w:rPr>
                <w:color w:val="000000"/>
              </w:rPr>
            </w:pPr>
            <w:r w:rsidRPr="00CD3B2A">
              <w:rPr>
                <w:i/>
                <w:iCs/>
                <w:color w:val="000000"/>
              </w:rPr>
              <w:t>Gillisia limnaea</w:t>
            </w:r>
            <w:r w:rsidRPr="00CD3B2A">
              <w:rPr>
                <w:color w:val="000000"/>
              </w:rPr>
              <w:t xml:space="preserve"> CIP108418T</w:t>
            </w:r>
            <w:r>
              <w:rPr>
                <w:color w:val="000000"/>
              </w:rPr>
              <w:t xml:space="preserve"> (</w:t>
            </w:r>
            <w:r w:rsidRPr="00CD3B2A">
              <w:rPr>
                <w:color w:val="000000"/>
              </w:rPr>
              <w:t>GCA_965139515</w:t>
            </w:r>
            <w:r>
              <w:rPr>
                <w:color w:val="000000"/>
              </w:rPr>
              <w:t>)</w:t>
            </w:r>
          </w:p>
        </w:tc>
        <w:tc>
          <w:tcPr>
            <w:tcW w:w="2070" w:type="dxa"/>
            <w:tcBorders>
              <w:top w:val="nil"/>
              <w:left w:val="nil"/>
              <w:bottom w:val="nil"/>
              <w:right w:val="nil"/>
            </w:tcBorders>
            <w:shd w:val="clear" w:color="auto" w:fill="auto"/>
            <w:noWrap/>
            <w:vAlign w:val="center"/>
            <w:hideMark/>
          </w:tcPr>
          <w:p w14:paraId="268A8731"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nil"/>
              <w:right w:val="nil"/>
            </w:tcBorders>
            <w:shd w:val="clear" w:color="auto" w:fill="auto"/>
            <w:noWrap/>
            <w:vAlign w:val="center"/>
            <w:hideMark/>
          </w:tcPr>
          <w:p w14:paraId="2B711B00" w14:textId="1D6057DC" w:rsidR="00A36D35" w:rsidRPr="00CD3B2A" w:rsidRDefault="00A36D35" w:rsidP="00A46B68">
            <w:pPr>
              <w:spacing w:line="240" w:lineRule="auto"/>
              <w:ind w:firstLine="0"/>
              <w:jc w:val="center"/>
              <w:rPr>
                <w:color w:val="000000"/>
              </w:rPr>
            </w:pPr>
            <w:r>
              <w:rPr>
                <w:color w:val="000000"/>
              </w:rPr>
              <w:t>3.9</w:t>
            </w:r>
          </w:p>
        </w:tc>
        <w:tc>
          <w:tcPr>
            <w:tcW w:w="827" w:type="dxa"/>
            <w:tcBorders>
              <w:top w:val="nil"/>
              <w:left w:val="nil"/>
              <w:bottom w:val="nil"/>
              <w:right w:val="nil"/>
            </w:tcBorders>
            <w:shd w:val="clear" w:color="auto" w:fill="auto"/>
            <w:noWrap/>
            <w:vAlign w:val="center"/>
            <w:hideMark/>
          </w:tcPr>
          <w:p w14:paraId="2D258B52" w14:textId="77777777" w:rsidR="00A36D35" w:rsidRPr="00CD3B2A" w:rsidRDefault="00A36D35" w:rsidP="00A46B68">
            <w:pPr>
              <w:spacing w:line="240" w:lineRule="auto"/>
              <w:ind w:firstLine="0"/>
              <w:jc w:val="center"/>
              <w:rPr>
                <w:color w:val="000000"/>
              </w:rPr>
            </w:pPr>
            <w:r w:rsidRPr="00CD3B2A">
              <w:rPr>
                <w:color w:val="000000"/>
              </w:rPr>
              <w:t>3445</w:t>
            </w:r>
          </w:p>
        </w:tc>
        <w:tc>
          <w:tcPr>
            <w:tcW w:w="935" w:type="dxa"/>
            <w:tcBorders>
              <w:top w:val="nil"/>
              <w:left w:val="nil"/>
              <w:bottom w:val="nil"/>
              <w:right w:val="nil"/>
            </w:tcBorders>
            <w:shd w:val="clear" w:color="auto" w:fill="auto"/>
            <w:noWrap/>
            <w:vAlign w:val="center"/>
            <w:hideMark/>
          </w:tcPr>
          <w:p w14:paraId="145E84BC" w14:textId="77777777" w:rsidR="00A36D35" w:rsidRPr="00CD3B2A" w:rsidRDefault="00A36D35" w:rsidP="00A46B68">
            <w:pPr>
              <w:spacing w:line="240" w:lineRule="auto"/>
              <w:ind w:firstLine="0"/>
              <w:jc w:val="center"/>
              <w:rPr>
                <w:color w:val="000000"/>
              </w:rPr>
            </w:pPr>
            <w:r w:rsidRPr="00CD3B2A">
              <w:rPr>
                <w:color w:val="000000"/>
              </w:rPr>
              <w:t>22.5</w:t>
            </w:r>
          </w:p>
        </w:tc>
      </w:tr>
      <w:tr w:rsidR="00A36D35" w:rsidRPr="004A7652" w14:paraId="26F5BA59" w14:textId="77777777" w:rsidTr="00AB0D75">
        <w:trPr>
          <w:trHeight w:val="20"/>
        </w:trPr>
        <w:tc>
          <w:tcPr>
            <w:tcW w:w="3510" w:type="dxa"/>
            <w:tcBorders>
              <w:top w:val="nil"/>
              <w:left w:val="nil"/>
              <w:bottom w:val="nil"/>
              <w:right w:val="nil"/>
            </w:tcBorders>
            <w:shd w:val="clear" w:color="auto" w:fill="auto"/>
            <w:noWrap/>
            <w:vAlign w:val="center"/>
            <w:hideMark/>
          </w:tcPr>
          <w:p w14:paraId="4D930FE9" w14:textId="29DBEC93" w:rsidR="00A36D35" w:rsidRPr="00CD3B2A" w:rsidRDefault="00A36D35" w:rsidP="00A46B68">
            <w:pPr>
              <w:spacing w:line="240" w:lineRule="auto"/>
              <w:ind w:left="144" w:firstLine="0"/>
              <w:rPr>
                <w:color w:val="000000"/>
              </w:rPr>
            </w:pPr>
            <w:r w:rsidRPr="00CD3B2A">
              <w:rPr>
                <w:i/>
                <w:iCs/>
                <w:color w:val="000000"/>
              </w:rPr>
              <w:t>Gillisia</w:t>
            </w:r>
            <w:r w:rsidRPr="00CD3B2A">
              <w:rPr>
                <w:color w:val="000000"/>
              </w:rPr>
              <w:t xml:space="preserve"> sp. JM1</w:t>
            </w:r>
            <w:r>
              <w:rPr>
                <w:color w:val="000000"/>
              </w:rPr>
              <w:t xml:space="preserve"> (</w:t>
            </w:r>
            <w:r w:rsidRPr="00CD3B2A">
              <w:rPr>
                <w:color w:val="000000"/>
              </w:rPr>
              <w:t>GCA_000424645</w:t>
            </w:r>
            <w:r>
              <w:rPr>
                <w:color w:val="000000"/>
              </w:rPr>
              <w:t>)</w:t>
            </w:r>
          </w:p>
        </w:tc>
        <w:tc>
          <w:tcPr>
            <w:tcW w:w="2070" w:type="dxa"/>
            <w:tcBorders>
              <w:top w:val="nil"/>
              <w:left w:val="nil"/>
              <w:bottom w:val="nil"/>
              <w:right w:val="nil"/>
            </w:tcBorders>
            <w:shd w:val="clear" w:color="auto" w:fill="auto"/>
            <w:noWrap/>
            <w:vAlign w:val="center"/>
            <w:hideMark/>
          </w:tcPr>
          <w:p w14:paraId="3CF62EE9"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nil"/>
              <w:right w:val="nil"/>
            </w:tcBorders>
            <w:shd w:val="clear" w:color="auto" w:fill="auto"/>
            <w:noWrap/>
            <w:vAlign w:val="center"/>
            <w:hideMark/>
          </w:tcPr>
          <w:p w14:paraId="4B727863" w14:textId="08EC7123" w:rsidR="00A36D35" w:rsidRPr="00CD3B2A" w:rsidRDefault="00A36D35" w:rsidP="00A46B68">
            <w:pPr>
              <w:spacing w:line="240" w:lineRule="auto"/>
              <w:ind w:firstLine="0"/>
              <w:jc w:val="center"/>
              <w:rPr>
                <w:color w:val="000000"/>
              </w:rPr>
            </w:pPr>
            <w:r w:rsidRPr="00CD3B2A">
              <w:rPr>
                <w:color w:val="000000"/>
              </w:rPr>
              <w:t>4</w:t>
            </w:r>
            <w:r>
              <w:rPr>
                <w:color w:val="000000"/>
              </w:rPr>
              <w:t>.</w:t>
            </w:r>
            <w:r w:rsidRPr="00CD3B2A">
              <w:rPr>
                <w:color w:val="000000"/>
              </w:rPr>
              <w:t>1</w:t>
            </w:r>
          </w:p>
        </w:tc>
        <w:tc>
          <w:tcPr>
            <w:tcW w:w="827" w:type="dxa"/>
            <w:tcBorders>
              <w:top w:val="nil"/>
              <w:left w:val="nil"/>
              <w:bottom w:val="nil"/>
              <w:right w:val="nil"/>
            </w:tcBorders>
            <w:shd w:val="clear" w:color="auto" w:fill="auto"/>
            <w:noWrap/>
            <w:vAlign w:val="center"/>
            <w:hideMark/>
          </w:tcPr>
          <w:p w14:paraId="01813C58" w14:textId="77777777" w:rsidR="00A36D35" w:rsidRPr="00CD3B2A" w:rsidRDefault="00A36D35" w:rsidP="00A46B68">
            <w:pPr>
              <w:spacing w:line="240" w:lineRule="auto"/>
              <w:ind w:firstLine="0"/>
              <w:jc w:val="center"/>
              <w:rPr>
                <w:color w:val="000000"/>
              </w:rPr>
            </w:pPr>
            <w:r w:rsidRPr="00CD3B2A">
              <w:rPr>
                <w:color w:val="000000"/>
              </w:rPr>
              <w:t>3759</w:t>
            </w:r>
          </w:p>
        </w:tc>
        <w:tc>
          <w:tcPr>
            <w:tcW w:w="935" w:type="dxa"/>
            <w:tcBorders>
              <w:top w:val="nil"/>
              <w:left w:val="nil"/>
              <w:bottom w:val="nil"/>
              <w:right w:val="nil"/>
            </w:tcBorders>
            <w:shd w:val="clear" w:color="auto" w:fill="auto"/>
            <w:noWrap/>
            <w:vAlign w:val="center"/>
            <w:hideMark/>
          </w:tcPr>
          <w:p w14:paraId="55F4AF4B" w14:textId="77777777" w:rsidR="00A36D35" w:rsidRPr="00CD3B2A" w:rsidRDefault="00A36D35" w:rsidP="00A46B68">
            <w:pPr>
              <w:spacing w:line="240" w:lineRule="auto"/>
              <w:ind w:firstLine="0"/>
              <w:jc w:val="center"/>
              <w:rPr>
                <w:color w:val="000000"/>
              </w:rPr>
            </w:pPr>
            <w:r w:rsidRPr="00CD3B2A">
              <w:rPr>
                <w:color w:val="000000"/>
              </w:rPr>
              <w:t>21.7</w:t>
            </w:r>
          </w:p>
        </w:tc>
      </w:tr>
      <w:tr w:rsidR="00A36D35" w:rsidRPr="004A7652" w14:paraId="0A8AC10D" w14:textId="77777777" w:rsidTr="00AB0D75">
        <w:trPr>
          <w:trHeight w:val="20"/>
        </w:trPr>
        <w:tc>
          <w:tcPr>
            <w:tcW w:w="3510" w:type="dxa"/>
            <w:tcBorders>
              <w:top w:val="nil"/>
              <w:left w:val="nil"/>
              <w:bottom w:val="nil"/>
              <w:right w:val="nil"/>
            </w:tcBorders>
            <w:shd w:val="clear" w:color="auto" w:fill="auto"/>
            <w:noWrap/>
            <w:vAlign w:val="center"/>
            <w:hideMark/>
          </w:tcPr>
          <w:p w14:paraId="3BFAAF11" w14:textId="7ECEAC42" w:rsidR="00A36D35" w:rsidRPr="00CD3B2A" w:rsidRDefault="00A36D35" w:rsidP="00A46B68">
            <w:pPr>
              <w:spacing w:line="240" w:lineRule="auto"/>
              <w:ind w:left="144" w:firstLine="0"/>
              <w:rPr>
                <w:color w:val="000000"/>
              </w:rPr>
            </w:pPr>
            <w:r w:rsidRPr="00CD3B2A">
              <w:rPr>
                <w:i/>
                <w:iCs/>
                <w:color w:val="000000"/>
              </w:rPr>
              <w:t>Gillisia hiemivivida</w:t>
            </w:r>
            <w:r w:rsidRPr="00CD3B2A">
              <w:rPr>
                <w:color w:val="000000"/>
              </w:rPr>
              <w:t xml:space="preserve"> IC154</w:t>
            </w:r>
            <w:r>
              <w:rPr>
                <w:color w:val="000000"/>
              </w:rPr>
              <w:t xml:space="preserve"> (</w:t>
            </w:r>
            <w:r w:rsidRPr="00CD3B2A">
              <w:rPr>
                <w:color w:val="000000"/>
              </w:rPr>
              <w:t>GCA_007997295</w:t>
            </w:r>
            <w:r>
              <w:rPr>
                <w:color w:val="000000"/>
              </w:rPr>
              <w:t>)</w:t>
            </w:r>
          </w:p>
        </w:tc>
        <w:tc>
          <w:tcPr>
            <w:tcW w:w="2070" w:type="dxa"/>
            <w:tcBorders>
              <w:top w:val="nil"/>
              <w:left w:val="nil"/>
              <w:bottom w:val="nil"/>
              <w:right w:val="nil"/>
            </w:tcBorders>
            <w:shd w:val="clear" w:color="auto" w:fill="auto"/>
            <w:noWrap/>
            <w:vAlign w:val="center"/>
            <w:hideMark/>
          </w:tcPr>
          <w:p w14:paraId="71C2034D" w14:textId="77777777" w:rsidR="00A36D35" w:rsidRPr="00CD3B2A" w:rsidRDefault="00A36D35" w:rsidP="00A46B68">
            <w:pPr>
              <w:spacing w:line="240" w:lineRule="auto"/>
              <w:ind w:firstLine="0"/>
              <w:jc w:val="center"/>
              <w:rPr>
                <w:color w:val="000000"/>
              </w:rPr>
            </w:pPr>
            <w:r w:rsidRPr="00CD3B2A">
              <w:rPr>
                <w:color w:val="000000"/>
              </w:rPr>
              <w:t>Sea-ice, Vestfold hills, Antarctica</w:t>
            </w:r>
          </w:p>
        </w:tc>
        <w:tc>
          <w:tcPr>
            <w:tcW w:w="1260" w:type="dxa"/>
            <w:tcBorders>
              <w:top w:val="nil"/>
              <w:left w:val="nil"/>
              <w:bottom w:val="nil"/>
              <w:right w:val="nil"/>
            </w:tcBorders>
            <w:shd w:val="clear" w:color="auto" w:fill="auto"/>
            <w:noWrap/>
            <w:vAlign w:val="center"/>
            <w:hideMark/>
          </w:tcPr>
          <w:p w14:paraId="3B0582C1" w14:textId="7B549250" w:rsidR="00A36D35" w:rsidRPr="00CD3B2A" w:rsidRDefault="00A36D35" w:rsidP="00A46B68">
            <w:pPr>
              <w:spacing w:line="240" w:lineRule="auto"/>
              <w:ind w:firstLine="0"/>
              <w:jc w:val="center"/>
              <w:rPr>
                <w:color w:val="000000"/>
              </w:rPr>
            </w:pPr>
            <w:r w:rsidRPr="00CD3B2A">
              <w:rPr>
                <w:color w:val="000000"/>
              </w:rPr>
              <w:t>3</w:t>
            </w:r>
            <w:r>
              <w:rPr>
                <w:color w:val="000000"/>
              </w:rPr>
              <w:t>.</w:t>
            </w:r>
            <w:r w:rsidRPr="00CD3B2A">
              <w:rPr>
                <w:color w:val="000000"/>
              </w:rPr>
              <w:t>7</w:t>
            </w:r>
          </w:p>
        </w:tc>
        <w:tc>
          <w:tcPr>
            <w:tcW w:w="827" w:type="dxa"/>
            <w:tcBorders>
              <w:top w:val="nil"/>
              <w:left w:val="nil"/>
              <w:bottom w:val="nil"/>
              <w:right w:val="nil"/>
            </w:tcBorders>
            <w:shd w:val="clear" w:color="auto" w:fill="auto"/>
            <w:noWrap/>
            <w:vAlign w:val="center"/>
            <w:hideMark/>
          </w:tcPr>
          <w:p w14:paraId="5D760199" w14:textId="77777777" w:rsidR="00A36D35" w:rsidRPr="00CD3B2A" w:rsidRDefault="00A36D35" w:rsidP="00A46B68">
            <w:pPr>
              <w:spacing w:line="240" w:lineRule="auto"/>
              <w:ind w:firstLine="0"/>
              <w:jc w:val="center"/>
              <w:rPr>
                <w:color w:val="000000"/>
              </w:rPr>
            </w:pPr>
            <w:r w:rsidRPr="00CD3B2A">
              <w:rPr>
                <w:color w:val="000000"/>
              </w:rPr>
              <w:t>3166</w:t>
            </w:r>
          </w:p>
        </w:tc>
        <w:tc>
          <w:tcPr>
            <w:tcW w:w="935" w:type="dxa"/>
            <w:tcBorders>
              <w:top w:val="nil"/>
              <w:left w:val="nil"/>
              <w:bottom w:val="nil"/>
              <w:right w:val="nil"/>
            </w:tcBorders>
            <w:shd w:val="clear" w:color="auto" w:fill="auto"/>
            <w:noWrap/>
            <w:vAlign w:val="center"/>
            <w:hideMark/>
          </w:tcPr>
          <w:p w14:paraId="13284278" w14:textId="77777777" w:rsidR="00A36D35" w:rsidRPr="00CD3B2A" w:rsidRDefault="00A36D35" w:rsidP="00A46B68">
            <w:pPr>
              <w:spacing w:line="240" w:lineRule="auto"/>
              <w:ind w:firstLine="0"/>
              <w:jc w:val="center"/>
              <w:rPr>
                <w:color w:val="000000"/>
              </w:rPr>
            </w:pPr>
            <w:r w:rsidRPr="00CD3B2A">
              <w:rPr>
                <w:color w:val="000000"/>
              </w:rPr>
              <w:t>20.7</w:t>
            </w:r>
          </w:p>
        </w:tc>
      </w:tr>
      <w:tr w:rsidR="00A36D35" w:rsidRPr="004A7652" w14:paraId="4014C15A" w14:textId="77777777" w:rsidTr="00AB0D75">
        <w:trPr>
          <w:trHeight w:val="20"/>
        </w:trPr>
        <w:tc>
          <w:tcPr>
            <w:tcW w:w="3510" w:type="dxa"/>
            <w:tcBorders>
              <w:top w:val="nil"/>
              <w:left w:val="nil"/>
              <w:bottom w:val="nil"/>
              <w:right w:val="nil"/>
            </w:tcBorders>
            <w:shd w:val="clear" w:color="auto" w:fill="auto"/>
            <w:noWrap/>
            <w:vAlign w:val="center"/>
            <w:hideMark/>
          </w:tcPr>
          <w:p w14:paraId="081CBFD5" w14:textId="5EFCD779" w:rsidR="00A36D35" w:rsidRPr="00CD3B2A" w:rsidRDefault="00A36D35" w:rsidP="00A46B68">
            <w:pPr>
              <w:spacing w:line="240" w:lineRule="auto"/>
              <w:ind w:left="144" w:firstLine="0"/>
              <w:rPr>
                <w:color w:val="000000"/>
              </w:rPr>
            </w:pPr>
            <w:r w:rsidRPr="00CD3B2A">
              <w:rPr>
                <w:i/>
                <w:iCs/>
                <w:color w:val="000000"/>
              </w:rPr>
              <w:t>Gillisia hiemivivida</w:t>
            </w:r>
            <w:r w:rsidRPr="00CD3B2A">
              <w:rPr>
                <w:color w:val="000000"/>
              </w:rPr>
              <w:t xml:space="preserve"> CIP108528T</w:t>
            </w:r>
            <w:r>
              <w:rPr>
                <w:color w:val="000000"/>
              </w:rPr>
              <w:t xml:space="preserve"> (</w:t>
            </w:r>
            <w:r w:rsidRPr="00CD3B2A">
              <w:rPr>
                <w:color w:val="000000"/>
              </w:rPr>
              <w:t>GCA_965139505</w:t>
            </w:r>
            <w:r>
              <w:rPr>
                <w:color w:val="000000"/>
              </w:rPr>
              <w:t>)</w:t>
            </w:r>
          </w:p>
        </w:tc>
        <w:tc>
          <w:tcPr>
            <w:tcW w:w="2070" w:type="dxa"/>
            <w:tcBorders>
              <w:top w:val="nil"/>
              <w:left w:val="nil"/>
              <w:bottom w:val="nil"/>
              <w:right w:val="nil"/>
            </w:tcBorders>
            <w:shd w:val="clear" w:color="auto" w:fill="auto"/>
            <w:noWrap/>
            <w:vAlign w:val="center"/>
            <w:hideMark/>
          </w:tcPr>
          <w:p w14:paraId="3032D9D7"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nil"/>
              <w:right w:val="nil"/>
            </w:tcBorders>
            <w:shd w:val="clear" w:color="auto" w:fill="auto"/>
            <w:noWrap/>
            <w:vAlign w:val="center"/>
            <w:hideMark/>
          </w:tcPr>
          <w:p w14:paraId="29DBCA79" w14:textId="58577693" w:rsidR="00A36D35" w:rsidRPr="00CD3B2A" w:rsidRDefault="00A36D35" w:rsidP="00A46B68">
            <w:pPr>
              <w:spacing w:line="240" w:lineRule="auto"/>
              <w:ind w:firstLine="0"/>
              <w:jc w:val="center"/>
              <w:rPr>
                <w:color w:val="000000"/>
              </w:rPr>
            </w:pPr>
            <w:r w:rsidRPr="00CD3B2A">
              <w:rPr>
                <w:color w:val="000000"/>
              </w:rPr>
              <w:t>3</w:t>
            </w:r>
            <w:r>
              <w:rPr>
                <w:color w:val="000000"/>
              </w:rPr>
              <w:t>.</w:t>
            </w:r>
            <w:r w:rsidRPr="00CD3B2A">
              <w:rPr>
                <w:color w:val="000000"/>
              </w:rPr>
              <w:t>7</w:t>
            </w:r>
          </w:p>
        </w:tc>
        <w:tc>
          <w:tcPr>
            <w:tcW w:w="827" w:type="dxa"/>
            <w:tcBorders>
              <w:top w:val="nil"/>
              <w:left w:val="nil"/>
              <w:bottom w:val="nil"/>
              <w:right w:val="nil"/>
            </w:tcBorders>
            <w:shd w:val="clear" w:color="auto" w:fill="auto"/>
            <w:noWrap/>
            <w:vAlign w:val="center"/>
            <w:hideMark/>
          </w:tcPr>
          <w:p w14:paraId="6FF354BA" w14:textId="77777777" w:rsidR="00A36D35" w:rsidRPr="00CD3B2A" w:rsidRDefault="00A36D35" w:rsidP="00A46B68">
            <w:pPr>
              <w:spacing w:line="240" w:lineRule="auto"/>
              <w:ind w:firstLine="0"/>
              <w:jc w:val="center"/>
              <w:rPr>
                <w:color w:val="000000"/>
              </w:rPr>
            </w:pPr>
            <w:r w:rsidRPr="00CD3B2A">
              <w:rPr>
                <w:color w:val="000000"/>
              </w:rPr>
              <w:t>3296</w:t>
            </w:r>
          </w:p>
        </w:tc>
        <w:tc>
          <w:tcPr>
            <w:tcW w:w="935" w:type="dxa"/>
            <w:tcBorders>
              <w:top w:val="nil"/>
              <w:left w:val="nil"/>
              <w:bottom w:val="nil"/>
              <w:right w:val="nil"/>
            </w:tcBorders>
            <w:shd w:val="clear" w:color="auto" w:fill="auto"/>
            <w:noWrap/>
            <w:vAlign w:val="center"/>
            <w:hideMark/>
          </w:tcPr>
          <w:p w14:paraId="65065C6D" w14:textId="77777777" w:rsidR="00A36D35" w:rsidRPr="00CD3B2A" w:rsidRDefault="00A36D35" w:rsidP="00A46B68">
            <w:pPr>
              <w:spacing w:line="240" w:lineRule="auto"/>
              <w:ind w:firstLine="0"/>
              <w:jc w:val="center"/>
              <w:rPr>
                <w:color w:val="000000"/>
              </w:rPr>
            </w:pPr>
            <w:r w:rsidRPr="00CD3B2A">
              <w:rPr>
                <w:color w:val="000000"/>
              </w:rPr>
              <w:t>20.7</w:t>
            </w:r>
          </w:p>
        </w:tc>
      </w:tr>
      <w:tr w:rsidR="00A36D35" w:rsidRPr="004A7652" w14:paraId="06873013" w14:textId="77777777" w:rsidTr="00AB0D75">
        <w:trPr>
          <w:trHeight w:val="20"/>
        </w:trPr>
        <w:tc>
          <w:tcPr>
            <w:tcW w:w="3510" w:type="dxa"/>
            <w:tcBorders>
              <w:top w:val="nil"/>
              <w:left w:val="nil"/>
              <w:bottom w:val="nil"/>
              <w:right w:val="nil"/>
            </w:tcBorders>
            <w:shd w:val="clear" w:color="auto" w:fill="auto"/>
            <w:noWrap/>
            <w:vAlign w:val="center"/>
            <w:hideMark/>
          </w:tcPr>
          <w:p w14:paraId="774A67EB" w14:textId="738776B6" w:rsidR="00A36D35" w:rsidRPr="00CD3B2A" w:rsidRDefault="00A36D35" w:rsidP="00A46B68">
            <w:pPr>
              <w:spacing w:line="240" w:lineRule="auto"/>
              <w:ind w:left="144" w:firstLine="0"/>
              <w:rPr>
                <w:color w:val="000000"/>
              </w:rPr>
            </w:pPr>
            <w:r w:rsidRPr="00CD3B2A">
              <w:rPr>
                <w:i/>
                <w:iCs/>
                <w:color w:val="000000"/>
              </w:rPr>
              <w:t>Gillisia</w:t>
            </w:r>
            <w:r w:rsidRPr="00CD3B2A">
              <w:rPr>
                <w:color w:val="000000"/>
              </w:rPr>
              <w:t xml:space="preserve"> sp. Q332</w:t>
            </w:r>
            <w:r>
              <w:rPr>
                <w:color w:val="000000"/>
              </w:rPr>
              <w:t xml:space="preserve"> (</w:t>
            </w:r>
            <w:r w:rsidRPr="00CD3B2A">
              <w:rPr>
                <w:color w:val="000000"/>
              </w:rPr>
              <w:t>GCA_046298265</w:t>
            </w:r>
            <w:r>
              <w:rPr>
                <w:color w:val="000000"/>
              </w:rPr>
              <w:t>)</w:t>
            </w:r>
          </w:p>
        </w:tc>
        <w:tc>
          <w:tcPr>
            <w:tcW w:w="2070" w:type="dxa"/>
            <w:tcBorders>
              <w:top w:val="nil"/>
              <w:left w:val="nil"/>
              <w:bottom w:val="nil"/>
              <w:right w:val="nil"/>
            </w:tcBorders>
            <w:shd w:val="clear" w:color="auto" w:fill="auto"/>
            <w:noWrap/>
            <w:vAlign w:val="center"/>
            <w:hideMark/>
          </w:tcPr>
          <w:p w14:paraId="122A4B77" w14:textId="77777777" w:rsidR="00A36D35" w:rsidRPr="00CD3B2A" w:rsidRDefault="00A36D35" w:rsidP="00A46B68">
            <w:pPr>
              <w:spacing w:line="240" w:lineRule="auto"/>
              <w:ind w:firstLine="0"/>
              <w:jc w:val="center"/>
              <w:rPr>
                <w:color w:val="000000"/>
              </w:rPr>
            </w:pPr>
            <w:r w:rsidRPr="00CD3B2A">
              <w:rPr>
                <w:color w:val="000000"/>
              </w:rPr>
              <w:t>Sediment , China</w:t>
            </w:r>
          </w:p>
        </w:tc>
        <w:tc>
          <w:tcPr>
            <w:tcW w:w="1260" w:type="dxa"/>
            <w:tcBorders>
              <w:top w:val="nil"/>
              <w:left w:val="nil"/>
              <w:bottom w:val="nil"/>
              <w:right w:val="nil"/>
            </w:tcBorders>
            <w:shd w:val="clear" w:color="auto" w:fill="auto"/>
            <w:noWrap/>
            <w:vAlign w:val="center"/>
            <w:hideMark/>
          </w:tcPr>
          <w:p w14:paraId="7B9DD5CA" w14:textId="326BCBF8" w:rsidR="00A36D35" w:rsidRPr="00CD3B2A" w:rsidRDefault="00A36D35" w:rsidP="00A46B68">
            <w:pPr>
              <w:spacing w:line="240" w:lineRule="auto"/>
              <w:ind w:firstLine="0"/>
              <w:jc w:val="center"/>
              <w:rPr>
                <w:color w:val="000000"/>
              </w:rPr>
            </w:pPr>
            <w:r w:rsidRPr="00CD3B2A">
              <w:rPr>
                <w:color w:val="000000"/>
              </w:rPr>
              <w:t>3</w:t>
            </w:r>
            <w:r>
              <w:rPr>
                <w:color w:val="000000"/>
              </w:rPr>
              <w:t>.8</w:t>
            </w:r>
          </w:p>
        </w:tc>
        <w:tc>
          <w:tcPr>
            <w:tcW w:w="827" w:type="dxa"/>
            <w:tcBorders>
              <w:top w:val="nil"/>
              <w:left w:val="nil"/>
              <w:bottom w:val="nil"/>
              <w:right w:val="nil"/>
            </w:tcBorders>
            <w:shd w:val="clear" w:color="auto" w:fill="auto"/>
            <w:noWrap/>
            <w:vAlign w:val="center"/>
            <w:hideMark/>
          </w:tcPr>
          <w:p w14:paraId="711FA41C" w14:textId="77777777" w:rsidR="00A36D35" w:rsidRPr="00CD3B2A" w:rsidRDefault="00A36D35" w:rsidP="00A46B68">
            <w:pPr>
              <w:spacing w:line="240" w:lineRule="auto"/>
              <w:ind w:firstLine="0"/>
              <w:jc w:val="center"/>
              <w:rPr>
                <w:color w:val="000000"/>
              </w:rPr>
            </w:pPr>
            <w:r w:rsidRPr="00CD3B2A">
              <w:rPr>
                <w:color w:val="000000"/>
              </w:rPr>
              <w:t>3417</w:t>
            </w:r>
          </w:p>
        </w:tc>
        <w:tc>
          <w:tcPr>
            <w:tcW w:w="935" w:type="dxa"/>
            <w:tcBorders>
              <w:top w:val="nil"/>
              <w:left w:val="nil"/>
              <w:bottom w:val="nil"/>
              <w:right w:val="nil"/>
            </w:tcBorders>
            <w:shd w:val="clear" w:color="auto" w:fill="auto"/>
            <w:noWrap/>
            <w:vAlign w:val="center"/>
            <w:hideMark/>
          </w:tcPr>
          <w:p w14:paraId="65E7BE94" w14:textId="77777777" w:rsidR="00A36D35" w:rsidRPr="00CD3B2A" w:rsidRDefault="00A36D35" w:rsidP="00A46B68">
            <w:pPr>
              <w:spacing w:line="240" w:lineRule="auto"/>
              <w:ind w:firstLine="0"/>
              <w:jc w:val="center"/>
              <w:rPr>
                <w:color w:val="000000"/>
              </w:rPr>
            </w:pPr>
            <w:r w:rsidRPr="00CD3B2A">
              <w:rPr>
                <w:color w:val="000000"/>
              </w:rPr>
              <w:t>19.9</w:t>
            </w:r>
          </w:p>
        </w:tc>
      </w:tr>
      <w:tr w:rsidR="00A36D35" w:rsidRPr="004A7652" w14:paraId="10E1D8C0" w14:textId="77777777" w:rsidTr="00AB0D75">
        <w:trPr>
          <w:trHeight w:val="20"/>
        </w:trPr>
        <w:tc>
          <w:tcPr>
            <w:tcW w:w="3510" w:type="dxa"/>
            <w:tcBorders>
              <w:top w:val="nil"/>
              <w:left w:val="nil"/>
              <w:bottom w:val="nil"/>
              <w:right w:val="nil"/>
            </w:tcBorders>
            <w:shd w:val="clear" w:color="auto" w:fill="auto"/>
            <w:noWrap/>
            <w:vAlign w:val="center"/>
            <w:hideMark/>
          </w:tcPr>
          <w:p w14:paraId="0B4C097E" w14:textId="0E73EC90" w:rsidR="00A36D35" w:rsidRPr="00CD3B2A" w:rsidRDefault="00A36D35" w:rsidP="00A46B68">
            <w:pPr>
              <w:spacing w:line="240" w:lineRule="auto"/>
              <w:ind w:left="144" w:firstLine="0"/>
              <w:rPr>
                <w:color w:val="000000"/>
              </w:rPr>
            </w:pPr>
            <w:r w:rsidRPr="00CD3B2A">
              <w:rPr>
                <w:i/>
                <w:iCs/>
                <w:color w:val="000000"/>
              </w:rPr>
              <w:t>Gillisia</w:t>
            </w:r>
            <w:r w:rsidRPr="00CD3B2A">
              <w:rPr>
                <w:color w:val="000000"/>
              </w:rPr>
              <w:t xml:space="preserve"> sp. CAL575</w:t>
            </w:r>
            <w:r>
              <w:rPr>
                <w:color w:val="000000"/>
              </w:rPr>
              <w:t xml:space="preserve"> (</w:t>
            </w:r>
            <w:r w:rsidRPr="00CD3B2A">
              <w:rPr>
                <w:color w:val="000000"/>
              </w:rPr>
              <w:t>GCA_000403785</w:t>
            </w:r>
            <w:r>
              <w:rPr>
                <w:color w:val="000000"/>
              </w:rPr>
              <w:t>)</w:t>
            </w:r>
          </w:p>
        </w:tc>
        <w:tc>
          <w:tcPr>
            <w:tcW w:w="2070" w:type="dxa"/>
            <w:tcBorders>
              <w:top w:val="nil"/>
              <w:left w:val="nil"/>
              <w:bottom w:val="nil"/>
              <w:right w:val="nil"/>
            </w:tcBorders>
            <w:shd w:val="clear" w:color="auto" w:fill="auto"/>
            <w:noWrap/>
            <w:vAlign w:val="center"/>
            <w:hideMark/>
          </w:tcPr>
          <w:p w14:paraId="6152B4E6" w14:textId="77777777" w:rsidR="00A36D35" w:rsidRPr="00CD3B2A" w:rsidRDefault="00A36D35" w:rsidP="00A46B68">
            <w:pPr>
              <w:spacing w:line="240" w:lineRule="auto"/>
              <w:ind w:firstLine="0"/>
              <w:jc w:val="center"/>
              <w:rPr>
                <w:color w:val="000000"/>
              </w:rPr>
            </w:pPr>
            <w:r w:rsidRPr="00CD3B2A">
              <w:rPr>
                <w:color w:val="000000"/>
              </w:rPr>
              <w:t>Antarctic Sponge</w:t>
            </w:r>
          </w:p>
        </w:tc>
        <w:tc>
          <w:tcPr>
            <w:tcW w:w="1260" w:type="dxa"/>
            <w:tcBorders>
              <w:top w:val="nil"/>
              <w:left w:val="nil"/>
              <w:bottom w:val="nil"/>
              <w:right w:val="nil"/>
            </w:tcBorders>
            <w:shd w:val="clear" w:color="auto" w:fill="auto"/>
            <w:noWrap/>
            <w:vAlign w:val="center"/>
            <w:hideMark/>
          </w:tcPr>
          <w:p w14:paraId="3CF2C4FB" w14:textId="0286F794" w:rsidR="00A36D35" w:rsidRPr="00CD3B2A" w:rsidRDefault="00A36D35" w:rsidP="00A46B68">
            <w:pPr>
              <w:spacing w:line="240" w:lineRule="auto"/>
              <w:ind w:firstLine="0"/>
              <w:jc w:val="center"/>
              <w:rPr>
                <w:color w:val="000000"/>
              </w:rPr>
            </w:pPr>
            <w:r w:rsidRPr="00CD3B2A">
              <w:rPr>
                <w:color w:val="000000"/>
              </w:rPr>
              <w:t>3</w:t>
            </w:r>
            <w:r>
              <w:rPr>
                <w:color w:val="000000"/>
              </w:rPr>
              <w:t>.6</w:t>
            </w:r>
          </w:p>
        </w:tc>
        <w:tc>
          <w:tcPr>
            <w:tcW w:w="827" w:type="dxa"/>
            <w:tcBorders>
              <w:top w:val="nil"/>
              <w:left w:val="nil"/>
              <w:bottom w:val="nil"/>
              <w:right w:val="nil"/>
            </w:tcBorders>
            <w:shd w:val="clear" w:color="auto" w:fill="auto"/>
            <w:noWrap/>
            <w:vAlign w:val="center"/>
            <w:hideMark/>
          </w:tcPr>
          <w:p w14:paraId="487B9A77" w14:textId="77777777" w:rsidR="00A36D35" w:rsidRPr="00CD3B2A" w:rsidRDefault="00A36D35" w:rsidP="00A46B68">
            <w:pPr>
              <w:spacing w:line="240" w:lineRule="auto"/>
              <w:ind w:firstLine="0"/>
              <w:jc w:val="center"/>
              <w:rPr>
                <w:color w:val="000000"/>
              </w:rPr>
            </w:pPr>
            <w:r w:rsidRPr="00CD3B2A">
              <w:rPr>
                <w:color w:val="000000"/>
              </w:rPr>
              <w:t>3270</w:t>
            </w:r>
          </w:p>
        </w:tc>
        <w:tc>
          <w:tcPr>
            <w:tcW w:w="935" w:type="dxa"/>
            <w:tcBorders>
              <w:top w:val="nil"/>
              <w:left w:val="nil"/>
              <w:bottom w:val="nil"/>
              <w:right w:val="nil"/>
            </w:tcBorders>
            <w:shd w:val="clear" w:color="auto" w:fill="auto"/>
            <w:noWrap/>
            <w:vAlign w:val="center"/>
            <w:hideMark/>
          </w:tcPr>
          <w:p w14:paraId="48E1936F" w14:textId="77777777" w:rsidR="00A36D35" w:rsidRPr="00CD3B2A" w:rsidRDefault="00A36D35" w:rsidP="00A46B68">
            <w:pPr>
              <w:spacing w:line="240" w:lineRule="auto"/>
              <w:ind w:firstLine="0"/>
              <w:jc w:val="center"/>
              <w:rPr>
                <w:color w:val="000000"/>
              </w:rPr>
            </w:pPr>
            <w:r w:rsidRPr="00CD3B2A">
              <w:rPr>
                <w:color w:val="000000"/>
              </w:rPr>
              <w:t>18.7</w:t>
            </w:r>
          </w:p>
        </w:tc>
      </w:tr>
      <w:tr w:rsidR="00A36D35" w:rsidRPr="004A7652" w14:paraId="7F0EE189" w14:textId="77777777" w:rsidTr="00AB0D75">
        <w:trPr>
          <w:trHeight w:val="20"/>
        </w:trPr>
        <w:tc>
          <w:tcPr>
            <w:tcW w:w="3510" w:type="dxa"/>
            <w:tcBorders>
              <w:top w:val="nil"/>
              <w:left w:val="nil"/>
              <w:bottom w:val="nil"/>
              <w:right w:val="nil"/>
            </w:tcBorders>
            <w:shd w:val="clear" w:color="auto" w:fill="auto"/>
            <w:noWrap/>
            <w:vAlign w:val="center"/>
            <w:hideMark/>
          </w:tcPr>
          <w:p w14:paraId="434505E8" w14:textId="35ADD96D" w:rsidR="00A36D35" w:rsidRPr="00CD3B2A" w:rsidRDefault="00A36D35" w:rsidP="00A46B68">
            <w:pPr>
              <w:spacing w:line="240" w:lineRule="auto"/>
              <w:ind w:left="144" w:firstLine="0"/>
              <w:rPr>
                <w:color w:val="000000"/>
              </w:rPr>
            </w:pPr>
            <w:r w:rsidRPr="00CD3B2A">
              <w:rPr>
                <w:i/>
                <w:iCs/>
                <w:color w:val="000000"/>
              </w:rPr>
              <w:t>Gillisia</w:t>
            </w:r>
            <w:r w:rsidRPr="00CD3B2A">
              <w:rPr>
                <w:color w:val="000000"/>
              </w:rPr>
              <w:t xml:space="preserve"> sp. Hel_I_86</w:t>
            </w:r>
            <w:r>
              <w:rPr>
                <w:color w:val="000000"/>
              </w:rPr>
              <w:t xml:space="preserve"> (</w:t>
            </w:r>
            <w:r w:rsidRPr="00CD3B2A">
              <w:rPr>
                <w:color w:val="000000"/>
              </w:rPr>
              <w:t>GCA_007827275</w:t>
            </w:r>
            <w:r>
              <w:rPr>
                <w:color w:val="000000"/>
              </w:rPr>
              <w:t>)</w:t>
            </w:r>
          </w:p>
        </w:tc>
        <w:tc>
          <w:tcPr>
            <w:tcW w:w="2070" w:type="dxa"/>
            <w:tcBorders>
              <w:top w:val="nil"/>
              <w:left w:val="nil"/>
              <w:bottom w:val="nil"/>
              <w:right w:val="nil"/>
            </w:tcBorders>
            <w:shd w:val="clear" w:color="auto" w:fill="auto"/>
            <w:noWrap/>
            <w:vAlign w:val="center"/>
            <w:hideMark/>
          </w:tcPr>
          <w:p w14:paraId="0D3DEF3D" w14:textId="77777777" w:rsidR="00A36D35" w:rsidRPr="00CD3B2A" w:rsidRDefault="00A36D35" w:rsidP="00A46B68">
            <w:pPr>
              <w:spacing w:line="240" w:lineRule="auto"/>
              <w:ind w:firstLine="0"/>
              <w:jc w:val="center"/>
              <w:rPr>
                <w:color w:val="000000"/>
              </w:rPr>
            </w:pPr>
            <w:r w:rsidRPr="00CD3B2A">
              <w:rPr>
                <w:color w:val="000000"/>
              </w:rPr>
              <w:t>North Sea</w:t>
            </w:r>
          </w:p>
        </w:tc>
        <w:tc>
          <w:tcPr>
            <w:tcW w:w="1260" w:type="dxa"/>
            <w:tcBorders>
              <w:top w:val="nil"/>
              <w:left w:val="nil"/>
              <w:bottom w:val="nil"/>
              <w:right w:val="nil"/>
            </w:tcBorders>
            <w:shd w:val="clear" w:color="auto" w:fill="auto"/>
            <w:noWrap/>
            <w:vAlign w:val="center"/>
            <w:hideMark/>
          </w:tcPr>
          <w:p w14:paraId="1C0FB9B3" w14:textId="38F79E70" w:rsidR="00A36D35" w:rsidRPr="00CD3B2A" w:rsidRDefault="00A36D35" w:rsidP="00A46B68">
            <w:pPr>
              <w:spacing w:line="240" w:lineRule="auto"/>
              <w:ind w:firstLine="0"/>
              <w:jc w:val="center"/>
              <w:rPr>
                <w:color w:val="000000"/>
              </w:rPr>
            </w:pPr>
            <w:r w:rsidRPr="00CD3B2A">
              <w:rPr>
                <w:color w:val="000000"/>
              </w:rPr>
              <w:t>4</w:t>
            </w:r>
            <w:r>
              <w:rPr>
                <w:color w:val="000000"/>
              </w:rPr>
              <w:t>.2</w:t>
            </w:r>
          </w:p>
        </w:tc>
        <w:tc>
          <w:tcPr>
            <w:tcW w:w="827" w:type="dxa"/>
            <w:tcBorders>
              <w:top w:val="nil"/>
              <w:left w:val="nil"/>
              <w:bottom w:val="nil"/>
              <w:right w:val="nil"/>
            </w:tcBorders>
            <w:shd w:val="clear" w:color="auto" w:fill="auto"/>
            <w:noWrap/>
            <w:vAlign w:val="center"/>
            <w:hideMark/>
          </w:tcPr>
          <w:p w14:paraId="2253C6E5" w14:textId="77777777" w:rsidR="00A36D35" w:rsidRPr="00CD3B2A" w:rsidRDefault="00A36D35" w:rsidP="00A46B68">
            <w:pPr>
              <w:spacing w:line="240" w:lineRule="auto"/>
              <w:ind w:firstLine="0"/>
              <w:jc w:val="center"/>
              <w:rPr>
                <w:color w:val="000000"/>
              </w:rPr>
            </w:pPr>
            <w:r w:rsidRPr="00CD3B2A">
              <w:rPr>
                <w:color w:val="000000"/>
              </w:rPr>
              <w:t>3895</w:t>
            </w:r>
          </w:p>
        </w:tc>
        <w:tc>
          <w:tcPr>
            <w:tcW w:w="935" w:type="dxa"/>
            <w:tcBorders>
              <w:top w:val="nil"/>
              <w:left w:val="nil"/>
              <w:bottom w:val="nil"/>
              <w:right w:val="nil"/>
            </w:tcBorders>
            <w:shd w:val="clear" w:color="auto" w:fill="auto"/>
            <w:noWrap/>
            <w:vAlign w:val="center"/>
            <w:hideMark/>
          </w:tcPr>
          <w:p w14:paraId="030201E2" w14:textId="77777777" w:rsidR="00A36D35" w:rsidRPr="00CD3B2A" w:rsidRDefault="00A36D35" w:rsidP="00A46B68">
            <w:pPr>
              <w:spacing w:line="240" w:lineRule="auto"/>
              <w:ind w:firstLine="0"/>
              <w:jc w:val="center"/>
              <w:rPr>
                <w:color w:val="000000"/>
              </w:rPr>
            </w:pPr>
            <w:r w:rsidRPr="00CD3B2A">
              <w:rPr>
                <w:color w:val="000000"/>
              </w:rPr>
              <w:t>18.1</w:t>
            </w:r>
          </w:p>
        </w:tc>
      </w:tr>
      <w:tr w:rsidR="00A36D35" w:rsidRPr="004A7652" w14:paraId="7CCB397A" w14:textId="77777777" w:rsidTr="00AB0D75">
        <w:trPr>
          <w:trHeight w:val="20"/>
        </w:trPr>
        <w:tc>
          <w:tcPr>
            <w:tcW w:w="3510" w:type="dxa"/>
            <w:tcBorders>
              <w:top w:val="nil"/>
              <w:left w:val="nil"/>
              <w:bottom w:val="nil"/>
              <w:right w:val="nil"/>
            </w:tcBorders>
            <w:shd w:val="clear" w:color="auto" w:fill="auto"/>
            <w:noWrap/>
            <w:vAlign w:val="center"/>
            <w:hideMark/>
          </w:tcPr>
          <w:p w14:paraId="78EF4BF0" w14:textId="0B32E6AA" w:rsidR="00A36D35" w:rsidRPr="00CD3B2A" w:rsidRDefault="00A36D35" w:rsidP="00A46B68">
            <w:pPr>
              <w:spacing w:line="240" w:lineRule="auto"/>
              <w:ind w:left="144" w:firstLine="0"/>
              <w:rPr>
                <w:color w:val="000000"/>
              </w:rPr>
            </w:pPr>
            <w:r w:rsidRPr="00CD3B2A">
              <w:rPr>
                <w:i/>
                <w:iCs/>
                <w:color w:val="000000"/>
              </w:rPr>
              <w:t>Gillisia marina</w:t>
            </w:r>
            <w:r w:rsidRPr="00CD3B2A">
              <w:rPr>
                <w:color w:val="000000"/>
              </w:rPr>
              <w:t xml:space="preserve"> CBA3202</w:t>
            </w:r>
            <w:r>
              <w:rPr>
                <w:color w:val="000000"/>
              </w:rPr>
              <w:t xml:space="preserve"> (</w:t>
            </w:r>
            <w:r w:rsidRPr="00CD3B2A">
              <w:rPr>
                <w:color w:val="000000"/>
              </w:rPr>
              <w:t>GCA_000258765</w:t>
            </w:r>
            <w:r>
              <w:rPr>
                <w:color w:val="000000"/>
              </w:rPr>
              <w:t>)</w:t>
            </w:r>
          </w:p>
        </w:tc>
        <w:tc>
          <w:tcPr>
            <w:tcW w:w="2070" w:type="dxa"/>
            <w:tcBorders>
              <w:top w:val="nil"/>
              <w:left w:val="nil"/>
              <w:bottom w:val="nil"/>
              <w:right w:val="nil"/>
            </w:tcBorders>
            <w:shd w:val="clear" w:color="auto" w:fill="auto"/>
            <w:noWrap/>
            <w:vAlign w:val="center"/>
            <w:hideMark/>
          </w:tcPr>
          <w:p w14:paraId="556E5973" w14:textId="77777777" w:rsidR="00A36D35" w:rsidRPr="00CD3B2A" w:rsidRDefault="00A36D35" w:rsidP="00A46B68">
            <w:pPr>
              <w:spacing w:line="240" w:lineRule="auto"/>
              <w:ind w:firstLine="0"/>
              <w:jc w:val="center"/>
              <w:rPr>
                <w:color w:val="000000"/>
              </w:rPr>
            </w:pPr>
            <w:r w:rsidRPr="00CD3B2A">
              <w:rPr>
                <w:color w:val="000000"/>
              </w:rPr>
              <w:t>Beach sand, Korea</w:t>
            </w:r>
          </w:p>
        </w:tc>
        <w:tc>
          <w:tcPr>
            <w:tcW w:w="1260" w:type="dxa"/>
            <w:tcBorders>
              <w:top w:val="nil"/>
              <w:left w:val="nil"/>
              <w:bottom w:val="nil"/>
              <w:right w:val="nil"/>
            </w:tcBorders>
            <w:shd w:val="clear" w:color="auto" w:fill="auto"/>
            <w:noWrap/>
            <w:vAlign w:val="center"/>
            <w:hideMark/>
          </w:tcPr>
          <w:p w14:paraId="056A8585" w14:textId="21494074" w:rsidR="00A36D35" w:rsidRPr="00CD3B2A" w:rsidRDefault="00A36D35" w:rsidP="00A46B68">
            <w:pPr>
              <w:spacing w:line="240" w:lineRule="auto"/>
              <w:ind w:firstLine="0"/>
              <w:jc w:val="center"/>
              <w:rPr>
                <w:color w:val="000000"/>
              </w:rPr>
            </w:pPr>
            <w:r>
              <w:rPr>
                <w:color w:val="000000"/>
              </w:rPr>
              <w:t>3.0</w:t>
            </w:r>
          </w:p>
        </w:tc>
        <w:tc>
          <w:tcPr>
            <w:tcW w:w="827" w:type="dxa"/>
            <w:tcBorders>
              <w:top w:val="nil"/>
              <w:left w:val="nil"/>
              <w:bottom w:val="nil"/>
              <w:right w:val="nil"/>
            </w:tcBorders>
            <w:shd w:val="clear" w:color="auto" w:fill="auto"/>
            <w:noWrap/>
            <w:vAlign w:val="center"/>
            <w:hideMark/>
          </w:tcPr>
          <w:p w14:paraId="6290F2A4" w14:textId="77777777" w:rsidR="00A36D35" w:rsidRPr="00CD3B2A" w:rsidRDefault="00A36D35" w:rsidP="00A46B68">
            <w:pPr>
              <w:spacing w:line="240" w:lineRule="auto"/>
              <w:ind w:firstLine="0"/>
              <w:jc w:val="center"/>
              <w:rPr>
                <w:color w:val="000000"/>
              </w:rPr>
            </w:pPr>
            <w:r w:rsidRPr="00CD3B2A">
              <w:rPr>
                <w:color w:val="000000"/>
              </w:rPr>
              <w:t>3041</w:t>
            </w:r>
          </w:p>
        </w:tc>
        <w:tc>
          <w:tcPr>
            <w:tcW w:w="935" w:type="dxa"/>
            <w:tcBorders>
              <w:top w:val="nil"/>
              <w:left w:val="nil"/>
              <w:bottom w:val="nil"/>
              <w:right w:val="nil"/>
            </w:tcBorders>
            <w:shd w:val="clear" w:color="auto" w:fill="auto"/>
            <w:noWrap/>
            <w:vAlign w:val="center"/>
            <w:hideMark/>
          </w:tcPr>
          <w:p w14:paraId="6DB967AD" w14:textId="77777777" w:rsidR="00A36D35" w:rsidRPr="00CD3B2A" w:rsidRDefault="00A36D35" w:rsidP="00A46B68">
            <w:pPr>
              <w:spacing w:line="240" w:lineRule="auto"/>
              <w:ind w:firstLine="0"/>
              <w:jc w:val="center"/>
              <w:rPr>
                <w:color w:val="000000"/>
              </w:rPr>
            </w:pPr>
            <w:r w:rsidRPr="00CD3B2A">
              <w:rPr>
                <w:color w:val="000000"/>
              </w:rPr>
              <w:t>17.9</w:t>
            </w:r>
          </w:p>
        </w:tc>
      </w:tr>
      <w:tr w:rsidR="00A36D35" w:rsidRPr="004A7652" w14:paraId="03131DAC" w14:textId="77777777" w:rsidTr="00AB0D75">
        <w:trPr>
          <w:trHeight w:val="20"/>
        </w:trPr>
        <w:tc>
          <w:tcPr>
            <w:tcW w:w="3510" w:type="dxa"/>
            <w:tcBorders>
              <w:top w:val="nil"/>
              <w:left w:val="nil"/>
              <w:bottom w:val="nil"/>
              <w:right w:val="nil"/>
            </w:tcBorders>
            <w:shd w:val="clear" w:color="auto" w:fill="auto"/>
            <w:noWrap/>
            <w:vAlign w:val="center"/>
            <w:hideMark/>
          </w:tcPr>
          <w:p w14:paraId="1B68F13D" w14:textId="7C78307F" w:rsidR="00A36D35" w:rsidRPr="00CD3B2A" w:rsidRDefault="00A36D35" w:rsidP="00A46B68">
            <w:pPr>
              <w:spacing w:line="240" w:lineRule="auto"/>
              <w:ind w:left="144" w:firstLine="0"/>
              <w:rPr>
                <w:color w:val="000000"/>
              </w:rPr>
            </w:pPr>
            <w:r w:rsidRPr="00CD3B2A">
              <w:rPr>
                <w:i/>
                <w:iCs/>
                <w:color w:val="000000"/>
              </w:rPr>
              <w:t>Gillisia</w:t>
            </w:r>
            <w:r w:rsidRPr="00CD3B2A">
              <w:rPr>
                <w:color w:val="000000"/>
              </w:rPr>
              <w:t xml:space="preserve"> sp. Hel I 29</w:t>
            </w:r>
            <w:r>
              <w:rPr>
                <w:color w:val="000000"/>
              </w:rPr>
              <w:t xml:space="preserve"> (</w:t>
            </w:r>
            <w:r w:rsidRPr="00CD3B2A">
              <w:rPr>
                <w:color w:val="000000"/>
              </w:rPr>
              <w:t>GCA_000744275</w:t>
            </w:r>
            <w:r>
              <w:rPr>
                <w:color w:val="000000"/>
              </w:rPr>
              <w:t>)</w:t>
            </w:r>
          </w:p>
        </w:tc>
        <w:tc>
          <w:tcPr>
            <w:tcW w:w="2070" w:type="dxa"/>
            <w:tcBorders>
              <w:top w:val="nil"/>
              <w:left w:val="nil"/>
              <w:bottom w:val="nil"/>
              <w:right w:val="nil"/>
            </w:tcBorders>
            <w:shd w:val="clear" w:color="auto" w:fill="auto"/>
            <w:noWrap/>
            <w:vAlign w:val="center"/>
            <w:hideMark/>
          </w:tcPr>
          <w:p w14:paraId="7E5092E2" w14:textId="77777777" w:rsidR="00A36D35" w:rsidRPr="00CD3B2A" w:rsidRDefault="00A36D35" w:rsidP="00A46B68">
            <w:pPr>
              <w:spacing w:line="240" w:lineRule="auto"/>
              <w:ind w:firstLine="0"/>
              <w:jc w:val="center"/>
              <w:rPr>
                <w:color w:val="000000"/>
              </w:rPr>
            </w:pPr>
            <w:r w:rsidRPr="00CD3B2A">
              <w:rPr>
                <w:color w:val="000000"/>
              </w:rPr>
              <w:t>North Sea</w:t>
            </w:r>
          </w:p>
        </w:tc>
        <w:tc>
          <w:tcPr>
            <w:tcW w:w="1260" w:type="dxa"/>
            <w:tcBorders>
              <w:top w:val="nil"/>
              <w:left w:val="nil"/>
              <w:bottom w:val="nil"/>
              <w:right w:val="nil"/>
            </w:tcBorders>
            <w:shd w:val="clear" w:color="auto" w:fill="auto"/>
            <w:noWrap/>
            <w:vAlign w:val="center"/>
            <w:hideMark/>
          </w:tcPr>
          <w:p w14:paraId="741FE7DA" w14:textId="24210D38" w:rsidR="00A36D35" w:rsidRPr="00CD3B2A" w:rsidRDefault="00A36D35" w:rsidP="00A46B68">
            <w:pPr>
              <w:spacing w:line="240" w:lineRule="auto"/>
              <w:ind w:firstLine="0"/>
              <w:jc w:val="center"/>
              <w:rPr>
                <w:color w:val="000000"/>
              </w:rPr>
            </w:pPr>
            <w:r>
              <w:rPr>
                <w:color w:val="000000"/>
              </w:rPr>
              <w:t>4.0</w:t>
            </w:r>
          </w:p>
        </w:tc>
        <w:tc>
          <w:tcPr>
            <w:tcW w:w="827" w:type="dxa"/>
            <w:tcBorders>
              <w:top w:val="nil"/>
              <w:left w:val="nil"/>
              <w:bottom w:val="nil"/>
              <w:right w:val="nil"/>
            </w:tcBorders>
            <w:shd w:val="clear" w:color="auto" w:fill="auto"/>
            <w:noWrap/>
            <w:vAlign w:val="center"/>
            <w:hideMark/>
          </w:tcPr>
          <w:p w14:paraId="070E8ADD" w14:textId="77777777" w:rsidR="00A36D35" w:rsidRPr="00CD3B2A" w:rsidRDefault="00A36D35" w:rsidP="00A46B68">
            <w:pPr>
              <w:spacing w:line="240" w:lineRule="auto"/>
              <w:ind w:firstLine="0"/>
              <w:jc w:val="center"/>
              <w:rPr>
                <w:color w:val="000000"/>
              </w:rPr>
            </w:pPr>
            <w:r w:rsidRPr="00CD3B2A">
              <w:rPr>
                <w:color w:val="000000"/>
              </w:rPr>
              <w:t>3567</w:t>
            </w:r>
          </w:p>
        </w:tc>
        <w:tc>
          <w:tcPr>
            <w:tcW w:w="935" w:type="dxa"/>
            <w:tcBorders>
              <w:top w:val="nil"/>
              <w:left w:val="nil"/>
              <w:bottom w:val="nil"/>
              <w:right w:val="nil"/>
            </w:tcBorders>
            <w:shd w:val="clear" w:color="auto" w:fill="auto"/>
            <w:noWrap/>
            <w:vAlign w:val="center"/>
            <w:hideMark/>
          </w:tcPr>
          <w:p w14:paraId="53F1ECB7" w14:textId="77777777" w:rsidR="00A36D35" w:rsidRPr="00CD3B2A" w:rsidRDefault="00A36D35" w:rsidP="00A46B68">
            <w:pPr>
              <w:spacing w:line="240" w:lineRule="auto"/>
              <w:ind w:firstLine="0"/>
              <w:jc w:val="center"/>
              <w:rPr>
                <w:color w:val="000000"/>
              </w:rPr>
            </w:pPr>
            <w:r w:rsidRPr="00CD3B2A">
              <w:rPr>
                <w:color w:val="000000"/>
              </w:rPr>
              <w:t>17.8</w:t>
            </w:r>
          </w:p>
        </w:tc>
      </w:tr>
      <w:tr w:rsidR="00A36D35" w:rsidRPr="004A7652" w14:paraId="3B727F59" w14:textId="77777777" w:rsidTr="00AB0D75">
        <w:trPr>
          <w:trHeight w:val="20"/>
        </w:trPr>
        <w:tc>
          <w:tcPr>
            <w:tcW w:w="3510" w:type="dxa"/>
            <w:tcBorders>
              <w:top w:val="nil"/>
              <w:left w:val="nil"/>
              <w:bottom w:val="nil"/>
              <w:right w:val="nil"/>
            </w:tcBorders>
            <w:shd w:val="clear" w:color="auto" w:fill="auto"/>
            <w:noWrap/>
            <w:vAlign w:val="center"/>
            <w:hideMark/>
          </w:tcPr>
          <w:p w14:paraId="0F660643" w14:textId="536A333E" w:rsidR="00A36D35" w:rsidRPr="00CD3B2A" w:rsidRDefault="00A36D35" w:rsidP="00A46B68">
            <w:pPr>
              <w:spacing w:line="240" w:lineRule="auto"/>
              <w:ind w:left="144" w:firstLine="0"/>
              <w:rPr>
                <w:color w:val="000000"/>
              </w:rPr>
            </w:pPr>
            <w:r w:rsidRPr="00CD3B2A">
              <w:rPr>
                <w:i/>
                <w:iCs/>
                <w:color w:val="000000"/>
              </w:rPr>
              <w:t>Gillisia</w:t>
            </w:r>
            <w:r w:rsidRPr="00CD3B2A">
              <w:rPr>
                <w:color w:val="000000"/>
              </w:rPr>
              <w:t xml:space="preserve"> sp. Hel1_33_143</w:t>
            </w:r>
            <w:r>
              <w:rPr>
                <w:color w:val="000000"/>
              </w:rPr>
              <w:t xml:space="preserve"> (</w:t>
            </w:r>
            <w:r w:rsidRPr="00CD3B2A">
              <w:rPr>
                <w:color w:val="000000"/>
              </w:rPr>
              <w:t>GCA_900104765</w:t>
            </w:r>
            <w:r>
              <w:rPr>
                <w:color w:val="000000"/>
              </w:rPr>
              <w:t>)</w:t>
            </w:r>
          </w:p>
        </w:tc>
        <w:tc>
          <w:tcPr>
            <w:tcW w:w="2070" w:type="dxa"/>
            <w:tcBorders>
              <w:top w:val="nil"/>
              <w:left w:val="nil"/>
              <w:bottom w:val="nil"/>
              <w:right w:val="nil"/>
            </w:tcBorders>
            <w:shd w:val="clear" w:color="auto" w:fill="auto"/>
            <w:noWrap/>
            <w:vAlign w:val="center"/>
            <w:hideMark/>
          </w:tcPr>
          <w:p w14:paraId="34C0C837" w14:textId="77777777" w:rsidR="00A36D35" w:rsidRPr="00CD3B2A" w:rsidRDefault="00A36D35" w:rsidP="00A46B68">
            <w:pPr>
              <w:spacing w:line="240" w:lineRule="auto"/>
              <w:ind w:firstLine="0"/>
              <w:jc w:val="center"/>
              <w:rPr>
                <w:color w:val="000000"/>
              </w:rPr>
            </w:pPr>
            <w:r w:rsidRPr="00CD3B2A">
              <w:rPr>
                <w:color w:val="000000"/>
              </w:rPr>
              <w:t>North Sea</w:t>
            </w:r>
          </w:p>
        </w:tc>
        <w:tc>
          <w:tcPr>
            <w:tcW w:w="1260" w:type="dxa"/>
            <w:tcBorders>
              <w:top w:val="nil"/>
              <w:left w:val="nil"/>
              <w:bottom w:val="nil"/>
              <w:right w:val="nil"/>
            </w:tcBorders>
            <w:shd w:val="clear" w:color="auto" w:fill="auto"/>
            <w:noWrap/>
            <w:vAlign w:val="center"/>
            <w:hideMark/>
          </w:tcPr>
          <w:p w14:paraId="62CDBB9F" w14:textId="5E4F4911" w:rsidR="00A36D35" w:rsidRPr="00CD3B2A" w:rsidRDefault="00A36D35" w:rsidP="00A46B68">
            <w:pPr>
              <w:spacing w:line="240" w:lineRule="auto"/>
              <w:ind w:firstLine="0"/>
              <w:jc w:val="center"/>
              <w:rPr>
                <w:color w:val="000000"/>
              </w:rPr>
            </w:pPr>
            <w:r>
              <w:rPr>
                <w:color w:val="000000"/>
              </w:rPr>
              <w:t>3.5</w:t>
            </w:r>
          </w:p>
        </w:tc>
        <w:tc>
          <w:tcPr>
            <w:tcW w:w="827" w:type="dxa"/>
            <w:tcBorders>
              <w:top w:val="nil"/>
              <w:left w:val="nil"/>
              <w:bottom w:val="nil"/>
              <w:right w:val="nil"/>
            </w:tcBorders>
            <w:shd w:val="clear" w:color="auto" w:fill="auto"/>
            <w:noWrap/>
            <w:vAlign w:val="center"/>
            <w:hideMark/>
          </w:tcPr>
          <w:p w14:paraId="09A3B435" w14:textId="77777777" w:rsidR="00A36D35" w:rsidRPr="00CD3B2A" w:rsidRDefault="00A36D35" w:rsidP="00A46B68">
            <w:pPr>
              <w:spacing w:line="240" w:lineRule="auto"/>
              <w:ind w:firstLine="0"/>
              <w:jc w:val="center"/>
              <w:rPr>
                <w:color w:val="000000"/>
              </w:rPr>
            </w:pPr>
            <w:r w:rsidRPr="00CD3B2A">
              <w:rPr>
                <w:color w:val="000000"/>
              </w:rPr>
              <w:t>3182</w:t>
            </w:r>
          </w:p>
        </w:tc>
        <w:tc>
          <w:tcPr>
            <w:tcW w:w="935" w:type="dxa"/>
            <w:tcBorders>
              <w:top w:val="nil"/>
              <w:left w:val="nil"/>
              <w:bottom w:val="nil"/>
              <w:right w:val="nil"/>
            </w:tcBorders>
            <w:shd w:val="clear" w:color="auto" w:fill="auto"/>
            <w:noWrap/>
            <w:vAlign w:val="center"/>
            <w:hideMark/>
          </w:tcPr>
          <w:p w14:paraId="684508E1" w14:textId="77777777" w:rsidR="00A36D35" w:rsidRPr="00CD3B2A" w:rsidRDefault="00A36D35" w:rsidP="00A46B68">
            <w:pPr>
              <w:spacing w:line="240" w:lineRule="auto"/>
              <w:ind w:firstLine="0"/>
              <w:jc w:val="center"/>
              <w:rPr>
                <w:color w:val="000000"/>
              </w:rPr>
            </w:pPr>
            <w:r w:rsidRPr="00CD3B2A">
              <w:rPr>
                <w:color w:val="000000"/>
              </w:rPr>
              <w:t>17.8</w:t>
            </w:r>
          </w:p>
        </w:tc>
      </w:tr>
      <w:tr w:rsidR="00A36D35" w:rsidRPr="004A7652" w14:paraId="1F8FD5C7" w14:textId="77777777" w:rsidTr="00AB0D75">
        <w:trPr>
          <w:trHeight w:val="20"/>
        </w:trPr>
        <w:tc>
          <w:tcPr>
            <w:tcW w:w="3510" w:type="dxa"/>
            <w:tcBorders>
              <w:top w:val="nil"/>
              <w:left w:val="nil"/>
              <w:right w:val="nil"/>
            </w:tcBorders>
            <w:shd w:val="clear" w:color="auto" w:fill="auto"/>
            <w:noWrap/>
            <w:vAlign w:val="center"/>
            <w:hideMark/>
          </w:tcPr>
          <w:p w14:paraId="328C4A7B" w14:textId="76F38586" w:rsidR="00A36D35" w:rsidRPr="00CD3B2A" w:rsidRDefault="00A36D35" w:rsidP="00A46B68">
            <w:pPr>
              <w:spacing w:line="240" w:lineRule="auto"/>
              <w:ind w:left="144" w:firstLine="0"/>
              <w:rPr>
                <w:color w:val="000000"/>
              </w:rPr>
            </w:pPr>
            <w:r w:rsidRPr="00CD3B2A">
              <w:rPr>
                <w:i/>
                <w:iCs/>
                <w:color w:val="000000"/>
              </w:rPr>
              <w:t xml:space="preserve">Gillisia lutea </w:t>
            </w:r>
            <w:r w:rsidRPr="00CD3B2A">
              <w:rPr>
                <w:color w:val="000000"/>
              </w:rPr>
              <w:t>M10.2A</w:t>
            </w:r>
            <w:r>
              <w:rPr>
                <w:color w:val="000000"/>
              </w:rPr>
              <w:t xml:space="preserve"> (</w:t>
            </w:r>
            <w:r w:rsidRPr="00CD3B2A">
              <w:rPr>
                <w:color w:val="000000"/>
              </w:rPr>
              <w:t>GCA_021568705</w:t>
            </w:r>
            <w:r>
              <w:rPr>
                <w:color w:val="000000"/>
              </w:rPr>
              <w:t>)</w:t>
            </w:r>
          </w:p>
        </w:tc>
        <w:tc>
          <w:tcPr>
            <w:tcW w:w="2070" w:type="dxa"/>
            <w:tcBorders>
              <w:top w:val="nil"/>
              <w:left w:val="nil"/>
              <w:right w:val="nil"/>
            </w:tcBorders>
            <w:shd w:val="clear" w:color="auto" w:fill="auto"/>
            <w:noWrap/>
            <w:vAlign w:val="center"/>
            <w:hideMark/>
          </w:tcPr>
          <w:p w14:paraId="11555B1B" w14:textId="77777777" w:rsidR="00A36D35" w:rsidRPr="00CD3B2A" w:rsidRDefault="00A36D35" w:rsidP="00A46B68">
            <w:pPr>
              <w:spacing w:line="240" w:lineRule="auto"/>
              <w:ind w:firstLine="0"/>
              <w:jc w:val="center"/>
              <w:rPr>
                <w:color w:val="000000"/>
              </w:rPr>
            </w:pPr>
            <w:r w:rsidRPr="00CD3B2A">
              <w:rPr>
                <w:color w:val="000000"/>
              </w:rPr>
              <w:t>Aluminum can from beach, Spain</w:t>
            </w:r>
          </w:p>
        </w:tc>
        <w:tc>
          <w:tcPr>
            <w:tcW w:w="1260" w:type="dxa"/>
            <w:tcBorders>
              <w:top w:val="nil"/>
              <w:left w:val="nil"/>
              <w:right w:val="nil"/>
            </w:tcBorders>
            <w:shd w:val="clear" w:color="auto" w:fill="auto"/>
            <w:noWrap/>
            <w:vAlign w:val="center"/>
            <w:hideMark/>
          </w:tcPr>
          <w:p w14:paraId="1294E3F1" w14:textId="1143E8F3" w:rsidR="00A36D35" w:rsidRPr="00CD3B2A" w:rsidRDefault="00A36D35" w:rsidP="00A46B68">
            <w:pPr>
              <w:spacing w:line="240" w:lineRule="auto"/>
              <w:ind w:firstLine="0"/>
              <w:jc w:val="center"/>
              <w:rPr>
                <w:color w:val="000000"/>
              </w:rPr>
            </w:pPr>
            <w:r>
              <w:rPr>
                <w:color w:val="000000"/>
              </w:rPr>
              <w:t>3.2</w:t>
            </w:r>
          </w:p>
        </w:tc>
        <w:tc>
          <w:tcPr>
            <w:tcW w:w="827" w:type="dxa"/>
            <w:tcBorders>
              <w:top w:val="nil"/>
              <w:left w:val="nil"/>
              <w:right w:val="nil"/>
            </w:tcBorders>
            <w:shd w:val="clear" w:color="auto" w:fill="auto"/>
            <w:noWrap/>
            <w:vAlign w:val="center"/>
            <w:hideMark/>
          </w:tcPr>
          <w:p w14:paraId="74F952D0" w14:textId="77777777" w:rsidR="00A36D35" w:rsidRPr="00CD3B2A" w:rsidRDefault="00A36D35" w:rsidP="00A46B68">
            <w:pPr>
              <w:spacing w:line="240" w:lineRule="auto"/>
              <w:ind w:firstLine="0"/>
              <w:jc w:val="center"/>
              <w:rPr>
                <w:color w:val="000000"/>
              </w:rPr>
            </w:pPr>
            <w:r w:rsidRPr="00CD3B2A">
              <w:rPr>
                <w:color w:val="000000"/>
              </w:rPr>
              <w:t>2831</w:t>
            </w:r>
          </w:p>
        </w:tc>
        <w:tc>
          <w:tcPr>
            <w:tcW w:w="935" w:type="dxa"/>
            <w:tcBorders>
              <w:top w:val="nil"/>
              <w:left w:val="nil"/>
              <w:right w:val="nil"/>
            </w:tcBorders>
            <w:shd w:val="clear" w:color="auto" w:fill="auto"/>
            <w:noWrap/>
            <w:vAlign w:val="center"/>
            <w:hideMark/>
          </w:tcPr>
          <w:p w14:paraId="1BEAF398" w14:textId="77777777" w:rsidR="00A36D35" w:rsidRPr="00CD3B2A" w:rsidRDefault="00A36D35" w:rsidP="00A46B68">
            <w:pPr>
              <w:spacing w:line="240" w:lineRule="auto"/>
              <w:ind w:firstLine="0"/>
              <w:jc w:val="center"/>
              <w:rPr>
                <w:color w:val="000000"/>
              </w:rPr>
            </w:pPr>
            <w:r w:rsidRPr="00CD3B2A">
              <w:rPr>
                <w:color w:val="000000"/>
              </w:rPr>
              <w:t>17.6</w:t>
            </w:r>
          </w:p>
        </w:tc>
      </w:tr>
      <w:tr w:rsidR="00A36D35" w:rsidRPr="004A7652" w14:paraId="2FB103FC" w14:textId="77777777" w:rsidTr="00AB0D75">
        <w:trPr>
          <w:trHeight w:val="20"/>
        </w:trPr>
        <w:tc>
          <w:tcPr>
            <w:tcW w:w="3510" w:type="dxa"/>
            <w:tcBorders>
              <w:top w:val="nil"/>
              <w:left w:val="nil"/>
              <w:bottom w:val="single" w:sz="4" w:space="0" w:color="auto"/>
              <w:right w:val="nil"/>
            </w:tcBorders>
            <w:shd w:val="clear" w:color="auto" w:fill="auto"/>
            <w:noWrap/>
            <w:vAlign w:val="center"/>
            <w:hideMark/>
          </w:tcPr>
          <w:p w14:paraId="2F38E655" w14:textId="4D9FFE8E" w:rsidR="00A36D35" w:rsidRPr="00A36D35" w:rsidRDefault="00A36D35" w:rsidP="00A36D35">
            <w:pPr>
              <w:spacing w:line="240" w:lineRule="auto"/>
              <w:ind w:left="144" w:firstLine="0"/>
              <w:rPr>
                <w:i/>
                <w:iCs/>
                <w:color w:val="000000"/>
              </w:rPr>
            </w:pPr>
            <w:r w:rsidRPr="00CD3B2A">
              <w:rPr>
                <w:i/>
                <w:iCs/>
                <w:color w:val="000000"/>
              </w:rPr>
              <w:t xml:space="preserve">Gillisia mitskevichiae </w:t>
            </w:r>
            <w:r w:rsidRPr="00CD3B2A">
              <w:rPr>
                <w:color w:val="000000"/>
              </w:rPr>
              <w:t>DSM 19839</w:t>
            </w:r>
            <w:r>
              <w:rPr>
                <w:color w:val="000000"/>
              </w:rPr>
              <w:t xml:space="preserve"> (</w:t>
            </w:r>
            <w:r w:rsidRPr="00CD3B2A">
              <w:rPr>
                <w:color w:val="000000"/>
              </w:rPr>
              <w:t>GCA_003634585</w:t>
            </w:r>
            <w:r>
              <w:rPr>
                <w:color w:val="000000"/>
              </w:rPr>
              <w:t>)</w:t>
            </w:r>
          </w:p>
        </w:tc>
        <w:tc>
          <w:tcPr>
            <w:tcW w:w="2070" w:type="dxa"/>
            <w:tcBorders>
              <w:top w:val="nil"/>
              <w:left w:val="nil"/>
              <w:bottom w:val="single" w:sz="4" w:space="0" w:color="auto"/>
              <w:right w:val="nil"/>
            </w:tcBorders>
            <w:shd w:val="clear" w:color="auto" w:fill="auto"/>
            <w:noWrap/>
            <w:vAlign w:val="center"/>
            <w:hideMark/>
          </w:tcPr>
          <w:p w14:paraId="6B4465C7" w14:textId="77777777" w:rsidR="00A36D35" w:rsidRPr="00CD3B2A" w:rsidRDefault="00A36D35" w:rsidP="00A46B68">
            <w:pPr>
              <w:spacing w:line="240" w:lineRule="auto"/>
              <w:ind w:firstLine="0"/>
              <w:jc w:val="center"/>
              <w:rPr>
                <w:color w:val="000000"/>
              </w:rPr>
            </w:pPr>
            <w:r w:rsidRPr="00CD3B2A">
              <w:rPr>
                <w:color w:val="000000"/>
              </w:rPr>
              <w:t>Sea water, Sea of Japan</w:t>
            </w:r>
          </w:p>
        </w:tc>
        <w:tc>
          <w:tcPr>
            <w:tcW w:w="1260" w:type="dxa"/>
            <w:tcBorders>
              <w:top w:val="nil"/>
              <w:left w:val="nil"/>
              <w:bottom w:val="single" w:sz="4" w:space="0" w:color="auto"/>
              <w:right w:val="nil"/>
            </w:tcBorders>
            <w:shd w:val="clear" w:color="auto" w:fill="auto"/>
            <w:noWrap/>
            <w:vAlign w:val="center"/>
            <w:hideMark/>
          </w:tcPr>
          <w:p w14:paraId="3A01739C" w14:textId="36D8E890" w:rsidR="00A36D35" w:rsidRPr="00CD3B2A" w:rsidRDefault="00A36D35" w:rsidP="00A46B68">
            <w:pPr>
              <w:spacing w:line="240" w:lineRule="auto"/>
              <w:ind w:firstLine="0"/>
              <w:jc w:val="center"/>
              <w:rPr>
                <w:color w:val="000000"/>
              </w:rPr>
            </w:pPr>
            <w:r w:rsidRPr="00CD3B2A">
              <w:rPr>
                <w:color w:val="000000"/>
              </w:rPr>
              <w:t>3</w:t>
            </w:r>
            <w:r>
              <w:rPr>
                <w:color w:val="000000"/>
              </w:rPr>
              <w:t>.6</w:t>
            </w:r>
          </w:p>
        </w:tc>
        <w:tc>
          <w:tcPr>
            <w:tcW w:w="827" w:type="dxa"/>
            <w:tcBorders>
              <w:top w:val="nil"/>
              <w:left w:val="nil"/>
              <w:bottom w:val="single" w:sz="4" w:space="0" w:color="auto"/>
              <w:right w:val="nil"/>
            </w:tcBorders>
            <w:shd w:val="clear" w:color="auto" w:fill="auto"/>
            <w:noWrap/>
            <w:vAlign w:val="center"/>
            <w:hideMark/>
          </w:tcPr>
          <w:p w14:paraId="64BD0C4C" w14:textId="77777777" w:rsidR="00A36D35" w:rsidRPr="00CD3B2A" w:rsidRDefault="00A36D35" w:rsidP="00A46B68">
            <w:pPr>
              <w:spacing w:line="240" w:lineRule="auto"/>
              <w:ind w:firstLine="0"/>
              <w:jc w:val="center"/>
              <w:rPr>
                <w:color w:val="000000"/>
              </w:rPr>
            </w:pPr>
            <w:r w:rsidRPr="00CD3B2A">
              <w:rPr>
                <w:color w:val="000000"/>
              </w:rPr>
              <w:t>3264</w:t>
            </w:r>
          </w:p>
        </w:tc>
        <w:tc>
          <w:tcPr>
            <w:tcW w:w="935" w:type="dxa"/>
            <w:tcBorders>
              <w:top w:val="nil"/>
              <w:left w:val="nil"/>
              <w:bottom w:val="single" w:sz="4" w:space="0" w:color="auto"/>
              <w:right w:val="nil"/>
            </w:tcBorders>
            <w:shd w:val="clear" w:color="auto" w:fill="auto"/>
            <w:noWrap/>
            <w:vAlign w:val="center"/>
            <w:hideMark/>
          </w:tcPr>
          <w:p w14:paraId="438DBDA4" w14:textId="77777777" w:rsidR="00A36D35" w:rsidRPr="00CD3B2A" w:rsidRDefault="00A36D35" w:rsidP="00A46B68">
            <w:pPr>
              <w:spacing w:line="240" w:lineRule="auto"/>
              <w:ind w:firstLine="0"/>
              <w:jc w:val="center"/>
              <w:rPr>
                <w:color w:val="000000"/>
              </w:rPr>
            </w:pPr>
            <w:r w:rsidRPr="00CD3B2A">
              <w:rPr>
                <w:color w:val="000000"/>
              </w:rPr>
              <w:t>17.5</w:t>
            </w:r>
          </w:p>
        </w:tc>
      </w:tr>
      <w:tr w:rsidR="00A36D35" w:rsidRPr="004A7652" w14:paraId="1FD50D8C" w14:textId="77777777" w:rsidTr="00AB0D75">
        <w:trPr>
          <w:trHeight w:val="20"/>
        </w:trPr>
        <w:tc>
          <w:tcPr>
            <w:tcW w:w="3510" w:type="dxa"/>
            <w:tcBorders>
              <w:top w:val="single" w:sz="4" w:space="0" w:color="auto"/>
              <w:left w:val="nil"/>
              <w:bottom w:val="single" w:sz="4" w:space="0" w:color="auto"/>
              <w:right w:val="nil"/>
            </w:tcBorders>
            <w:shd w:val="clear" w:color="auto" w:fill="auto"/>
            <w:noWrap/>
            <w:vAlign w:val="center"/>
            <w:hideMark/>
          </w:tcPr>
          <w:p w14:paraId="5E9764C8" w14:textId="6E037F1E" w:rsidR="00A36D35" w:rsidRPr="00CD3B2A" w:rsidRDefault="00A36D35" w:rsidP="00AB0D75">
            <w:pPr>
              <w:spacing w:line="240" w:lineRule="auto"/>
              <w:ind w:left="144" w:firstLine="0"/>
              <w:rPr>
                <w:color w:val="000000"/>
              </w:rPr>
            </w:pPr>
            <w:r w:rsidRPr="00CD3B2A">
              <w:rPr>
                <w:i/>
                <w:iCs/>
                <w:color w:val="000000"/>
              </w:rPr>
              <w:t>Aequorivita aquimaris</w:t>
            </w:r>
            <w:r w:rsidRPr="00CD3B2A">
              <w:rPr>
                <w:color w:val="000000"/>
              </w:rPr>
              <w:t xml:space="preserve"> D-24</w:t>
            </w:r>
            <w:r>
              <w:rPr>
                <w:color w:val="000000"/>
              </w:rPr>
              <w:t xml:space="preserve"> (</w:t>
            </w:r>
            <w:r w:rsidRPr="00CD3B2A">
              <w:rPr>
                <w:color w:val="000000"/>
              </w:rPr>
              <w:t>GCA_001573155</w:t>
            </w:r>
            <w:r>
              <w:rPr>
                <w:color w:val="000000"/>
              </w:rPr>
              <w:t>)</w:t>
            </w:r>
          </w:p>
        </w:tc>
        <w:tc>
          <w:tcPr>
            <w:tcW w:w="2070" w:type="dxa"/>
            <w:tcBorders>
              <w:top w:val="single" w:sz="4" w:space="0" w:color="auto"/>
              <w:left w:val="nil"/>
              <w:bottom w:val="single" w:sz="4" w:space="0" w:color="auto"/>
              <w:right w:val="nil"/>
            </w:tcBorders>
            <w:shd w:val="clear" w:color="auto" w:fill="auto"/>
            <w:noWrap/>
            <w:vAlign w:val="center"/>
            <w:hideMark/>
          </w:tcPr>
          <w:p w14:paraId="7C3DB447" w14:textId="77777777" w:rsidR="00A36D35" w:rsidRPr="00CD3B2A" w:rsidRDefault="00A36D35" w:rsidP="00A46B68">
            <w:pPr>
              <w:spacing w:line="240" w:lineRule="auto"/>
              <w:ind w:firstLine="0"/>
              <w:jc w:val="center"/>
              <w:rPr>
                <w:color w:val="000000"/>
              </w:rPr>
            </w:pPr>
            <w:r w:rsidRPr="00CD3B2A">
              <w:rPr>
                <w:color w:val="000000"/>
              </w:rPr>
              <w:t>Sea Water, Malaysia</w:t>
            </w:r>
          </w:p>
        </w:tc>
        <w:tc>
          <w:tcPr>
            <w:tcW w:w="1260" w:type="dxa"/>
            <w:tcBorders>
              <w:top w:val="single" w:sz="4" w:space="0" w:color="auto"/>
              <w:left w:val="nil"/>
              <w:bottom w:val="single" w:sz="4" w:space="0" w:color="auto"/>
              <w:right w:val="nil"/>
            </w:tcBorders>
            <w:shd w:val="clear" w:color="auto" w:fill="auto"/>
            <w:noWrap/>
            <w:vAlign w:val="center"/>
            <w:hideMark/>
          </w:tcPr>
          <w:p w14:paraId="6639FF27" w14:textId="6C8EC79C" w:rsidR="00A36D35" w:rsidRPr="00CD3B2A" w:rsidRDefault="00A36D35" w:rsidP="00A46B68">
            <w:pPr>
              <w:spacing w:line="240" w:lineRule="auto"/>
              <w:ind w:firstLine="0"/>
              <w:jc w:val="center"/>
              <w:rPr>
                <w:color w:val="000000"/>
              </w:rPr>
            </w:pPr>
            <w:r w:rsidRPr="00CD3B2A">
              <w:rPr>
                <w:color w:val="000000"/>
              </w:rPr>
              <w:t>3</w:t>
            </w:r>
            <w:r>
              <w:rPr>
                <w:color w:val="000000"/>
              </w:rPr>
              <w:t>.</w:t>
            </w:r>
            <w:r w:rsidRPr="00CD3B2A">
              <w:rPr>
                <w:color w:val="000000"/>
              </w:rPr>
              <w:t>1</w:t>
            </w:r>
          </w:p>
        </w:tc>
        <w:tc>
          <w:tcPr>
            <w:tcW w:w="827" w:type="dxa"/>
            <w:tcBorders>
              <w:top w:val="single" w:sz="4" w:space="0" w:color="auto"/>
              <w:left w:val="nil"/>
              <w:bottom w:val="single" w:sz="4" w:space="0" w:color="auto"/>
              <w:right w:val="nil"/>
            </w:tcBorders>
            <w:shd w:val="clear" w:color="auto" w:fill="auto"/>
            <w:noWrap/>
            <w:vAlign w:val="center"/>
            <w:hideMark/>
          </w:tcPr>
          <w:p w14:paraId="59FE62A5" w14:textId="77777777" w:rsidR="00A36D35" w:rsidRPr="00CD3B2A" w:rsidRDefault="00A36D35" w:rsidP="00A46B68">
            <w:pPr>
              <w:spacing w:line="240" w:lineRule="auto"/>
              <w:ind w:firstLine="0"/>
              <w:jc w:val="center"/>
              <w:rPr>
                <w:color w:val="000000"/>
              </w:rPr>
            </w:pPr>
            <w:r w:rsidRPr="00CD3B2A">
              <w:rPr>
                <w:color w:val="000000"/>
              </w:rPr>
              <w:t>2917</w:t>
            </w:r>
          </w:p>
        </w:tc>
        <w:tc>
          <w:tcPr>
            <w:tcW w:w="935" w:type="dxa"/>
            <w:tcBorders>
              <w:top w:val="single" w:sz="4" w:space="0" w:color="auto"/>
              <w:left w:val="nil"/>
              <w:bottom w:val="single" w:sz="4" w:space="0" w:color="auto"/>
              <w:right w:val="nil"/>
            </w:tcBorders>
            <w:shd w:val="clear" w:color="auto" w:fill="auto"/>
            <w:noWrap/>
            <w:vAlign w:val="center"/>
            <w:hideMark/>
          </w:tcPr>
          <w:p w14:paraId="0F1B27DD" w14:textId="77777777" w:rsidR="00A36D35" w:rsidRPr="00CD3B2A" w:rsidRDefault="00A36D35" w:rsidP="00A46B68">
            <w:pPr>
              <w:spacing w:line="240" w:lineRule="auto"/>
              <w:ind w:firstLine="0"/>
              <w:jc w:val="center"/>
              <w:rPr>
                <w:color w:val="000000"/>
              </w:rPr>
            </w:pPr>
            <w:r w:rsidRPr="00CD3B2A">
              <w:rPr>
                <w:color w:val="000000"/>
              </w:rPr>
              <w:t>18.8</w:t>
            </w:r>
          </w:p>
        </w:tc>
      </w:tr>
      <w:tr w:rsidR="00A36D35" w:rsidRPr="004A7652" w14:paraId="7AA0652C" w14:textId="77777777" w:rsidTr="00AB0D75">
        <w:trPr>
          <w:trHeight w:val="20"/>
        </w:trPr>
        <w:tc>
          <w:tcPr>
            <w:tcW w:w="3510" w:type="dxa"/>
            <w:tcBorders>
              <w:top w:val="single" w:sz="4" w:space="0" w:color="auto"/>
              <w:left w:val="nil"/>
              <w:right w:val="nil"/>
            </w:tcBorders>
            <w:shd w:val="clear" w:color="auto" w:fill="auto"/>
            <w:noWrap/>
            <w:vAlign w:val="center"/>
            <w:hideMark/>
          </w:tcPr>
          <w:p w14:paraId="4B75798B" w14:textId="2CE2ACC0" w:rsidR="00A36D35" w:rsidRPr="00CD3B2A" w:rsidRDefault="00A36D35" w:rsidP="00A46B68">
            <w:pPr>
              <w:spacing w:line="240" w:lineRule="auto"/>
              <w:ind w:left="144" w:firstLine="0"/>
              <w:rPr>
                <w:color w:val="000000"/>
              </w:rPr>
            </w:pPr>
            <w:r w:rsidRPr="00CD3B2A">
              <w:rPr>
                <w:i/>
                <w:iCs/>
                <w:color w:val="000000"/>
              </w:rPr>
              <w:t xml:space="preserve">Antarcticibacterium arcticum </w:t>
            </w:r>
            <w:r w:rsidRPr="00CD3B2A">
              <w:rPr>
                <w:color w:val="000000"/>
              </w:rPr>
              <w:t>KCCM 43316</w:t>
            </w:r>
            <w:r>
              <w:rPr>
                <w:color w:val="000000"/>
              </w:rPr>
              <w:t xml:space="preserve"> (</w:t>
            </w:r>
            <w:r w:rsidRPr="00CD3B2A">
              <w:rPr>
                <w:color w:val="000000"/>
              </w:rPr>
              <w:t>GCA_007993795</w:t>
            </w:r>
            <w:r>
              <w:rPr>
                <w:color w:val="000000"/>
              </w:rPr>
              <w:t>)</w:t>
            </w:r>
          </w:p>
        </w:tc>
        <w:tc>
          <w:tcPr>
            <w:tcW w:w="2070" w:type="dxa"/>
            <w:tcBorders>
              <w:top w:val="single" w:sz="4" w:space="0" w:color="auto"/>
              <w:left w:val="nil"/>
              <w:right w:val="nil"/>
            </w:tcBorders>
            <w:shd w:val="clear" w:color="auto" w:fill="auto"/>
            <w:noWrap/>
            <w:vAlign w:val="center"/>
            <w:hideMark/>
          </w:tcPr>
          <w:p w14:paraId="364DB0D4" w14:textId="77777777" w:rsidR="00A36D35" w:rsidRPr="00CD3B2A" w:rsidRDefault="00A36D35" w:rsidP="00A46B68">
            <w:pPr>
              <w:spacing w:line="240" w:lineRule="auto"/>
              <w:ind w:firstLine="0"/>
              <w:jc w:val="center"/>
              <w:rPr>
                <w:color w:val="000000"/>
              </w:rPr>
            </w:pPr>
            <w:r w:rsidRPr="00CD3B2A">
              <w:rPr>
                <w:color w:val="000000"/>
              </w:rPr>
              <w:t>Marine sediment, Beaufort Sea, Canada</w:t>
            </w:r>
          </w:p>
        </w:tc>
        <w:tc>
          <w:tcPr>
            <w:tcW w:w="1260" w:type="dxa"/>
            <w:tcBorders>
              <w:top w:val="single" w:sz="4" w:space="0" w:color="auto"/>
              <w:left w:val="nil"/>
              <w:right w:val="nil"/>
            </w:tcBorders>
            <w:shd w:val="clear" w:color="auto" w:fill="auto"/>
            <w:noWrap/>
            <w:vAlign w:val="center"/>
            <w:hideMark/>
          </w:tcPr>
          <w:p w14:paraId="5D85918D" w14:textId="07406A51" w:rsidR="00A36D35" w:rsidRPr="00CD3B2A" w:rsidRDefault="00A36D35" w:rsidP="00A46B68">
            <w:pPr>
              <w:spacing w:line="240" w:lineRule="auto"/>
              <w:ind w:firstLine="0"/>
              <w:jc w:val="center"/>
              <w:rPr>
                <w:color w:val="000000"/>
              </w:rPr>
            </w:pPr>
            <w:r w:rsidRPr="00CD3B2A">
              <w:rPr>
                <w:color w:val="000000"/>
              </w:rPr>
              <w:t>3</w:t>
            </w:r>
            <w:r>
              <w:rPr>
                <w:color w:val="000000"/>
              </w:rPr>
              <w:t>.4</w:t>
            </w:r>
          </w:p>
        </w:tc>
        <w:tc>
          <w:tcPr>
            <w:tcW w:w="827" w:type="dxa"/>
            <w:tcBorders>
              <w:top w:val="single" w:sz="4" w:space="0" w:color="auto"/>
              <w:left w:val="nil"/>
              <w:right w:val="nil"/>
            </w:tcBorders>
            <w:shd w:val="clear" w:color="auto" w:fill="auto"/>
            <w:noWrap/>
            <w:vAlign w:val="center"/>
            <w:hideMark/>
          </w:tcPr>
          <w:p w14:paraId="682DB493" w14:textId="77777777" w:rsidR="00A36D35" w:rsidRPr="00CD3B2A" w:rsidRDefault="00A36D35" w:rsidP="00A46B68">
            <w:pPr>
              <w:spacing w:line="240" w:lineRule="auto"/>
              <w:ind w:firstLine="0"/>
              <w:jc w:val="center"/>
              <w:rPr>
                <w:color w:val="000000"/>
              </w:rPr>
            </w:pPr>
            <w:r w:rsidRPr="00CD3B2A">
              <w:rPr>
                <w:color w:val="000000"/>
              </w:rPr>
              <w:t>2942</w:t>
            </w:r>
          </w:p>
        </w:tc>
        <w:tc>
          <w:tcPr>
            <w:tcW w:w="935" w:type="dxa"/>
            <w:tcBorders>
              <w:top w:val="single" w:sz="4" w:space="0" w:color="auto"/>
              <w:left w:val="nil"/>
              <w:right w:val="nil"/>
            </w:tcBorders>
            <w:shd w:val="clear" w:color="auto" w:fill="auto"/>
            <w:noWrap/>
            <w:vAlign w:val="center"/>
            <w:hideMark/>
          </w:tcPr>
          <w:p w14:paraId="3C7549E3" w14:textId="77777777" w:rsidR="00A36D35" w:rsidRPr="00CD3B2A" w:rsidRDefault="00A36D35" w:rsidP="00A46B68">
            <w:pPr>
              <w:spacing w:line="240" w:lineRule="auto"/>
              <w:ind w:firstLine="0"/>
              <w:jc w:val="center"/>
              <w:rPr>
                <w:color w:val="000000"/>
              </w:rPr>
            </w:pPr>
            <w:r w:rsidRPr="00CD3B2A">
              <w:rPr>
                <w:color w:val="000000"/>
              </w:rPr>
              <w:t>18.3</w:t>
            </w:r>
          </w:p>
        </w:tc>
      </w:tr>
      <w:tr w:rsidR="00A36D35" w:rsidRPr="004A7652" w14:paraId="304C6229" w14:textId="77777777" w:rsidTr="00AB0D75">
        <w:trPr>
          <w:trHeight w:val="20"/>
        </w:trPr>
        <w:tc>
          <w:tcPr>
            <w:tcW w:w="3510" w:type="dxa"/>
            <w:tcBorders>
              <w:top w:val="nil"/>
              <w:left w:val="nil"/>
              <w:bottom w:val="single" w:sz="4" w:space="0" w:color="auto"/>
              <w:right w:val="nil"/>
            </w:tcBorders>
            <w:shd w:val="clear" w:color="auto" w:fill="auto"/>
            <w:noWrap/>
            <w:vAlign w:val="center"/>
            <w:hideMark/>
          </w:tcPr>
          <w:p w14:paraId="765655C6" w14:textId="187EAC10" w:rsidR="00A36D35" w:rsidRPr="00CD3B2A" w:rsidRDefault="00A36D35" w:rsidP="00A46B68">
            <w:pPr>
              <w:spacing w:line="240" w:lineRule="auto"/>
              <w:ind w:left="144" w:firstLine="0"/>
              <w:rPr>
                <w:color w:val="000000"/>
              </w:rPr>
            </w:pPr>
            <w:r w:rsidRPr="00CD3B2A">
              <w:rPr>
                <w:i/>
                <w:iCs/>
                <w:color w:val="000000"/>
              </w:rPr>
              <w:lastRenderedPageBreak/>
              <w:t>Antarcticibacterium flavum</w:t>
            </w:r>
            <w:r w:rsidRPr="00CD3B2A">
              <w:rPr>
                <w:color w:val="000000"/>
              </w:rPr>
              <w:t xml:space="preserve"> KCTC 52984</w:t>
            </w:r>
            <w:r>
              <w:rPr>
                <w:color w:val="000000"/>
              </w:rPr>
              <w:t xml:space="preserve"> (</w:t>
            </w:r>
            <w:r w:rsidRPr="00CD3B2A">
              <w:rPr>
                <w:color w:val="000000"/>
              </w:rPr>
              <w:t>GCA_006159205</w:t>
            </w:r>
            <w:r>
              <w:rPr>
                <w:color w:val="000000"/>
              </w:rPr>
              <w:t>)</w:t>
            </w:r>
          </w:p>
        </w:tc>
        <w:tc>
          <w:tcPr>
            <w:tcW w:w="2070" w:type="dxa"/>
            <w:tcBorders>
              <w:top w:val="nil"/>
              <w:left w:val="nil"/>
              <w:bottom w:val="single" w:sz="4" w:space="0" w:color="auto"/>
              <w:right w:val="nil"/>
            </w:tcBorders>
            <w:shd w:val="clear" w:color="auto" w:fill="auto"/>
            <w:noWrap/>
            <w:vAlign w:val="center"/>
            <w:hideMark/>
          </w:tcPr>
          <w:p w14:paraId="5CA4D123" w14:textId="77777777" w:rsidR="00A36D35" w:rsidRPr="00CD3B2A" w:rsidRDefault="00A36D35" w:rsidP="00A46B68">
            <w:pPr>
              <w:spacing w:line="240" w:lineRule="auto"/>
              <w:ind w:firstLine="0"/>
              <w:jc w:val="center"/>
              <w:rPr>
                <w:color w:val="000000"/>
              </w:rPr>
            </w:pPr>
            <w:r w:rsidRPr="00CD3B2A">
              <w:rPr>
                <w:color w:val="000000"/>
              </w:rPr>
              <w:t>Marine sediment, Ross Sea, Antarctica</w:t>
            </w:r>
          </w:p>
        </w:tc>
        <w:tc>
          <w:tcPr>
            <w:tcW w:w="1260" w:type="dxa"/>
            <w:tcBorders>
              <w:top w:val="nil"/>
              <w:left w:val="nil"/>
              <w:bottom w:val="single" w:sz="4" w:space="0" w:color="auto"/>
              <w:right w:val="nil"/>
            </w:tcBorders>
            <w:shd w:val="clear" w:color="auto" w:fill="auto"/>
            <w:noWrap/>
            <w:vAlign w:val="center"/>
            <w:hideMark/>
          </w:tcPr>
          <w:p w14:paraId="39F8155D" w14:textId="541BF84C" w:rsidR="00A36D35" w:rsidRPr="00CD3B2A" w:rsidRDefault="00A36D35" w:rsidP="00A46B68">
            <w:pPr>
              <w:spacing w:line="240" w:lineRule="auto"/>
              <w:ind w:firstLine="0"/>
              <w:jc w:val="center"/>
              <w:rPr>
                <w:color w:val="000000"/>
              </w:rPr>
            </w:pPr>
            <w:r w:rsidRPr="00CD3B2A">
              <w:rPr>
                <w:color w:val="000000"/>
              </w:rPr>
              <w:t>4</w:t>
            </w:r>
            <w:r>
              <w:rPr>
                <w:color w:val="000000"/>
              </w:rPr>
              <w:t>.4</w:t>
            </w:r>
          </w:p>
        </w:tc>
        <w:tc>
          <w:tcPr>
            <w:tcW w:w="827" w:type="dxa"/>
            <w:tcBorders>
              <w:top w:val="nil"/>
              <w:left w:val="nil"/>
              <w:bottom w:val="single" w:sz="4" w:space="0" w:color="auto"/>
              <w:right w:val="nil"/>
            </w:tcBorders>
            <w:shd w:val="clear" w:color="auto" w:fill="auto"/>
            <w:noWrap/>
            <w:vAlign w:val="center"/>
            <w:hideMark/>
          </w:tcPr>
          <w:p w14:paraId="7D586EF7" w14:textId="77777777" w:rsidR="00A36D35" w:rsidRPr="00CD3B2A" w:rsidRDefault="00A36D35" w:rsidP="00A46B68">
            <w:pPr>
              <w:spacing w:line="240" w:lineRule="auto"/>
              <w:ind w:firstLine="0"/>
              <w:jc w:val="center"/>
              <w:rPr>
                <w:color w:val="000000"/>
              </w:rPr>
            </w:pPr>
            <w:r w:rsidRPr="00CD3B2A">
              <w:rPr>
                <w:color w:val="000000"/>
              </w:rPr>
              <w:t>3535</w:t>
            </w:r>
          </w:p>
        </w:tc>
        <w:tc>
          <w:tcPr>
            <w:tcW w:w="935" w:type="dxa"/>
            <w:tcBorders>
              <w:top w:val="nil"/>
              <w:left w:val="nil"/>
              <w:bottom w:val="single" w:sz="4" w:space="0" w:color="auto"/>
              <w:right w:val="nil"/>
            </w:tcBorders>
            <w:shd w:val="clear" w:color="auto" w:fill="auto"/>
            <w:noWrap/>
            <w:vAlign w:val="center"/>
            <w:hideMark/>
          </w:tcPr>
          <w:p w14:paraId="44A6064C" w14:textId="77777777" w:rsidR="00A36D35" w:rsidRPr="00CD3B2A" w:rsidRDefault="00A36D35" w:rsidP="00A46B68">
            <w:pPr>
              <w:spacing w:line="240" w:lineRule="auto"/>
              <w:ind w:firstLine="0"/>
              <w:jc w:val="center"/>
              <w:rPr>
                <w:color w:val="000000"/>
              </w:rPr>
            </w:pPr>
            <w:r w:rsidRPr="00CD3B2A">
              <w:rPr>
                <w:color w:val="000000"/>
              </w:rPr>
              <w:t>18</w:t>
            </w:r>
          </w:p>
        </w:tc>
      </w:tr>
      <w:tr w:rsidR="00A36D35" w:rsidRPr="004A7652" w14:paraId="34E68FBF" w14:textId="77777777" w:rsidTr="00AB0D75">
        <w:trPr>
          <w:trHeight w:val="20"/>
        </w:trPr>
        <w:tc>
          <w:tcPr>
            <w:tcW w:w="3510" w:type="dxa"/>
            <w:tcBorders>
              <w:top w:val="single" w:sz="4" w:space="0" w:color="auto"/>
              <w:left w:val="nil"/>
              <w:bottom w:val="single" w:sz="4" w:space="0" w:color="auto"/>
              <w:right w:val="nil"/>
            </w:tcBorders>
            <w:shd w:val="clear" w:color="auto" w:fill="auto"/>
            <w:noWrap/>
            <w:vAlign w:val="center"/>
            <w:hideMark/>
          </w:tcPr>
          <w:p w14:paraId="7D5E7C7B" w14:textId="7C33FE24" w:rsidR="00A36D35" w:rsidRPr="00CD3B2A" w:rsidRDefault="00A36D35" w:rsidP="00A46B68">
            <w:pPr>
              <w:spacing w:line="240" w:lineRule="auto"/>
              <w:ind w:left="144" w:firstLine="0"/>
              <w:rPr>
                <w:color w:val="000000"/>
              </w:rPr>
            </w:pPr>
            <w:r w:rsidRPr="00CD3B2A">
              <w:rPr>
                <w:i/>
                <w:iCs/>
                <w:color w:val="000000"/>
              </w:rPr>
              <w:t>Aquimarina latercula</w:t>
            </w:r>
            <w:r w:rsidRPr="00CD3B2A">
              <w:rPr>
                <w:color w:val="000000"/>
              </w:rPr>
              <w:t xml:space="preserve"> DSM 2041</w:t>
            </w:r>
            <w:r>
              <w:rPr>
                <w:color w:val="000000"/>
              </w:rPr>
              <w:t xml:space="preserve"> (</w:t>
            </w:r>
            <w:r w:rsidRPr="00CD3B2A">
              <w:rPr>
                <w:color w:val="000000"/>
              </w:rPr>
              <w:t>GCA_000430645</w:t>
            </w:r>
            <w:r>
              <w:rPr>
                <w:color w:val="000000"/>
              </w:rPr>
              <w:t>)</w:t>
            </w:r>
          </w:p>
        </w:tc>
        <w:tc>
          <w:tcPr>
            <w:tcW w:w="2070" w:type="dxa"/>
            <w:tcBorders>
              <w:top w:val="single" w:sz="4" w:space="0" w:color="auto"/>
              <w:left w:val="nil"/>
              <w:bottom w:val="single" w:sz="4" w:space="0" w:color="auto"/>
              <w:right w:val="nil"/>
            </w:tcBorders>
            <w:shd w:val="clear" w:color="auto" w:fill="auto"/>
            <w:noWrap/>
            <w:vAlign w:val="center"/>
            <w:hideMark/>
          </w:tcPr>
          <w:p w14:paraId="566F53C7" w14:textId="77777777" w:rsidR="00A36D35" w:rsidRPr="00CD3B2A" w:rsidRDefault="00A36D35" w:rsidP="00A46B68">
            <w:pPr>
              <w:spacing w:line="240" w:lineRule="auto"/>
              <w:ind w:firstLine="0"/>
              <w:jc w:val="center"/>
              <w:rPr>
                <w:color w:val="000000"/>
              </w:rPr>
            </w:pPr>
            <w:r w:rsidRPr="00CD3B2A">
              <w:rPr>
                <w:color w:val="000000"/>
              </w:rPr>
              <w:t>Seawater aquarium</w:t>
            </w:r>
          </w:p>
        </w:tc>
        <w:tc>
          <w:tcPr>
            <w:tcW w:w="1260" w:type="dxa"/>
            <w:tcBorders>
              <w:top w:val="single" w:sz="4" w:space="0" w:color="auto"/>
              <w:left w:val="nil"/>
              <w:bottom w:val="single" w:sz="4" w:space="0" w:color="auto"/>
              <w:right w:val="nil"/>
            </w:tcBorders>
            <w:shd w:val="clear" w:color="auto" w:fill="auto"/>
            <w:noWrap/>
            <w:vAlign w:val="center"/>
            <w:hideMark/>
          </w:tcPr>
          <w:p w14:paraId="07EDDAB4" w14:textId="7167BD2F" w:rsidR="00A36D35" w:rsidRPr="00CD3B2A" w:rsidRDefault="00A36D35" w:rsidP="00A46B68">
            <w:pPr>
              <w:spacing w:line="240" w:lineRule="auto"/>
              <w:ind w:firstLine="0"/>
              <w:jc w:val="center"/>
              <w:rPr>
                <w:color w:val="000000"/>
              </w:rPr>
            </w:pPr>
            <w:r w:rsidRPr="00CD3B2A">
              <w:rPr>
                <w:color w:val="000000"/>
              </w:rPr>
              <w:t>6</w:t>
            </w:r>
            <w:r>
              <w:rPr>
                <w:color w:val="000000"/>
              </w:rPr>
              <w:t>.2</w:t>
            </w:r>
          </w:p>
        </w:tc>
        <w:tc>
          <w:tcPr>
            <w:tcW w:w="827" w:type="dxa"/>
            <w:tcBorders>
              <w:top w:val="single" w:sz="4" w:space="0" w:color="auto"/>
              <w:left w:val="nil"/>
              <w:bottom w:val="single" w:sz="4" w:space="0" w:color="auto"/>
              <w:right w:val="nil"/>
            </w:tcBorders>
            <w:shd w:val="clear" w:color="auto" w:fill="auto"/>
            <w:noWrap/>
            <w:vAlign w:val="center"/>
            <w:hideMark/>
          </w:tcPr>
          <w:p w14:paraId="4AEBE3F6" w14:textId="77777777" w:rsidR="00A36D35" w:rsidRPr="00CD3B2A" w:rsidRDefault="00A36D35" w:rsidP="00A46B68">
            <w:pPr>
              <w:spacing w:line="240" w:lineRule="auto"/>
              <w:ind w:firstLine="0"/>
              <w:jc w:val="center"/>
              <w:rPr>
                <w:color w:val="000000"/>
              </w:rPr>
            </w:pPr>
            <w:r w:rsidRPr="00CD3B2A">
              <w:rPr>
                <w:color w:val="000000"/>
              </w:rPr>
              <w:t>5543</w:t>
            </w:r>
          </w:p>
        </w:tc>
        <w:tc>
          <w:tcPr>
            <w:tcW w:w="935" w:type="dxa"/>
            <w:tcBorders>
              <w:top w:val="single" w:sz="4" w:space="0" w:color="auto"/>
              <w:left w:val="nil"/>
              <w:bottom w:val="single" w:sz="4" w:space="0" w:color="auto"/>
              <w:right w:val="nil"/>
            </w:tcBorders>
            <w:shd w:val="clear" w:color="auto" w:fill="auto"/>
            <w:noWrap/>
            <w:vAlign w:val="center"/>
            <w:hideMark/>
          </w:tcPr>
          <w:p w14:paraId="56953386" w14:textId="77777777" w:rsidR="00A36D35" w:rsidRPr="00CD3B2A" w:rsidRDefault="00A36D35" w:rsidP="00A46B68">
            <w:pPr>
              <w:spacing w:line="240" w:lineRule="auto"/>
              <w:ind w:firstLine="0"/>
              <w:jc w:val="center"/>
              <w:rPr>
                <w:color w:val="000000"/>
              </w:rPr>
            </w:pPr>
            <w:r w:rsidRPr="00CD3B2A">
              <w:rPr>
                <w:color w:val="000000"/>
              </w:rPr>
              <w:t>17.9</w:t>
            </w:r>
          </w:p>
        </w:tc>
      </w:tr>
      <w:tr w:rsidR="00A36D35" w:rsidRPr="004A7652" w14:paraId="7E0A4766" w14:textId="77777777" w:rsidTr="00AB0D75">
        <w:trPr>
          <w:trHeight w:val="20"/>
        </w:trPr>
        <w:tc>
          <w:tcPr>
            <w:tcW w:w="3510" w:type="dxa"/>
            <w:tcBorders>
              <w:top w:val="single" w:sz="4" w:space="0" w:color="auto"/>
              <w:left w:val="nil"/>
              <w:bottom w:val="nil"/>
              <w:right w:val="nil"/>
            </w:tcBorders>
            <w:shd w:val="clear" w:color="auto" w:fill="auto"/>
            <w:noWrap/>
            <w:vAlign w:val="center"/>
            <w:hideMark/>
          </w:tcPr>
          <w:p w14:paraId="0C2553BA" w14:textId="6212298A" w:rsidR="00A36D35" w:rsidRPr="00CD3B2A" w:rsidRDefault="00A36D35" w:rsidP="00A46B68">
            <w:pPr>
              <w:spacing w:line="240" w:lineRule="auto"/>
              <w:ind w:left="144" w:firstLine="0"/>
              <w:rPr>
                <w:color w:val="000000"/>
              </w:rPr>
            </w:pPr>
            <w:r w:rsidRPr="00CD3B2A">
              <w:rPr>
                <w:i/>
                <w:iCs/>
                <w:color w:val="000000"/>
              </w:rPr>
              <w:t xml:space="preserve">Christiangramia antarctica </w:t>
            </w:r>
            <w:r w:rsidRPr="00CD3B2A">
              <w:rPr>
                <w:color w:val="000000"/>
              </w:rPr>
              <w:t>KCTC 52925</w:t>
            </w:r>
            <w:r>
              <w:rPr>
                <w:color w:val="000000"/>
              </w:rPr>
              <w:t xml:space="preserve"> (</w:t>
            </w:r>
            <w:r w:rsidRPr="00CD3B2A">
              <w:rPr>
                <w:color w:val="000000"/>
              </w:rPr>
              <w:t>GCA_042685965</w:t>
            </w:r>
            <w:r>
              <w:rPr>
                <w:color w:val="000000"/>
              </w:rPr>
              <w:t>)</w:t>
            </w:r>
          </w:p>
        </w:tc>
        <w:tc>
          <w:tcPr>
            <w:tcW w:w="2070" w:type="dxa"/>
            <w:tcBorders>
              <w:top w:val="single" w:sz="4" w:space="0" w:color="auto"/>
              <w:left w:val="nil"/>
              <w:bottom w:val="nil"/>
              <w:right w:val="nil"/>
            </w:tcBorders>
            <w:shd w:val="clear" w:color="auto" w:fill="auto"/>
            <w:noWrap/>
            <w:vAlign w:val="center"/>
            <w:hideMark/>
          </w:tcPr>
          <w:p w14:paraId="0572162C"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single" w:sz="4" w:space="0" w:color="auto"/>
              <w:left w:val="nil"/>
              <w:bottom w:val="nil"/>
              <w:right w:val="nil"/>
            </w:tcBorders>
            <w:shd w:val="clear" w:color="auto" w:fill="auto"/>
            <w:noWrap/>
            <w:vAlign w:val="center"/>
            <w:hideMark/>
          </w:tcPr>
          <w:p w14:paraId="04C9366F" w14:textId="247E7883" w:rsidR="00A36D35" w:rsidRPr="00CD3B2A" w:rsidRDefault="00A36D35" w:rsidP="00A46B68">
            <w:pPr>
              <w:spacing w:line="240" w:lineRule="auto"/>
              <w:ind w:firstLine="0"/>
              <w:jc w:val="center"/>
              <w:rPr>
                <w:color w:val="000000"/>
              </w:rPr>
            </w:pPr>
            <w:r w:rsidRPr="00CD3B2A">
              <w:rPr>
                <w:color w:val="000000"/>
              </w:rPr>
              <w:t>4</w:t>
            </w:r>
            <w:r>
              <w:rPr>
                <w:color w:val="000000"/>
              </w:rPr>
              <w:t>.6</w:t>
            </w:r>
          </w:p>
        </w:tc>
        <w:tc>
          <w:tcPr>
            <w:tcW w:w="827" w:type="dxa"/>
            <w:tcBorders>
              <w:top w:val="single" w:sz="4" w:space="0" w:color="auto"/>
              <w:left w:val="nil"/>
              <w:bottom w:val="nil"/>
              <w:right w:val="nil"/>
            </w:tcBorders>
            <w:shd w:val="clear" w:color="auto" w:fill="auto"/>
            <w:noWrap/>
            <w:vAlign w:val="center"/>
            <w:hideMark/>
          </w:tcPr>
          <w:p w14:paraId="3639E664" w14:textId="77777777" w:rsidR="00A36D35" w:rsidRPr="00CD3B2A" w:rsidRDefault="00A36D35" w:rsidP="00A46B68">
            <w:pPr>
              <w:spacing w:line="240" w:lineRule="auto"/>
              <w:ind w:firstLine="0"/>
              <w:jc w:val="center"/>
              <w:rPr>
                <w:color w:val="000000"/>
              </w:rPr>
            </w:pPr>
            <w:r w:rsidRPr="00CD3B2A">
              <w:rPr>
                <w:color w:val="000000"/>
              </w:rPr>
              <w:t>3920</w:t>
            </w:r>
          </w:p>
        </w:tc>
        <w:tc>
          <w:tcPr>
            <w:tcW w:w="935" w:type="dxa"/>
            <w:tcBorders>
              <w:top w:val="single" w:sz="4" w:space="0" w:color="auto"/>
              <w:left w:val="nil"/>
              <w:bottom w:val="nil"/>
              <w:right w:val="nil"/>
            </w:tcBorders>
            <w:shd w:val="clear" w:color="auto" w:fill="auto"/>
            <w:noWrap/>
            <w:vAlign w:val="center"/>
            <w:hideMark/>
          </w:tcPr>
          <w:p w14:paraId="6648484B" w14:textId="77777777" w:rsidR="00A36D35" w:rsidRPr="00CD3B2A" w:rsidRDefault="00A36D35" w:rsidP="00A46B68">
            <w:pPr>
              <w:spacing w:line="240" w:lineRule="auto"/>
              <w:ind w:firstLine="0"/>
              <w:jc w:val="center"/>
              <w:rPr>
                <w:color w:val="000000"/>
              </w:rPr>
            </w:pPr>
            <w:r w:rsidRPr="00CD3B2A">
              <w:rPr>
                <w:color w:val="000000"/>
              </w:rPr>
              <w:t>17.8</w:t>
            </w:r>
          </w:p>
        </w:tc>
      </w:tr>
      <w:tr w:rsidR="00A36D35" w:rsidRPr="004A7652" w14:paraId="461518D2" w14:textId="77777777" w:rsidTr="00AB0D75">
        <w:trPr>
          <w:trHeight w:val="20"/>
        </w:trPr>
        <w:tc>
          <w:tcPr>
            <w:tcW w:w="3510" w:type="dxa"/>
            <w:tcBorders>
              <w:top w:val="nil"/>
              <w:left w:val="nil"/>
              <w:right w:val="nil"/>
            </w:tcBorders>
            <w:shd w:val="clear" w:color="auto" w:fill="auto"/>
            <w:noWrap/>
            <w:vAlign w:val="center"/>
            <w:hideMark/>
          </w:tcPr>
          <w:p w14:paraId="6B62124E" w14:textId="2C73BFB4" w:rsidR="00A36D35" w:rsidRPr="00CD3B2A" w:rsidRDefault="00A36D35" w:rsidP="00A46B68">
            <w:pPr>
              <w:spacing w:line="240" w:lineRule="auto"/>
              <w:ind w:left="144" w:firstLine="0"/>
              <w:rPr>
                <w:color w:val="000000"/>
              </w:rPr>
            </w:pPr>
            <w:r w:rsidRPr="00CD3B2A">
              <w:rPr>
                <w:i/>
                <w:iCs/>
                <w:color w:val="000000"/>
              </w:rPr>
              <w:t xml:space="preserve">Christiangramia forsetii </w:t>
            </w:r>
            <w:r w:rsidRPr="00CD3B2A">
              <w:rPr>
                <w:color w:val="000000"/>
              </w:rPr>
              <w:t>KT0803</w:t>
            </w:r>
            <w:r>
              <w:rPr>
                <w:color w:val="000000"/>
              </w:rPr>
              <w:t xml:space="preserve"> (</w:t>
            </w:r>
            <w:r w:rsidRPr="00CD3B2A">
              <w:rPr>
                <w:color w:val="000000"/>
              </w:rPr>
              <w:t>GCA_000060345</w:t>
            </w:r>
            <w:r>
              <w:rPr>
                <w:color w:val="000000"/>
              </w:rPr>
              <w:t>)</w:t>
            </w:r>
          </w:p>
        </w:tc>
        <w:tc>
          <w:tcPr>
            <w:tcW w:w="2070" w:type="dxa"/>
            <w:tcBorders>
              <w:top w:val="nil"/>
              <w:left w:val="nil"/>
              <w:right w:val="nil"/>
            </w:tcBorders>
            <w:shd w:val="clear" w:color="auto" w:fill="auto"/>
            <w:noWrap/>
            <w:vAlign w:val="center"/>
            <w:hideMark/>
          </w:tcPr>
          <w:p w14:paraId="42E54D7C" w14:textId="77777777" w:rsidR="00A36D35" w:rsidRPr="00CD3B2A" w:rsidRDefault="00A36D35" w:rsidP="00A46B68">
            <w:pPr>
              <w:spacing w:line="240" w:lineRule="auto"/>
              <w:ind w:firstLine="0"/>
              <w:jc w:val="center"/>
              <w:rPr>
                <w:color w:val="000000"/>
              </w:rPr>
            </w:pPr>
            <w:r w:rsidRPr="00CD3B2A">
              <w:rPr>
                <w:color w:val="000000"/>
              </w:rPr>
              <w:t>North Sea</w:t>
            </w:r>
          </w:p>
        </w:tc>
        <w:tc>
          <w:tcPr>
            <w:tcW w:w="1260" w:type="dxa"/>
            <w:tcBorders>
              <w:top w:val="nil"/>
              <w:left w:val="nil"/>
              <w:right w:val="nil"/>
            </w:tcBorders>
            <w:shd w:val="clear" w:color="auto" w:fill="auto"/>
            <w:noWrap/>
            <w:vAlign w:val="center"/>
            <w:hideMark/>
          </w:tcPr>
          <w:p w14:paraId="71DA5560" w14:textId="0423E85D" w:rsidR="00A36D35" w:rsidRPr="00CD3B2A" w:rsidRDefault="00A36D35" w:rsidP="00A46B68">
            <w:pPr>
              <w:spacing w:line="240" w:lineRule="auto"/>
              <w:ind w:firstLine="0"/>
              <w:jc w:val="center"/>
              <w:rPr>
                <w:color w:val="000000"/>
              </w:rPr>
            </w:pPr>
            <w:r w:rsidRPr="00CD3B2A">
              <w:rPr>
                <w:color w:val="000000"/>
              </w:rPr>
              <w:t>3</w:t>
            </w:r>
            <w:r>
              <w:rPr>
                <w:color w:val="000000"/>
              </w:rPr>
              <w:t>.8</w:t>
            </w:r>
          </w:p>
        </w:tc>
        <w:tc>
          <w:tcPr>
            <w:tcW w:w="827" w:type="dxa"/>
            <w:tcBorders>
              <w:top w:val="nil"/>
              <w:left w:val="nil"/>
              <w:right w:val="nil"/>
            </w:tcBorders>
            <w:shd w:val="clear" w:color="auto" w:fill="auto"/>
            <w:noWrap/>
            <w:vAlign w:val="center"/>
            <w:hideMark/>
          </w:tcPr>
          <w:p w14:paraId="600A4114" w14:textId="77777777" w:rsidR="00A36D35" w:rsidRPr="00CD3B2A" w:rsidRDefault="00A36D35" w:rsidP="00A46B68">
            <w:pPr>
              <w:spacing w:line="240" w:lineRule="auto"/>
              <w:ind w:firstLine="0"/>
              <w:jc w:val="center"/>
              <w:rPr>
                <w:color w:val="000000"/>
              </w:rPr>
            </w:pPr>
            <w:r w:rsidRPr="00CD3B2A">
              <w:rPr>
                <w:color w:val="000000"/>
              </w:rPr>
              <w:t>3584</w:t>
            </w:r>
          </w:p>
        </w:tc>
        <w:tc>
          <w:tcPr>
            <w:tcW w:w="935" w:type="dxa"/>
            <w:tcBorders>
              <w:top w:val="nil"/>
              <w:left w:val="nil"/>
              <w:right w:val="nil"/>
            </w:tcBorders>
            <w:shd w:val="clear" w:color="auto" w:fill="auto"/>
            <w:noWrap/>
            <w:vAlign w:val="center"/>
            <w:hideMark/>
          </w:tcPr>
          <w:p w14:paraId="046F8A30" w14:textId="77777777" w:rsidR="00A36D35" w:rsidRPr="00CD3B2A" w:rsidRDefault="00A36D35" w:rsidP="00A46B68">
            <w:pPr>
              <w:spacing w:line="240" w:lineRule="auto"/>
              <w:ind w:firstLine="0"/>
              <w:jc w:val="center"/>
              <w:rPr>
                <w:color w:val="000000"/>
              </w:rPr>
            </w:pPr>
            <w:r w:rsidRPr="00CD3B2A">
              <w:rPr>
                <w:color w:val="000000"/>
              </w:rPr>
              <w:t>17.6</w:t>
            </w:r>
          </w:p>
        </w:tc>
      </w:tr>
      <w:tr w:rsidR="00A36D35" w:rsidRPr="004A7652" w14:paraId="196E653A" w14:textId="77777777" w:rsidTr="00AB0D75">
        <w:trPr>
          <w:trHeight w:val="20"/>
        </w:trPr>
        <w:tc>
          <w:tcPr>
            <w:tcW w:w="3510" w:type="dxa"/>
            <w:tcBorders>
              <w:top w:val="nil"/>
              <w:left w:val="nil"/>
              <w:bottom w:val="single" w:sz="4" w:space="0" w:color="auto"/>
              <w:right w:val="nil"/>
            </w:tcBorders>
            <w:shd w:val="clear" w:color="auto" w:fill="auto"/>
            <w:noWrap/>
            <w:vAlign w:val="center"/>
            <w:hideMark/>
          </w:tcPr>
          <w:p w14:paraId="326611C6" w14:textId="369F40BC" w:rsidR="00A36D35" w:rsidRPr="00CD3B2A" w:rsidRDefault="00A36D35" w:rsidP="00A46B68">
            <w:pPr>
              <w:spacing w:line="240" w:lineRule="auto"/>
              <w:ind w:left="144" w:firstLine="0"/>
              <w:rPr>
                <w:color w:val="000000"/>
              </w:rPr>
            </w:pPr>
            <w:r w:rsidRPr="00CD3B2A">
              <w:rPr>
                <w:i/>
                <w:iCs/>
                <w:color w:val="000000"/>
              </w:rPr>
              <w:t xml:space="preserve">Christiangramia forsetii </w:t>
            </w:r>
            <w:r w:rsidRPr="00CD3B2A">
              <w:rPr>
                <w:color w:val="000000"/>
              </w:rPr>
              <w:t>CGMCC 1.15422</w:t>
            </w:r>
            <w:r>
              <w:rPr>
                <w:color w:val="000000"/>
              </w:rPr>
              <w:t xml:space="preserve"> (</w:t>
            </w:r>
            <w:r w:rsidRPr="00CD3B2A">
              <w:rPr>
                <w:color w:val="000000"/>
              </w:rPr>
              <w:t>GCA_014642775</w:t>
            </w:r>
            <w:r>
              <w:rPr>
                <w:color w:val="000000"/>
              </w:rPr>
              <w:t>)</w:t>
            </w:r>
          </w:p>
        </w:tc>
        <w:tc>
          <w:tcPr>
            <w:tcW w:w="2070" w:type="dxa"/>
            <w:tcBorders>
              <w:top w:val="nil"/>
              <w:left w:val="nil"/>
              <w:bottom w:val="single" w:sz="4" w:space="0" w:color="auto"/>
              <w:right w:val="nil"/>
            </w:tcBorders>
            <w:shd w:val="clear" w:color="auto" w:fill="auto"/>
            <w:noWrap/>
            <w:vAlign w:val="center"/>
            <w:hideMark/>
          </w:tcPr>
          <w:p w14:paraId="611A0EA1"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single" w:sz="4" w:space="0" w:color="auto"/>
              <w:right w:val="nil"/>
            </w:tcBorders>
            <w:shd w:val="clear" w:color="auto" w:fill="auto"/>
            <w:noWrap/>
            <w:vAlign w:val="center"/>
            <w:hideMark/>
          </w:tcPr>
          <w:p w14:paraId="3FB02AED" w14:textId="4830A321" w:rsidR="00A36D35" w:rsidRPr="00CD3B2A" w:rsidRDefault="00A36D35" w:rsidP="00A46B68">
            <w:pPr>
              <w:spacing w:line="240" w:lineRule="auto"/>
              <w:ind w:firstLine="0"/>
              <w:jc w:val="center"/>
              <w:rPr>
                <w:color w:val="000000"/>
              </w:rPr>
            </w:pPr>
            <w:r w:rsidRPr="00CD3B2A">
              <w:rPr>
                <w:color w:val="000000"/>
              </w:rPr>
              <w:t>3</w:t>
            </w:r>
            <w:r>
              <w:rPr>
                <w:color w:val="000000"/>
              </w:rPr>
              <w:t>.7</w:t>
            </w:r>
          </w:p>
        </w:tc>
        <w:tc>
          <w:tcPr>
            <w:tcW w:w="827" w:type="dxa"/>
            <w:tcBorders>
              <w:top w:val="nil"/>
              <w:left w:val="nil"/>
              <w:bottom w:val="single" w:sz="4" w:space="0" w:color="auto"/>
              <w:right w:val="nil"/>
            </w:tcBorders>
            <w:shd w:val="clear" w:color="auto" w:fill="auto"/>
            <w:noWrap/>
            <w:vAlign w:val="center"/>
            <w:hideMark/>
          </w:tcPr>
          <w:p w14:paraId="646BAA46" w14:textId="77777777" w:rsidR="00A36D35" w:rsidRPr="00CD3B2A" w:rsidRDefault="00A36D35" w:rsidP="00A46B68">
            <w:pPr>
              <w:spacing w:line="240" w:lineRule="auto"/>
              <w:ind w:firstLine="0"/>
              <w:jc w:val="center"/>
              <w:rPr>
                <w:color w:val="000000"/>
              </w:rPr>
            </w:pPr>
            <w:r w:rsidRPr="00CD3B2A">
              <w:rPr>
                <w:color w:val="000000"/>
              </w:rPr>
              <w:t>3349</w:t>
            </w:r>
          </w:p>
        </w:tc>
        <w:tc>
          <w:tcPr>
            <w:tcW w:w="935" w:type="dxa"/>
            <w:tcBorders>
              <w:top w:val="nil"/>
              <w:left w:val="nil"/>
              <w:bottom w:val="single" w:sz="4" w:space="0" w:color="auto"/>
              <w:right w:val="nil"/>
            </w:tcBorders>
            <w:shd w:val="clear" w:color="auto" w:fill="auto"/>
            <w:noWrap/>
            <w:vAlign w:val="center"/>
            <w:hideMark/>
          </w:tcPr>
          <w:p w14:paraId="11703A04" w14:textId="77777777" w:rsidR="00A36D35" w:rsidRPr="00CD3B2A" w:rsidRDefault="00A36D35" w:rsidP="00A46B68">
            <w:pPr>
              <w:spacing w:line="240" w:lineRule="auto"/>
              <w:ind w:firstLine="0"/>
              <w:jc w:val="center"/>
              <w:rPr>
                <w:color w:val="000000"/>
              </w:rPr>
            </w:pPr>
            <w:r w:rsidRPr="00CD3B2A">
              <w:rPr>
                <w:color w:val="000000"/>
              </w:rPr>
              <w:t>17.2</w:t>
            </w:r>
          </w:p>
        </w:tc>
      </w:tr>
      <w:tr w:rsidR="00A36D35" w:rsidRPr="004A7652" w14:paraId="5DC6AF1F" w14:textId="77777777" w:rsidTr="00AB0D75">
        <w:trPr>
          <w:trHeight w:val="20"/>
        </w:trPr>
        <w:tc>
          <w:tcPr>
            <w:tcW w:w="3510" w:type="dxa"/>
            <w:tcBorders>
              <w:top w:val="single" w:sz="4" w:space="0" w:color="auto"/>
              <w:left w:val="nil"/>
              <w:bottom w:val="single" w:sz="4" w:space="0" w:color="auto"/>
              <w:right w:val="nil"/>
            </w:tcBorders>
            <w:shd w:val="clear" w:color="auto" w:fill="auto"/>
            <w:noWrap/>
            <w:vAlign w:val="center"/>
            <w:hideMark/>
          </w:tcPr>
          <w:p w14:paraId="3B2E1745" w14:textId="77777777" w:rsidR="00A36D35" w:rsidRPr="004A7652" w:rsidRDefault="00A36D35" w:rsidP="00A46B68">
            <w:pPr>
              <w:spacing w:line="240" w:lineRule="auto"/>
              <w:ind w:left="144" w:firstLine="0"/>
              <w:rPr>
                <w:color w:val="000000"/>
              </w:rPr>
            </w:pPr>
            <w:r w:rsidRPr="00CD3B2A">
              <w:rPr>
                <w:i/>
                <w:iCs/>
                <w:color w:val="000000"/>
              </w:rPr>
              <w:t>Flavobacterium rhamnosiphilum</w:t>
            </w:r>
            <w:r w:rsidRPr="00CD3B2A">
              <w:rPr>
                <w:color w:val="000000"/>
              </w:rPr>
              <w:t xml:space="preserve"> </w:t>
            </w:r>
          </w:p>
          <w:p w14:paraId="723F8A8E" w14:textId="14E08AE5" w:rsidR="00A36D35" w:rsidRPr="00CD3B2A" w:rsidRDefault="00A36D35" w:rsidP="00A46B68">
            <w:pPr>
              <w:spacing w:line="240" w:lineRule="auto"/>
              <w:ind w:left="144" w:firstLine="0"/>
              <w:rPr>
                <w:color w:val="000000"/>
              </w:rPr>
            </w:pPr>
            <w:r w:rsidRPr="00CD3B2A">
              <w:rPr>
                <w:color w:val="000000"/>
              </w:rPr>
              <w:t>CGMCC 1.11446</w:t>
            </w:r>
            <w:r>
              <w:rPr>
                <w:color w:val="000000"/>
              </w:rPr>
              <w:t xml:space="preserve"> (</w:t>
            </w:r>
            <w:r w:rsidRPr="00CD3B2A">
              <w:rPr>
                <w:color w:val="000000"/>
              </w:rPr>
              <w:t>GCA_004349195</w:t>
            </w:r>
            <w:r>
              <w:rPr>
                <w:color w:val="000000"/>
              </w:rPr>
              <w:t>)</w:t>
            </w:r>
          </w:p>
        </w:tc>
        <w:tc>
          <w:tcPr>
            <w:tcW w:w="2070" w:type="dxa"/>
            <w:tcBorders>
              <w:top w:val="single" w:sz="4" w:space="0" w:color="auto"/>
              <w:left w:val="nil"/>
              <w:bottom w:val="single" w:sz="4" w:space="0" w:color="auto"/>
              <w:right w:val="nil"/>
            </w:tcBorders>
            <w:shd w:val="clear" w:color="auto" w:fill="auto"/>
            <w:noWrap/>
            <w:vAlign w:val="center"/>
            <w:hideMark/>
          </w:tcPr>
          <w:p w14:paraId="1D283C00" w14:textId="77777777" w:rsidR="00A36D35" w:rsidRPr="00CD3B2A" w:rsidRDefault="00A36D35" w:rsidP="00A46B68">
            <w:pPr>
              <w:spacing w:line="240" w:lineRule="auto"/>
              <w:ind w:firstLine="0"/>
              <w:jc w:val="center"/>
              <w:rPr>
                <w:color w:val="000000"/>
              </w:rPr>
            </w:pPr>
            <w:r w:rsidRPr="00CD3B2A">
              <w:rPr>
                <w:color w:val="000000"/>
              </w:rPr>
              <w:t>Glacier, China</w:t>
            </w:r>
          </w:p>
        </w:tc>
        <w:tc>
          <w:tcPr>
            <w:tcW w:w="1260" w:type="dxa"/>
            <w:tcBorders>
              <w:top w:val="single" w:sz="4" w:space="0" w:color="auto"/>
              <w:left w:val="nil"/>
              <w:bottom w:val="single" w:sz="4" w:space="0" w:color="auto"/>
              <w:right w:val="nil"/>
            </w:tcBorders>
            <w:shd w:val="clear" w:color="auto" w:fill="auto"/>
            <w:noWrap/>
            <w:vAlign w:val="center"/>
            <w:hideMark/>
          </w:tcPr>
          <w:p w14:paraId="2B92937C" w14:textId="3262F202" w:rsidR="00A36D35" w:rsidRPr="00CD3B2A" w:rsidRDefault="00A36D35" w:rsidP="00A46B68">
            <w:pPr>
              <w:spacing w:line="240" w:lineRule="auto"/>
              <w:ind w:firstLine="0"/>
              <w:jc w:val="center"/>
              <w:rPr>
                <w:color w:val="000000"/>
              </w:rPr>
            </w:pPr>
            <w:r w:rsidRPr="00CD3B2A">
              <w:rPr>
                <w:color w:val="000000"/>
              </w:rPr>
              <w:t>3</w:t>
            </w:r>
            <w:r>
              <w:rPr>
                <w:color w:val="000000"/>
              </w:rPr>
              <w:t>.8</w:t>
            </w:r>
          </w:p>
        </w:tc>
        <w:tc>
          <w:tcPr>
            <w:tcW w:w="827" w:type="dxa"/>
            <w:tcBorders>
              <w:top w:val="single" w:sz="4" w:space="0" w:color="auto"/>
              <w:left w:val="nil"/>
              <w:bottom w:val="single" w:sz="4" w:space="0" w:color="auto"/>
              <w:right w:val="nil"/>
            </w:tcBorders>
            <w:shd w:val="clear" w:color="auto" w:fill="auto"/>
            <w:noWrap/>
            <w:vAlign w:val="center"/>
            <w:hideMark/>
          </w:tcPr>
          <w:p w14:paraId="3130BA77" w14:textId="77777777" w:rsidR="00A36D35" w:rsidRPr="00CD3B2A" w:rsidRDefault="00A36D35" w:rsidP="00A46B68">
            <w:pPr>
              <w:spacing w:line="240" w:lineRule="auto"/>
              <w:ind w:firstLine="0"/>
              <w:jc w:val="center"/>
              <w:rPr>
                <w:color w:val="000000"/>
              </w:rPr>
            </w:pPr>
            <w:r w:rsidRPr="00CD3B2A">
              <w:rPr>
                <w:color w:val="000000"/>
              </w:rPr>
              <w:t>3196</w:t>
            </w:r>
          </w:p>
        </w:tc>
        <w:tc>
          <w:tcPr>
            <w:tcW w:w="935" w:type="dxa"/>
            <w:tcBorders>
              <w:top w:val="single" w:sz="4" w:space="0" w:color="auto"/>
              <w:left w:val="nil"/>
              <w:bottom w:val="single" w:sz="4" w:space="0" w:color="auto"/>
              <w:right w:val="nil"/>
            </w:tcBorders>
            <w:shd w:val="clear" w:color="auto" w:fill="auto"/>
            <w:noWrap/>
            <w:vAlign w:val="center"/>
            <w:hideMark/>
          </w:tcPr>
          <w:p w14:paraId="356E2679" w14:textId="77777777" w:rsidR="00A36D35" w:rsidRPr="00CD3B2A" w:rsidRDefault="00A36D35" w:rsidP="00A46B68">
            <w:pPr>
              <w:spacing w:line="240" w:lineRule="auto"/>
              <w:ind w:firstLine="0"/>
              <w:jc w:val="center"/>
              <w:rPr>
                <w:color w:val="000000"/>
              </w:rPr>
            </w:pPr>
            <w:r w:rsidRPr="00CD3B2A">
              <w:rPr>
                <w:color w:val="000000"/>
              </w:rPr>
              <w:t>18.3</w:t>
            </w:r>
          </w:p>
        </w:tc>
      </w:tr>
      <w:tr w:rsidR="00A36D35" w:rsidRPr="004A7652" w14:paraId="1D131D91" w14:textId="77777777" w:rsidTr="00AB0D75">
        <w:trPr>
          <w:trHeight w:val="20"/>
        </w:trPr>
        <w:tc>
          <w:tcPr>
            <w:tcW w:w="3510" w:type="dxa"/>
            <w:tcBorders>
              <w:top w:val="single" w:sz="4" w:space="0" w:color="auto"/>
              <w:left w:val="nil"/>
              <w:bottom w:val="single" w:sz="4" w:space="0" w:color="auto"/>
              <w:right w:val="nil"/>
            </w:tcBorders>
            <w:shd w:val="clear" w:color="auto" w:fill="auto"/>
            <w:noWrap/>
            <w:vAlign w:val="center"/>
            <w:hideMark/>
          </w:tcPr>
          <w:p w14:paraId="6B2D58F8" w14:textId="149A49B0" w:rsidR="00A36D35" w:rsidRPr="00CD3B2A" w:rsidRDefault="00A36D35" w:rsidP="00AB0D75">
            <w:pPr>
              <w:spacing w:line="240" w:lineRule="auto"/>
              <w:ind w:left="144" w:firstLine="0"/>
              <w:rPr>
                <w:color w:val="000000"/>
              </w:rPr>
            </w:pPr>
            <w:r w:rsidRPr="00CD3B2A">
              <w:rPr>
                <w:i/>
                <w:iCs/>
                <w:color w:val="000000"/>
              </w:rPr>
              <w:t>Gelidibacter algens</w:t>
            </w:r>
            <w:r w:rsidRPr="00CD3B2A">
              <w:rPr>
                <w:color w:val="000000"/>
              </w:rPr>
              <w:t xml:space="preserve"> DSM 12408</w:t>
            </w:r>
            <w:r>
              <w:rPr>
                <w:color w:val="000000"/>
              </w:rPr>
              <w:t xml:space="preserve"> (</w:t>
            </w:r>
            <w:r w:rsidRPr="00CD3B2A">
              <w:rPr>
                <w:color w:val="000000"/>
              </w:rPr>
              <w:t>GCA_003259265</w:t>
            </w:r>
            <w:r>
              <w:rPr>
                <w:color w:val="000000"/>
              </w:rPr>
              <w:t>)</w:t>
            </w:r>
          </w:p>
        </w:tc>
        <w:tc>
          <w:tcPr>
            <w:tcW w:w="2070" w:type="dxa"/>
            <w:tcBorders>
              <w:top w:val="single" w:sz="4" w:space="0" w:color="auto"/>
              <w:left w:val="nil"/>
              <w:bottom w:val="single" w:sz="4" w:space="0" w:color="auto"/>
              <w:right w:val="nil"/>
            </w:tcBorders>
            <w:shd w:val="clear" w:color="auto" w:fill="auto"/>
            <w:noWrap/>
            <w:vAlign w:val="center"/>
            <w:hideMark/>
          </w:tcPr>
          <w:p w14:paraId="32A4A2E2"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single" w:sz="4" w:space="0" w:color="auto"/>
              <w:left w:val="nil"/>
              <w:bottom w:val="single" w:sz="4" w:space="0" w:color="auto"/>
              <w:right w:val="nil"/>
            </w:tcBorders>
            <w:shd w:val="clear" w:color="auto" w:fill="auto"/>
            <w:noWrap/>
            <w:vAlign w:val="center"/>
            <w:hideMark/>
          </w:tcPr>
          <w:p w14:paraId="71098C2B" w14:textId="365B8CCD" w:rsidR="00A36D35" w:rsidRPr="00CD3B2A" w:rsidRDefault="00A36D35" w:rsidP="00A46B68">
            <w:pPr>
              <w:spacing w:line="240" w:lineRule="auto"/>
              <w:ind w:firstLine="0"/>
              <w:jc w:val="center"/>
              <w:rPr>
                <w:color w:val="000000"/>
              </w:rPr>
            </w:pPr>
            <w:r w:rsidRPr="00CD3B2A">
              <w:rPr>
                <w:color w:val="000000"/>
              </w:rPr>
              <w:t>4</w:t>
            </w:r>
            <w:r>
              <w:rPr>
                <w:color w:val="000000"/>
              </w:rPr>
              <w:t>.5</w:t>
            </w:r>
          </w:p>
        </w:tc>
        <w:tc>
          <w:tcPr>
            <w:tcW w:w="827" w:type="dxa"/>
            <w:tcBorders>
              <w:top w:val="single" w:sz="4" w:space="0" w:color="auto"/>
              <w:left w:val="nil"/>
              <w:bottom w:val="single" w:sz="4" w:space="0" w:color="auto"/>
              <w:right w:val="nil"/>
            </w:tcBorders>
            <w:shd w:val="clear" w:color="auto" w:fill="auto"/>
            <w:noWrap/>
            <w:vAlign w:val="center"/>
            <w:hideMark/>
          </w:tcPr>
          <w:p w14:paraId="1653462F" w14:textId="77777777" w:rsidR="00A36D35" w:rsidRPr="00CD3B2A" w:rsidRDefault="00A36D35" w:rsidP="00A46B68">
            <w:pPr>
              <w:spacing w:line="240" w:lineRule="auto"/>
              <w:ind w:firstLine="0"/>
              <w:jc w:val="center"/>
              <w:rPr>
                <w:color w:val="000000"/>
              </w:rPr>
            </w:pPr>
            <w:r w:rsidRPr="00CD3B2A">
              <w:rPr>
                <w:color w:val="000000"/>
              </w:rPr>
              <w:t>3842</w:t>
            </w:r>
          </w:p>
        </w:tc>
        <w:tc>
          <w:tcPr>
            <w:tcW w:w="935" w:type="dxa"/>
            <w:tcBorders>
              <w:top w:val="single" w:sz="4" w:space="0" w:color="auto"/>
              <w:left w:val="nil"/>
              <w:bottom w:val="single" w:sz="4" w:space="0" w:color="auto"/>
              <w:right w:val="nil"/>
            </w:tcBorders>
            <w:shd w:val="clear" w:color="auto" w:fill="auto"/>
            <w:noWrap/>
            <w:vAlign w:val="center"/>
            <w:hideMark/>
          </w:tcPr>
          <w:p w14:paraId="13B83698" w14:textId="77777777" w:rsidR="00A36D35" w:rsidRPr="00CD3B2A" w:rsidRDefault="00A36D35" w:rsidP="00A46B68">
            <w:pPr>
              <w:spacing w:line="240" w:lineRule="auto"/>
              <w:ind w:firstLine="0"/>
              <w:jc w:val="center"/>
              <w:rPr>
                <w:color w:val="000000"/>
              </w:rPr>
            </w:pPr>
            <w:r w:rsidRPr="00CD3B2A">
              <w:rPr>
                <w:color w:val="000000"/>
              </w:rPr>
              <w:t>21.4</w:t>
            </w:r>
          </w:p>
        </w:tc>
      </w:tr>
      <w:tr w:rsidR="00A36D35" w:rsidRPr="004A7652" w14:paraId="0E39EC31" w14:textId="77777777" w:rsidTr="00AB0D75">
        <w:trPr>
          <w:trHeight w:val="20"/>
        </w:trPr>
        <w:tc>
          <w:tcPr>
            <w:tcW w:w="3510" w:type="dxa"/>
            <w:tcBorders>
              <w:top w:val="single" w:sz="4" w:space="0" w:color="auto"/>
              <w:left w:val="nil"/>
              <w:bottom w:val="single" w:sz="4" w:space="0" w:color="auto"/>
              <w:right w:val="nil"/>
            </w:tcBorders>
            <w:shd w:val="clear" w:color="auto" w:fill="auto"/>
            <w:noWrap/>
            <w:vAlign w:val="center"/>
            <w:hideMark/>
          </w:tcPr>
          <w:p w14:paraId="01620DEF" w14:textId="2C520337" w:rsidR="00A36D35" w:rsidRPr="00CD3B2A" w:rsidRDefault="00A36D35" w:rsidP="00A46B68">
            <w:pPr>
              <w:spacing w:line="240" w:lineRule="auto"/>
              <w:ind w:left="144" w:firstLine="0"/>
              <w:rPr>
                <w:color w:val="000000"/>
              </w:rPr>
            </w:pPr>
            <w:r w:rsidRPr="00CD3B2A">
              <w:rPr>
                <w:i/>
                <w:iCs/>
                <w:color w:val="000000"/>
              </w:rPr>
              <w:t>Halomarinibacterium sedimenti</w:t>
            </w:r>
            <w:r w:rsidRPr="00CD3B2A">
              <w:rPr>
                <w:color w:val="000000"/>
              </w:rPr>
              <w:t xml:space="preserve"> CAU 1614T</w:t>
            </w:r>
            <w:r>
              <w:rPr>
                <w:color w:val="000000"/>
              </w:rPr>
              <w:t xml:space="preserve"> (</w:t>
            </w:r>
            <w:r w:rsidRPr="00CD3B2A">
              <w:rPr>
                <w:color w:val="000000"/>
              </w:rPr>
              <w:t>GCA_019312585</w:t>
            </w:r>
            <w:r>
              <w:rPr>
                <w:color w:val="000000"/>
              </w:rPr>
              <w:t>)</w:t>
            </w:r>
          </w:p>
        </w:tc>
        <w:tc>
          <w:tcPr>
            <w:tcW w:w="2070" w:type="dxa"/>
            <w:tcBorders>
              <w:top w:val="single" w:sz="4" w:space="0" w:color="auto"/>
              <w:left w:val="nil"/>
              <w:bottom w:val="single" w:sz="4" w:space="0" w:color="auto"/>
              <w:right w:val="nil"/>
            </w:tcBorders>
            <w:shd w:val="clear" w:color="auto" w:fill="auto"/>
            <w:noWrap/>
            <w:vAlign w:val="center"/>
            <w:hideMark/>
          </w:tcPr>
          <w:p w14:paraId="5BEE2442" w14:textId="77777777" w:rsidR="00A36D35" w:rsidRPr="00CD3B2A" w:rsidRDefault="00A36D35" w:rsidP="00A46B68">
            <w:pPr>
              <w:spacing w:line="240" w:lineRule="auto"/>
              <w:ind w:firstLine="0"/>
              <w:jc w:val="center"/>
              <w:rPr>
                <w:color w:val="000000"/>
              </w:rPr>
            </w:pPr>
            <w:r w:rsidRPr="00CD3B2A">
              <w:rPr>
                <w:color w:val="000000"/>
              </w:rPr>
              <w:t>Sea sediment, Korea</w:t>
            </w:r>
          </w:p>
        </w:tc>
        <w:tc>
          <w:tcPr>
            <w:tcW w:w="1260" w:type="dxa"/>
            <w:tcBorders>
              <w:top w:val="single" w:sz="4" w:space="0" w:color="auto"/>
              <w:left w:val="nil"/>
              <w:bottom w:val="single" w:sz="4" w:space="0" w:color="auto"/>
              <w:right w:val="nil"/>
            </w:tcBorders>
            <w:shd w:val="clear" w:color="auto" w:fill="auto"/>
            <w:noWrap/>
            <w:vAlign w:val="center"/>
            <w:hideMark/>
          </w:tcPr>
          <w:p w14:paraId="59F1D081" w14:textId="20577C11" w:rsidR="00A36D35" w:rsidRPr="00CD3B2A" w:rsidRDefault="00A36D35" w:rsidP="00A46B68">
            <w:pPr>
              <w:spacing w:line="240" w:lineRule="auto"/>
              <w:ind w:firstLine="0"/>
              <w:jc w:val="center"/>
              <w:rPr>
                <w:color w:val="000000"/>
              </w:rPr>
            </w:pPr>
            <w:r w:rsidRPr="00CD3B2A">
              <w:rPr>
                <w:color w:val="000000"/>
              </w:rPr>
              <w:t>2</w:t>
            </w:r>
            <w:r>
              <w:rPr>
                <w:color w:val="000000"/>
              </w:rPr>
              <w:t>.9</w:t>
            </w:r>
          </w:p>
        </w:tc>
        <w:tc>
          <w:tcPr>
            <w:tcW w:w="827" w:type="dxa"/>
            <w:tcBorders>
              <w:top w:val="single" w:sz="4" w:space="0" w:color="auto"/>
              <w:left w:val="nil"/>
              <w:bottom w:val="single" w:sz="4" w:space="0" w:color="auto"/>
              <w:right w:val="nil"/>
            </w:tcBorders>
            <w:shd w:val="clear" w:color="auto" w:fill="auto"/>
            <w:noWrap/>
            <w:vAlign w:val="center"/>
            <w:hideMark/>
          </w:tcPr>
          <w:p w14:paraId="2CD8C2D3" w14:textId="77777777" w:rsidR="00A36D35" w:rsidRPr="00CD3B2A" w:rsidRDefault="00A36D35" w:rsidP="00A46B68">
            <w:pPr>
              <w:spacing w:line="240" w:lineRule="auto"/>
              <w:ind w:firstLine="0"/>
              <w:jc w:val="center"/>
              <w:rPr>
                <w:color w:val="000000"/>
              </w:rPr>
            </w:pPr>
            <w:r w:rsidRPr="00CD3B2A">
              <w:rPr>
                <w:color w:val="000000"/>
              </w:rPr>
              <w:t>2701</w:t>
            </w:r>
          </w:p>
        </w:tc>
        <w:tc>
          <w:tcPr>
            <w:tcW w:w="935" w:type="dxa"/>
            <w:tcBorders>
              <w:top w:val="single" w:sz="4" w:space="0" w:color="auto"/>
              <w:left w:val="nil"/>
              <w:bottom w:val="single" w:sz="4" w:space="0" w:color="auto"/>
              <w:right w:val="nil"/>
            </w:tcBorders>
            <w:shd w:val="clear" w:color="auto" w:fill="auto"/>
            <w:noWrap/>
            <w:vAlign w:val="center"/>
            <w:hideMark/>
          </w:tcPr>
          <w:p w14:paraId="12B6E9F4" w14:textId="77777777" w:rsidR="00A36D35" w:rsidRPr="00CD3B2A" w:rsidRDefault="00A36D35" w:rsidP="00A46B68">
            <w:pPr>
              <w:spacing w:line="240" w:lineRule="auto"/>
              <w:ind w:firstLine="0"/>
              <w:jc w:val="center"/>
              <w:rPr>
                <w:color w:val="000000"/>
              </w:rPr>
            </w:pPr>
            <w:r w:rsidRPr="00CD3B2A">
              <w:rPr>
                <w:color w:val="000000"/>
              </w:rPr>
              <w:t>17.9</w:t>
            </w:r>
          </w:p>
        </w:tc>
      </w:tr>
      <w:tr w:rsidR="00A36D35" w:rsidRPr="004A7652" w14:paraId="5B63A593" w14:textId="77777777" w:rsidTr="00AB0D75">
        <w:trPr>
          <w:trHeight w:val="20"/>
        </w:trPr>
        <w:tc>
          <w:tcPr>
            <w:tcW w:w="3510" w:type="dxa"/>
            <w:tcBorders>
              <w:top w:val="single" w:sz="4" w:space="0" w:color="auto"/>
              <w:left w:val="nil"/>
              <w:bottom w:val="single" w:sz="4" w:space="0" w:color="auto"/>
              <w:right w:val="nil"/>
            </w:tcBorders>
            <w:shd w:val="clear" w:color="auto" w:fill="auto"/>
            <w:noWrap/>
            <w:vAlign w:val="center"/>
            <w:hideMark/>
          </w:tcPr>
          <w:p w14:paraId="5F26D044" w14:textId="77777777" w:rsidR="00A36D35" w:rsidRPr="004A7652" w:rsidRDefault="00A36D35" w:rsidP="00A46B68">
            <w:pPr>
              <w:spacing w:line="240" w:lineRule="auto"/>
              <w:ind w:left="144" w:firstLine="0"/>
              <w:rPr>
                <w:color w:val="000000"/>
              </w:rPr>
            </w:pPr>
            <w:r w:rsidRPr="00CD3B2A">
              <w:rPr>
                <w:i/>
                <w:iCs/>
                <w:color w:val="000000"/>
              </w:rPr>
              <w:t>Joostella marina</w:t>
            </w:r>
            <w:r w:rsidRPr="00CD3B2A">
              <w:rPr>
                <w:color w:val="000000"/>
              </w:rPr>
              <w:t xml:space="preserve"> </w:t>
            </w:r>
          </w:p>
          <w:p w14:paraId="6F10B0F1" w14:textId="77DD1DCD" w:rsidR="00A36D35" w:rsidRPr="00CD3B2A" w:rsidRDefault="00C20B57" w:rsidP="00A46B68">
            <w:pPr>
              <w:spacing w:line="240" w:lineRule="auto"/>
              <w:ind w:left="144" w:firstLine="0"/>
              <w:rPr>
                <w:color w:val="000000"/>
              </w:rPr>
            </w:pPr>
            <w:r>
              <w:rPr>
                <w:color w:val="000000"/>
              </w:rPr>
              <w:t xml:space="preserve"> </w:t>
            </w:r>
            <w:r w:rsidR="00A36D35">
              <w:rPr>
                <w:color w:val="000000"/>
              </w:rPr>
              <w:t xml:space="preserve"> </w:t>
            </w:r>
            <w:r w:rsidR="00A36D35" w:rsidRPr="00CD3B2A">
              <w:rPr>
                <w:color w:val="000000"/>
              </w:rPr>
              <w:t>DSM 19592</w:t>
            </w:r>
            <w:r w:rsidR="00A36D35">
              <w:rPr>
                <w:color w:val="000000"/>
              </w:rPr>
              <w:t xml:space="preserve"> (</w:t>
            </w:r>
            <w:r w:rsidR="00A36D35" w:rsidRPr="00CD3B2A">
              <w:rPr>
                <w:color w:val="000000"/>
              </w:rPr>
              <w:t>GCA_000260115</w:t>
            </w:r>
            <w:r w:rsidR="00A36D35">
              <w:rPr>
                <w:color w:val="000000"/>
              </w:rPr>
              <w:t>)</w:t>
            </w:r>
          </w:p>
        </w:tc>
        <w:tc>
          <w:tcPr>
            <w:tcW w:w="2070" w:type="dxa"/>
            <w:tcBorders>
              <w:top w:val="single" w:sz="4" w:space="0" w:color="auto"/>
              <w:left w:val="nil"/>
              <w:bottom w:val="single" w:sz="4" w:space="0" w:color="auto"/>
              <w:right w:val="nil"/>
            </w:tcBorders>
            <w:shd w:val="clear" w:color="auto" w:fill="auto"/>
            <w:noWrap/>
            <w:vAlign w:val="center"/>
            <w:hideMark/>
          </w:tcPr>
          <w:p w14:paraId="1CE93065" w14:textId="77777777" w:rsidR="00A36D35" w:rsidRPr="00CD3B2A" w:rsidRDefault="00A36D35" w:rsidP="00A46B68">
            <w:pPr>
              <w:spacing w:line="240" w:lineRule="auto"/>
              <w:ind w:firstLine="0"/>
              <w:jc w:val="center"/>
              <w:rPr>
                <w:color w:val="000000"/>
              </w:rPr>
            </w:pPr>
            <w:r w:rsidRPr="00CD3B2A">
              <w:rPr>
                <w:color w:val="000000"/>
              </w:rPr>
              <w:t>Sea water, Korea</w:t>
            </w:r>
          </w:p>
        </w:tc>
        <w:tc>
          <w:tcPr>
            <w:tcW w:w="1260" w:type="dxa"/>
            <w:tcBorders>
              <w:top w:val="single" w:sz="4" w:space="0" w:color="auto"/>
              <w:left w:val="nil"/>
              <w:bottom w:val="single" w:sz="4" w:space="0" w:color="auto"/>
              <w:right w:val="nil"/>
            </w:tcBorders>
            <w:shd w:val="clear" w:color="auto" w:fill="auto"/>
            <w:noWrap/>
            <w:vAlign w:val="center"/>
            <w:hideMark/>
          </w:tcPr>
          <w:p w14:paraId="38F264E3" w14:textId="79401C42" w:rsidR="00A36D35" w:rsidRPr="00CD3B2A" w:rsidRDefault="00A36D35" w:rsidP="00A46B68">
            <w:pPr>
              <w:spacing w:line="240" w:lineRule="auto"/>
              <w:ind w:firstLine="0"/>
              <w:jc w:val="center"/>
              <w:rPr>
                <w:color w:val="000000"/>
              </w:rPr>
            </w:pPr>
            <w:r w:rsidRPr="00CD3B2A">
              <w:rPr>
                <w:color w:val="000000"/>
              </w:rPr>
              <w:t>4</w:t>
            </w:r>
            <w:r>
              <w:rPr>
                <w:color w:val="000000"/>
              </w:rPr>
              <w:t>.5</w:t>
            </w:r>
          </w:p>
        </w:tc>
        <w:tc>
          <w:tcPr>
            <w:tcW w:w="827" w:type="dxa"/>
            <w:tcBorders>
              <w:top w:val="single" w:sz="4" w:space="0" w:color="auto"/>
              <w:left w:val="nil"/>
              <w:bottom w:val="single" w:sz="4" w:space="0" w:color="auto"/>
              <w:right w:val="nil"/>
            </w:tcBorders>
            <w:shd w:val="clear" w:color="auto" w:fill="auto"/>
            <w:noWrap/>
            <w:vAlign w:val="center"/>
            <w:hideMark/>
          </w:tcPr>
          <w:p w14:paraId="46153C45" w14:textId="77777777" w:rsidR="00A36D35" w:rsidRPr="00CD3B2A" w:rsidRDefault="00A36D35" w:rsidP="00A46B68">
            <w:pPr>
              <w:spacing w:line="240" w:lineRule="auto"/>
              <w:ind w:firstLine="0"/>
              <w:jc w:val="center"/>
              <w:rPr>
                <w:color w:val="000000"/>
              </w:rPr>
            </w:pPr>
            <w:r w:rsidRPr="00CD3B2A">
              <w:rPr>
                <w:color w:val="000000"/>
              </w:rPr>
              <w:t>3944</w:t>
            </w:r>
          </w:p>
        </w:tc>
        <w:tc>
          <w:tcPr>
            <w:tcW w:w="935" w:type="dxa"/>
            <w:tcBorders>
              <w:top w:val="single" w:sz="4" w:space="0" w:color="auto"/>
              <w:left w:val="nil"/>
              <w:bottom w:val="single" w:sz="4" w:space="0" w:color="auto"/>
              <w:right w:val="nil"/>
            </w:tcBorders>
            <w:shd w:val="clear" w:color="auto" w:fill="auto"/>
            <w:noWrap/>
            <w:vAlign w:val="center"/>
            <w:hideMark/>
          </w:tcPr>
          <w:p w14:paraId="37B5FACF" w14:textId="77777777" w:rsidR="00A36D35" w:rsidRPr="00CD3B2A" w:rsidRDefault="00A36D35" w:rsidP="00A46B68">
            <w:pPr>
              <w:spacing w:line="240" w:lineRule="auto"/>
              <w:ind w:firstLine="0"/>
              <w:jc w:val="center"/>
              <w:rPr>
                <w:color w:val="000000"/>
              </w:rPr>
            </w:pPr>
            <w:r w:rsidRPr="00CD3B2A">
              <w:rPr>
                <w:color w:val="000000"/>
              </w:rPr>
              <w:t>20.3</w:t>
            </w:r>
          </w:p>
        </w:tc>
      </w:tr>
      <w:tr w:rsidR="00A36D35" w:rsidRPr="004A7652" w14:paraId="3BF123A5" w14:textId="77777777" w:rsidTr="00AB0D75">
        <w:trPr>
          <w:trHeight w:val="20"/>
        </w:trPr>
        <w:tc>
          <w:tcPr>
            <w:tcW w:w="3510" w:type="dxa"/>
            <w:tcBorders>
              <w:top w:val="single" w:sz="4" w:space="0" w:color="auto"/>
              <w:left w:val="nil"/>
              <w:bottom w:val="nil"/>
              <w:right w:val="nil"/>
            </w:tcBorders>
            <w:shd w:val="clear" w:color="auto" w:fill="auto"/>
            <w:noWrap/>
            <w:vAlign w:val="center"/>
            <w:hideMark/>
          </w:tcPr>
          <w:p w14:paraId="18D3D218" w14:textId="08B8A70D" w:rsidR="00A36D35" w:rsidRPr="00CD3B2A" w:rsidRDefault="00A36D35" w:rsidP="00A46B68">
            <w:pPr>
              <w:spacing w:line="240" w:lineRule="auto"/>
              <w:ind w:left="144" w:firstLine="0"/>
              <w:rPr>
                <w:color w:val="000000"/>
              </w:rPr>
            </w:pPr>
            <w:r w:rsidRPr="00CD3B2A">
              <w:rPr>
                <w:i/>
                <w:iCs/>
                <w:color w:val="000000"/>
              </w:rPr>
              <w:t>Leeuwenhoekiella marinoflava</w:t>
            </w:r>
            <w:r w:rsidRPr="00CD3B2A">
              <w:rPr>
                <w:color w:val="000000"/>
              </w:rPr>
              <w:t xml:space="preserve"> DSM 3653</w:t>
            </w:r>
            <w:r>
              <w:rPr>
                <w:color w:val="000000"/>
              </w:rPr>
              <w:t xml:space="preserve"> (</w:t>
            </w:r>
            <w:r w:rsidRPr="00CD3B2A">
              <w:rPr>
                <w:color w:val="000000"/>
              </w:rPr>
              <w:t>GCA_900129005</w:t>
            </w:r>
            <w:r>
              <w:rPr>
                <w:color w:val="000000"/>
              </w:rPr>
              <w:t>)</w:t>
            </w:r>
          </w:p>
        </w:tc>
        <w:tc>
          <w:tcPr>
            <w:tcW w:w="2070" w:type="dxa"/>
            <w:tcBorders>
              <w:top w:val="single" w:sz="4" w:space="0" w:color="auto"/>
              <w:left w:val="nil"/>
              <w:bottom w:val="nil"/>
              <w:right w:val="nil"/>
            </w:tcBorders>
            <w:shd w:val="clear" w:color="auto" w:fill="auto"/>
            <w:noWrap/>
            <w:vAlign w:val="center"/>
            <w:hideMark/>
          </w:tcPr>
          <w:p w14:paraId="6C1191C5"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single" w:sz="4" w:space="0" w:color="auto"/>
              <w:left w:val="nil"/>
              <w:bottom w:val="nil"/>
              <w:right w:val="nil"/>
            </w:tcBorders>
            <w:shd w:val="clear" w:color="auto" w:fill="auto"/>
            <w:noWrap/>
            <w:vAlign w:val="center"/>
            <w:hideMark/>
          </w:tcPr>
          <w:p w14:paraId="79122667" w14:textId="69745121" w:rsidR="00A36D35" w:rsidRPr="00CD3B2A" w:rsidRDefault="00A36D35" w:rsidP="00A46B68">
            <w:pPr>
              <w:spacing w:line="240" w:lineRule="auto"/>
              <w:ind w:firstLine="0"/>
              <w:jc w:val="center"/>
              <w:rPr>
                <w:color w:val="000000"/>
              </w:rPr>
            </w:pPr>
            <w:r w:rsidRPr="00CD3B2A">
              <w:rPr>
                <w:color w:val="000000"/>
              </w:rPr>
              <w:t>4</w:t>
            </w:r>
            <w:r>
              <w:rPr>
                <w:color w:val="000000"/>
              </w:rPr>
              <w:t>.7</w:t>
            </w:r>
          </w:p>
        </w:tc>
        <w:tc>
          <w:tcPr>
            <w:tcW w:w="827" w:type="dxa"/>
            <w:tcBorders>
              <w:top w:val="single" w:sz="4" w:space="0" w:color="auto"/>
              <w:left w:val="nil"/>
              <w:bottom w:val="nil"/>
              <w:right w:val="nil"/>
            </w:tcBorders>
            <w:shd w:val="clear" w:color="auto" w:fill="auto"/>
            <w:noWrap/>
            <w:vAlign w:val="center"/>
            <w:hideMark/>
          </w:tcPr>
          <w:p w14:paraId="485836BA" w14:textId="77777777" w:rsidR="00A36D35" w:rsidRPr="00CD3B2A" w:rsidRDefault="00A36D35" w:rsidP="00A46B68">
            <w:pPr>
              <w:spacing w:line="240" w:lineRule="auto"/>
              <w:ind w:firstLine="0"/>
              <w:jc w:val="center"/>
              <w:rPr>
                <w:color w:val="000000"/>
              </w:rPr>
            </w:pPr>
            <w:r w:rsidRPr="00CD3B2A">
              <w:rPr>
                <w:color w:val="000000"/>
              </w:rPr>
              <w:t>4056</w:t>
            </w:r>
          </w:p>
        </w:tc>
        <w:tc>
          <w:tcPr>
            <w:tcW w:w="935" w:type="dxa"/>
            <w:tcBorders>
              <w:top w:val="single" w:sz="4" w:space="0" w:color="auto"/>
              <w:left w:val="nil"/>
              <w:bottom w:val="nil"/>
              <w:right w:val="nil"/>
            </w:tcBorders>
            <w:shd w:val="clear" w:color="auto" w:fill="auto"/>
            <w:noWrap/>
            <w:vAlign w:val="center"/>
            <w:hideMark/>
          </w:tcPr>
          <w:p w14:paraId="7B385A67" w14:textId="77777777" w:rsidR="00A36D35" w:rsidRPr="00CD3B2A" w:rsidRDefault="00A36D35" w:rsidP="00A46B68">
            <w:pPr>
              <w:spacing w:line="240" w:lineRule="auto"/>
              <w:ind w:firstLine="0"/>
              <w:jc w:val="center"/>
              <w:rPr>
                <w:color w:val="000000"/>
              </w:rPr>
            </w:pPr>
            <w:r w:rsidRPr="00CD3B2A">
              <w:rPr>
                <w:color w:val="000000"/>
              </w:rPr>
              <w:t>18.6</w:t>
            </w:r>
          </w:p>
        </w:tc>
      </w:tr>
      <w:tr w:rsidR="00A36D35" w:rsidRPr="004A7652" w14:paraId="5568BDAE" w14:textId="77777777" w:rsidTr="00AB0D75">
        <w:trPr>
          <w:trHeight w:val="20"/>
        </w:trPr>
        <w:tc>
          <w:tcPr>
            <w:tcW w:w="3510" w:type="dxa"/>
            <w:tcBorders>
              <w:top w:val="nil"/>
              <w:left w:val="nil"/>
              <w:right w:val="nil"/>
            </w:tcBorders>
            <w:shd w:val="clear" w:color="auto" w:fill="auto"/>
            <w:noWrap/>
            <w:vAlign w:val="center"/>
            <w:hideMark/>
          </w:tcPr>
          <w:p w14:paraId="2CF13F18" w14:textId="44D147CE" w:rsidR="00A36D35" w:rsidRPr="00CD3B2A" w:rsidRDefault="00A36D35" w:rsidP="00A46B68">
            <w:pPr>
              <w:spacing w:line="240" w:lineRule="auto"/>
              <w:ind w:left="144" w:firstLine="0"/>
              <w:rPr>
                <w:color w:val="000000"/>
              </w:rPr>
            </w:pPr>
            <w:r w:rsidRPr="00CD3B2A">
              <w:rPr>
                <w:i/>
                <w:iCs/>
                <w:color w:val="000000"/>
              </w:rPr>
              <w:t>Leeuwenhoekiella polynyae</w:t>
            </w:r>
            <w:r w:rsidRPr="00CD3B2A">
              <w:rPr>
                <w:color w:val="000000"/>
              </w:rPr>
              <w:t xml:space="preserve"> LMG 29608</w:t>
            </w:r>
            <w:r>
              <w:rPr>
                <w:color w:val="000000"/>
              </w:rPr>
              <w:t xml:space="preserve"> (</w:t>
            </w:r>
            <w:r w:rsidRPr="00CD3B2A">
              <w:rPr>
                <w:color w:val="000000"/>
              </w:rPr>
              <w:t>GCA_004104075</w:t>
            </w:r>
            <w:r>
              <w:rPr>
                <w:color w:val="000000"/>
              </w:rPr>
              <w:t>)</w:t>
            </w:r>
          </w:p>
        </w:tc>
        <w:tc>
          <w:tcPr>
            <w:tcW w:w="2070" w:type="dxa"/>
            <w:tcBorders>
              <w:top w:val="nil"/>
              <w:left w:val="nil"/>
              <w:right w:val="nil"/>
            </w:tcBorders>
            <w:shd w:val="clear" w:color="auto" w:fill="auto"/>
            <w:noWrap/>
            <w:vAlign w:val="center"/>
            <w:hideMark/>
          </w:tcPr>
          <w:p w14:paraId="43CD64F6" w14:textId="77777777" w:rsidR="00A36D35" w:rsidRPr="00CD3B2A" w:rsidRDefault="00A36D35" w:rsidP="00A46B68">
            <w:pPr>
              <w:spacing w:line="240" w:lineRule="auto"/>
              <w:ind w:firstLine="0"/>
              <w:jc w:val="center"/>
              <w:rPr>
                <w:color w:val="000000"/>
              </w:rPr>
            </w:pPr>
            <w:r w:rsidRPr="00CD3B2A">
              <w:rPr>
                <w:color w:val="000000"/>
              </w:rPr>
              <w:t>Sea Water, Amundson Sea, Antarctica</w:t>
            </w:r>
          </w:p>
        </w:tc>
        <w:tc>
          <w:tcPr>
            <w:tcW w:w="1260" w:type="dxa"/>
            <w:tcBorders>
              <w:top w:val="nil"/>
              <w:left w:val="nil"/>
              <w:right w:val="nil"/>
            </w:tcBorders>
            <w:shd w:val="clear" w:color="auto" w:fill="auto"/>
            <w:noWrap/>
            <w:vAlign w:val="center"/>
            <w:hideMark/>
          </w:tcPr>
          <w:p w14:paraId="39A711E0" w14:textId="0B3715B5" w:rsidR="00A36D35" w:rsidRPr="00CD3B2A" w:rsidRDefault="00A36D35" w:rsidP="00A46B68">
            <w:pPr>
              <w:spacing w:line="240" w:lineRule="auto"/>
              <w:ind w:firstLine="0"/>
              <w:jc w:val="center"/>
              <w:rPr>
                <w:color w:val="000000"/>
              </w:rPr>
            </w:pPr>
            <w:r w:rsidRPr="00CD3B2A">
              <w:rPr>
                <w:color w:val="000000"/>
              </w:rPr>
              <w:t>4</w:t>
            </w:r>
            <w:r>
              <w:rPr>
                <w:color w:val="000000"/>
              </w:rPr>
              <w:t>.8</w:t>
            </w:r>
          </w:p>
        </w:tc>
        <w:tc>
          <w:tcPr>
            <w:tcW w:w="827" w:type="dxa"/>
            <w:tcBorders>
              <w:top w:val="nil"/>
              <w:left w:val="nil"/>
              <w:right w:val="nil"/>
            </w:tcBorders>
            <w:shd w:val="clear" w:color="auto" w:fill="auto"/>
            <w:noWrap/>
            <w:vAlign w:val="center"/>
            <w:hideMark/>
          </w:tcPr>
          <w:p w14:paraId="5965966A" w14:textId="77777777" w:rsidR="00A36D35" w:rsidRPr="00CD3B2A" w:rsidRDefault="00A36D35" w:rsidP="00A46B68">
            <w:pPr>
              <w:spacing w:line="240" w:lineRule="auto"/>
              <w:ind w:firstLine="0"/>
              <w:jc w:val="center"/>
              <w:rPr>
                <w:color w:val="000000"/>
              </w:rPr>
            </w:pPr>
            <w:r w:rsidRPr="00CD3B2A">
              <w:rPr>
                <w:color w:val="000000"/>
              </w:rPr>
              <w:t>4064</w:t>
            </w:r>
          </w:p>
        </w:tc>
        <w:tc>
          <w:tcPr>
            <w:tcW w:w="935" w:type="dxa"/>
            <w:tcBorders>
              <w:top w:val="nil"/>
              <w:left w:val="nil"/>
              <w:right w:val="nil"/>
            </w:tcBorders>
            <w:shd w:val="clear" w:color="auto" w:fill="auto"/>
            <w:noWrap/>
            <w:vAlign w:val="center"/>
            <w:hideMark/>
          </w:tcPr>
          <w:p w14:paraId="29484AC2" w14:textId="77777777" w:rsidR="00A36D35" w:rsidRPr="00CD3B2A" w:rsidRDefault="00A36D35" w:rsidP="00A46B68">
            <w:pPr>
              <w:spacing w:line="240" w:lineRule="auto"/>
              <w:ind w:firstLine="0"/>
              <w:jc w:val="center"/>
              <w:rPr>
                <w:color w:val="000000"/>
              </w:rPr>
            </w:pPr>
            <w:r w:rsidRPr="00CD3B2A">
              <w:rPr>
                <w:color w:val="000000"/>
              </w:rPr>
              <w:t>17.9</w:t>
            </w:r>
          </w:p>
        </w:tc>
      </w:tr>
      <w:tr w:rsidR="00A36D35" w:rsidRPr="004A7652" w14:paraId="3D1C241F" w14:textId="77777777" w:rsidTr="00AB0D75">
        <w:trPr>
          <w:trHeight w:val="20"/>
        </w:trPr>
        <w:tc>
          <w:tcPr>
            <w:tcW w:w="3510" w:type="dxa"/>
            <w:tcBorders>
              <w:top w:val="nil"/>
              <w:left w:val="nil"/>
              <w:bottom w:val="single" w:sz="4" w:space="0" w:color="auto"/>
              <w:right w:val="nil"/>
            </w:tcBorders>
            <w:shd w:val="clear" w:color="auto" w:fill="auto"/>
            <w:noWrap/>
            <w:vAlign w:val="center"/>
            <w:hideMark/>
          </w:tcPr>
          <w:p w14:paraId="2E41A7CF" w14:textId="25944868" w:rsidR="00A36D35" w:rsidRPr="00CD3B2A" w:rsidRDefault="00A36D35" w:rsidP="00A46B68">
            <w:pPr>
              <w:spacing w:line="240" w:lineRule="auto"/>
              <w:ind w:left="144" w:firstLine="0"/>
              <w:rPr>
                <w:color w:val="000000"/>
              </w:rPr>
            </w:pPr>
            <w:r w:rsidRPr="00CD3B2A">
              <w:rPr>
                <w:i/>
                <w:iCs/>
                <w:color w:val="000000"/>
              </w:rPr>
              <w:t>Leeuwenhoekiella aequorea</w:t>
            </w:r>
            <w:r w:rsidRPr="00CD3B2A">
              <w:rPr>
                <w:color w:val="000000"/>
              </w:rPr>
              <w:t xml:space="preserve"> LMG 22550</w:t>
            </w:r>
            <w:r>
              <w:rPr>
                <w:color w:val="000000"/>
              </w:rPr>
              <w:t xml:space="preserve"> (</w:t>
            </w:r>
            <w:r w:rsidRPr="00CD3B2A">
              <w:rPr>
                <w:color w:val="000000"/>
              </w:rPr>
              <w:t>GCA_004104375</w:t>
            </w:r>
            <w:r>
              <w:rPr>
                <w:color w:val="000000"/>
              </w:rPr>
              <w:t>)</w:t>
            </w:r>
          </w:p>
        </w:tc>
        <w:tc>
          <w:tcPr>
            <w:tcW w:w="2070" w:type="dxa"/>
            <w:tcBorders>
              <w:top w:val="nil"/>
              <w:left w:val="nil"/>
              <w:bottom w:val="single" w:sz="4" w:space="0" w:color="auto"/>
              <w:right w:val="nil"/>
            </w:tcBorders>
            <w:shd w:val="clear" w:color="auto" w:fill="auto"/>
            <w:noWrap/>
            <w:vAlign w:val="center"/>
            <w:hideMark/>
          </w:tcPr>
          <w:p w14:paraId="5EFDFE2B" w14:textId="77777777" w:rsidR="00A36D35" w:rsidRPr="00CD3B2A" w:rsidRDefault="00A36D35" w:rsidP="00A46B68">
            <w:pPr>
              <w:spacing w:line="240" w:lineRule="auto"/>
              <w:ind w:firstLine="0"/>
              <w:jc w:val="center"/>
              <w:rPr>
                <w:color w:val="000000"/>
              </w:rPr>
            </w:pPr>
            <w:r w:rsidRPr="00CD3B2A">
              <w:rPr>
                <w:color w:val="000000"/>
              </w:rPr>
              <w:t>Sea water, Dronning Maud Land, Antarcica</w:t>
            </w:r>
          </w:p>
        </w:tc>
        <w:tc>
          <w:tcPr>
            <w:tcW w:w="1260" w:type="dxa"/>
            <w:tcBorders>
              <w:top w:val="nil"/>
              <w:left w:val="nil"/>
              <w:bottom w:val="single" w:sz="4" w:space="0" w:color="auto"/>
              <w:right w:val="nil"/>
            </w:tcBorders>
            <w:shd w:val="clear" w:color="auto" w:fill="auto"/>
            <w:noWrap/>
            <w:vAlign w:val="center"/>
            <w:hideMark/>
          </w:tcPr>
          <w:p w14:paraId="510C91E9" w14:textId="22F0410A" w:rsidR="00A36D35" w:rsidRPr="00CD3B2A" w:rsidRDefault="00A36D35" w:rsidP="00A46B68">
            <w:pPr>
              <w:spacing w:line="240" w:lineRule="auto"/>
              <w:ind w:firstLine="0"/>
              <w:jc w:val="center"/>
              <w:rPr>
                <w:color w:val="000000"/>
              </w:rPr>
            </w:pPr>
            <w:r w:rsidRPr="00CD3B2A">
              <w:rPr>
                <w:color w:val="000000"/>
              </w:rPr>
              <w:t>3</w:t>
            </w:r>
            <w:r>
              <w:rPr>
                <w:color w:val="000000"/>
              </w:rPr>
              <w:t>.5</w:t>
            </w:r>
          </w:p>
        </w:tc>
        <w:tc>
          <w:tcPr>
            <w:tcW w:w="827" w:type="dxa"/>
            <w:tcBorders>
              <w:top w:val="nil"/>
              <w:left w:val="nil"/>
              <w:bottom w:val="single" w:sz="4" w:space="0" w:color="auto"/>
              <w:right w:val="nil"/>
            </w:tcBorders>
            <w:shd w:val="clear" w:color="auto" w:fill="auto"/>
            <w:noWrap/>
            <w:vAlign w:val="center"/>
            <w:hideMark/>
          </w:tcPr>
          <w:p w14:paraId="6A466CC3" w14:textId="77777777" w:rsidR="00A36D35" w:rsidRPr="00CD3B2A" w:rsidRDefault="00A36D35" w:rsidP="00A46B68">
            <w:pPr>
              <w:spacing w:line="240" w:lineRule="auto"/>
              <w:ind w:firstLine="0"/>
              <w:jc w:val="center"/>
              <w:rPr>
                <w:color w:val="000000"/>
              </w:rPr>
            </w:pPr>
            <w:r w:rsidRPr="00CD3B2A">
              <w:rPr>
                <w:color w:val="000000"/>
              </w:rPr>
              <w:t>3019</w:t>
            </w:r>
          </w:p>
        </w:tc>
        <w:tc>
          <w:tcPr>
            <w:tcW w:w="935" w:type="dxa"/>
            <w:tcBorders>
              <w:top w:val="nil"/>
              <w:left w:val="nil"/>
              <w:bottom w:val="single" w:sz="4" w:space="0" w:color="auto"/>
              <w:right w:val="nil"/>
            </w:tcBorders>
            <w:shd w:val="clear" w:color="auto" w:fill="auto"/>
            <w:noWrap/>
            <w:vAlign w:val="center"/>
            <w:hideMark/>
          </w:tcPr>
          <w:p w14:paraId="2AC75BDE" w14:textId="77777777" w:rsidR="00A36D35" w:rsidRPr="00CD3B2A" w:rsidRDefault="00A36D35" w:rsidP="00A46B68">
            <w:pPr>
              <w:spacing w:line="240" w:lineRule="auto"/>
              <w:ind w:firstLine="0"/>
              <w:jc w:val="center"/>
              <w:rPr>
                <w:color w:val="000000"/>
              </w:rPr>
            </w:pPr>
            <w:r w:rsidRPr="00CD3B2A">
              <w:rPr>
                <w:color w:val="000000"/>
              </w:rPr>
              <w:t>17.8</w:t>
            </w:r>
          </w:p>
        </w:tc>
      </w:tr>
      <w:tr w:rsidR="00A36D35" w:rsidRPr="004A7652" w14:paraId="2C220C46" w14:textId="77777777" w:rsidTr="00AB0D75">
        <w:trPr>
          <w:trHeight w:val="20"/>
        </w:trPr>
        <w:tc>
          <w:tcPr>
            <w:tcW w:w="3510" w:type="dxa"/>
            <w:tcBorders>
              <w:top w:val="single" w:sz="4" w:space="0" w:color="auto"/>
              <w:left w:val="nil"/>
              <w:bottom w:val="nil"/>
              <w:right w:val="nil"/>
            </w:tcBorders>
            <w:shd w:val="clear" w:color="auto" w:fill="auto"/>
            <w:noWrap/>
            <w:vAlign w:val="center"/>
            <w:hideMark/>
          </w:tcPr>
          <w:p w14:paraId="7BA2963F" w14:textId="4AF4CAC0" w:rsidR="00A36D35" w:rsidRPr="00CD3B2A" w:rsidRDefault="00A36D35" w:rsidP="00A46B68">
            <w:pPr>
              <w:spacing w:line="240" w:lineRule="auto"/>
              <w:ind w:left="144" w:firstLine="0"/>
              <w:rPr>
                <w:color w:val="000000"/>
              </w:rPr>
            </w:pPr>
            <w:r w:rsidRPr="00CD3B2A">
              <w:rPr>
                <w:i/>
                <w:iCs/>
                <w:color w:val="000000"/>
              </w:rPr>
              <w:t>Salegentibacter maritimus</w:t>
            </w:r>
            <w:r w:rsidRPr="00CD3B2A">
              <w:rPr>
                <w:color w:val="000000"/>
              </w:rPr>
              <w:t xml:space="preserve"> F63223T</w:t>
            </w:r>
            <w:r>
              <w:rPr>
                <w:color w:val="000000"/>
              </w:rPr>
              <w:t xml:space="preserve"> (</w:t>
            </w:r>
            <w:r w:rsidRPr="00CD3B2A">
              <w:rPr>
                <w:color w:val="000000"/>
              </w:rPr>
              <w:t>GCA_016236915</w:t>
            </w:r>
            <w:r>
              <w:rPr>
                <w:color w:val="000000"/>
              </w:rPr>
              <w:t>)</w:t>
            </w:r>
          </w:p>
        </w:tc>
        <w:tc>
          <w:tcPr>
            <w:tcW w:w="2070" w:type="dxa"/>
            <w:tcBorders>
              <w:top w:val="single" w:sz="4" w:space="0" w:color="auto"/>
              <w:left w:val="nil"/>
              <w:bottom w:val="nil"/>
              <w:right w:val="nil"/>
            </w:tcBorders>
            <w:shd w:val="clear" w:color="auto" w:fill="auto"/>
            <w:noWrap/>
            <w:vAlign w:val="center"/>
            <w:hideMark/>
          </w:tcPr>
          <w:p w14:paraId="49079DB2" w14:textId="77777777" w:rsidR="00A36D35" w:rsidRPr="00CD3B2A" w:rsidRDefault="00A36D35" w:rsidP="00A46B68">
            <w:pPr>
              <w:spacing w:line="240" w:lineRule="auto"/>
              <w:ind w:firstLine="0"/>
              <w:jc w:val="center"/>
              <w:rPr>
                <w:color w:val="000000"/>
              </w:rPr>
            </w:pPr>
            <w:r w:rsidRPr="00CD3B2A">
              <w:rPr>
                <w:color w:val="000000"/>
              </w:rPr>
              <w:t>Sediment , China</w:t>
            </w:r>
          </w:p>
        </w:tc>
        <w:tc>
          <w:tcPr>
            <w:tcW w:w="1260" w:type="dxa"/>
            <w:tcBorders>
              <w:top w:val="single" w:sz="4" w:space="0" w:color="auto"/>
              <w:left w:val="nil"/>
              <w:bottom w:val="nil"/>
              <w:right w:val="nil"/>
            </w:tcBorders>
            <w:shd w:val="clear" w:color="auto" w:fill="auto"/>
            <w:noWrap/>
            <w:vAlign w:val="center"/>
            <w:hideMark/>
          </w:tcPr>
          <w:p w14:paraId="443993A0" w14:textId="29BD5FF7" w:rsidR="00A36D35" w:rsidRPr="00CD3B2A" w:rsidRDefault="00A36D35" w:rsidP="00A46B68">
            <w:pPr>
              <w:spacing w:line="240" w:lineRule="auto"/>
              <w:ind w:firstLine="0"/>
              <w:jc w:val="center"/>
              <w:rPr>
                <w:color w:val="000000"/>
              </w:rPr>
            </w:pPr>
            <w:r w:rsidRPr="00CD3B2A">
              <w:rPr>
                <w:color w:val="000000"/>
              </w:rPr>
              <w:t>3</w:t>
            </w:r>
            <w:r>
              <w:rPr>
                <w:color w:val="000000"/>
              </w:rPr>
              <w:t>.9</w:t>
            </w:r>
          </w:p>
        </w:tc>
        <w:tc>
          <w:tcPr>
            <w:tcW w:w="827" w:type="dxa"/>
            <w:tcBorders>
              <w:top w:val="single" w:sz="4" w:space="0" w:color="auto"/>
              <w:left w:val="nil"/>
              <w:bottom w:val="nil"/>
              <w:right w:val="nil"/>
            </w:tcBorders>
            <w:shd w:val="clear" w:color="auto" w:fill="auto"/>
            <w:noWrap/>
            <w:vAlign w:val="center"/>
            <w:hideMark/>
          </w:tcPr>
          <w:p w14:paraId="6FE1326B" w14:textId="77777777" w:rsidR="00A36D35" w:rsidRPr="00CD3B2A" w:rsidRDefault="00A36D35" w:rsidP="00A46B68">
            <w:pPr>
              <w:spacing w:line="240" w:lineRule="auto"/>
              <w:ind w:firstLine="0"/>
              <w:jc w:val="center"/>
              <w:rPr>
                <w:color w:val="000000"/>
              </w:rPr>
            </w:pPr>
            <w:r w:rsidRPr="00CD3B2A">
              <w:rPr>
                <w:color w:val="000000"/>
              </w:rPr>
              <w:t>3348</w:t>
            </w:r>
          </w:p>
        </w:tc>
        <w:tc>
          <w:tcPr>
            <w:tcW w:w="935" w:type="dxa"/>
            <w:tcBorders>
              <w:top w:val="single" w:sz="4" w:space="0" w:color="auto"/>
              <w:left w:val="nil"/>
              <w:bottom w:val="nil"/>
              <w:right w:val="nil"/>
            </w:tcBorders>
            <w:shd w:val="clear" w:color="auto" w:fill="auto"/>
            <w:noWrap/>
            <w:vAlign w:val="center"/>
            <w:hideMark/>
          </w:tcPr>
          <w:p w14:paraId="2D583626" w14:textId="77777777" w:rsidR="00A36D35" w:rsidRPr="00CD3B2A" w:rsidRDefault="00A36D35" w:rsidP="00A46B68">
            <w:pPr>
              <w:spacing w:line="240" w:lineRule="auto"/>
              <w:ind w:firstLine="0"/>
              <w:jc w:val="center"/>
              <w:rPr>
                <w:color w:val="000000"/>
              </w:rPr>
            </w:pPr>
            <w:r w:rsidRPr="00CD3B2A">
              <w:rPr>
                <w:color w:val="000000"/>
              </w:rPr>
              <w:t>18.9</w:t>
            </w:r>
          </w:p>
        </w:tc>
      </w:tr>
      <w:tr w:rsidR="00A36D35" w:rsidRPr="004A7652" w14:paraId="5316B915" w14:textId="77777777" w:rsidTr="00AB0D75">
        <w:trPr>
          <w:trHeight w:val="20"/>
        </w:trPr>
        <w:tc>
          <w:tcPr>
            <w:tcW w:w="3510" w:type="dxa"/>
            <w:tcBorders>
              <w:top w:val="nil"/>
              <w:left w:val="nil"/>
              <w:bottom w:val="nil"/>
              <w:right w:val="nil"/>
            </w:tcBorders>
            <w:shd w:val="clear" w:color="auto" w:fill="auto"/>
            <w:noWrap/>
            <w:vAlign w:val="center"/>
            <w:hideMark/>
          </w:tcPr>
          <w:p w14:paraId="313DA34F" w14:textId="4C36EFB8" w:rsidR="00A36D35" w:rsidRPr="00CD3B2A" w:rsidRDefault="00A36D35" w:rsidP="00A46B68">
            <w:pPr>
              <w:spacing w:line="240" w:lineRule="auto"/>
              <w:ind w:left="144" w:firstLine="0"/>
              <w:rPr>
                <w:color w:val="000000"/>
              </w:rPr>
            </w:pPr>
            <w:r w:rsidRPr="00CD3B2A">
              <w:rPr>
                <w:i/>
                <w:iCs/>
                <w:color w:val="000000"/>
              </w:rPr>
              <w:t xml:space="preserve">Salegentibacter holothuriorum </w:t>
            </w:r>
            <w:r w:rsidRPr="00CD3B2A">
              <w:rPr>
                <w:color w:val="000000"/>
              </w:rPr>
              <w:t>DSM 23405</w:t>
            </w:r>
            <w:r>
              <w:rPr>
                <w:color w:val="000000"/>
              </w:rPr>
              <w:t xml:space="preserve"> (</w:t>
            </w:r>
            <w:r w:rsidRPr="00CD3B2A">
              <w:rPr>
                <w:color w:val="000000"/>
              </w:rPr>
              <w:t>GCA_900168045</w:t>
            </w:r>
            <w:r>
              <w:rPr>
                <w:color w:val="000000"/>
              </w:rPr>
              <w:t>)</w:t>
            </w:r>
          </w:p>
        </w:tc>
        <w:tc>
          <w:tcPr>
            <w:tcW w:w="2070" w:type="dxa"/>
            <w:tcBorders>
              <w:top w:val="nil"/>
              <w:left w:val="nil"/>
              <w:bottom w:val="nil"/>
              <w:right w:val="nil"/>
            </w:tcBorders>
            <w:shd w:val="clear" w:color="auto" w:fill="auto"/>
            <w:noWrap/>
            <w:vAlign w:val="center"/>
            <w:hideMark/>
          </w:tcPr>
          <w:p w14:paraId="65852456"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nil"/>
              <w:right w:val="nil"/>
            </w:tcBorders>
            <w:shd w:val="clear" w:color="auto" w:fill="auto"/>
            <w:noWrap/>
            <w:vAlign w:val="center"/>
            <w:hideMark/>
          </w:tcPr>
          <w:p w14:paraId="3FCFE8C2" w14:textId="259C79EA" w:rsidR="00A36D35" w:rsidRPr="00CD3B2A" w:rsidRDefault="00A36D35" w:rsidP="00A46B68">
            <w:pPr>
              <w:spacing w:line="240" w:lineRule="auto"/>
              <w:ind w:firstLine="0"/>
              <w:jc w:val="center"/>
              <w:rPr>
                <w:color w:val="000000"/>
              </w:rPr>
            </w:pPr>
            <w:r w:rsidRPr="00CD3B2A">
              <w:rPr>
                <w:color w:val="000000"/>
              </w:rPr>
              <w:t>3</w:t>
            </w:r>
            <w:r>
              <w:rPr>
                <w:color w:val="000000"/>
              </w:rPr>
              <w:t>.6</w:t>
            </w:r>
          </w:p>
        </w:tc>
        <w:tc>
          <w:tcPr>
            <w:tcW w:w="827" w:type="dxa"/>
            <w:tcBorders>
              <w:top w:val="nil"/>
              <w:left w:val="nil"/>
              <w:bottom w:val="nil"/>
              <w:right w:val="nil"/>
            </w:tcBorders>
            <w:shd w:val="clear" w:color="auto" w:fill="auto"/>
            <w:noWrap/>
            <w:vAlign w:val="center"/>
            <w:hideMark/>
          </w:tcPr>
          <w:p w14:paraId="26213B70" w14:textId="77777777" w:rsidR="00A36D35" w:rsidRPr="00CD3B2A" w:rsidRDefault="00A36D35" w:rsidP="00A46B68">
            <w:pPr>
              <w:spacing w:line="240" w:lineRule="auto"/>
              <w:ind w:firstLine="0"/>
              <w:jc w:val="center"/>
              <w:rPr>
                <w:color w:val="000000"/>
              </w:rPr>
            </w:pPr>
            <w:r w:rsidRPr="00CD3B2A">
              <w:rPr>
                <w:color w:val="000000"/>
              </w:rPr>
              <w:t>3113</w:t>
            </w:r>
          </w:p>
        </w:tc>
        <w:tc>
          <w:tcPr>
            <w:tcW w:w="935" w:type="dxa"/>
            <w:tcBorders>
              <w:top w:val="nil"/>
              <w:left w:val="nil"/>
              <w:bottom w:val="nil"/>
              <w:right w:val="nil"/>
            </w:tcBorders>
            <w:shd w:val="clear" w:color="auto" w:fill="auto"/>
            <w:noWrap/>
            <w:vAlign w:val="center"/>
            <w:hideMark/>
          </w:tcPr>
          <w:p w14:paraId="63F1ECCF" w14:textId="77777777" w:rsidR="00A36D35" w:rsidRPr="00CD3B2A" w:rsidRDefault="00A36D35" w:rsidP="00A46B68">
            <w:pPr>
              <w:spacing w:line="240" w:lineRule="auto"/>
              <w:ind w:firstLine="0"/>
              <w:jc w:val="center"/>
              <w:rPr>
                <w:color w:val="000000"/>
              </w:rPr>
            </w:pPr>
            <w:r w:rsidRPr="00CD3B2A">
              <w:rPr>
                <w:color w:val="000000"/>
              </w:rPr>
              <w:t>18.7</w:t>
            </w:r>
          </w:p>
        </w:tc>
      </w:tr>
      <w:tr w:rsidR="00A36D35" w:rsidRPr="004A7652" w14:paraId="5730D964" w14:textId="77777777" w:rsidTr="00AB0D75">
        <w:trPr>
          <w:trHeight w:val="20"/>
        </w:trPr>
        <w:tc>
          <w:tcPr>
            <w:tcW w:w="3510" w:type="dxa"/>
            <w:tcBorders>
              <w:top w:val="nil"/>
              <w:left w:val="nil"/>
              <w:bottom w:val="nil"/>
              <w:right w:val="nil"/>
            </w:tcBorders>
            <w:shd w:val="clear" w:color="auto" w:fill="auto"/>
            <w:noWrap/>
            <w:vAlign w:val="center"/>
            <w:hideMark/>
          </w:tcPr>
          <w:p w14:paraId="29C74C72" w14:textId="6E982F4C" w:rsidR="00A36D35" w:rsidRPr="00CD3B2A" w:rsidRDefault="00A36D35" w:rsidP="00A46B68">
            <w:pPr>
              <w:spacing w:line="240" w:lineRule="auto"/>
              <w:ind w:left="144" w:firstLine="0"/>
              <w:rPr>
                <w:color w:val="000000"/>
              </w:rPr>
            </w:pPr>
            <w:r w:rsidRPr="00CD3B2A">
              <w:rPr>
                <w:i/>
                <w:iCs/>
                <w:color w:val="000000"/>
              </w:rPr>
              <w:lastRenderedPageBreak/>
              <w:t>Salegentibacter salegens</w:t>
            </w:r>
            <w:r w:rsidRPr="00CD3B2A">
              <w:rPr>
                <w:color w:val="000000"/>
              </w:rPr>
              <w:t xml:space="preserve"> DSM 5424</w:t>
            </w:r>
            <w:r>
              <w:rPr>
                <w:color w:val="000000"/>
              </w:rPr>
              <w:t xml:space="preserve"> (</w:t>
            </w:r>
            <w:r w:rsidRPr="00CD3B2A">
              <w:rPr>
                <w:color w:val="000000"/>
              </w:rPr>
              <w:t>GCA_003001895</w:t>
            </w:r>
            <w:r>
              <w:rPr>
                <w:color w:val="000000"/>
              </w:rPr>
              <w:t>)</w:t>
            </w:r>
          </w:p>
        </w:tc>
        <w:tc>
          <w:tcPr>
            <w:tcW w:w="2070" w:type="dxa"/>
            <w:tcBorders>
              <w:top w:val="nil"/>
              <w:left w:val="nil"/>
              <w:bottom w:val="nil"/>
              <w:right w:val="nil"/>
            </w:tcBorders>
            <w:shd w:val="clear" w:color="auto" w:fill="auto"/>
            <w:noWrap/>
            <w:vAlign w:val="center"/>
            <w:hideMark/>
          </w:tcPr>
          <w:p w14:paraId="0A85B41C"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nil"/>
              <w:right w:val="nil"/>
            </w:tcBorders>
            <w:shd w:val="clear" w:color="auto" w:fill="auto"/>
            <w:noWrap/>
            <w:vAlign w:val="center"/>
            <w:hideMark/>
          </w:tcPr>
          <w:p w14:paraId="465B42D4" w14:textId="40011873" w:rsidR="00A36D35" w:rsidRPr="00CD3B2A" w:rsidRDefault="00A36D35" w:rsidP="00A46B68">
            <w:pPr>
              <w:spacing w:line="240" w:lineRule="auto"/>
              <w:ind w:firstLine="0"/>
              <w:jc w:val="center"/>
              <w:rPr>
                <w:color w:val="000000"/>
              </w:rPr>
            </w:pPr>
            <w:r w:rsidRPr="00CD3B2A">
              <w:rPr>
                <w:color w:val="000000"/>
              </w:rPr>
              <w:t>3</w:t>
            </w:r>
            <w:r>
              <w:rPr>
                <w:color w:val="000000"/>
              </w:rPr>
              <w:t>.9</w:t>
            </w:r>
          </w:p>
        </w:tc>
        <w:tc>
          <w:tcPr>
            <w:tcW w:w="827" w:type="dxa"/>
            <w:tcBorders>
              <w:top w:val="nil"/>
              <w:left w:val="nil"/>
              <w:bottom w:val="nil"/>
              <w:right w:val="nil"/>
            </w:tcBorders>
            <w:shd w:val="clear" w:color="auto" w:fill="auto"/>
            <w:noWrap/>
            <w:vAlign w:val="center"/>
            <w:hideMark/>
          </w:tcPr>
          <w:p w14:paraId="361FA2BF" w14:textId="77777777" w:rsidR="00A36D35" w:rsidRPr="00CD3B2A" w:rsidRDefault="00A36D35" w:rsidP="00A46B68">
            <w:pPr>
              <w:spacing w:line="240" w:lineRule="auto"/>
              <w:ind w:firstLine="0"/>
              <w:jc w:val="center"/>
              <w:rPr>
                <w:color w:val="000000"/>
              </w:rPr>
            </w:pPr>
            <w:r w:rsidRPr="00CD3B2A">
              <w:rPr>
                <w:color w:val="000000"/>
              </w:rPr>
              <w:t>3478</w:t>
            </w:r>
          </w:p>
        </w:tc>
        <w:tc>
          <w:tcPr>
            <w:tcW w:w="935" w:type="dxa"/>
            <w:tcBorders>
              <w:top w:val="nil"/>
              <w:left w:val="nil"/>
              <w:bottom w:val="nil"/>
              <w:right w:val="nil"/>
            </w:tcBorders>
            <w:shd w:val="clear" w:color="auto" w:fill="auto"/>
            <w:noWrap/>
            <w:vAlign w:val="center"/>
            <w:hideMark/>
          </w:tcPr>
          <w:p w14:paraId="76B34A28" w14:textId="77777777" w:rsidR="00A36D35" w:rsidRPr="00CD3B2A" w:rsidRDefault="00A36D35" w:rsidP="00A46B68">
            <w:pPr>
              <w:spacing w:line="240" w:lineRule="auto"/>
              <w:ind w:firstLine="0"/>
              <w:jc w:val="center"/>
              <w:rPr>
                <w:color w:val="000000"/>
              </w:rPr>
            </w:pPr>
            <w:r w:rsidRPr="00CD3B2A">
              <w:rPr>
                <w:color w:val="000000"/>
              </w:rPr>
              <w:t>18.7</w:t>
            </w:r>
          </w:p>
        </w:tc>
      </w:tr>
      <w:tr w:rsidR="00A36D35" w:rsidRPr="004A7652" w14:paraId="7C1894D7" w14:textId="77777777" w:rsidTr="00AB0D75">
        <w:trPr>
          <w:trHeight w:val="20"/>
        </w:trPr>
        <w:tc>
          <w:tcPr>
            <w:tcW w:w="3510" w:type="dxa"/>
            <w:tcBorders>
              <w:top w:val="nil"/>
              <w:left w:val="nil"/>
              <w:bottom w:val="nil"/>
              <w:right w:val="nil"/>
            </w:tcBorders>
            <w:shd w:val="clear" w:color="auto" w:fill="auto"/>
            <w:noWrap/>
            <w:vAlign w:val="center"/>
            <w:hideMark/>
          </w:tcPr>
          <w:p w14:paraId="0810AAB9" w14:textId="5E6DEE4F" w:rsidR="00A36D35" w:rsidRPr="00CD3B2A" w:rsidRDefault="00A36D35" w:rsidP="00A46B68">
            <w:pPr>
              <w:spacing w:line="240" w:lineRule="auto"/>
              <w:ind w:left="144" w:firstLine="0"/>
              <w:rPr>
                <w:color w:val="000000"/>
              </w:rPr>
            </w:pPr>
            <w:r w:rsidRPr="00CD3B2A">
              <w:rPr>
                <w:i/>
                <w:iCs/>
                <w:color w:val="000000"/>
              </w:rPr>
              <w:t>Salegentibacter salinarum</w:t>
            </w:r>
            <w:r w:rsidRPr="00CD3B2A">
              <w:rPr>
                <w:color w:val="000000"/>
              </w:rPr>
              <w:t xml:space="preserve"> DSM 23400</w:t>
            </w:r>
            <w:r>
              <w:rPr>
                <w:color w:val="000000"/>
              </w:rPr>
              <w:t xml:space="preserve"> (</w:t>
            </w:r>
            <w:r w:rsidRPr="00CD3B2A">
              <w:rPr>
                <w:color w:val="000000"/>
              </w:rPr>
              <w:t>GCA_900168115</w:t>
            </w:r>
            <w:r>
              <w:rPr>
                <w:color w:val="000000"/>
              </w:rPr>
              <w:t>)</w:t>
            </w:r>
          </w:p>
        </w:tc>
        <w:tc>
          <w:tcPr>
            <w:tcW w:w="2070" w:type="dxa"/>
            <w:tcBorders>
              <w:top w:val="nil"/>
              <w:left w:val="nil"/>
              <w:bottom w:val="nil"/>
              <w:right w:val="nil"/>
            </w:tcBorders>
            <w:shd w:val="clear" w:color="auto" w:fill="auto"/>
            <w:noWrap/>
            <w:vAlign w:val="center"/>
            <w:hideMark/>
          </w:tcPr>
          <w:p w14:paraId="6FB8354A"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nil"/>
              <w:right w:val="nil"/>
            </w:tcBorders>
            <w:shd w:val="clear" w:color="auto" w:fill="auto"/>
            <w:noWrap/>
            <w:vAlign w:val="center"/>
            <w:hideMark/>
          </w:tcPr>
          <w:p w14:paraId="08E14A3B" w14:textId="1F4A7FDA" w:rsidR="00A36D35" w:rsidRPr="00CD3B2A" w:rsidRDefault="00A36D35" w:rsidP="00A46B68">
            <w:pPr>
              <w:spacing w:line="240" w:lineRule="auto"/>
              <w:ind w:firstLine="0"/>
              <w:jc w:val="center"/>
              <w:rPr>
                <w:color w:val="000000"/>
              </w:rPr>
            </w:pPr>
            <w:r w:rsidRPr="00CD3B2A">
              <w:rPr>
                <w:color w:val="000000"/>
              </w:rPr>
              <w:t>4</w:t>
            </w:r>
            <w:r>
              <w:rPr>
                <w:color w:val="000000"/>
              </w:rPr>
              <w:t>.3</w:t>
            </w:r>
          </w:p>
        </w:tc>
        <w:tc>
          <w:tcPr>
            <w:tcW w:w="827" w:type="dxa"/>
            <w:tcBorders>
              <w:top w:val="nil"/>
              <w:left w:val="nil"/>
              <w:bottom w:val="nil"/>
              <w:right w:val="nil"/>
            </w:tcBorders>
            <w:shd w:val="clear" w:color="auto" w:fill="auto"/>
            <w:noWrap/>
            <w:vAlign w:val="center"/>
            <w:hideMark/>
          </w:tcPr>
          <w:p w14:paraId="45E964AB" w14:textId="77777777" w:rsidR="00A36D35" w:rsidRPr="00CD3B2A" w:rsidRDefault="00A36D35" w:rsidP="00A46B68">
            <w:pPr>
              <w:spacing w:line="240" w:lineRule="auto"/>
              <w:ind w:firstLine="0"/>
              <w:jc w:val="center"/>
              <w:rPr>
                <w:color w:val="000000"/>
              </w:rPr>
            </w:pPr>
            <w:r w:rsidRPr="00CD3B2A">
              <w:rPr>
                <w:color w:val="000000"/>
              </w:rPr>
              <w:t>3725</w:t>
            </w:r>
          </w:p>
        </w:tc>
        <w:tc>
          <w:tcPr>
            <w:tcW w:w="935" w:type="dxa"/>
            <w:tcBorders>
              <w:top w:val="nil"/>
              <w:left w:val="nil"/>
              <w:bottom w:val="nil"/>
              <w:right w:val="nil"/>
            </w:tcBorders>
            <w:shd w:val="clear" w:color="auto" w:fill="auto"/>
            <w:noWrap/>
            <w:vAlign w:val="center"/>
            <w:hideMark/>
          </w:tcPr>
          <w:p w14:paraId="25C7C68B" w14:textId="77777777" w:rsidR="00A36D35" w:rsidRPr="00CD3B2A" w:rsidRDefault="00A36D35" w:rsidP="00A46B68">
            <w:pPr>
              <w:spacing w:line="240" w:lineRule="auto"/>
              <w:ind w:firstLine="0"/>
              <w:jc w:val="center"/>
              <w:rPr>
                <w:color w:val="000000"/>
              </w:rPr>
            </w:pPr>
            <w:r w:rsidRPr="00CD3B2A">
              <w:rPr>
                <w:color w:val="000000"/>
              </w:rPr>
              <w:t>18.6</w:t>
            </w:r>
          </w:p>
        </w:tc>
      </w:tr>
      <w:tr w:rsidR="00A36D35" w:rsidRPr="004A7652" w14:paraId="4FE083F6" w14:textId="77777777" w:rsidTr="00AB0D75">
        <w:trPr>
          <w:trHeight w:val="20"/>
        </w:trPr>
        <w:tc>
          <w:tcPr>
            <w:tcW w:w="3510" w:type="dxa"/>
            <w:tcBorders>
              <w:top w:val="nil"/>
              <w:left w:val="nil"/>
              <w:bottom w:val="nil"/>
              <w:right w:val="nil"/>
            </w:tcBorders>
            <w:shd w:val="clear" w:color="auto" w:fill="auto"/>
            <w:noWrap/>
            <w:vAlign w:val="center"/>
            <w:hideMark/>
          </w:tcPr>
          <w:p w14:paraId="5612EDD8" w14:textId="57D884CA" w:rsidR="00A36D35" w:rsidRPr="00CD3B2A" w:rsidRDefault="00A36D35" w:rsidP="00A46B68">
            <w:pPr>
              <w:spacing w:line="240" w:lineRule="auto"/>
              <w:ind w:left="144" w:firstLine="0"/>
              <w:rPr>
                <w:color w:val="000000"/>
              </w:rPr>
            </w:pPr>
            <w:r w:rsidRPr="00CD3B2A">
              <w:rPr>
                <w:i/>
                <w:iCs/>
                <w:color w:val="000000"/>
              </w:rPr>
              <w:t xml:space="preserve">Salegentibacter agarivorans </w:t>
            </w:r>
            <w:r w:rsidRPr="00CD3B2A">
              <w:rPr>
                <w:color w:val="000000"/>
              </w:rPr>
              <w:t>DSM 23515</w:t>
            </w:r>
            <w:r>
              <w:rPr>
                <w:color w:val="000000"/>
              </w:rPr>
              <w:t xml:space="preserve"> (</w:t>
            </w:r>
            <w:r w:rsidRPr="00CD3B2A">
              <w:rPr>
                <w:color w:val="000000"/>
              </w:rPr>
              <w:t>GCA_900113135</w:t>
            </w:r>
            <w:r>
              <w:rPr>
                <w:color w:val="000000"/>
              </w:rPr>
              <w:t>)</w:t>
            </w:r>
          </w:p>
        </w:tc>
        <w:tc>
          <w:tcPr>
            <w:tcW w:w="2070" w:type="dxa"/>
            <w:tcBorders>
              <w:top w:val="nil"/>
              <w:left w:val="nil"/>
              <w:bottom w:val="nil"/>
              <w:right w:val="nil"/>
            </w:tcBorders>
            <w:shd w:val="clear" w:color="auto" w:fill="auto"/>
            <w:noWrap/>
            <w:vAlign w:val="center"/>
            <w:hideMark/>
          </w:tcPr>
          <w:p w14:paraId="15E3E4BF"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nil"/>
              <w:right w:val="nil"/>
            </w:tcBorders>
            <w:shd w:val="clear" w:color="auto" w:fill="auto"/>
            <w:noWrap/>
            <w:vAlign w:val="center"/>
            <w:hideMark/>
          </w:tcPr>
          <w:p w14:paraId="62CB3DCA" w14:textId="5AAC4F80" w:rsidR="00A36D35" w:rsidRPr="00CD3B2A" w:rsidRDefault="00A36D35" w:rsidP="00A46B68">
            <w:pPr>
              <w:spacing w:line="240" w:lineRule="auto"/>
              <w:ind w:firstLine="0"/>
              <w:jc w:val="center"/>
              <w:rPr>
                <w:color w:val="000000"/>
              </w:rPr>
            </w:pPr>
            <w:r w:rsidRPr="00CD3B2A">
              <w:rPr>
                <w:color w:val="000000"/>
              </w:rPr>
              <w:t>4</w:t>
            </w:r>
            <w:r>
              <w:rPr>
                <w:color w:val="000000"/>
              </w:rPr>
              <w:t>.3</w:t>
            </w:r>
          </w:p>
        </w:tc>
        <w:tc>
          <w:tcPr>
            <w:tcW w:w="827" w:type="dxa"/>
            <w:tcBorders>
              <w:top w:val="nil"/>
              <w:left w:val="nil"/>
              <w:bottom w:val="nil"/>
              <w:right w:val="nil"/>
            </w:tcBorders>
            <w:shd w:val="clear" w:color="auto" w:fill="auto"/>
            <w:noWrap/>
            <w:vAlign w:val="center"/>
            <w:hideMark/>
          </w:tcPr>
          <w:p w14:paraId="2A0E5663" w14:textId="77777777" w:rsidR="00A36D35" w:rsidRPr="00CD3B2A" w:rsidRDefault="00A36D35" w:rsidP="00A46B68">
            <w:pPr>
              <w:spacing w:line="240" w:lineRule="auto"/>
              <w:ind w:firstLine="0"/>
              <w:jc w:val="center"/>
              <w:rPr>
                <w:color w:val="000000"/>
              </w:rPr>
            </w:pPr>
            <w:r w:rsidRPr="00CD3B2A">
              <w:rPr>
                <w:color w:val="000000"/>
              </w:rPr>
              <w:t>3768</w:t>
            </w:r>
          </w:p>
        </w:tc>
        <w:tc>
          <w:tcPr>
            <w:tcW w:w="935" w:type="dxa"/>
            <w:tcBorders>
              <w:top w:val="nil"/>
              <w:left w:val="nil"/>
              <w:bottom w:val="nil"/>
              <w:right w:val="nil"/>
            </w:tcBorders>
            <w:shd w:val="clear" w:color="auto" w:fill="auto"/>
            <w:noWrap/>
            <w:vAlign w:val="center"/>
            <w:hideMark/>
          </w:tcPr>
          <w:p w14:paraId="0314CBF1" w14:textId="77777777" w:rsidR="00A36D35" w:rsidRPr="00CD3B2A" w:rsidRDefault="00A36D35" w:rsidP="00A46B68">
            <w:pPr>
              <w:spacing w:line="240" w:lineRule="auto"/>
              <w:ind w:firstLine="0"/>
              <w:jc w:val="center"/>
              <w:rPr>
                <w:color w:val="000000"/>
              </w:rPr>
            </w:pPr>
            <w:r w:rsidRPr="00CD3B2A">
              <w:rPr>
                <w:color w:val="000000"/>
              </w:rPr>
              <w:t>18</w:t>
            </w:r>
          </w:p>
        </w:tc>
      </w:tr>
      <w:tr w:rsidR="00A36D35" w:rsidRPr="004A7652" w14:paraId="7AB859E0" w14:textId="77777777" w:rsidTr="00AB0D75">
        <w:trPr>
          <w:trHeight w:val="20"/>
        </w:trPr>
        <w:tc>
          <w:tcPr>
            <w:tcW w:w="3510" w:type="dxa"/>
            <w:tcBorders>
              <w:top w:val="nil"/>
              <w:left w:val="nil"/>
              <w:bottom w:val="nil"/>
              <w:right w:val="nil"/>
            </w:tcBorders>
            <w:shd w:val="clear" w:color="auto" w:fill="auto"/>
            <w:noWrap/>
            <w:vAlign w:val="center"/>
            <w:hideMark/>
          </w:tcPr>
          <w:p w14:paraId="73336309" w14:textId="709A2559" w:rsidR="00A36D35" w:rsidRPr="00CD3B2A" w:rsidRDefault="00A36D35" w:rsidP="00A46B68">
            <w:pPr>
              <w:spacing w:line="240" w:lineRule="auto"/>
              <w:ind w:left="144" w:firstLine="0"/>
              <w:rPr>
                <w:color w:val="000000"/>
              </w:rPr>
            </w:pPr>
            <w:r w:rsidRPr="00CD3B2A">
              <w:rPr>
                <w:i/>
                <w:iCs/>
                <w:color w:val="000000"/>
              </w:rPr>
              <w:t>Salegentibacter flavus</w:t>
            </w:r>
            <w:r w:rsidRPr="00CD3B2A">
              <w:rPr>
                <w:color w:val="000000"/>
              </w:rPr>
              <w:t xml:space="preserve"> DSM 17794</w:t>
            </w:r>
            <w:r>
              <w:rPr>
                <w:color w:val="000000"/>
              </w:rPr>
              <w:t xml:space="preserve"> (</w:t>
            </w:r>
            <w:r w:rsidRPr="00CD3B2A">
              <w:rPr>
                <w:color w:val="000000"/>
              </w:rPr>
              <w:t>GCA_900115145</w:t>
            </w:r>
            <w:r>
              <w:rPr>
                <w:color w:val="000000"/>
              </w:rPr>
              <w:t>)</w:t>
            </w:r>
          </w:p>
        </w:tc>
        <w:tc>
          <w:tcPr>
            <w:tcW w:w="2070" w:type="dxa"/>
            <w:tcBorders>
              <w:top w:val="nil"/>
              <w:left w:val="nil"/>
              <w:bottom w:val="nil"/>
              <w:right w:val="nil"/>
            </w:tcBorders>
            <w:shd w:val="clear" w:color="auto" w:fill="auto"/>
            <w:noWrap/>
            <w:vAlign w:val="center"/>
            <w:hideMark/>
          </w:tcPr>
          <w:p w14:paraId="504E8B76"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nil"/>
              <w:right w:val="nil"/>
            </w:tcBorders>
            <w:shd w:val="clear" w:color="auto" w:fill="auto"/>
            <w:noWrap/>
            <w:vAlign w:val="center"/>
            <w:hideMark/>
          </w:tcPr>
          <w:p w14:paraId="70491F4E" w14:textId="41CF72F3" w:rsidR="00A36D35" w:rsidRPr="00CD3B2A" w:rsidRDefault="00A36D35" w:rsidP="00A46B68">
            <w:pPr>
              <w:spacing w:line="240" w:lineRule="auto"/>
              <w:ind w:firstLine="0"/>
              <w:jc w:val="center"/>
              <w:rPr>
                <w:color w:val="000000"/>
              </w:rPr>
            </w:pPr>
            <w:r w:rsidRPr="00CD3B2A">
              <w:rPr>
                <w:color w:val="000000"/>
              </w:rPr>
              <w:t>3</w:t>
            </w:r>
            <w:r>
              <w:rPr>
                <w:color w:val="000000"/>
              </w:rPr>
              <w:t>.7</w:t>
            </w:r>
          </w:p>
        </w:tc>
        <w:tc>
          <w:tcPr>
            <w:tcW w:w="827" w:type="dxa"/>
            <w:tcBorders>
              <w:top w:val="nil"/>
              <w:left w:val="nil"/>
              <w:bottom w:val="nil"/>
              <w:right w:val="nil"/>
            </w:tcBorders>
            <w:shd w:val="clear" w:color="auto" w:fill="auto"/>
            <w:noWrap/>
            <w:vAlign w:val="center"/>
            <w:hideMark/>
          </w:tcPr>
          <w:p w14:paraId="4042F3B0" w14:textId="77777777" w:rsidR="00A36D35" w:rsidRPr="00CD3B2A" w:rsidRDefault="00A36D35" w:rsidP="00A46B68">
            <w:pPr>
              <w:spacing w:line="240" w:lineRule="auto"/>
              <w:ind w:firstLine="0"/>
              <w:jc w:val="center"/>
              <w:rPr>
                <w:color w:val="000000"/>
              </w:rPr>
            </w:pPr>
            <w:r w:rsidRPr="00CD3B2A">
              <w:rPr>
                <w:color w:val="000000"/>
              </w:rPr>
              <w:t>3327</w:t>
            </w:r>
          </w:p>
        </w:tc>
        <w:tc>
          <w:tcPr>
            <w:tcW w:w="935" w:type="dxa"/>
            <w:tcBorders>
              <w:top w:val="nil"/>
              <w:left w:val="nil"/>
              <w:bottom w:val="nil"/>
              <w:right w:val="nil"/>
            </w:tcBorders>
            <w:shd w:val="clear" w:color="auto" w:fill="auto"/>
            <w:noWrap/>
            <w:vAlign w:val="center"/>
            <w:hideMark/>
          </w:tcPr>
          <w:p w14:paraId="638B869E" w14:textId="77777777" w:rsidR="00A36D35" w:rsidRPr="00CD3B2A" w:rsidRDefault="00A36D35" w:rsidP="00A46B68">
            <w:pPr>
              <w:spacing w:line="240" w:lineRule="auto"/>
              <w:ind w:firstLine="0"/>
              <w:jc w:val="center"/>
              <w:rPr>
                <w:color w:val="000000"/>
              </w:rPr>
            </w:pPr>
            <w:r w:rsidRPr="00CD3B2A">
              <w:rPr>
                <w:color w:val="000000"/>
              </w:rPr>
              <w:t>18</w:t>
            </w:r>
          </w:p>
        </w:tc>
      </w:tr>
      <w:tr w:rsidR="00A36D35" w:rsidRPr="004A7652" w14:paraId="5051F0B7" w14:textId="77777777" w:rsidTr="00AB0D75">
        <w:trPr>
          <w:trHeight w:val="20"/>
        </w:trPr>
        <w:tc>
          <w:tcPr>
            <w:tcW w:w="3510" w:type="dxa"/>
            <w:tcBorders>
              <w:top w:val="nil"/>
              <w:left w:val="nil"/>
              <w:bottom w:val="nil"/>
              <w:right w:val="nil"/>
            </w:tcBorders>
            <w:shd w:val="clear" w:color="auto" w:fill="auto"/>
            <w:noWrap/>
            <w:vAlign w:val="center"/>
            <w:hideMark/>
          </w:tcPr>
          <w:p w14:paraId="0D5CD798" w14:textId="5F736E92" w:rsidR="00A36D35" w:rsidRPr="00CD3B2A" w:rsidRDefault="00A36D35" w:rsidP="00A46B68">
            <w:pPr>
              <w:spacing w:line="240" w:lineRule="auto"/>
              <w:ind w:left="144" w:firstLine="0"/>
              <w:rPr>
                <w:color w:val="000000"/>
              </w:rPr>
            </w:pPr>
            <w:r w:rsidRPr="00CD3B2A">
              <w:rPr>
                <w:i/>
                <w:iCs/>
                <w:color w:val="000000"/>
              </w:rPr>
              <w:t xml:space="preserve">Salegentibacter salarius </w:t>
            </w:r>
            <w:r w:rsidRPr="00CD3B2A">
              <w:rPr>
                <w:color w:val="000000"/>
              </w:rPr>
              <w:t>DSM 23401</w:t>
            </w:r>
            <w:r>
              <w:rPr>
                <w:color w:val="000000"/>
              </w:rPr>
              <w:t xml:space="preserve"> (</w:t>
            </w:r>
            <w:r w:rsidRPr="00CD3B2A">
              <w:rPr>
                <w:color w:val="000000"/>
              </w:rPr>
              <w:t>GCA_900168265</w:t>
            </w:r>
            <w:r>
              <w:rPr>
                <w:color w:val="000000"/>
              </w:rPr>
              <w:t>)</w:t>
            </w:r>
          </w:p>
        </w:tc>
        <w:tc>
          <w:tcPr>
            <w:tcW w:w="2070" w:type="dxa"/>
            <w:tcBorders>
              <w:top w:val="nil"/>
              <w:left w:val="nil"/>
              <w:bottom w:val="nil"/>
              <w:right w:val="nil"/>
            </w:tcBorders>
            <w:shd w:val="clear" w:color="auto" w:fill="auto"/>
            <w:noWrap/>
            <w:vAlign w:val="center"/>
            <w:hideMark/>
          </w:tcPr>
          <w:p w14:paraId="2F6D00D1"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nil"/>
              <w:right w:val="nil"/>
            </w:tcBorders>
            <w:shd w:val="clear" w:color="auto" w:fill="auto"/>
            <w:noWrap/>
            <w:vAlign w:val="center"/>
            <w:hideMark/>
          </w:tcPr>
          <w:p w14:paraId="03C51DD5" w14:textId="470E2E37" w:rsidR="00A36D35" w:rsidRPr="00CD3B2A" w:rsidRDefault="00A36D35" w:rsidP="00A46B68">
            <w:pPr>
              <w:spacing w:line="240" w:lineRule="auto"/>
              <w:ind w:firstLine="0"/>
              <w:jc w:val="center"/>
              <w:rPr>
                <w:color w:val="000000"/>
              </w:rPr>
            </w:pPr>
            <w:r w:rsidRPr="00CD3B2A">
              <w:rPr>
                <w:color w:val="000000"/>
              </w:rPr>
              <w:t>3</w:t>
            </w:r>
            <w:r>
              <w:rPr>
                <w:color w:val="000000"/>
              </w:rPr>
              <w:t>.3</w:t>
            </w:r>
          </w:p>
        </w:tc>
        <w:tc>
          <w:tcPr>
            <w:tcW w:w="827" w:type="dxa"/>
            <w:tcBorders>
              <w:top w:val="nil"/>
              <w:left w:val="nil"/>
              <w:bottom w:val="nil"/>
              <w:right w:val="nil"/>
            </w:tcBorders>
            <w:shd w:val="clear" w:color="auto" w:fill="auto"/>
            <w:noWrap/>
            <w:vAlign w:val="center"/>
            <w:hideMark/>
          </w:tcPr>
          <w:p w14:paraId="3C1627EE" w14:textId="77777777" w:rsidR="00A36D35" w:rsidRPr="00CD3B2A" w:rsidRDefault="00A36D35" w:rsidP="00A46B68">
            <w:pPr>
              <w:spacing w:line="240" w:lineRule="auto"/>
              <w:ind w:firstLine="0"/>
              <w:jc w:val="center"/>
              <w:rPr>
                <w:color w:val="000000"/>
              </w:rPr>
            </w:pPr>
            <w:r w:rsidRPr="00CD3B2A">
              <w:rPr>
                <w:color w:val="000000"/>
              </w:rPr>
              <w:t>3046</w:t>
            </w:r>
          </w:p>
        </w:tc>
        <w:tc>
          <w:tcPr>
            <w:tcW w:w="935" w:type="dxa"/>
            <w:tcBorders>
              <w:top w:val="nil"/>
              <w:left w:val="nil"/>
              <w:bottom w:val="nil"/>
              <w:right w:val="nil"/>
            </w:tcBorders>
            <w:shd w:val="clear" w:color="auto" w:fill="auto"/>
            <w:noWrap/>
            <w:vAlign w:val="center"/>
            <w:hideMark/>
          </w:tcPr>
          <w:p w14:paraId="3906AE1A" w14:textId="77777777" w:rsidR="00A36D35" w:rsidRPr="00CD3B2A" w:rsidRDefault="00A36D35" w:rsidP="00A46B68">
            <w:pPr>
              <w:spacing w:line="240" w:lineRule="auto"/>
              <w:ind w:firstLine="0"/>
              <w:jc w:val="center"/>
              <w:rPr>
                <w:color w:val="000000"/>
              </w:rPr>
            </w:pPr>
            <w:r w:rsidRPr="00CD3B2A">
              <w:rPr>
                <w:color w:val="000000"/>
              </w:rPr>
              <w:t>17.7</w:t>
            </w:r>
          </w:p>
        </w:tc>
      </w:tr>
      <w:tr w:rsidR="00A36D35" w:rsidRPr="004A7652" w14:paraId="2E1E9F16" w14:textId="77777777" w:rsidTr="00AB0D75">
        <w:trPr>
          <w:trHeight w:val="20"/>
        </w:trPr>
        <w:tc>
          <w:tcPr>
            <w:tcW w:w="3510" w:type="dxa"/>
            <w:tcBorders>
              <w:top w:val="nil"/>
              <w:left w:val="nil"/>
              <w:right w:val="nil"/>
            </w:tcBorders>
            <w:shd w:val="clear" w:color="auto" w:fill="auto"/>
            <w:noWrap/>
            <w:vAlign w:val="center"/>
            <w:hideMark/>
          </w:tcPr>
          <w:p w14:paraId="728C6B14" w14:textId="40E46C07" w:rsidR="00A36D35" w:rsidRPr="00CD3B2A" w:rsidRDefault="00A36D35" w:rsidP="00A46B68">
            <w:pPr>
              <w:spacing w:line="240" w:lineRule="auto"/>
              <w:ind w:left="144" w:firstLine="0"/>
              <w:rPr>
                <w:color w:val="000000"/>
              </w:rPr>
            </w:pPr>
            <w:r w:rsidRPr="00CD3B2A">
              <w:rPr>
                <w:i/>
                <w:iCs/>
                <w:color w:val="000000"/>
              </w:rPr>
              <w:t xml:space="preserve">Salegentibacter mishustinae </w:t>
            </w:r>
            <w:r w:rsidRPr="00CD3B2A">
              <w:rPr>
                <w:color w:val="000000"/>
              </w:rPr>
              <w:t>KCTC 12263</w:t>
            </w:r>
            <w:r>
              <w:rPr>
                <w:color w:val="000000"/>
              </w:rPr>
              <w:t xml:space="preserve"> (</w:t>
            </w:r>
            <w:r w:rsidRPr="00CD3B2A">
              <w:rPr>
                <w:color w:val="000000"/>
              </w:rPr>
              <w:t>GCA_014651335</w:t>
            </w:r>
            <w:r>
              <w:rPr>
                <w:color w:val="000000"/>
              </w:rPr>
              <w:t>)</w:t>
            </w:r>
          </w:p>
        </w:tc>
        <w:tc>
          <w:tcPr>
            <w:tcW w:w="2070" w:type="dxa"/>
            <w:tcBorders>
              <w:top w:val="nil"/>
              <w:left w:val="nil"/>
              <w:right w:val="nil"/>
            </w:tcBorders>
            <w:shd w:val="clear" w:color="auto" w:fill="auto"/>
            <w:noWrap/>
            <w:vAlign w:val="center"/>
            <w:hideMark/>
          </w:tcPr>
          <w:p w14:paraId="3D63F1A8"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right w:val="nil"/>
            </w:tcBorders>
            <w:shd w:val="clear" w:color="auto" w:fill="auto"/>
            <w:noWrap/>
            <w:vAlign w:val="center"/>
            <w:hideMark/>
          </w:tcPr>
          <w:p w14:paraId="3E3A9CCA" w14:textId="1A32289E" w:rsidR="00A36D35" w:rsidRPr="00CD3B2A" w:rsidRDefault="00A36D35" w:rsidP="00A46B68">
            <w:pPr>
              <w:spacing w:line="240" w:lineRule="auto"/>
              <w:ind w:firstLine="0"/>
              <w:jc w:val="center"/>
              <w:rPr>
                <w:color w:val="000000"/>
              </w:rPr>
            </w:pPr>
            <w:r w:rsidRPr="00CD3B2A">
              <w:rPr>
                <w:color w:val="000000"/>
              </w:rPr>
              <w:t>3</w:t>
            </w:r>
            <w:r>
              <w:rPr>
                <w:color w:val="000000"/>
              </w:rPr>
              <w:t>.8</w:t>
            </w:r>
          </w:p>
        </w:tc>
        <w:tc>
          <w:tcPr>
            <w:tcW w:w="827" w:type="dxa"/>
            <w:tcBorders>
              <w:top w:val="nil"/>
              <w:left w:val="nil"/>
              <w:right w:val="nil"/>
            </w:tcBorders>
            <w:shd w:val="clear" w:color="auto" w:fill="auto"/>
            <w:noWrap/>
            <w:vAlign w:val="center"/>
            <w:hideMark/>
          </w:tcPr>
          <w:p w14:paraId="699DB44B" w14:textId="77777777" w:rsidR="00A36D35" w:rsidRPr="00CD3B2A" w:rsidRDefault="00A36D35" w:rsidP="00A46B68">
            <w:pPr>
              <w:spacing w:line="240" w:lineRule="auto"/>
              <w:ind w:firstLine="0"/>
              <w:jc w:val="center"/>
              <w:rPr>
                <w:color w:val="000000"/>
              </w:rPr>
            </w:pPr>
            <w:r w:rsidRPr="00CD3B2A">
              <w:rPr>
                <w:color w:val="000000"/>
              </w:rPr>
              <w:t>3303</w:t>
            </w:r>
          </w:p>
        </w:tc>
        <w:tc>
          <w:tcPr>
            <w:tcW w:w="935" w:type="dxa"/>
            <w:tcBorders>
              <w:top w:val="nil"/>
              <w:left w:val="nil"/>
              <w:right w:val="nil"/>
            </w:tcBorders>
            <w:shd w:val="clear" w:color="auto" w:fill="auto"/>
            <w:noWrap/>
            <w:vAlign w:val="center"/>
            <w:hideMark/>
          </w:tcPr>
          <w:p w14:paraId="621A82F3" w14:textId="77777777" w:rsidR="00A36D35" w:rsidRPr="00CD3B2A" w:rsidRDefault="00A36D35" w:rsidP="00A46B68">
            <w:pPr>
              <w:spacing w:line="240" w:lineRule="auto"/>
              <w:ind w:firstLine="0"/>
              <w:jc w:val="center"/>
              <w:rPr>
                <w:color w:val="000000"/>
              </w:rPr>
            </w:pPr>
            <w:r w:rsidRPr="00CD3B2A">
              <w:rPr>
                <w:color w:val="000000"/>
              </w:rPr>
              <w:t>17.4</w:t>
            </w:r>
          </w:p>
        </w:tc>
      </w:tr>
      <w:tr w:rsidR="00A36D35" w:rsidRPr="004A7652" w14:paraId="6B4CFE08" w14:textId="77777777" w:rsidTr="00AB0D75">
        <w:trPr>
          <w:trHeight w:val="20"/>
        </w:trPr>
        <w:tc>
          <w:tcPr>
            <w:tcW w:w="3510" w:type="dxa"/>
            <w:tcBorders>
              <w:top w:val="nil"/>
              <w:left w:val="nil"/>
              <w:bottom w:val="single" w:sz="4" w:space="0" w:color="auto"/>
              <w:right w:val="nil"/>
            </w:tcBorders>
            <w:shd w:val="clear" w:color="auto" w:fill="auto"/>
            <w:noWrap/>
            <w:vAlign w:val="center"/>
            <w:hideMark/>
          </w:tcPr>
          <w:p w14:paraId="67C9DDAA" w14:textId="426A76CC" w:rsidR="00A36D35" w:rsidRPr="00CD3B2A" w:rsidRDefault="00A36D35" w:rsidP="00A46B68">
            <w:pPr>
              <w:spacing w:line="240" w:lineRule="auto"/>
              <w:ind w:left="144" w:firstLine="0"/>
              <w:rPr>
                <w:color w:val="000000"/>
              </w:rPr>
            </w:pPr>
            <w:r w:rsidRPr="00CD3B2A">
              <w:rPr>
                <w:i/>
                <w:iCs/>
                <w:color w:val="000000"/>
              </w:rPr>
              <w:t>Salegentibacter mishustinae</w:t>
            </w:r>
            <w:r w:rsidRPr="00CD3B2A">
              <w:rPr>
                <w:color w:val="000000"/>
              </w:rPr>
              <w:t xml:space="preserve"> DSM 23404</w:t>
            </w:r>
            <w:r>
              <w:rPr>
                <w:color w:val="000000"/>
              </w:rPr>
              <w:t xml:space="preserve"> (</w:t>
            </w:r>
            <w:r w:rsidRPr="00CD3B2A">
              <w:rPr>
                <w:color w:val="000000"/>
              </w:rPr>
              <w:t>GCA_003254095</w:t>
            </w:r>
            <w:r>
              <w:rPr>
                <w:color w:val="000000"/>
              </w:rPr>
              <w:t>)</w:t>
            </w:r>
          </w:p>
        </w:tc>
        <w:tc>
          <w:tcPr>
            <w:tcW w:w="2070" w:type="dxa"/>
            <w:tcBorders>
              <w:top w:val="nil"/>
              <w:left w:val="nil"/>
              <w:bottom w:val="single" w:sz="4" w:space="0" w:color="auto"/>
              <w:right w:val="nil"/>
            </w:tcBorders>
            <w:shd w:val="clear" w:color="auto" w:fill="auto"/>
            <w:noWrap/>
            <w:vAlign w:val="center"/>
            <w:hideMark/>
          </w:tcPr>
          <w:p w14:paraId="1530FB68"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single" w:sz="4" w:space="0" w:color="auto"/>
              <w:right w:val="nil"/>
            </w:tcBorders>
            <w:shd w:val="clear" w:color="auto" w:fill="auto"/>
            <w:noWrap/>
            <w:vAlign w:val="center"/>
            <w:hideMark/>
          </w:tcPr>
          <w:p w14:paraId="1329818D" w14:textId="7D154701" w:rsidR="00A36D35" w:rsidRPr="00CD3B2A" w:rsidRDefault="00A36D35" w:rsidP="00A46B68">
            <w:pPr>
              <w:spacing w:line="240" w:lineRule="auto"/>
              <w:ind w:firstLine="0"/>
              <w:jc w:val="center"/>
              <w:rPr>
                <w:color w:val="000000"/>
              </w:rPr>
            </w:pPr>
            <w:r w:rsidRPr="00CD3B2A">
              <w:rPr>
                <w:color w:val="000000"/>
              </w:rPr>
              <w:t>3</w:t>
            </w:r>
            <w:r>
              <w:rPr>
                <w:color w:val="000000"/>
              </w:rPr>
              <w:t>.8</w:t>
            </w:r>
          </w:p>
        </w:tc>
        <w:tc>
          <w:tcPr>
            <w:tcW w:w="827" w:type="dxa"/>
            <w:tcBorders>
              <w:top w:val="nil"/>
              <w:left w:val="nil"/>
              <w:bottom w:val="single" w:sz="4" w:space="0" w:color="auto"/>
              <w:right w:val="nil"/>
            </w:tcBorders>
            <w:shd w:val="clear" w:color="auto" w:fill="auto"/>
            <w:noWrap/>
            <w:vAlign w:val="center"/>
            <w:hideMark/>
          </w:tcPr>
          <w:p w14:paraId="3A5BBD9D" w14:textId="77777777" w:rsidR="00A36D35" w:rsidRPr="00CD3B2A" w:rsidRDefault="00A36D35" w:rsidP="00A46B68">
            <w:pPr>
              <w:spacing w:line="240" w:lineRule="auto"/>
              <w:ind w:firstLine="0"/>
              <w:jc w:val="center"/>
              <w:rPr>
                <w:color w:val="000000"/>
              </w:rPr>
            </w:pPr>
            <w:r w:rsidRPr="00CD3B2A">
              <w:rPr>
                <w:color w:val="000000"/>
              </w:rPr>
              <w:t>3358</w:t>
            </w:r>
          </w:p>
        </w:tc>
        <w:tc>
          <w:tcPr>
            <w:tcW w:w="935" w:type="dxa"/>
            <w:tcBorders>
              <w:top w:val="nil"/>
              <w:left w:val="nil"/>
              <w:bottom w:val="single" w:sz="4" w:space="0" w:color="auto"/>
              <w:right w:val="nil"/>
            </w:tcBorders>
            <w:shd w:val="clear" w:color="auto" w:fill="auto"/>
            <w:noWrap/>
            <w:vAlign w:val="center"/>
            <w:hideMark/>
          </w:tcPr>
          <w:p w14:paraId="6C85FD22" w14:textId="77777777" w:rsidR="00A36D35" w:rsidRPr="00CD3B2A" w:rsidRDefault="00A36D35" w:rsidP="00A46B68">
            <w:pPr>
              <w:spacing w:line="240" w:lineRule="auto"/>
              <w:ind w:firstLine="0"/>
              <w:jc w:val="center"/>
              <w:rPr>
                <w:color w:val="000000"/>
              </w:rPr>
            </w:pPr>
            <w:r w:rsidRPr="00CD3B2A">
              <w:rPr>
                <w:color w:val="000000"/>
              </w:rPr>
              <w:t>17.3</w:t>
            </w:r>
          </w:p>
        </w:tc>
      </w:tr>
      <w:tr w:rsidR="00A36D35" w:rsidRPr="004A7652" w14:paraId="5E880D77" w14:textId="77777777" w:rsidTr="00AB0D75">
        <w:trPr>
          <w:trHeight w:val="20"/>
        </w:trPr>
        <w:tc>
          <w:tcPr>
            <w:tcW w:w="3510" w:type="dxa"/>
            <w:tcBorders>
              <w:top w:val="single" w:sz="4" w:space="0" w:color="auto"/>
              <w:left w:val="nil"/>
              <w:bottom w:val="nil"/>
              <w:right w:val="nil"/>
            </w:tcBorders>
            <w:shd w:val="clear" w:color="auto" w:fill="auto"/>
            <w:noWrap/>
            <w:vAlign w:val="center"/>
            <w:hideMark/>
          </w:tcPr>
          <w:p w14:paraId="03BA5C57" w14:textId="1FD2056B" w:rsidR="00A36D35" w:rsidRPr="00CD3B2A" w:rsidRDefault="00A36D35" w:rsidP="00A46B68">
            <w:pPr>
              <w:spacing w:line="240" w:lineRule="auto"/>
              <w:ind w:left="144" w:firstLine="0"/>
              <w:rPr>
                <w:color w:val="000000"/>
              </w:rPr>
            </w:pPr>
            <w:r w:rsidRPr="00CD3B2A">
              <w:rPr>
                <w:i/>
                <w:iCs/>
                <w:color w:val="000000"/>
              </w:rPr>
              <w:t>Salinimicrobium marinum</w:t>
            </w:r>
            <w:r w:rsidRPr="00CD3B2A">
              <w:rPr>
                <w:color w:val="000000"/>
              </w:rPr>
              <w:t xml:space="preserve"> KCTC12719</w:t>
            </w:r>
            <w:r>
              <w:rPr>
                <w:color w:val="000000"/>
              </w:rPr>
              <w:t xml:space="preserve"> (</w:t>
            </w:r>
            <w:r w:rsidRPr="00CD3B2A">
              <w:rPr>
                <w:color w:val="000000"/>
              </w:rPr>
              <w:t>GCA_014651535</w:t>
            </w:r>
            <w:r>
              <w:rPr>
                <w:color w:val="000000"/>
              </w:rPr>
              <w:t>)</w:t>
            </w:r>
          </w:p>
        </w:tc>
        <w:tc>
          <w:tcPr>
            <w:tcW w:w="2070" w:type="dxa"/>
            <w:tcBorders>
              <w:top w:val="single" w:sz="4" w:space="0" w:color="auto"/>
              <w:left w:val="nil"/>
              <w:bottom w:val="nil"/>
              <w:right w:val="nil"/>
            </w:tcBorders>
            <w:shd w:val="clear" w:color="auto" w:fill="auto"/>
            <w:noWrap/>
            <w:vAlign w:val="center"/>
            <w:hideMark/>
          </w:tcPr>
          <w:p w14:paraId="6CEF59B6"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single" w:sz="4" w:space="0" w:color="auto"/>
              <w:left w:val="nil"/>
              <w:bottom w:val="nil"/>
              <w:right w:val="nil"/>
            </w:tcBorders>
            <w:shd w:val="clear" w:color="auto" w:fill="auto"/>
            <w:noWrap/>
            <w:vAlign w:val="center"/>
            <w:hideMark/>
          </w:tcPr>
          <w:p w14:paraId="3551952D" w14:textId="717B22EE" w:rsidR="00A36D35" w:rsidRPr="00CD3B2A" w:rsidRDefault="00A36D35" w:rsidP="00A46B68">
            <w:pPr>
              <w:spacing w:line="240" w:lineRule="auto"/>
              <w:ind w:firstLine="0"/>
              <w:jc w:val="center"/>
              <w:rPr>
                <w:color w:val="000000"/>
              </w:rPr>
            </w:pPr>
            <w:r w:rsidRPr="00CD3B2A">
              <w:rPr>
                <w:color w:val="000000"/>
              </w:rPr>
              <w:t>4</w:t>
            </w:r>
            <w:r>
              <w:rPr>
                <w:color w:val="000000"/>
              </w:rPr>
              <w:t>.2</w:t>
            </w:r>
          </w:p>
        </w:tc>
        <w:tc>
          <w:tcPr>
            <w:tcW w:w="827" w:type="dxa"/>
            <w:tcBorders>
              <w:top w:val="single" w:sz="4" w:space="0" w:color="auto"/>
              <w:left w:val="nil"/>
              <w:bottom w:val="nil"/>
              <w:right w:val="nil"/>
            </w:tcBorders>
            <w:shd w:val="clear" w:color="auto" w:fill="auto"/>
            <w:noWrap/>
            <w:vAlign w:val="center"/>
            <w:hideMark/>
          </w:tcPr>
          <w:p w14:paraId="15D4B525" w14:textId="77777777" w:rsidR="00A36D35" w:rsidRPr="00CD3B2A" w:rsidRDefault="00A36D35" w:rsidP="00A46B68">
            <w:pPr>
              <w:spacing w:line="240" w:lineRule="auto"/>
              <w:ind w:firstLine="0"/>
              <w:jc w:val="center"/>
              <w:rPr>
                <w:color w:val="000000"/>
              </w:rPr>
            </w:pPr>
            <w:r w:rsidRPr="00CD3B2A">
              <w:rPr>
                <w:color w:val="000000"/>
              </w:rPr>
              <w:t>3566</w:t>
            </w:r>
          </w:p>
        </w:tc>
        <w:tc>
          <w:tcPr>
            <w:tcW w:w="935" w:type="dxa"/>
            <w:tcBorders>
              <w:top w:val="single" w:sz="4" w:space="0" w:color="auto"/>
              <w:left w:val="nil"/>
              <w:bottom w:val="nil"/>
              <w:right w:val="nil"/>
            </w:tcBorders>
            <w:shd w:val="clear" w:color="auto" w:fill="auto"/>
            <w:noWrap/>
            <w:vAlign w:val="center"/>
            <w:hideMark/>
          </w:tcPr>
          <w:p w14:paraId="1C35FF18" w14:textId="77777777" w:rsidR="00A36D35" w:rsidRPr="00CD3B2A" w:rsidRDefault="00A36D35" w:rsidP="00A46B68">
            <w:pPr>
              <w:spacing w:line="240" w:lineRule="auto"/>
              <w:ind w:firstLine="0"/>
              <w:jc w:val="center"/>
              <w:rPr>
                <w:color w:val="000000"/>
              </w:rPr>
            </w:pPr>
            <w:r w:rsidRPr="00CD3B2A">
              <w:rPr>
                <w:color w:val="000000"/>
              </w:rPr>
              <w:t>19.3</w:t>
            </w:r>
          </w:p>
        </w:tc>
      </w:tr>
      <w:tr w:rsidR="00A36D35" w:rsidRPr="004A7652" w14:paraId="1DA41F72" w14:textId="77777777" w:rsidTr="00AB0D75">
        <w:trPr>
          <w:trHeight w:val="20"/>
        </w:trPr>
        <w:tc>
          <w:tcPr>
            <w:tcW w:w="3510" w:type="dxa"/>
            <w:tcBorders>
              <w:top w:val="nil"/>
              <w:left w:val="nil"/>
              <w:bottom w:val="nil"/>
              <w:right w:val="nil"/>
            </w:tcBorders>
            <w:shd w:val="clear" w:color="auto" w:fill="auto"/>
            <w:noWrap/>
            <w:vAlign w:val="center"/>
            <w:hideMark/>
          </w:tcPr>
          <w:p w14:paraId="24796E97" w14:textId="096E1C8E" w:rsidR="00A36D35" w:rsidRPr="00CD3B2A" w:rsidRDefault="00A36D35" w:rsidP="00A46B68">
            <w:pPr>
              <w:spacing w:line="240" w:lineRule="auto"/>
              <w:ind w:left="144" w:firstLine="0"/>
              <w:rPr>
                <w:color w:val="000000"/>
              </w:rPr>
            </w:pPr>
            <w:r w:rsidRPr="00CD3B2A">
              <w:rPr>
                <w:i/>
                <w:iCs/>
                <w:color w:val="000000"/>
              </w:rPr>
              <w:t xml:space="preserve">Salinimicrobium flavum </w:t>
            </w:r>
            <w:r w:rsidRPr="00CD3B2A">
              <w:rPr>
                <w:color w:val="000000"/>
              </w:rPr>
              <w:t>KCTC 42585</w:t>
            </w:r>
            <w:r>
              <w:rPr>
                <w:color w:val="000000"/>
              </w:rPr>
              <w:t xml:space="preserve"> (</w:t>
            </w:r>
            <w:r w:rsidRPr="00CD3B2A">
              <w:rPr>
                <w:color w:val="000000"/>
              </w:rPr>
              <w:t>GCA_042684505</w:t>
            </w:r>
            <w:r>
              <w:rPr>
                <w:color w:val="000000"/>
              </w:rPr>
              <w:t>)</w:t>
            </w:r>
          </w:p>
        </w:tc>
        <w:tc>
          <w:tcPr>
            <w:tcW w:w="2070" w:type="dxa"/>
            <w:tcBorders>
              <w:top w:val="nil"/>
              <w:left w:val="nil"/>
              <w:bottom w:val="nil"/>
              <w:right w:val="nil"/>
            </w:tcBorders>
            <w:shd w:val="clear" w:color="auto" w:fill="auto"/>
            <w:noWrap/>
            <w:vAlign w:val="center"/>
            <w:hideMark/>
          </w:tcPr>
          <w:p w14:paraId="1458897F"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nil"/>
              <w:right w:val="nil"/>
            </w:tcBorders>
            <w:shd w:val="clear" w:color="auto" w:fill="auto"/>
            <w:noWrap/>
            <w:vAlign w:val="center"/>
            <w:hideMark/>
          </w:tcPr>
          <w:p w14:paraId="239F9598" w14:textId="2C7D422E" w:rsidR="00A36D35" w:rsidRPr="00CD3B2A" w:rsidRDefault="00A36D35" w:rsidP="00A46B68">
            <w:pPr>
              <w:spacing w:line="240" w:lineRule="auto"/>
              <w:ind w:firstLine="0"/>
              <w:jc w:val="center"/>
              <w:rPr>
                <w:color w:val="000000"/>
              </w:rPr>
            </w:pPr>
            <w:r w:rsidRPr="00CD3B2A">
              <w:rPr>
                <w:color w:val="000000"/>
              </w:rPr>
              <w:t>3</w:t>
            </w:r>
            <w:r>
              <w:rPr>
                <w:color w:val="000000"/>
              </w:rPr>
              <w:t>.3</w:t>
            </w:r>
          </w:p>
        </w:tc>
        <w:tc>
          <w:tcPr>
            <w:tcW w:w="827" w:type="dxa"/>
            <w:tcBorders>
              <w:top w:val="nil"/>
              <w:left w:val="nil"/>
              <w:bottom w:val="nil"/>
              <w:right w:val="nil"/>
            </w:tcBorders>
            <w:shd w:val="clear" w:color="auto" w:fill="auto"/>
            <w:noWrap/>
            <w:vAlign w:val="center"/>
            <w:hideMark/>
          </w:tcPr>
          <w:p w14:paraId="3C3AB47F" w14:textId="77777777" w:rsidR="00A36D35" w:rsidRPr="00CD3B2A" w:rsidRDefault="00A36D35" w:rsidP="00A46B68">
            <w:pPr>
              <w:spacing w:line="240" w:lineRule="auto"/>
              <w:ind w:firstLine="0"/>
              <w:jc w:val="center"/>
              <w:rPr>
                <w:color w:val="000000"/>
              </w:rPr>
            </w:pPr>
            <w:r w:rsidRPr="00CD3B2A">
              <w:rPr>
                <w:color w:val="000000"/>
              </w:rPr>
              <w:t>3006</w:t>
            </w:r>
          </w:p>
        </w:tc>
        <w:tc>
          <w:tcPr>
            <w:tcW w:w="935" w:type="dxa"/>
            <w:tcBorders>
              <w:top w:val="nil"/>
              <w:left w:val="nil"/>
              <w:bottom w:val="nil"/>
              <w:right w:val="nil"/>
            </w:tcBorders>
            <w:shd w:val="clear" w:color="auto" w:fill="auto"/>
            <w:noWrap/>
            <w:vAlign w:val="center"/>
            <w:hideMark/>
          </w:tcPr>
          <w:p w14:paraId="332B4288" w14:textId="77777777" w:rsidR="00A36D35" w:rsidRPr="00CD3B2A" w:rsidRDefault="00A36D35" w:rsidP="00A46B68">
            <w:pPr>
              <w:spacing w:line="240" w:lineRule="auto"/>
              <w:ind w:firstLine="0"/>
              <w:jc w:val="center"/>
              <w:rPr>
                <w:color w:val="000000"/>
              </w:rPr>
            </w:pPr>
            <w:r w:rsidRPr="00CD3B2A">
              <w:rPr>
                <w:color w:val="000000"/>
              </w:rPr>
              <w:t>19</w:t>
            </w:r>
          </w:p>
        </w:tc>
      </w:tr>
      <w:tr w:rsidR="00A36D35" w:rsidRPr="004A7652" w14:paraId="5BD1BC27" w14:textId="77777777" w:rsidTr="00AB0D75">
        <w:trPr>
          <w:trHeight w:val="20"/>
        </w:trPr>
        <w:tc>
          <w:tcPr>
            <w:tcW w:w="3510" w:type="dxa"/>
            <w:tcBorders>
              <w:top w:val="nil"/>
              <w:left w:val="nil"/>
              <w:bottom w:val="nil"/>
              <w:right w:val="nil"/>
            </w:tcBorders>
            <w:shd w:val="clear" w:color="auto" w:fill="auto"/>
            <w:noWrap/>
            <w:vAlign w:val="center"/>
            <w:hideMark/>
          </w:tcPr>
          <w:p w14:paraId="3C570931" w14:textId="4625032C" w:rsidR="00A36D35" w:rsidRPr="00CD3B2A" w:rsidRDefault="00A36D35" w:rsidP="00A46B68">
            <w:pPr>
              <w:spacing w:line="240" w:lineRule="auto"/>
              <w:ind w:left="144" w:firstLine="0"/>
              <w:rPr>
                <w:color w:val="000000"/>
              </w:rPr>
            </w:pPr>
            <w:r w:rsidRPr="00CD3B2A">
              <w:rPr>
                <w:i/>
                <w:iCs/>
                <w:color w:val="000000"/>
              </w:rPr>
              <w:t xml:space="preserve">Salinimicrobium oceani </w:t>
            </w:r>
            <w:r w:rsidRPr="00CD3B2A">
              <w:rPr>
                <w:color w:val="000000"/>
              </w:rPr>
              <w:t>J15B91</w:t>
            </w:r>
            <w:r>
              <w:rPr>
                <w:color w:val="000000"/>
              </w:rPr>
              <w:t xml:space="preserve"> (</w:t>
            </w:r>
            <w:r w:rsidRPr="00CD3B2A">
              <w:rPr>
                <w:color w:val="000000"/>
              </w:rPr>
              <w:t>GCA_012037645</w:t>
            </w:r>
            <w:r>
              <w:rPr>
                <w:color w:val="000000"/>
              </w:rPr>
              <w:t>)</w:t>
            </w:r>
          </w:p>
        </w:tc>
        <w:tc>
          <w:tcPr>
            <w:tcW w:w="2070" w:type="dxa"/>
            <w:tcBorders>
              <w:top w:val="nil"/>
              <w:left w:val="nil"/>
              <w:bottom w:val="nil"/>
              <w:right w:val="nil"/>
            </w:tcBorders>
            <w:shd w:val="clear" w:color="auto" w:fill="auto"/>
            <w:noWrap/>
            <w:vAlign w:val="center"/>
            <w:hideMark/>
          </w:tcPr>
          <w:p w14:paraId="4B2952D3" w14:textId="77777777" w:rsidR="00A36D35" w:rsidRPr="00CD3B2A" w:rsidRDefault="00A36D35" w:rsidP="00A46B68">
            <w:pPr>
              <w:spacing w:line="240" w:lineRule="auto"/>
              <w:ind w:firstLine="0"/>
              <w:jc w:val="center"/>
              <w:rPr>
                <w:color w:val="000000"/>
              </w:rPr>
            </w:pPr>
            <w:r w:rsidRPr="00CD3B2A">
              <w:rPr>
                <w:color w:val="000000"/>
              </w:rPr>
              <w:t>Marine sediment, China</w:t>
            </w:r>
          </w:p>
        </w:tc>
        <w:tc>
          <w:tcPr>
            <w:tcW w:w="1260" w:type="dxa"/>
            <w:tcBorders>
              <w:top w:val="nil"/>
              <w:left w:val="nil"/>
              <w:bottom w:val="nil"/>
              <w:right w:val="nil"/>
            </w:tcBorders>
            <w:shd w:val="clear" w:color="auto" w:fill="auto"/>
            <w:noWrap/>
            <w:vAlign w:val="center"/>
            <w:hideMark/>
          </w:tcPr>
          <w:p w14:paraId="0B5B4FD5" w14:textId="441E5964" w:rsidR="00A36D35" w:rsidRPr="00CD3B2A" w:rsidRDefault="00A36D35" w:rsidP="00A46B68">
            <w:pPr>
              <w:spacing w:line="240" w:lineRule="auto"/>
              <w:ind w:firstLine="0"/>
              <w:jc w:val="center"/>
              <w:rPr>
                <w:color w:val="000000"/>
              </w:rPr>
            </w:pPr>
            <w:r w:rsidRPr="00CD3B2A">
              <w:rPr>
                <w:color w:val="000000"/>
              </w:rPr>
              <w:t>4</w:t>
            </w:r>
            <w:r>
              <w:rPr>
                <w:color w:val="000000"/>
              </w:rPr>
              <w:t>.0</w:t>
            </w:r>
          </w:p>
        </w:tc>
        <w:tc>
          <w:tcPr>
            <w:tcW w:w="827" w:type="dxa"/>
            <w:tcBorders>
              <w:top w:val="nil"/>
              <w:left w:val="nil"/>
              <w:bottom w:val="nil"/>
              <w:right w:val="nil"/>
            </w:tcBorders>
            <w:shd w:val="clear" w:color="auto" w:fill="auto"/>
            <w:noWrap/>
            <w:vAlign w:val="center"/>
            <w:hideMark/>
          </w:tcPr>
          <w:p w14:paraId="4912566D" w14:textId="77777777" w:rsidR="00A36D35" w:rsidRPr="00CD3B2A" w:rsidRDefault="00A36D35" w:rsidP="00A46B68">
            <w:pPr>
              <w:spacing w:line="240" w:lineRule="auto"/>
              <w:ind w:firstLine="0"/>
              <w:jc w:val="center"/>
              <w:rPr>
                <w:color w:val="000000"/>
              </w:rPr>
            </w:pPr>
            <w:r w:rsidRPr="00CD3B2A">
              <w:rPr>
                <w:color w:val="000000"/>
              </w:rPr>
              <w:t>4646</w:t>
            </w:r>
          </w:p>
        </w:tc>
        <w:tc>
          <w:tcPr>
            <w:tcW w:w="935" w:type="dxa"/>
            <w:tcBorders>
              <w:top w:val="nil"/>
              <w:left w:val="nil"/>
              <w:bottom w:val="nil"/>
              <w:right w:val="nil"/>
            </w:tcBorders>
            <w:shd w:val="clear" w:color="auto" w:fill="auto"/>
            <w:noWrap/>
            <w:vAlign w:val="center"/>
            <w:hideMark/>
          </w:tcPr>
          <w:p w14:paraId="5F8A6857" w14:textId="77777777" w:rsidR="00A36D35" w:rsidRPr="00CD3B2A" w:rsidRDefault="00A36D35" w:rsidP="00A46B68">
            <w:pPr>
              <w:spacing w:line="240" w:lineRule="auto"/>
              <w:ind w:firstLine="0"/>
              <w:jc w:val="center"/>
              <w:rPr>
                <w:color w:val="000000"/>
              </w:rPr>
            </w:pPr>
            <w:r w:rsidRPr="00CD3B2A">
              <w:rPr>
                <w:color w:val="000000"/>
              </w:rPr>
              <w:t>19</w:t>
            </w:r>
          </w:p>
        </w:tc>
      </w:tr>
      <w:tr w:rsidR="00A36D35" w:rsidRPr="004A7652" w14:paraId="410B1B9B" w14:textId="77777777" w:rsidTr="00AB0D75">
        <w:trPr>
          <w:trHeight w:val="20"/>
        </w:trPr>
        <w:tc>
          <w:tcPr>
            <w:tcW w:w="3510" w:type="dxa"/>
            <w:tcBorders>
              <w:top w:val="nil"/>
              <w:left w:val="nil"/>
              <w:bottom w:val="nil"/>
              <w:right w:val="nil"/>
            </w:tcBorders>
            <w:shd w:val="clear" w:color="auto" w:fill="auto"/>
            <w:noWrap/>
            <w:vAlign w:val="center"/>
            <w:hideMark/>
          </w:tcPr>
          <w:p w14:paraId="6C6B90FF" w14:textId="4C28AA2E" w:rsidR="00A36D35" w:rsidRPr="00CD3B2A" w:rsidRDefault="00A36D35" w:rsidP="00A36D35">
            <w:pPr>
              <w:spacing w:line="240" w:lineRule="auto"/>
              <w:ind w:left="144" w:firstLine="0"/>
              <w:rPr>
                <w:color w:val="000000"/>
              </w:rPr>
            </w:pPr>
            <w:r w:rsidRPr="00CD3B2A">
              <w:rPr>
                <w:i/>
                <w:iCs/>
                <w:color w:val="000000"/>
              </w:rPr>
              <w:t>Salinimicrobium tongyeongense</w:t>
            </w:r>
            <w:r w:rsidRPr="00CD3B2A">
              <w:rPr>
                <w:color w:val="000000"/>
              </w:rPr>
              <w:t xml:space="preserve"> HN-2-9-2T</w:t>
            </w:r>
            <w:r>
              <w:rPr>
                <w:color w:val="000000"/>
              </w:rPr>
              <w:t xml:space="preserve"> (</w:t>
            </w:r>
            <w:r w:rsidRPr="00CD3B2A">
              <w:rPr>
                <w:color w:val="000000"/>
              </w:rPr>
              <w:t>GCA_026109735</w:t>
            </w:r>
            <w:r>
              <w:rPr>
                <w:color w:val="000000"/>
              </w:rPr>
              <w:t>)</w:t>
            </w:r>
          </w:p>
        </w:tc>
        <w:tc>
          <w:tcPr>
            <w:tcW w:w="2070" w:type="dxa"/>
            <w:tcBorders>
              <w:top w:val="nil"/>
              <w:left w:val="nil"/>
              <w:bottom w:val="nil"/>
              <w:right w:val="nil"/>
            </w:tcBorders>
            <w:shd w:val="clear" w:color="auto" w:fill="auto"/>
            <w:noWrap/>
            <w:vAlign w:val="center"/>
            <w:hideMark/>
          </w:tcPr>
          <w:p w14:paraId="0FD7C022" w14:textId="77777777" w:rsidR="00A36D35" w:rsidRPr="00CD3B2A" w:rsidRDefault="00A36D35" w:rsidP="00A46B68">
            <w:pPr>
              <w:spacing w:line="240" w:lineRule="auto"/>
              <w:ind w:firstLine="0"/>
              <w:jc w:val="center"/>
              <w:rPr>
                <w:color w:val="000000"/>
              </w:rPr>
            </w:pPr>
            <w:r w:rsidRPr="00CD3B2A">
              <w:rPr>
                <w:color w:val="000000"/>
              </w:rPr>
              <w:t>Seawater, Korea</w:t>
            </w:r>
          </w:p>
        </w:tc>
        <w:tc>
          <w:tcPr>
            <w:tcW w:w="1260" w:type="dxa"/>
            <w:tcBorders>
              <w:top w:val="nil"/>
              <w:left w:val="nil"/>
              <w:bottom w:val="nil"/>
              <w:right w:val="nil"/>
            </w:tcBorders>
            <w:shd w:val="clear" w:color="auto" w:fill="auto"/>
            <w:noWrap/>
            <w:vAlign w:val="center"/>
            <w:hideMark/>
          </w:tcPr>
          <w:p w14:paraId="62F28DA0" w14:textId="35B0DBA8" w:rsidR="00A36D35" w:rsidRPr="00CD3B2A" w:rsidRDefault="00A36D35" w:rsidP="00A46B68">
            <w:pPr>
              <w:spacing w:line="240" w:lineRule="auto"/>
              <w:ind w:firstLine="0"/>
              <w:jc w:val="center"/>
              <w:rPr>
                <w:color w:val="000000"/>
              </w:rPr>
            </w:pPr>
            <w:r w:rsidRPr="00CD3B2A">
              <w:rPr>
                <w:color w:val="000000"/>
              </w:rPr>
              <w:t>3</w:t>
            </w:r>
            <w:r>
              <w:rPr>
                <w:color w:val="000000"/>
              </w:rPr>
              <w:t>.5</w:t>
            </w:r>
          </w:p>
        </w:tc>
        <w:tc>
          <w:tcPr>
            <w:tcW w:w="827" w:type="dxa"/>
            <w:tcBorders>
              <w:top w:val="nil"/>
              <w:left w:val="nil"/>
              <w:bottom w:val="nil"/>
              <w:right w:val="nil"/>
            </w:tcBorders>
            <w:shd w:val="clear" w:color="auto" w:fill="auto"/>
            <w:noWrap/>
            <w:vAlign w:val="center"/>
            <w:hideMark/>
          </w:tcPr>
          <w:p w14:paraId="0E301296" w14:textId="77777777" w:rsidR="00A36D35" w:rsidRPr="00CD3B2A" w:rsidRDefault="00A36D35" w:rsidP="00A46B68">
            <w:pPr>
              <w:spacing w:line="240" w:lineRule="auto"/>
              <w:ind w:firstLine="0"/>
              <w:jc w:val="center"/>
              <w:rPr>
                <w:color w:val="000000"/>
              </w:rPr>
            </w:pPr>
            <w:r w:rsidRPr="00CD3B2A">
              <w:rPr>
                <w:color w:val="000000"/>
              </w:rPr>
              <w:t>2984</w:t>
            </w:r>
          </w:p>
        </w:tc>
        <w:tc>
          <w:tcPr>
            <w:tcW w:w="935" w:type="dxa"/>
            <w:tcBorders>
              <w:top w:val="nil"/>
              <w:left w:val="nil"/>
              <w:bottom w:val="nil"/>
              <w:right w:val="nil"/>
            </w:tcBorders>
            <w:shd w:val="clear" w:color="auto" w:fill="auto"/>
            <w:noWrap/>
            <w:vAlign w:val="center"/>
            <w:hideMark/>
          </w:tcPr>
          <w:p w14:paraId="6545C7B3" w14:textId="77777777" w:rsidR="00A36D35" w:rsidRPr="00CD3B2A" w:rsidRDefault="00A36D35" w:rsidP="00A46B68">
            <w:pPr>
              <w:spacing w:line="240" w:lineRule="auto"/>
              <w:ind w:firstLine="0"/>
              <w:jc w:val="center"/>
              <w:rPr>
                <w:color w:val="000000"/>
              </w:rPr>
            </w:pPr>
            <w:r w:rsidRPr="00CD3B2A">
              <w:rPr>
                <w:color w:val="000000"/>
              </w:rPr>
              <w:t>18.7</w:t>
            </w:r>
          </w:p>
        </w:tc>
      </w:tr>
      <w:tr w:rsidR="00A36D35" w:rsidRPr="004A7652" w14:paraId="6B8938EF" w14:textId="77777777" w:rsidTr="00AB0D75">
        <w:trPr>
          <w:trHeight w:val="20"/>
        </w:trPr>
        <w:tc>
          <w:tcPr>
            <w:tcW w:w="3510" w:type="dxa"/>
            <w:tcBorders>
              <w:top w:val="nil"/>
              <w:left w:val="nil"/>
              <w:right w:val="nil"/>
            </w:tcBorders>
            <w:shd w:val="clear" w:color="auto" w:fill="auto"/>
            <w:noWrap/>
            <w:vAlign w:val="center"/>
            <w:hideMark/>
          </w:tcPr>
          <w:p w14:paraId="622EF3A1" w14:textId="006F2B46" w:rsidR="00A36D35" w:rsidRPr="00CD3B2A" w:rsidRDefault="00A36D35" w:rsidP="00A46B68">
            <w:pPr>
              <w:spacing w:line="240" w:lineRule="auto"/>
              <w:ind w:left="144" w:firstLine="0"/>
              <w:rPr>
                <w:color w:val="000000"/>
              </w:rPr>
            </w:pPr>
            <w:r w:rsidRPr="00CD3B2A">
              <w:rPr>
                <w:i/>
                <w:iCs/>
                <w:color w:val="000000"/>
              </w:rPr>
              <w:t>Salinimicrobium catena</w:t>
            </w:r>
            <w:r w:rsidRPr="00CD3B2A">
              <w:rPr>
                <w:color w:val="000000"/>
              </w:rPr>
              <w:t xml:space="preserve"> DSM 23553</w:t>
            </w:r>
            <w:r>
              <w:rPr>
                <w:color w:val="000000"/>
              </w:rPr>
              <w:t xml:space="preserve"> (</w:t>
            </w:r>
            <w:r w:rsidRPr="00CD3B2A">
              <w:rPr>
                <w:color w:val="000000"/>
              </w:rPr>
              <w:t>GCA_900107495</w:t>
            </w:r>
            <w:r>
              <w:rPr>
                <w:color w:val="000000"/>
              </w:rPr>
              <w:t>)</w:t>
            </w:r>
          </w:p>
        </w:tc>
        <w:tc>
          <w:tcPr>
            <w:tcW w:w="2070" w:type="dxa"/>
            <w:tcBorders>
              <w:top w:val="nil"/>
              <w:left w:val="nil"/>
              <w:right w:val="nil"/>
            </w:tcBorders>
            <w:shd w:val="clear" w:color="auto" w:fill="auto"/>
            <w:noWrap/>
            <w:vAlign w:val="center"/>
            <w:hideMark/>
          </w:tcPr>
          <w:p w14:paraId="0634F3A9"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right w:val="nil"/>
            </w:tcBorders>
            <w:shd w:val="clear" w:color="auto" w:fill="auto"/>
            <w:noWrap/>
            <w:vAlign w:val="center"/>
            <w:hideMark/>
          </w:tcPr>
          <w:p w14:paraId="387447F4" w14:textId="2EA34DFF" w:rsidR="00A36D35" w:rsidRPr="00CD3B2A" w:rsidRDefault="00A36D35" w:rsidP="00A46B68">
            <w:pPr>
              <w:spacing w:line="240" w:lineRule="auto"/>
              <w:ind w:firstLine="0"/>
              <w:jc w:val="center"/>
              <w:rPr>
                <w:color w:val="000000"/>
              </w:rPr>
            </w:pPr>
            <w:r w:rsidRPr="00CD3B2A">
              <w:rPr>
                <w:color w:val="000000"/>
              </w:rPr>
              <w:t>3</w:t>
            </w:r>
            <w:r>
              <w:rPr>
                <w:color w:val="000000"/>
              </w:rPr>
              <w:t>.3</w:t>
            </w:r>
          </w:p>
        </w:tc>
        <w:tc>
          <w:tcPr>
            <w:tcW w:w="827" w:type="dxa"/>
            <w:tcBorders>
              <w:top w:val="nil"/>
              <w:left w:val="nil"/>
              <w:right w:val="nil"/>
            </w:tcBorders>
            <w:shd w:val="clear" w:color="auto" w:fill="auto"/>
            <w:noWrap/>
            <w:vAlign w:val="center"/>
            <w:hideMark/>
          </w:tcPr>
          <w:p w14:paraId="5FF91FE6" w14:textId="77777777" w:rsidR="00A36D35" w:rsidRPr="00CD3B2A" w:rsidRDefault="00A36D35" w:rsidP="00A46B68">
            <w:pPr>
              <w:spacing w:line="240" w:lineRule="auto"/>
              <w:ind w:firstLine="0"/>
              <w:jc w:val="center"/>
              <w:rPr>
                <w:color w:val="000000"/>
              </w:rPr>
            </w:pPr>
            <w:r w:rsidRPr="00CD3B2A">
              <w:rPr>
                <w:color w:val="000000"/>
              </w:rPr>
              <w:t>2977</w:t>
            </w:r>
          </w:p>
        </w:tc>
        <w:tc>
          <w:tcPr>
            <w:tcW w:w="935" w:type="dxa"/>
            <w:tcBorders>
              <w:top w:val="nil"/>
              <w:left w:val="nil"/>
              <w:right w:val="nil"/>
            </w:tcBorders>
            <w:shd w:val="clear" w:color="auto" w:fill="auto"/>
            <w:noWrap/>
            <w:vAlign w:val="center"/>
            <w:hideMark/>
          </w:tcPr>
          <w:p w14:paraId="7349A699" w14:textId="77777777" w:rsidR="00A36D35" w:rsidRPr="00CD3B2A" w:rsidRDefault="00A36D35" w:rsidP="00A46B68">
            <w:pPr>
              <w:spacing w:line="240" w:lineRule="auto"/>
              <w:ind w:firstLine="0"/>
              <w:jc w:val="center"/>
              <w:rPr>
                <w:color w:val="000000"/>
              </w:rPr>
            </w:pPr>
            <w:r w:rsidRPr="00CD3B2A">
              <w:rPr>
                <w:color w:val="000000"/>
              </w:rPr>
              <w:t>17.7</w:t>
            </w:r>
          </w:p>
        </w:tc>
      </w:tr>
      <w:tr w:rsidR="00A36D35" w:rsidRPr="004A7652" w14:paraId="3A4C73E1" w14:textId="77777777" w:rsidTr="00AB0D75">
        <w:trPr>
          <w:trHeight w:val="20"/>
        </w:trPr>
        <w:tc>
          <w:tcPr>
            <w:tcW w:w="3510" w:type="dxa"/>
            <w:tcBorders>
              <w:top w:val="nil"/>
              <w:left w:val="nil"/>
              <w:bottom w:val="single" w:sz="4" w:space="0" w:color="auto"/>
              <w:right w:val="nil"/>
            </w:tcBorders>
            <w:shd w:val="clear" w:color="auto" w:fill="auto"/>
            <w:noWrap/>
            <w:vAlign w:val="center"/>
            <w:hideMark/>
          </w:tcPr>
          <w:p w14:paraId="0A5A24AF" w14:textId="5BB0619F" w:rsidR="00A36D35" w:rsidRPr="00CD3B2A" w:rsidRDefault="00A36D35" w:rsidP="00A46B68">
            <w:pPr>
              <w:spacing w:line="240" w:lineRule="auto"/>
              <w:ind w:left="144" w:firstLine="0"/>
              <w:rPr>
                <w:color w:val="000000"/>
              </w:rPr>
            </w:pPr>
            <w:r w:rsidRPr="00AB0D75">
              <w:rPr>
                <w:i/>
                <w:iCs/>
                <w:color w:val="000000"/>
              </w:rPr>
              <w:t>Salinimicrobium gaetbulicola</w:t>
            </w:r>
            <w:r w:rsidRPr="00CD3B2A">
              <w:rPr>
                <w:i/>
                <w:iCs/>
                <w:color w:val="000000"/>
              </w:rPr>
              <w:t xml:space="preserve"> </w:t>
            </w:r>
            <w:r w:rsidRPr="00CD3B2A">
              <w:rPr>
                <w:color w:val="000000"/>
              </w:rPr>
              <w:t>CCUG 60898</w:t>
            </w:r>
            <w:r>
              <w:rPr>
                <w:color w:val="000000"/>
              </w:rPr>
              <w:t xml:space="preserve"> </w:t>
            </w:r>
            <w:r w:rsidR="00AB0D75">
              <w:rPr>
                <w:color w:val="000000"/>
              </w:rPr>
              <w:t>(</w:t>
            </w:r>
            <w:r w:rsidRPr="00CD3B2A">
              <w:rPr>
                <w:color w:val="000000"/>
              </w:rPr>
              <w:t>GCA_042676025</w:t>
            </w:r>
            <w:r>
              <w:rPr>
                <w:color w:val="000000"/>
              </w:rPr>
              <w:t>)</w:t>
            </w:r>
          </w:p>
        </w:tc>
        <w:tc>
          <w:tcPr>
            <w:tcW w:w="2070" w:type="dxa"/>
            <w:tcBorders>
              <w:top w:val="nil"/>
              <w:left w:val="nil"/>
              <w:bottom w:val="single" w:sz="4" w:space="0" w:color="auto"/>
              <w:right w:val="nil"/>
            </w:tcBorders>
            <w:shd w:val="clear" w:color="auto" w:fill="auto"/>
            <w:noWrap/>
            <w:vAlign w:val="center"/>
            <w:hideMark/>
          </w:tcPr>
          <w:p w14:paraId="4A30D095"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nil"/>
              <w:left w:val="nil"/>
              <w:bottom w:val="single" w:sz="4" w:space="0" w:color="auto"/>
              <w:right w:val="nil"/>
            </w:tcBorders>
            <w:shd w:val="clear" w:color="auto" w:fill="auto"/>
            <w:noWrap/>
            <w:vAlign w:val="center"/>
            <w:hideMark/>
          </w:tcPr>
          <w:p w14:paraId="4DBEBEDE" w14:textId="5DC97250" w:rsidR="00A36D35" w:rsidRPr="00CD3B2A" w:rsidRDefault="00A36D35" w:rsidP="00A46B68">
            <w:pPr>
              <w:spacing w:line="240" w:lineRule="auto"/>
              <w:ind w:firstLine="0"/>
              <w:jc w:val="center"/>
              <w:rPr>
                <w:color w:val="000000"/>
              </w:rPr>
            </w:pPr>
            <w:r w:rsidRPr="00CD3B2A">
              <w:rPr>
                <w:color w:val="000000"/>
              </w:rPr>
              <w:t>3</w:t>
            </w:r>
            <w:r>
              <w:rPr>
                <w:color w:val="000000"/>
              </w:rPr>
              <w:t>.1</w:t>
            </w:r>
          </w:p>
        </w:tc>
        <w:tc>
          <w:tcPr>
            <w:tcW w:w="827" w:type="dxa"/>
            <w:tcBorders>
              <w:top w:val="nil"/>
              <w:left w:val="nil"/>
              <w:bottom w:val="single" w:sz="4" w:space="0" w:color="auto"/>
              <w:right w:val="nil"/>
            </w:tcBorders>
            <w:shd w:val="clear" w:color="auto" w:fill="auto"/>
            <w:noWrap/>
            <w:vAlign w:val="center"/>
            <w:hideMark/>
          </w:tcPr>
          <w:p w14:paraId="29AD2337" w14:textId="77777777" w:rsidR="00A36D35" w:rsidRPr="00CD3B2A" w:rsidRDefault="00A36D35" w:rsidP="00A46B68">
            <w:pPr>
              <w:spacing w:line="240" w:lineRule="auto"/>
              <w:ind w:firstLine="0"/>
              <w:jc w:val="center"/>
              <w:rPr>
                <w:color w:val="000000"/>
              </w:rPr>
            </w:pPr>
            <w:r w:rsidRPr="00CD3B2A">
              <w:rPr>
                <w:color w:val="000000"/>
              </w:rPr>
              <w:t>2867</w:t>
            </w:r>
          </w:p>
        </w:tc>
        <w:tc>
          <w:tcPr>
            <w:tcW w:w="935" w:type="dxa"/>
            <w:tcBorders>
              <w:top w:val="nil"/>
              <w:left w:val="nil"/>
              <w:bottom w:val="single" w:sz="4" w:space="0" w:color="auto"/>
              <w:right w:val="nil"/>
            </w:tcBorders>
            <w:shd w:val="clear" w:color="auto" w:fill="auto"/>
            <w:noWrap/>
            <w:vAlign w:val="center"/>
            <w:hideMark/>
          </w:tcPr>
          <w:p w14:paraId="722CC347" w14:textId="77777777" w:rsidR="00A36D35" w:rsidRPr="00CD3B2A" w:rsidRDefault="00A36D35" w:rsidP="00A46B68">
            <w:pPr>
              <w:spacing w:line="240" w:lineRule="auto"/>
              <w:ind w:firstLine="0"/>
              <w:jc w:val="center"/>
              <w:rPr>
                <w:color w:val="000000"/>
              </w:rPr>
            </w:pPr>
            <w:r w:rsidRPr="00CD3B2A">
              <w:rPr>
                <w:color w:val="000000"/>
              </w:rPr>
              <w:t>17.6</w:t>
            </w:r>
          </w:p>
        </w:tc>
      </w:tr>
      <w:tr w:rsidR="00A36D35" w:rsidRPr="004A7652" w14:paraId="37D9C9C8" w14:textId="77777777" w:rsidTr="00AB0D75">
        <w:trPr>
          <w:trHeight w:val="20"/>
        </w:trPr>
        <w:tc>
          <w:tcPr>
            <w:tcW w:w="3510" w:type="dxa"/>
            <w:tcBorders>
              <w:top w:val="single" w:sz="4" w:space="0" w:color="auto"/>
              <w:left w:val="nil"/>
              <w:bottom w:val="single" w:sz="4" w:space="0" w:color="auto"/>
              <w:right w:val="nil"/>
            </w:tcBorders>
            <w:shd w:val="clear" w:color="auto" w:fill="auto"/>
            <w:noWrap/>
            <w:vAlign w:val="center"/>
            <w:hideMark/>
          </w:tcPr>
          <w:p w14:paraId="22064699" w14:textId="6D9D8DC9" w:rsidR="00A36D35" w:rsidRPr="00CD3B2A" w:rsidRDefault="00A36D35" w:rsidP="00A46B68">
            <w:pPr>
              <w:spacing w:line="240" w:lineRule="auto"/>
              <w:ind w:left="144" w:firstLine="0"/>
              <w:rPr>
                <w:color w:val="000000"/>
              </w:rPr>
            </w:pPr>
            <w:r w:rsidRPr="00CD3B2A">
              <w:rPr>
                <w:i/>
                <w:iCs/>
                <w:color w:val="000000"/>
              </w:rPr>
              <w:t>Winogradskyella epiphytica</w:t>
            </w:r>
            <w:r w:rsidRPr="00CD3B2A">
              <w:rPr>
                <w:color w:val="000000"/>
              </w:rPr>
              <w:t xml:space="preserve"> KCTC 12220</w:t>
            </w:r>
            <w:r>
              <w:rPr>
                <w:color w:val="000000"/>
              </w:rPr>
              <w:t xml:space="preserve"> </w:t>
            </w:r>
            <w:r w:rsidRPr="00CD3B2A">
              <w:rPr>
                <w:color w:val="000000"/>
              </w:rPr>
              <w:t>GCA_014651315</w:t>
            </w:r>
            <w:r>
              <w:rPr>
                <w:color w:val="000000"/>
              </w:rPr>
              <w:t>)</w:t>
            </w:r>
          </w:p>
        </w:tc>
        <w:tc>
          <w:tcPr>
            <w:tcW w:w="2070" w:type="dxa"/>
            <w:tcBorders>
              <w:top w:val="single" w:sz="4" w:space="0" w:color="auto"/>
              <w:left w:val="nil"/>
              <w:bottom w:val="single" w:sz="4" w:space="0" w:color="auto"/>
              <w:right w:val="nil"/>
            </w:tcBorders>
            <w:shd w:val="clear" w:color="auto" w:fill="auto"/>
            <w:noWrap/>
            <w:vAlign w:val="center"/>
            <w:hideMark/>
          </w:tcPr>
          <w:p w14:paraId="549E1751" w14:textId="77777777" w:rsidR="00A36D35" w:rsidRPr="00CD3B2A" w:rsidRDefault="00A36D35" w:rsidP="00A46B68">
            <w:pPr>
              <w:spacing w:line="240" w:lineRule="auto"/>
              <w:ind w:firstLine="0"/>
              <w:jc w:val="center"/>
              <w:rPr>
                <w:color w:val="000000"/>
              </w:rPr>
            </w:pPr>
            <w:r w:rsidRPr="00CD3B2A">
              <w:rPr>
                <w:color w:val="000000"/>
              </w:rPr>
              <w:t>Not Provided</w:t>
            </w:r>
          </w:p>
        </w:tc>
        <w:tc>
          <w:tcPr>
            <w:tcW w:w="1260" w:type="dxa"/>
            <w:tcBorders>
              <w:top w:val="single" w:sz="4" w:space="0" w:color="auto"/>
              <w:left w:val="nil"/>
              <w:bottom w:val="single" w:sz="4" w:space="0" w:color="auto"/>
              <w:right w:val="nil"/>
            </w:tcBorders>
            <w:shd w:val="clear" w:color="auto" w:fill="auto"/>
            <w:noWrap/>
            <w:vAlign w:val="center"/>
            <w:hideMark/>
          </w:tcPr>
          <w:p w14:paraId="4FF165D4" w14:textId="71E6B269" w:rsidR="00A36D35" w:rsidRPr="00CD3B2A" w:rsidRDefault="00A36D35" w:rsidP="00A46B68">
            <w:pPr>
              <w:spacing w:line="240" w:lineRule="auto"/>
              <w:ind w:firstLine="0"/>
              <w:jc w:val="center"/>
              <w:rPr>
                <w:color w:val="000000"/>
              </w:rPr>
            </w:pPr>
            <w:r w:rsidRPr="00CD3B2A">
              <w:rPr>
                <w:color w:val="000000"/>
              </w:rPr>
              <w:t>3</w:t>
            </w:r>
            <w:r>
              <w:rPr>
                <w:color w:val="000000"/>
              </w:rPr>
              <w:t>.4</w:t>
            </w:r>
          </w:p>
        </w:tc>
        <w:tc>
          <w:tcPr>
            <w:tcW w:w="827" w:type="dxa"/>
            <w:tcBorders>
              <w:top w:val="single" w:sz="4" w:space="0" w:color="auto"/>
              <w:left w:val="nil"/>
              <w:bottom w:val="single" w:sz="4" w:space="0" w:color="auto"/>
              <w:right w:val="nil"/>
            </w:tcBorders>
            <w:shd w:val="clear" w:color="auto" w:fill="auto"/>
            <w:noWrap/>
            <w:vAlign w:val="center"/>
            <w:hideMark/>
          </w:tcPr>
          <w:p w14:paraId="7ADC42F7" w14:textId="77777777" w:rsidR="00A36D35" w:rsidRPr="00CD3B2A" w:rsidRDefault="00A36D35" w:rsidP="00A46B68">
            <w:pPr>
              <w:spacing w:line="240" w:lineRule="auto"/>
              <w:ind w:firstLine="0"/>
              <w:jc w:val="center"/>
              <w:rPr>
                <w:color w:val="000000"/>
              </w:rPr>
            </w:pPr>
            <w:r w:rsidRPr="00CD3B2A">
              <w:rPr>
                <w:color w:val="000000"/>
              </w:rPr>
              <w:t>2974</w:t>
            </w:r>
          </w:p>
        </w:tc>
        <w:tc>
          <w:tcPr>
            <w:tcW w:w="935" w:type="dxa"/>
            <w:tcBorders>
              <w:top w:val="single" w:sz="4" w:space="0" w:color="auto"/>
              <w:left w:val="nil"/>
              <w:bottom w:val="single" w:sz="4" w:space="0" w:color="auto"/>
              <w:right w:val="nil"/>
            </w:tcBorders>
            <w:shd w:val="clear" w:color="auto" w:fill="auto"/>
            <w:noWrap/>
            <w:vAlign w:val="center"/>
            <w:hideMark/>
          </w:tcPr>
          <w:p w14:paraId="6F01EC79" w14:textId="77777777" w:rsidR="00A36D35" w:rsidRPr="00CD3B2A" w:rsidRDefault="00A36D35" w:rsidP="00A46B68">
            <w:pPr>
              <w:spacing w:line="240" w:lineRule="auto"/>
              <w:ind w:firstLine="0"/>
              <w:jc w:val="center"/>
              <w:rPr>
                <w:color w:val="000000"/>
              </w:rPr>
            </w:pPr>
            <w:r w:rsidRPr="00CD3B2A">
              <w:rPr>
                <w:color w:val="000000"/>
              </w:rPr>
              <w:t>18.9</w:t>
            </w:r>
          </w:p>
        </w:tc>
      </w:tr>
      <w:tr w:rsidR="00A36D35" w:rsidRPr="004A7652" w14:paraId="0D97630C" w14:textId="77777777" w:rsidTr="00AB0D75">
        <w:trPr>
          <w:trHeight w:val="20"/>
        </w:trPr>
        <w:tc>
          <w:tcPr>
            <w:tcW w:w="3510" w:type="dxa"/>
            <w:tcBorders>
              <w:top w:val="single" w:sz="4" w:space="0" w:color="auto"/>
              <w:left w:val="nil"/>
              <w:bottom w:val="single" w:sz="4" w:space="0" w:color="auto"/>
              <w:right w:val="nil"/>
            </w:tcBorders>
            <w:shd w:val="clear" w:color="auto" w:fill="auto"/>
            <w:noWrap/>
            <w:vAlign w:val="center"/>
            <w:hideMark/>
          </w:tcPr>
          <w:p w14:paraId="736E8850" w14:textId="77777777" w:rsidR="00AB0D75" w:rsidRDefault="00A36D35" w:rsidP="00A46B68">
            <w:pPr>
              <w:spacing w:line="240" w:lineRule="auto"/>
              <w:ind w:left="144" w:firstLine="0"/>
              <w:rPr>
                <w:color w:val="000000"/>
              </w:rPr>
            </w:pPr>
            <w:r w:rsidRPr="00CD3B2A">
              <w:rPr>
                <w:i/>
                <w:iCs/>
                <w:color w:val="000000"/>
              </w:rPr>
              <w:t>Zunongwangia profunda</w:t>
            </w:r>
            <w:r w:rsidRPr="00CD3B2A">
              <w:rPr>
                <w:color w:val="000000"/>
              </w:rPr>
              <w:t xml:space="preserve"> </w:t>
            </w:r>
          </w:p>
          <w:p w14:paraId="391EBFD2" w14:textId="50554CC2" w:rsidR="00A36D35" w:rsidRPr="00CD3B2A" w:rsidRDefault="00A36D35" w:rsidP="00A46B68">
            <w:pPr>
              <w:spacing w:line="240" w:lineRule="auto"/>
              <w:ind w:left="144" w:firstLine="0"/>
              <w:rPr>
                <w:color w:val="000000"/>
              </w:rPr>
            </w:pPr>
            <w:r w:rsidRPr="00CD3B2A">
              <w:rPr>
                <w:color w:val="000000"/>
              </w:rPr>
              <w:t>SM-A87</w:t>
            </w:r>
            <w:r>
              <w:rPr>
                <w:color w:val="000000"/>
              </w:rPr>
              <w:t xml:space="preserve"> (</w:t>
            </w:r>
            <w:r w:rsidRPr="00CD3B2A">
              <w:rPr>
                <w:color w:val="000000"/>
              </w:rPr>
              <w:t>GCA_000023465</w:t>
            </w:r>
            <w:r>
              <w:rPr>
                <w:color w:val="000000"/>
              </w:rPr>
              <w:t>)</w:t>
            </w:r>
          </w:p>
        </w:tc>
        <w:tc>
          <w:tcPr>
            <w:tcW w:w="2070" w:type="dxa"/>
            <w:tcBorders>
              <w:top w:val="single" w:sz="4" w:space="0" w:color="auto"/>
              <w:left w:val="nil"/>
              <w:bottom w:val="single" w:sz="4" w:space="0" w:color="auto"/>
              <w:right w:val="nil"/>
            </w:tcBorders>
            <w:shd w:val="clear" w:color="auto" w:fill="auto"/>
            <w:noWrap/>
            <w:vAlign w:val="center"/>
            <w:hideMark/>
          </w:tcPr>
          <w:p w14:paraId="17FACD24" w14:textId="77777777" w:rsidR="00A36D35" w:rsidRPr="00CD3B2A" w:rsidRDefault="00A36D35" w:rsidP="00A46B68">
            <w:pPr>
              <w:spacing w:line="240" w:lineRule="auto"/>
              <w:ind w:firstLine="0"/>
              <w:jc w:val="center"/>
              <w:rPr>
                <w:color w:val="000000"/>
              </w:rPr>
            </w:pPr>
            <w:r w:rsidRPr="00CD3B2A">
              <w:rPr>
                <w:color w:val="000000"/>
              </w:rPr>
              <w:t>Deep sea sediment, East China Sea</w:t>
            </w:r>
          </w:p>
        </w:tc>
        <w:tc>
          <w:tcPr>
            <w:tcW w:w="1260" w:type="dxa"/>
            <w:tcBorders>
              <w:top w:val="single" w:sz="4" w:space="0" w:color="auto"/>
              <w:left w:val="nil"/>
              <w:bottom w:val="single" w:sz="4" w:space="0" w:color="auto"/>
              <w:right w:val="nil"/>
            </w:tcBorders>
            <w:shd w:val="clear" w:color="auto" w:fill="auto"/>
            <w:noWrap/>
            <w:vAlign w:val="center"/>
            <w:hideMark/>
          </w:tcPr>
          <w:p w14:paraId="0B9CA916" w14:textId="39262238" w:rsidR="00A36D35" w:rsidRPr="00CD3B2A" w:rsidRDefault="00A36D35" w:rsidP="00A46B68">
            <w:pPr>
              <w:spacing w:line="240" w:lineRule="auto"/>
              <w:ind w:firstLine="0"/>
              <w:jc w:val="center"/>
              <w:rPr>
                <w:color w:val="000000"/>
              </w:rPr>
            </w:pPr>
            <w:r w:rsidRPr="00CD3B2A">
              <w:rPr>
                <w:color w:val="000000"/>
              </w:rPr>
              <w:t>5</w:t>
            </w:r>
            <w:r>
              <w:rPr>
                <w:color w:val="000000"/>
              </w:rPr>
              <w:t>.1</w:t>
            </w:r>
          </w:p>
        </w:tc>
        <w:tc>
          <w:tcPr>
            <w:tcW w:w="827" w:type="dxa"/>
            <w:tcBorders>
              <w:top w:val="single" w:sz="4" w:space="0" w:color="auto"/>
              <w:left w:val="nil"/>
              <w:bottom w:val="single" w:sz="4" w:space="0" w:color="auto"/>
              <w:right w:val="nil"/>
            </w:tcBorders>
            <w:shd w:val="clear" w:color="auto" w:fill="auto"/>
            <w:noWrap/>
            <w:vAlign w:val="center"/>
            <w:hideMark/>
          </w:tcPr>
          <w:p w14:paraId="140F5DA7" w14:textId="77777777" w:rsidR="00A36D35" w:rsidRPr="00CD3B2A" w:rsidRDefault="00A36D35" w:rsidP="00A46B68">
            <w:pPr>
              <w:spacing w:line="240" w:lineRule="auto"/>
              <w:ind w:firstLine="0"/>
              <w:jc w:val="center"/>
              <w:rPr>
                <w:color w:val="000000"/>
              </w:rPr>
            </w:pPr>
            <w:r w:rsidRPr="00CD3B2A">
              <w:rPr>
                <w:color w:val="000000"/>
              </w:rPr>
              <w:t>4653</w:t>
            </w:r>
          </w:p>
        </w:tc>
        <w:tc>
          <w:tcPr>
            <w:tcW w:w="935" w:type="dxa"/>
            <w:tcBorders>
              <w:top w:val="single" w:sz="4" w:space="0" w:color="auto"/>
              <w:left w:val="nil"/>
              <w:bottom w:val="single" w:sz="4" w:space="0" w:color="auto"/>
              <w:right w:val="nil"/>
            </w:tcBorders>
            <w:shd w:val="clear" w:color="auto" w:fill="auto"/>
            <w:noWrap/>
            <w:vAlign w:val="center"/>
            <w:hideMark/>
          </w:tcPr>
          <w:p w14:paraId="2C888D09" w14:textId="77777777" w:rsidR="00A36D35" w:rsidRPr="00CD3B2A" w:rsidRDefault="00A36D35" w:rsidP="00A46B68">
            <w:pPr>
              <w:spacing w:line="240" w:lineRule="auto"/>
              <w:ind w:firstLine="0"/>
              <w:jc w:val="center"/>
              <w:rPr>
                <w:color w:val="000000"/>
              </w:rPr>
            </w:pPr>
            <w:r w:rsidRPr="00CD3B2A">
              <w:rPr>
                <w:color w:val="000000"/>
              </w:rPr>
              <w:t>20.1</w:t>
            </w:r>
          </w:p>
        </w:tc>
      </w:tr>
    </w:tbl>
    <w:p w14:paraId="03BF6F7F" w14:textId="77777777" w:rsidR="00A46B68" w:rsidRDefault="00A46B68" w:rsidP="00A46B68">
      <w:pPr>
        <w:spacing w:line="240" w:lineRule="auto"/>
        <w:ind w:firstLine="0"/>
      </w:pPr>
    </w:p>
    <w:p w14:paraId="495EE434" w14:textId="77777777" w:rsidR="00A36D35" w:rsidRDefault="00A36D35">
      <w:pPr>
        <w:spacing w:line="240" w:lineRule="auto"/>
        <w:ind w:firstLine="0"/>
        <w:rPr>
          <w:b/>
          <w:bCs/>
          <w:iCs/>
          <w:color w:val="000000" w:themeColor="text1"/>
          <w:szCs w:val="22"/>
        </w:rPr>
      </w:pPr>
      <w:r>
        <w:br w:type="page"/>
      </w:r>
    </w:p>
    <w:p w14:paraId="62250E16" w14:textId="4FB248F5" w:rsidR="00A46B68" w:rsidRDefault="00A46B68" w:rsidP="00F13F6D">
      <w:pPr>
        <w:pStyle w:val="Caption"/>
      </w:pPr>
      <w:bookmarkStart w:id="184" w:name="_Toc193668458"/>
      <w:r>
        <w:lastRenderedPageBreak/>
        <w:t xml:space="preserve">Table </w:t>
      </w:r>
      <w:fldSimple w:instr=" STYLEREF 1 \s ">
        <w:r w:rsidR="00971287">
          <w:rPr>
            <w:noProof/>
          </w:rPr>
          <w:t>3</w:t>
        </w:r>
      </w:fldSimple>
      <w:r>
        <w:t>.</w:t>
      </w:r>
      <w:fldSimple w:instr=" SEQ Table \* ARABIC \s 1 ">
        <w:r w:rsidR="00971287">
          <w:rPr>
            <w:noProof/>
          </w:rPr>
          <w:t>7</w:t>
        </w:r>
      </w:fldSimple>
      <w:r>
        <w:t>. Libraries utilized in MDV amplicon survey.</w:t>
      </w:r>
      <w:bookmarkEnd w:id="184"/>
    </w:p>
    <w:tbl>
      <w:tblPr>
        <w:tblStyle w:val="TableGrid"/>
        <w:tblW w:w="8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6"/>
        <w:gridCol w:w="3006"/>
        <w:gridCol w:w="1176"/>
        <w:gridCol w:w="1427"/>
      </w:tblGrid>
      <w:tr w:rsidR="00A46B68" w14:paraId="414FF402" w14:textId="77777777" w:rsidTr="00AB0D75">
        <w:trPr>
          <w:trHeight w:val="318"/>
        </w:trPr>
        <w:tc>
          <w:tcPr>
            <w:tcW w:w="3036" w:type="dxa"/>
            <w:tcBorders>
              <w:top w:val="single" w:sz="4" w:space="0" w:color="auto"/>
              <w:bottom w:val="single" w:sz="4" w:space="0" w:color="auto"/>
            </w:tcBorders>
            <w:vAlign w:val="bottom"/>
          </w:tcPr>
          <w:p w14:paraId="429A4F9D" w14:textId="77777777" w:rsidR="00A46B68" w:rsidRPr="002D0F06" w:rsidRDefault="00A46B68" w:rsidP="00A46B68">
            <w:pPr>
              <w:spacing w:line="240" w:lineRule="auto"/>
              <w:ind w:firstLine="0"/>
              <w:rPr>
                <w:b/>
                <w:bCs/>
              </w:rPr>
            </w:pPr>
            <w:r w:rsidRPr="002D0F06">
              <w:rPr>
                <w:b/>
                <w:bCs/>
              </w:rPr>
              <w:t>Study</w:t>
            </w:r>
          </w:p>
        </w:tc>
        <w:tc>
          <w:tcPr>
            <w:tcW w:w="3043" w:type="dxa"/>
            <w:tcBorders>
              <w:top w:val="single" w:sz="4" w:space="0" w:color="auto"/>
              <w:bottom w:val="single" w:sz="4" w:space="0" w:color="auto"/>
            </w:tcBorders>
            <w:vAlign w:val="bottom"/>
          </w:tcPr>
          <w:p w14:paraId="34ED09E9" w14:textId="77777777" w:rsidR="00A46B68" w:rsidRPr="002D0F06" w:rsidRDefault="00A46B68" w:rsidP="00A46B68">
            <w:pPr>
              <w:spacing w:line="240" w:lineRule="auto"/>
              <w:ind w:firstLine="0"/>
              <w:jc w:val="center"/>
              <w:rPr>
                <w:b/>
                <w:bCs/>
              </w:rPr>
            </w:pPr>
            <w:r w:rsidRPr="002D0F06">
              <w:rPr>
                <w:b/>
                <w:bCs/>
              </w:rPr>
              <w:t>Sampling Region</w:t>
            </w:r>
          </w:p>
        </w:tc>
        <w:tc>
          <w:tcPr>
            <w:tcW w:w="1093" w:type="dxa"/>
            <w:tcBorders>
              <w:top w:val="single" w:sz="4" w:space="0" w:color="auto"/>
              <w:bottom w:val="single" w:sz="4" w:space="0" w:color="auto"/>
            </w:tcBorders>
            <w:vAlign w:val="bottom"/>
          </w:tcPr>
          <w:p w14:paraId="04A1FB40" w14:textId="77777777" w:rsidR="00A46B68" w:rsidRPr="002D0F06" w:rsidRDefault="00A46B68" w:rsidP="00A46B68">
            <w:pPr>
              <w:spacing w:line="240" w:lineRule="auto"/>
              <w:ind w:firstLine="0"/>
              <w:jc w:val="center"/>
              <w:rPr>
                <w:b/>
                <w:bCs/>
              </w:rPr>
            </w:pPr>
            <w:r w:rsidRPr="002D0F06">
              <w:rPr>
                <w:b/>
                <w:bCs/>
              </w:rPr>
              <w:t>Libraries</w:t>
            </w:r>
          </w:p>
        </w:tc>
        <w:tc>
          <w:tcPr>
            <w:tcW w:w="1433" w:type="dxa"/>
            <w:tcBorders>
              <w:top w:val="single" w:sz="4" w:space="0" w:color="auto"/>
              <w:bottom w:val="single" w:sz="4" w:space="0" w:color="auto"/>
            </w:tcBorders>
            <w:vAlign w:val="bottom"/>
          </w:tcPr>
          <w:p w14:paraId="5530844A" w14:textId="77777777" w:rsidR="00A46B68" w:rsidRPr="002D0F06" w:rsidRDefault="00A46B68" w:rsidP="00A46B68">
            <w:pPr>
              <w:spacing w:line="240" w:lineRule="auto"/>
              <w:ind w:firstLine="0"/>
              <w:jc w:val="center"/>
              <w:rPr>
                <w:b/>
                <w:bCs/>
              </w:rPr>
            </w:pPr>
            <w:r w:rsidRPr="002D0F06">
              <w:rPr>
                <w:b/>
                <w:bCs/>
              </w:rPr>
              <w:t xml:space="preserve">Libraries with </w:t>
            </w:r>
            <w:r w:rsidRPr="002D0F06">
              <w:rPr>
                <w:b/>
                <w:bCs/>
                <w:i/>
                <w:iCs/>
              </w:rPr>
              <w:t xml:space="preserve">Gillisia </w:t>
            </w:r>
            <w:r w:rsidRPr="002D0F06">
              <w:rPr>
                <w:b/>
                <w:bCs/>
              </w:rPr>
              <w:t>hits</w:t>
            </w:r>
          </w:p>
        </w:tc>
      </w:tr>
      <w:tr w:rsidR="00A46B68" w14:paraId="2085E131" w14:textId="77777777" w:rsidTr="00AB0D75">
        <w:trPr>
          <w:trHeight w:val="559"/>
        </w:trPr>
        <w:tc>
          <w:tcPr>
            <w:tcW w:w="3036" w:type="dxa"/>
            <w:tcBorders>
              <w:top w:val="single" w:sz="4" w:space="0" w:color="auto"/>
            </w:tcBorders>
            <w:vAlign w:val="center"/>
          </w:tcPr>
          <w:p w14:paraId="3350C47F" w14:textId="77777777" w:rsidR="00A46B68" w:rsidRDefault="00A46B68" w:rsidP="00A46B68">
            <w:pPr>
              <w:spacing w:line="240" w:lineRule="auto"/>
              <w:ind w:firstLine="0"/>
            </w:pPr>
            <w:r w:rsidRPr="00DB47B0">
              <w:t>Campen et al., 2019</w:t>
            </w:r>
          </w:p>
        </w:tc>
        <w:tc>
          <w:tcPr>
            <w:tcW w:w="3043" w:type="dxa"/>
            <w:tcBorders>
              <w:top w:val="single" w:sz="4" w:space="0" w:color="auto"/>
            </w:tcBorders>
            <w:vAlign w:val="center"/>
          </w:tcPr>
          <w:p w14:paraId="3C8F18D3" w14:textId="77777777" w:rsidR="00A46B68" w:rsidRDefault="00A46B68" w:rsidP="00A46B68">
            <w:pPr>
              <w:spacing w:line="240" w:lineRule="auto"/>
              <w:ind w:firstLine="0"/>
              <w:jc w:val="center"/>
            </w:pPr>
            <w:r>
              <w:t>Blood Falls (Taylor Valley)</w:t>
            </w:r>
          </w:p>
        </w:tc>
        <w:tc>
          <w:tcPr>
            <w:tcW w:w="1093" w:type="dxa"/>
            <w:tcBorders>
              <w:top w:val="single" w:sz="4" w:space="0" w:color="auto"/>
            </w:tcBorders>
            <w:vAlign w:val="center"/>
          </w:tcPr>
          <w:p w14:paraId="58B82494" w14:textId="77777777" w:rsidR="00A46B68" w:rsidRDefault="00A46B68" w:rsidP="00A46B68">
            <w:pPr>
              <w:spacing w:line="240" w:lineRule="auto"/>
              <w:ind w:firstLine="0"/>
              <w:jc w:val="center"/>
            </w:pPr>
            <w:r w:rsidRPr="0081408F">
              <w:t>12</w:t>
            </w:r>
          </w:p>
        </w:tc>
        <w:tc>
          <w:tcPr>
            <w:tcW w:w="1433" w:type="dxa"/>
            <w:tcBorders>
              <w:top w:val="single" w:sz="4" w:space="0" w:color="auto"/>
            </w:tcBorders>
            <w:vAlign w:val="center"/>
          </w:tcPr>
          <w:p w14:paraId="2B601802" w14:textId="77777777" w:rsidR="00A46B68" w:rsidRDefault="00A46B68" w:rsidP="00A46B68">
            <w:pPr>
              <w:spacing w:line="240" w:lineRule="auto"/>
              <w:ind w:firstLine="0"/>
              <w:jc w:val="center"/>
            </w:pPr>
            <w:r>
              <w:t>10</w:t>
            </w:r>
          </w:p>
        </w:tc>
      </w:tr>
      <w:tr w:rsidR="00A46B68" w14:paraId="4646A2F8" w14:textId="77777777" w:rsidTr="00AB0D75">
        <w:trPr>
          <w:trHeight w:val="559"/>
        </w:trPr>
        <w:tc>
          <w:tcPr>
            <w:tcW w:w="3036" w:type="dxa"/>
            <w:vAlign w:val="center"/>
          </w:tcPr>
          <w:p w14:paraId="4B1CCDD2" w14:textId="77777777" w:rsidR="00A46B68" w:rsidRDefault="00A46B68" w:rsidP="00A46B68">
            <w:pPr>
              <w:spacing w:line="240" w:lineRule="auto"/>
              <w:ind w:firstLine="0"/>
            </w:pPr>
            <w:r w:rsidRPr="00DB47B0">
              <w:t>Doyle and Christner, 2022</w:t>
            </w:r>
          </w:p>
        </w:tc>
        <w:tc>
          <w:tcPr>
            <w:tcW w:w="3043" w:type="dxa"/>
            <w:vAlign w:val="center"/>
          </w:tcPr>
          <w:p w14:paraId="2B10D3E5" w14:textId="77777777" w:rsidR="00A46B68" w:rsidRDefault="00A46B68" w:rsidP="00A46B68">
            <w:pPr>
              <w:spacing w:line="240" w:lineRule="auto"/>
              <w:ind w:firstLine="0"/>
              <w:jc w:val="center"/>
            </w:pPr>
            <w:r>
              <w:t>Taylor Glacier (Taylor)</w:t>
            </w:r>
          </w:p>
        </w:tc>
        <w:tc>
          <w:tcPr>
            <w:tcW w:w="1093" w:type="dxa"/>
            <w:vAlign w:val="center"/>
          </w:tcPr>
          <w:p w14:paraId="3F9DD388" w14:textId="77777777" w:rsidR="00A46B68" w:rsidRDefault="00A46B68" w:rsidP="00A46B68">
            <w:pPr>
              <w:spacing w:line="240" w:lineRule="auto"/>
              <w:ind w:firstLine="0"/>
              <w:jc w:val="center"/>
            </w:pPr>
            <w:r w:rsidRPr="0081408F">
              <w:t>6</w:t>
            </w:r>
          </w:p>
        </w:tc>
        <w:tc>
          <w:tcPr>
            <w:tcW w:w="1433" w:type="dxa"/>
            <w:vAlign w:val="center"/>
          </w:tcPr>
          <w:p w14:paraId="24C8CBFE" w14:textId="77777777" w:rsidR="00A46B68" w:rsidRDefault="00A46B68" w:rsidP="00A46B68">
            <w:pPr>
              <w:spacing w:line="240" w:lineRule="auto"/>
              <w:ind w:firstLine="0"/>
              <w:jc w:val="center"/>
            </w:pPr>
            <w:r>
              <w:t>3</w:t>
            </w:r>
          </w:p>
        </w:tc>
      </w:tr>
      <w:tr w:rsidR="00A46B68" w14:paraId="6EEC6286" w14:textId="77777777" w:rsidTr="00AB0D75">
        <w:trPr>
          <w:trHeight w:val="559"/>
        </w:trPr>
        <w:tc>
          <w:tcPr>
            <w:tcW w:w="3036" w:type="dxa"/>
            <w:vAlign w:val="center"/>
          </w:tcPr>
          <w:p w14:paraId="1EE6D9D0" w14:textId="77777777" w:rsidR="00A46B68" w:rsidRDefault="00A46B68" w:rsidP="00A46B68">
            <w:pPr>
              <w:spacing w:line="240" w:lineRule="auto"/>
              <w:ind w:firstLine="0"/>
            </w:pPr>
            <w:r w:rsidRPr="00DB47B0">
              <w:t>Geyer et al., 2014</w:t>
            </w:r>
          </w:p>
        </w:tc>
        <w:tc>
          <w:tcPr>
            <w:tcW w:w="3043" w:type="dxa"/>
            <w:vAlign w:val="center"/>
          </w:tcPr>
          <w:p w14:paraId="193ED29D" w14:textId="77777777" w:rsidR="00A46B68" w:rsidRDefault="00A46B68" w:rsidP="00A46B68">
            <w:pPr>
              <w:spacing w:line="240" w:lineRule="auto"/>
              <w:ind w:firstLine="0"/>
              <w:jc w:val="center"/>
            </w:pPr>
            <w:r>
              <w:t>Taylor and Wright Valleys</w:t>
            </w:r>
          </w:p>
        </w:tc>
        <w:tc>
          <w:tcPr>
            <w:tcW w:w="1093" w:type="dxa"/>
            <w:vAlign w:val="center"/>
          </w:tcPr>
          <w:p w14:paraId="1A22808B" w14:textId="77777777" w:rsidR="00A46B68" w:rsidRDefault="00A46B68" w:rsidP="00A46B68">
            <w:pPr>
              <w:spacing w:line="240" w:lineRule="auto"/>
              <w:ind w:firstLine="0"/>
              <w:jc w:val="center"/>
            </w:pPr>
            <w:r w:rsidRPr="0081408F">
              <w:t>10</w:t>
            </w:r>
          </w:p>
        </w:tc>
        <w:tc>
          <w:tcPr>
            <w:tcW w:w="1433" w:type="dxa"/>
            <w:vAlign w:val="center"/>
          </w:tcPr>
          <w:p w14:paraId="38AA0E1E" w14:textId="77777777" w:rsidR="00A46B68" w:rsidRDefault="00A46B68" w:rsidP="00A46B68">
            <w:pPr>
              <w:spacing w:line="240" w:lineRule="auto"/>
              <w:ind w:firstLine="0"/>
              <w:jc w:val="center"/>
            </w:pPr>
            <w:r>
              <w:t>4</w:t>
            </w:r>
          </w:p>
        </w:tc>
      </w:tr>
      <w:tr w:rsidR="00A46B68" w14:paraId="497D6652" w14:textId="77777777" w:rsidTr="00AB0D75">
        <w:trPr>
          <w:trHeight w:val="559"/>
        </w:trPr>
        <w:tc>
          <w:tcPr>
            <w:tcW w:w="3036" w:type="dxa"/>
            <w:vAlign w:val="center"/>
          </w:tcPr>
          <w:p w14:paraId="7D8C8F69" w14:textId="77777777" w:rsidR="00A46B68" w:rsidRDefault="00A46B68" w:rsidP="00A46B68">
            <w:pPr>
              <w:spacing w:line="240" w:lineRule="auto"/>
              <w:ind w:firstLine="0"/>
            </w:pPr>
            <w:r w:rsidRPr="00DB47B0">
              <w:t>Goordial et al., 2016</w:t>
            </w:r>
          </w:p>
        </w:tc>
        <w:tc>
          <w:tcPr>
            <w:tcW w:w="3043" w:type="dxa"/>
            <w:vAlign w:val="center"/>
          </w:tcPr>
          <w:p w14:paraId="14669C2B" w14:textId="77777777" w:rsidR="00A46B68" w:rsidRDefault="00A46B68" w:rsidP="00A46B68">
            <w:pPr>
              <w:spacing w:line="240" w:lineRule="auto"/>
              <w:ind w:firstLine="0"/>
              <w:jc w:val="center"/>
            </w:pPr>
            <w:r>
              <w:t>University Valley</w:t>
            </w:r>
          </w:p>
        </w:tc>
        <w:tc>
          <w:tcPr>
            <w:tcW w:w="1093" w:type="dxa"/>
            <w:vAlign w:val="center"/>
          </w:tcPr>
          <w:p w14:paraId="3F81DC30" w14:textId="77777777" w:rsidR="00A46B68" w:rsidRDefault="00A46B68" w:rsidP="00A46B68">
            <w:pPr>
              <w:spacing w:line="240" w:lineRule="auto"/>
              <w:ind w:firstLine="0"/>
              <w:jc w:val="center"/>
            </w:pPr>
            <w:r w:rsidRPr="0081408F">
              <w:t>12</w:t>
            </w:r>
          </w:p>
        </w:tc>
        <w:tc>
          <w:tcPr>
            <w:tcW w:w="1433" w:type="dxa"/>
            <w:vAlign w:val="center"/>
          </w:tcPr>
          <w:p w14:paraId="73E8EA9C" w14:textId="77777777" w:rsidR="00A46B68" w:rsidRDefault="00A46B68" w:rsidP="00A46B68">
            <w:pPr>
              <w:spacing w:line="240" w:lineRule="auto"/>
              <w:ind w:firstLine="0"/>
              <w:jc w:val="center"/>
            </w:pPr>
            <w:r>
              <w:t>0</w:t>
            </w:r>
          </w:p>
        </w:tc>
      </w:tr>
      <w:tr w:rsidR="00A46B68" w14:paraId="184DDB73" w14:textId="77777777" w:rsidTr="00AB0D75">
        <w:trPr>
          <w:trHeight w:val="559"/>
        </w:trPr>
        <w:tc>
          <w:tcPr>
            <w:tcW w:w="3036" w:type="dxa"/>
            <w:vAlign w:val="center"/>
          </w:tcPr>
          <w:p w14:paraId="6ACB372C" w14:textId="77777777" w:rsidR="00A46B68" w:rsidRDefault="00A46B68" w:rsidP="00A46B68">
            <w:pPr>
              <w:spacing w:line="240" w:lineRule="auto"/>
              <w:ind w:firstLine="0"/>
            </w:pPr>
            <w:r w:rsidRPr="00DB47B0">
              <w:t>Jackson et al., 2022</w:t>
            </w:r>
          </w:p>
        </w:tc>
        <w:tc>
          <w:tcPr>
            <w:tcW w:w="3043" w:type="dxa"/>
            <w:vAlign w:val="center"/>
          </w:tcPr>
          <w:p w14:paraId="11107598" w14:textId="77777777" w:rsidR="00A46B68" w:rsidRDefault="00A46B68" w:rsidP="00A46B68">
            <w:pPr>
              <w:spacing w:line="240" w:lineRule="auto"/>
              <w:ind w:firstLine="0"/>
              <w:jc w:val="center"/>
            </w:pPr>
            <w:r>
              <w:t>Whole-MDV survey</w:t>
            </w:r>
          </w:p>
        </w:tc>
        <w:tc>
          <w:tcPr>
            <w:tcW w:w="1093" w:type="dxa"/>
            <w:vAlign w:val="center"/>
          </w:tcPr>
          <w:p w14:paraId="3F7BFD32" w14:textId="77777777" w:rsidR="00A46B68" w:rsidRDefault="00A46B68" w:rsidP="00A46B68">
            <w:pPr>
              <w:spacing w:line="240" w:lineRule="auto"/>
              <w:ind w:firstLine="0"/>
              <w:jc w:val="center"/>
            </w:pPr>
            <w:r w:rsidRPr="0081408F">
              <w:t>7</w:t>
            </w:r>
          </w:p>
        </w:tc>
        <w:tc>
          <w:tcPr>
            <w:tcW w:w="1433" w:type="dxa"/>
            <w:vAlign w:val="center"/>
          </w:tcPr>
          <w:p w14:paraId="12AD2AC1" w14:textId="77777777" w:rsidR="00A46B68" w:rsidRDefault="00A46B68" w:rsidP="00A46B68">
            <w:pPr>
              <w:spacing w:line="240" w:lineRule="auto"/>
              <w:ind w:firstLine="0"/>
              <w:jc w:val="center"/>
            </w:pPr>
            <w:r>
              <w:t>4</w:t>
            </w:r>
          </w:p>
        </w:tc>
      </w:tr>
      <w:tr w:rsidR="00A46B68" w14:paraId="7847AD5B" w14:textId="77777777" w:rsidTr="00AB0D75">
        <w:trPr>
          <w:trHeight w:val="559"/>
        </w:trPr>
        <w:tc>
          <w:tcPr>
            <w:tcW w:w="3036" w:type="dxa"/>
            <w:vAlign w:val="center"/>
          </w:tcPr>
          <w:p w14:paraId="7DE87A21" w14:textId="77777777" w:rsidR="00A46B68" w:rsidRDefault="00A46B68" w:rsidP="00A46B68">
            <w:pPr>
              <w:spacing w:line="240" w:lineRule="auto"/>
              <w:ind w:firstLine="0"/>
            </w:pPr>
            <w:r w:rsidRPr="00DB47B0">
              <w:t>Jiang et al., 2022</w:t>
            </w:r>
          </w:p>
        </w:tc>
        <w:tc>
          <w:tcPr>
            <w:tcW w:w="3043" w:type="dxa"/>
            <w:vAlign w:val="center"/>
          </w:tcPr>
          <w:p w14:paraId="5AA23C66" w14:textId="77777777" w:rsidR="00A46B68" w:rsidRDefault="00A46B68" w:rsidP="00A46B68">
            <w:pPr>
              <w:spacing w:line="240" w:lineRule="auto"/>
              <w:ind w:firstLine="0"/>
              <w:jc w:val="center"/>
            </w:pPr>
            <w:r>
              <w:t>Bull Pass</w:t>
            </w:r>
          </w:p>
        </w:tc>
        <w:tc>
          <w:tcPr>
            <w:tcW w:w="1093" w:type="dxa"/>
            <w:vAlign w:val="center"/>
          </w:tcPr>
          <w:p w14:paraId="1CF3EB00" w14:textId="77777777" w:rsidR="00A46B68" w:rsidRDefault="00A46B68" w:rsidP="00A46B68">
            <w:pPr>
              <w:spacing w:line="240" w:lineRule="auto"/>
              <w:ind w:firstLine="0"/>
              <w:jc w:val="center"/>
            </w:pPr>
            <w:r w:rsidRPr="0081408F">
              <w:t>101</w:t>
            </w:r>
          </w:p>
        </w:tc>
        <w:tc>
          <w:tcPr>
            <w:tcW w:w="1433" w:type="dxa"/>
            <w:vAlign w:val="center"/>
          </w:tcPr>
          <w:p w14:paraId="548B1F96" w14:textId="77777777" w:rsidR="00A46B68" w:rsidRDefault="00A46B68" w:rsidP="00A46B68">
            <w:pPr>
              <w:spacing w:line="240" w:lineRule="auto"/>
              <w:ind w:firstLine="0"/>
              <w:jc w:val="center"/>
            </w:pPr>
            <w:r>
              <w:t>2</w:t>
            </w:r>
          </w:p>
        </w:tc>
      </w:tr>
      <w:tr w:rsidR="00A46B68" w14:paraId="4F42BB14" w14:textId="77777777" w:rsidTr="00AB0D75">
        <w:trPr>
          <w:trHeight w:val="559"/>
        </w:trPr>
        <w:tc>
          <w:tcPr>
            <w:tcW w:w="3036" w:type="dxa"/>
            <w:vAlign w:val="center"/>
          </w:tcPr>
          <w:p w14:paraId="70D28387" w14:textId="77777777" w:rsidR="00A46B68" w:rsidRDefault="00A46B68" w:rsidP="00A46B68">
            <w:pPr>
              <w:spacing w:line="240" w:lineRule="auto"/>
              <w:ind w:firstLine="0"/>
            </w:pPr>
            <w:r w:rsidRPr="00DB47B0">
              <w:t>Kleinteich et al., 2017</w:t>
            </w:r>
          </w:p>
        </w:tc>
        <w:tc>
          <w:tcPr>
            <w:tcW w:w="3043" w:type="dxa"/>
            <w:vAlign w:val="center"/>
          </w:tcPr>
          <w:p w14:paraId="570CBB77" w14:textId="77777777" w:rsidR="00A46B68" w:rsidRDefault="00A46B68" w:rsidP="00A46B68">
            <w:pPr>
              <w:spacing w:line="240" w:lineRule="auto"/>
              <w:ind w:firstLine="0"/>
              <w:jc w:val="center"/>
            </w:pPr>
            <w:r>
              <w:t>Miers and Koettlitz</w:t>
            </w:r>
          </w:p>
        </w:tc>
        <w:tc>
          <w:tcPr>
            <w:tcW w:w="1093" w:type="dxa"/>
            <w:vAlign w:val="center"/>
          </w:tcPr>
          <w:p w14:paraId="1E80B3F3" w14:textId="77777777" w:rsidR="00A46B68" w:rsidRDefault="00A46B68" w:rsidP="00A46B68">
            <w:pPr>
              <w:spacing w:line="240" w:lineRule="auto"/>
              <w:ind w:firstLine="0"/>
              <w:jc w:val="center"/>
            </w:pPr>
            <w:r w:rsidRPr="0081408F">
              <w:t>21</w:t>
            </w:r>
          </w:p>
        </w:tc>
        <w:tc>
          <w:tcPr>
            <w:tcW w:w="1433" w:type="dxa"/>
            <w:vAlign w:val="center"/>
          </w:tcPr>
          <w:p w14:paraId="4A844473" w14:textId="77777777" w:rsidR="00A46B68" w:rsidRDefault="00A46B68" w:rsidP="00A46B68">
            <w:pPr>
              <w:spacing w:line="240" w:lineRule="auto"/>
              <w:ind w:firstLine="0"/>
              <w:jc w:val="center"/>
            </w:pPr>
            <w:r>
              <w:t>0</w:t>
            </w:r>
          </w:p>
        </w:tc>
      </w:tr>
      <w:tr w:rsidR="00A46B68" w14:paraId="1425F06E" w14:textId="77777777" w:rsidTr="00AB0D75">
        <w:trPr>
          <w:trHeight w:val="559"/>
        </w:trPr>
        <w:tc>
          <w:tcPr>
            <w:tcW w:w="3036" w:type="dxa"/>
            <w:vAlign w:val="center"/>
          </w:tcPr>
          <w:p w14:paraId="4E0FDD29" w14:textId="77777777" w:rsidR="00A46B68" w:rsidRDefault="00A46B68" w:rsidP="00A46B68">
            <w:pPr>
              <w:spacing w:line="240" w:lineRule="auto"/>
              <w:ind w:firstLine="0"/>
            </w:pPr>
            <w:r>
              <w:t xml:space="preserve">Mikucki et al., </w:t>
            </w:r>
            <w:r>
              <w:rPr>
                <w:i/>
                <w:iCs/>
              </w:rPr>
              <w:t>in prep</w:t>
            </w:r>
          </w:p>
        </w:tc>
        <w:tc>
          <w:tcPr>
            <w:tcW w:w="3043" w:type="dxa"/>
            <w:vAlign w:val="center"/>
          </w:tcPr>
          <w:p w14:paraId="51A44124" w14:textId="77777777" w:rsidR="00A46B68" w:rsidRDefault="00A46B68" w:rsidP="00A46B68">
            <w:pPr>
              <w:spacing w:line="240" w:lineRule="auto"/>
              <w:ind w:firstLine="0"/>
              <w:jc w:val="center"/>
            </w:pPr>
            <w:r>
              <w:t>Don Juan Pond (Wright Valley)</w:t>
            </w:r>
          </w:p>
        </w:tc>
        <w:tc>
          <w:tcPr>
            <w:tcW w:w="1093" w:type="dxa"/>
            <w:vAlign w:val="center"/>
          </w:tcPr>
          <w:p w14:paraId="2563D45A" w14:textId="77777777" w:rsidR="00A46B68" w:rsidRPr="0081408F" w:rsidRDefault="00A46B68" w:rsidP="00A46B68">
            <w:pPr>
              <w:spacing w:line="240" w:lineRule="auto"/>
              <w:ind w:firstLine="0"/>
              <w:jc w:val="center"/>
            </w:pPr>
            <w:r w:rsidRPr="0081408F">
              <w:t>4</w:t>
            </w:r>
          </w:p>
        </w:tc>
        <w:tc>
          <w:tcPr>
            <w:tcW w:w="1433" w:type="dxa"/>
            <w:vAlign w:val="center"/>
          </w:tcPr>
          <w:p w14:paraId="01D6451C" w14:textId="77777777" w:rsidR="00A46B68" w:rsidRDefault="00A46B68" w:rsidP="00A46B68">
            <w:pPr>
              <w:spacing w:line="240" w:lineRule="auto"/>
              <w:ind w:firstLine="0"/>
              <w:jc w:val="center"/>
            </w:pPr>
            <w:r>
              <w:t>1</w:t>
            </w:r>
          </w:p>
        </w:tc>
      </w:tr>
      <w:tr w:rsidR="00A46B68" w14:paraId="2BD3B1B3" w14:textId="77777777" w:rsidTr="00AB0D75">
        <w:trPr>
          <w:trHeight w:val="559"/>
        </w:trPr>
        <w:tc>
          <w:tcPr>
            <w:tcW w:w="3036" w:type="dxa"/>
            <w:vAlign w:val="center"/>
          </w:tcPr>
          <w:p w14:paraId="0E857AB7" w14:textId="77777777" w:rsidR="00A46B68" w:rsidRDefault="00A46B68" w:rsidP="00A46B68">
            <w:pPr>
              <w:spacing w:line="240" w:lineRule="auto"/>
              <w:ind w:firstLine="0"/>
            </w:pPr>
            <w:r w:rsidRPr="00DB47B0">
              <w:t>Solon et al., 2021</w:t>
            </w:r>
          </w:p>
        </w:tc>
        <w:tc>
          <w:tcPr>
            <w:tcW w:w="3043" w:type="dxa"/>
            <w:vAlign w:val="center"/>
          </w:tcPr>
          <w:p w14:paraId="31C1854A" w14:textId="77777777" w:rsidR="00A46B68" w:rsidRDefault="00A46B68" w:rsidP="00A46B68">
            <w:pPr>
              <w:spacing w:line="240" w:lineRule="auto"/>
              <w:ind w:firstLine="0"/>
              <w:jc w:val="center"/>
            </w:pPr>
            <w:r>
              <w:t>Canada Peak (Taylor Valley)</w:t>
            </w:r>
          </w:p>
        </w:tc>
        <w:tc>
          <w:tcPr>
            <w:tcW w:w="1093" w:type="dxa"/>
            <w:vAlign w:val="center"/>
          </w:tcPr>
          <w:p w14:paraId="6823344F" w14:textId="77777777" w:rsidR="00A46B68" w:rsidRDefault="00A46B68" w:rsidP="00A46B68">
            <w:pPr>
              <w:spacing w:line="240" w:lineRule="auto"/>
              <w:ind w:firstLine="0"/>
              <w:jc w:val="center"/>
            </w:pPr>
            <w:r w:rsidRPr="0081408F">
              <w:t>19</w:t>
            </w:r>
          </w:p>
        </w:tc>
        <w:tc>
          <w:tcPr>
            <w:tcW w:w="1433" w:type="dxa"/>
            <w:vAlign w:val="center"/>
          </w:tcPr>
          <w:p w14:paraId="299A9F08" w14:textId="77777777" w:rsidR="00A46B68" w:rsidRDefault="00A46B68" w:rsidP="00A46B68">
            <w:pPr>
              <w:spacing w:line="240" w:lineRule="auto"/>
              <w:ind w:firstLine="0"/>
              <w:jc w:val="center"/>
            </w:pPr>
            <w:r>
              <w:t>0</w:t>
            </w:r>
          </w:p>
        </w:tc>
      </w:tr>
      <w:tr w:rsidR="00A46B68" w14:paraId="47A6BF59" w14:textId="77777777" w:rsidTr="00AB0D75">
        <w:trPr>
          <w:trHeight w:val="559"/>
        </w:trPr>
        <w:tc>
          <w:tcPr>
            <w:tcW w:w="3036" w:type="dxa"/>
            <w:vAlign w:val="center"/>
          </w:tcPr>
          <w:p w14:paraId="7354F7EA" w14:textId="77777777" w:rsidR="00A46B68" w:rsidRDefault="00A46B68" w:rsidP="00A46B68">
            <w:pPr>
              <w:spacing w:line="240" w:lineRule="auto"/>
              <w:ind w:firstLine="0"/>
            </w:pPr>
            <w:r w:rsidRPr="00DB47B0">
              <w:t>Van Horn et al., 2013</w:t>
            </w:r>
          </w:p>
        </w:tc>
        <w:tc>
          <w:tcPr>
            <w:tcW w:w="3043" w:type="dxa"/>
            <w:vAlign w:val="center"/>
          </w:tcPr>
          <w:p w14:paraId="1DB7CEAF" w14:textId="77777777" w:rsidR="00A46B68" w:rsidRDefault="00A46B68" w:rsidP="00A46B68">
            <w:pPr>
              <w:spacing w:line="240" w:lineRule="auto"/>
              <w:ind w:firstLine="0"/>
              <w:jc w:val="center"/>
            </w:pPr>
            <w:r>
              <w:t>Taylor and Wright Valleys</w:t>
            </w:r>
          </w:p>
        </w:tc>
        <w:tc>
          <w:tcPr>
            <w:tcW w:w="1093" w:type="dxa"/>
            <w:vAlign w:val="center"/>
          </w:tcPr>
          <w:p w14:paraId="2F80E106" w14:textId="77777777" w:rsidR="00A46B68" w:rsidRDefault="00A46B68" w:rsidP="00A46B68">
            <w:pPr>
              <w:spacing w:line="240" w:lineRule="auto"/>
              <w:ind w:firstLine="0"/>
              <w:jc w:val="center"/>
            </w:pPr>
            <w:r w:rsidRPr="0081408F">
              <w:t>44</w:t>
            </w:r>
          </w:p>
        </w:tc>
        <w:tc>
          <w:tcPr>
            <w:tcW w:w="1433" w:type="dxa"/>
            <w:vAlign w:val="center"/>
          </w:tcPr>
          <w:p w14:paraId="7E4567A9" w14:textId="77777777" w:rsidR="00A46B68" w:rsidRDefault="00A46B68" w:rsidP="00A46B68">
            <w:pPr>
              <w:spacing w:line="240" w:lineRule="auto"/>
              <w:ind w:firstLine="0"/>
              <w:jc w:val="center"/>
            </w:pPr>
            <w:r>
              <w:t>2</w:t>
            </w:r>
          </w:p>
        </w:tc>
      </w:tr>
      <w:tr w:rsidR="00A46B68" w14:paraId="66503915" w14:textId="77777777" w:rsidTr="00AB0D75">
        <w:trPr>
          <w:trHeight w:val="559"/>
        </w:trPr>
        <w:tc>
          <w:tcPr>
            <w:tcW w:w="3036" w:type="dxa"/>
            <w:vAlign w:val="center"/>
          </w:tcPr>
          <w:p w14:paraId="63078409" w14:textId="77777777" w:rsidR="00A46B68" w:rsidRDefault="00A46B68" w:rsidP="00A46B68">
            <w:pPr>
              <w:spacing w:line="240" w:lineRule="auto"/>
              <w:ind w:firstLine="0"/>
            </w:pPr>
            <w:r w:rsidRPr="00DB47B0">
              <w:t>Van Horn et al., 2014</w:t>
            </w:r>
          </w:p>
        </w:tc>
        <w:tc>
          <w:tcPr>
            <w:tcW w:w="3043" w:type="dxa"/>
            <w:vAlign w:val="center"/>
          </w:tcPr>
          <w:p w14:paraId="32612AC8" w14:textId="77777777" w:rsidR="00A46B68" w:rsidRDefault="00A46B68" w:rsidP="00A46B68">
            <w:pPr>
              <w:spacing w:line="240" w:lineRule="auto"/>
              <w:ind w:firstLine="0"/>
              <w:jc w:val="center"/>
            </w:pPr>
            <w:r>
              <w:t>Fryxell basin (Taylor Valley) – amendment study</w:t>
            </w:r>
          </w:p>
        </w:tc>
        <w:tc>
          <w:tcPr>
            <w:tcW w:w="1093" w:type="dxa"/>
            <w:vAlign w:val="center"/>
          </w:tcPr>
          <w:p w14:paraId="54B30881" w14:textId="77777777" w:rsidR="00A46B68" w:rsidRDefault="00A46B68" w:rsidP="00A46B68">
            <w:pPr>
              <w:spacing w:line="240" w:lineRule="auto"/>
              <w:ind w:firstLine="0"/>
              <w:jc w:val="center"/>
            </w:pPr>
            <w:r w:rsidRPr="0081408F">
              <w:t>88</w:t>
            </w:r>
          </w:p>
        </w:tc>
        <w:tc>
          <w:tcPr>
            <w:tcW w:w="1433" w:type="dxa"/>
            <w:vAlign w:val="center"/>
          </w:tcPr>
          <w:p w14:paraId="735A327F" w14:textId="77777777" w:rsidR="00A46B68" w:rsidRDefault="00A46B68" w:rsidP="00A46B68">
            <w:pPr>
              <w:spacing w:line="240" w:lineRule="auto"/>
              <w:ind w:firstLine="0"/>
              <w:jc w:val="center"/>
            </w:pPr>
            <w:r>
              <w:t>15</w:t>
            </w:r>
          </w:p>
        </w:tc>
      </w:tr>
      <w:tr w:rsidR="00A46B68" w14:paraId="4348D07F" w14:textId="77777777" w:rsidTr="00AB0D75">
        <w:trPr>
          <w:trHeight w:val="559"/>
        </w:trPr>
        <w:tc>
          <w:tcPr>
            <w:tcW w:w="3036" w:type="dxa"/>
            <w:tcBorders>
              <w:bottom w:val="single" w:sz="4" w:space="0" w:color="auto"/>
            </w:tcBorders>
            <w:vAlign w:val="center"/>
          </w:tcPr>
          <w:p w14:paraId="2EAAB9B7" w14:textId="77777777" w:rsidR="00A46B68" w:rsidRDefault="00A46B68" w:rsidP="00A46B68">
            <w:pPr>
              <w:spacing w:line="240" w:lineRule="auto"/>
              <w:ind w:firstLine="0"/>
            </w:pPr>
            <w:r w:rsidRPr="00DB47B0">
              <w:t>Vick-Majors et al., 2014</w:t>
            </w:r>
          </w:p>
        </w:tc>
        <w:tc>
          <w:tcPr>
            <w:tcW w:w="3043" w:type="dxa"/>
            <w:tcBorders>
              <w:bottom w:val="single" w:sz="4" w:space="0" w:color="auto"/>
            </w:tcBorders>
            <w:vAlign w:val="center"/>
          </w:tcPr>
          <w:p w14:paraId="66A36836" w14:textId="77777777" w:rsidR="00A46B68" w:rsidRDefault="00A46B68" w:rsidP="00A46B68">
            <w:pPr>
              <w:spacing w:line="240" w:lineRule="auto"/>
              <w:ind w:firstLine="0"/>
              <w:jc w:val="center"/>
            </w:pPr>
            <w:r>
              <w:t>Bonney and Fryxell lake columns (Taylor Valley)</w:t>
            </w:r>
          </w:p>
        </w:tc>
        <w:tc>
          <w:tcPr>
            <w:tcW w:w="1093" w:type="dxa"/>
            <w:tcBorders>
              <w:bottom w:val="single" w:sz="4" w:space="0" w:color="auto"/>
            </w:tcBorders>
            <w:vAlign w:val="center"/>
          </w:tcPr>
          <w:p w14:paraId="25E1CB71" w14:textId="77777777" w:rsidR="00A46B68" w:rsidRDefault="00A46B68" w:rsidP="00A46B68">
            <w:pPr>
              <w:spacing w:line="240" w:lineRule="auto"/>
              <w:ind w:firstLine="0"/>
              <w:jc w:val="center"/>
            </w:pPr>
            <w:r w:rsidRPr="0081408F">
              <w:t>36</w:t>
            </w:r>
          </w:p>
        </w:tc>
        <w:tc>
          <w:tcPr>
            <w:tcW w:w="1433" w:type="dxa"/>
            <w:tcBorders>
              <w:bottom w:val="single" w:sz="4" w:space="0" w:color="auto"/>
            </w:tcBorders>
            <w:vAlign w:val="center"/>
          </w:tcPr>
          <w:p w14:paraId="62467023" w14:textId="77777777" w:rsidR="00A46B68" w:rsidRDefault="00A46B68" w:rsidP="00A46B68">
            <w:pPr>
              <w:spacing w:line="240" w:lineRule="auto"/>
              <w:ind w:firstLine="0"/>
              <w:jc w:val="center"/>
            </w:pPr>
            <w:r>
              <w:t>0</w:t>
            </w:r>
          </w:p>
        </w:tc>
      </w:tr>
    </w:tbl>
    <w:p w14:paraId="5B73738C" w14:textId="77777777" w:rsidR="00A46B68" w:rsidRDefault="00A46B68" w:rsidP="00A46B68">
      <w:pPr>
        <w:spacing w:line="240" w:lineRule="auto"/>
        <w:ind w:firstLine="0"/>
      </w:pPr>
    </w:p>
    <w:p w14:paraId="7724B2C6" w14:textId="2E4CAD93" w:rsidR="00A46B68" w:rsidRDefault="00A46B68" w:rsidP="00A46B68">
      <w:pPr>
        <w:spacing w:line="240" w:lineRule="auto"/>
        <w:ind w:firstLine="0"/>
      </w:pPr>
      <w:r>
        <w:br w:type="page"/>
      </w:r>
    </w:p>
    <w:bookmarkStart w:id="185" w:name="_Toc193668459"/>
    <w:p w14:paraId="55EB4BDE" w14:textId="14F4C872" w:rsidR="00A46B68" w:rsidRDefault="00AB0D75" w:rsidP="00F13F6D">
      <w:pPr>
        <w:pStyle w:val="Caption"/>
      </w:pPr>
      <w:r>
        <w:rPr>
          <w:noProof/>
        </w:rPr>
        <w:lastRenderedPageBreak/>
        <mc:AlternateContent>
          <mc:Choice Requires="wps">
            <w:drawing>
              <wp:anchor distT="0" distB="0" distL="114300" distR="114300" simplePos="0" relativeHeight="251746304" behindDoc="0" locked="0" layoutInCell="1" allowOverlap="1" wp14:anchorId="79BCE34D" wp14:editId="1C2D9C73">
                <wp:simplePos x="0" y="0"/>
                <wp:positionH relativeFrom="column">
                  <wp:posOffset>11317</wp:posOffset>
                </wp:positionH>
                <wp:positionV relativeFrom="paragraph">
                  <wp:posOffset>543208</wp:posOffset>
                </wp:positionV>
                <wp:extent cx="1753262" cy="139210"/>
                <wp:effectExtent l="0" t="0" r="18415" b="15240"/>
                <wp:wrapNone/>
                <wp:docPr id="49922676" name="Rectangle 23"/>
                <wp:cNvGraphicFramePr/>
                <a:graphic xmlns:a="http://schemas.openxmlformats.org/drawingml/2006/main">
                  <a:graphicData uri="http://schemas.microsoft.com/office/word/2010/wordprocessingShape">
                    <wps:wsp>
                      <wps:cNvSpPr/>
                      <wps:spPr>
                        <a:xfrm>
                          <a:off x="0" y="0"/>
                          <a:ext cx="1753262" cy="13921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CF2C31" id="Rectangle 23" o:spid="_x0000_s1026" style="position:absolute;margin-left:.9pt;margin-top:42.75pt;width:138.05pt;height:10.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" fillcolor="white [3212]" strokecolor="white [3212]" strokeweight="2pt"/>
            </w:pict>
          </mc:Fallback>
        </mc:AlternateContent>
      </w:r>
      <w:r w:rsidR="00A46B68">
        <w:t xml:space="preserve">Table </w:t>
      </w:r>
      <w:fldSimple w:instr=" STYLEREF 1 \s ">
        <w:r w:rsidR="00971287">
          <w:rPr>
            <w:noProof/>
          </w:rPr>
          <w:t>3</w:t>
        </w:r>
      </w:fldSimple>
      <w:r w:rsidR="00A46B68">
        <w:t>.</w:t>
      </w:r>
      <w:fldSimple w:instr=" SEQ Table \* ARABIC \s 1 ">
        <w:r w:rsidR="00971287">
          <w:rPr>
            <w:noProof/>
          </w:rPr>
          <w:t>8</w:t>
        </w:r>
      </w:fldSimple>
      <w:r w:rsidR="00A46B68">
        <w:t xml:space="preserve">. Transcripts significantly more or less abundant strain FRX26 cultures grown in 0.5 M NaCl. </w:t>
      </w:r>
      <w:r w:rsidR="00A46B68" w:rsidRPr="00FA0ACD">
        <w:rPr>
          <w:b w:val="0"/>
          <w:bCs w:val="0"/>
        </w:rPr>
        <w:t>Fold change is relative to 0.2 M cultures. Transcripts were annotated using Prokka (P), KEGG (K), or COG (C).</w:t>
      </w:r>
      <w:bookmarkEnd w:id="185"/>
      <w:r w:rsidR="00A46B68">
        <w:t xml:space="preserve"> </w:t>
      </w:r>
    </w:p>
    <w:tbl>
      <w:tblPr>
        <w:tblW w:w="8787" w:type="dxa"/>
        <w:tblLook w:val="04A0" w:firstRow="1" w:lastRow="0" w:firstColumn="1" w:lastColumn="0" w:noHBand="0" w:noVBand="1"/>
      </w:tblPr>
      <w:tblGrid>
        <w:gridCol w:w="864"/>
        <w:gridCol w:w="1083"/>
        <w:gridCol w:w="1152"/>
        <w:gridCol w:w="1297"/>
        <w:gridCol w:w="4391"/>
      </w:tblGrid>
      <w:tr w:rsidR="00AB0D75" w:rsidRPr="00502B03" w14:paraId="29643361" w14:textId="77777777" w:rsidTr="00AB0D75">
        <w:trPr>
          <w:trHeight w:val="20"/>
          <w:tblHeader/>
        </w:trPr>
        <w:tc>
          <w:tcPr>
            <w:tcW w:w="4396" w:type="dxa"/>
            <w:gridSpan w:val="4"/>
            <w:tcBorders>
              <w:top w:val="nil"/>
              <w:left w:val="nil"/>
              <w:bottom w:val="single" w:sz="4" w:space="0" w:color="auto"/>
              <w:right w:val="nil"/>
            </w:tcBorders>
            <w:shd w:val="clear" w:color="auto" w:fill="auto"/>
            <w:noWrap/>
            <w:vAlign w:val="bottom"/>
          </w:tcPr>
          <w:p w14:paraId="056FE71B" w14:textId="2C17E51A" w:rsidR="00AB0D75" w:rsidRPr="00DD3B0B" w:rsidRDefault="00AB0D75" w:rsidP="00AB0D75">
            <w:pPr>
              <w:spacing w:line="240" w:lineRule="auto"/>
              <w:ind w:firstLine="0"/>
              <w:rPr>
                <w:b/>
                <w:bCs/>
                <w:color w:val="000000"/>
              </w:rPr>
            </w:pPr>
            <w:r>
              <w:rPr>
                <w:b/>
                <w:bCs/>
                <w:color w:val="000000"/>
              </w:rPr>
              <w:t>Table 3.8 (Continued)</w:t>
            </w:r>
          </w:p>
        </w:tc>
        <w:tc>
          <w:tcPr>
            <w:tcW w:w="4391" w:type="dxa"/>
            <w:tcBorders>
              <w:top w:val="nil"/>
              <w:left w:val="nil"/>
              <w:bottom w:val="single" w:sz="4" w:space="0" w:color="auto"/>
              <w:right w:val="nil"/>
            </w:tcBorders>
            <w:shd w:val="clear" w:color="auto" w:fill="auto"/>
            <w:vAlign w:val="bottom"/>
          </w:tcPr>
          <w:p w14:paraId="3101B407" w14:textId="3983D6D7" w:rsidR="00AB0D75" w:rsidRPr="00DD3B0B" w:rsidRDefault="00AB0D75" w:rsidP="00AB0D75">
            <w:pPr>
              <w:spacing w:line="240" w:lineRule="auto"/>
              <w:ind w:firstLine="0"/>
              <w:rPr>
                <w:b/>
                <w:bCs/>
                <w:color w:val="000000"/>
              </w:rPr>
            </w:pPr>
          </w:p>
        </w:tc>
      </w:tr>
      <w:tr w:rsidR="00A46B68" w:rsidRPr="00502B03" w14:paraId="3E6C2C1C" w14:textId="77777777" w:rsidTr="00AB0D75">
        <w:trPr>
          <w:trHeight w:val="20"/>
          <w:tblHeader/>
        </w:trPr>
        <w:tc>
          <w:tcPr>
            <w:tcW w:w="864" w:type="dxa"/>
            <w:tcBorders>
              <w:top w:val="nil"/>
              <w:left w:val="nil"/>
              <w:bottom w:val="single" w:sz="4" w:space="0" w:color="auto"/>
              <w:right w:val="nil"/>
            </w:tcBorders>
            <w:shd w:val="clear" w:color="auto" w:fill="auto"/>
            <w:noWrap/>
            <w:vAlign w:val="bottom"/>
            <w:hideMark/>
          </w:tcPr>
          <w:p w14:paraId="3ECA59E4" w14:textId="0A01E577" w:rsidR="00A46B68" w:rsidRPr="00DD3B0B" w:rsidRDefault="00AB0D75" w:rsidP="00AB0D75">
            <w:pPr>
              <w:spacing w:line="240" w:lineRule="auto"/>
              <w:ind w:firstLine="0"/>
              <w:rPr>
                <w:b/>
                <w:bCs/>
                <w:color w:val="000000"/>
              </w:rPr>
            </w:pPr>
            <w:r>
              <w:rPr>
                <w:b/>
                <w:bCs/>
                <w:color w:val="000000"/>
              </w:rPr>
              <w:t>G</w:t>
            </w:r>
            <w:r w:rsidR="00A46B68" w:rsidRPr="00DD3B0B">
              <w:rPr>
                <w:b/>
                <w:bCs/>
                <w:color w:val="000000"/>
              </w:rPr>
              <w:t>ene ID</w:t>
            </w:r>
          </w:p>
        </w:tc>
        <w:tc>
          <w:tcPr>
            <w:tcW w:w="1083" w:type="dxa"/>
            <w:tcBorders>
              <w:top w:val="nil"/>
              <w:left w:val="nil"/>
              <w:bottom w:val="single" w:sz="4" w:space="0" w:color="auto"/>
              <w:right w:val="nil"/>
            </w:tcBorders>
            <w:shd w:val="clear" w:color="auto" w:fill="auto"/>
            <w:vAlign w:val="bottom"/>
            <w:hideMark/>
          </w:tcPr>
          <w:p w14:paraId="73E75C49" w14:textId="26074F06" w:rsidR="00A46B68" w:rsidRPr="00DD3B0B" w:rsidRDefault="00A46B68" w:rsidP="00AB0D75">
            <w:pPr>
              <w:spacing w:line="240" w:lineRule="auto"/>
              <w:ind w:firstLine="0"/>
              <w:jc w:val="center"/>
              <w:rPr>
                <w:b/>
                <w:bCs/>
                <w:color w:val="000000"/>
              </w:rPr>
            </w:pPr>
            <w:r w:rsidRPr="00DD3B0B">
              <w:rPr>
                <w:b/>
                <w:bCs/>
                <w:color w:val="000000"/>
              </w:rPr>
              <w:t>log</w:t>
            </w:r>
            <w:r w:rsidRPr="00DD3B0B">
              <w:rPr>
                <w:b/>
                <w:bCs/>
                <w:color w:val="000000"/>
                <w:vertAlign w:val="subscript"/>
              </w:rPr>
              <w:t>2</w:t>
            </w:r>
            <w:r w:rsidRPr="00DD3B0B">
              <w:rPr>
                <w:b/>
                <w:bCs/>
                <w:color w:val="000000"/>
              </w:rPr>
              <w:t>Fold Change</w:t>
            </w:r>
          </w:p>
        </w:tc>
        <w:tc>
          <w:tcPr>
            <w:tcW w:w="1152" w:type="dxa"/>
            <w:tcBorders>
              <w:top w:val="nil"/>
              <w:left w:val="nil"/>
              <w:bottom w:val="single" w:sz="4" w:space="0" w:color="auto"/>
              <w:right w:val="nil"/>
            </w:tcBorders>
            <w:shd w:val="clear" w:color="auto" w:fill="auto"/>
            <w:noWrap/>
            <w:vAlign w:val="bottom"/>
            <w:hideMark/>
          </w:tcPr>
          <w:p w14:paraId="0DCC6245" w14:textId="70D3E886" w:rsidR="00A46B68" w:rsidRPr="00DD3B0B" w:rsidRDefault="00A46B68" w:rsidP="00AB0D75">
            <w:pPr>
              <w:spacing w:line="240" w:lineRule="auto"/>
              <w:ind w:firstLine="0"/>
              <w:jc w:val="center"/>
              <w:rPr>
                <w:b/>
                <w:bCs/>
                <w:color w:val="000000"/>
              </w:rPr>
            </w:pPr>
            <w:r w:rsidRPr="00DD3B0B">
              <w:rPr>
                <w:b/>
                <w:bCs/>
                <w:color w:val="000000"/>
              </w:rPr>
              <w:t>p</w:t>
            </w:r>
            <w:r w:rsidRPr="00DD3B0B">
              <w:rPr>
                <w:b/>
                <w:bCs/>
                <w:color w:val="000000"/>
                <w:vertAlign w:val="subscript"/>
              </w:rPr>
              <w:t>adj</w:t>
            </w:r>
          </w:p>
        </w:tc>
        <w:tc>
          <w:tcPr>
            <w:tcW w:w="1297" w:type="dxa"/>
            <w:tcBorders>
              <w:top w:val="nil"/>
              <w:left w:val="nil"/>
              <w:bottom w:val="single" w:sz="4" w:space="0" w:color="auto"/>
              <w:right w:val="nil"/>
            </w:tcBorders>
            <w:shd w:val="clear" w:color="auto" w:fill="auto"/>
            <w:noWrap/>
            <w:vAlign w:val="bottom"/>
            <w:hideMark/>
          </w:tcPr>
          <w:p w14:paraId="74E2AD61" w14:textId="258D4A76" w:rsidR="00A46B68" w:rsidRPr="00DD3B0B" w:rsidRDefault="00A46B68" w:rsidP="00AB0D75">
            <w:pPr>
              <w:spacing w:line="240" w:lineRule="auto"/>
              <w:ind w:firstLine="0"/>
              <w:jc w:val="center"/>
              <w:rPr>
                <w:b/>
                <w:bCs/>
                <w:color w:val="000000"/>
              </w:rPr>
            </w:pPr>
            <w:r w:rsidRPr="00DD3B0B">
              <w:rPr>
                <w:b/>
                <w:bCs/>
                <w:color w:val="000000"/>
              </w:rPr>
              <w:t>Annotated by:</w:t>
            </w:r>
          </w:p>
        </w:tc>
        <w:tc>
          <w:tcPr>
            <w:tcW w:w="4391" w:type="dxa"/>
            <w:tcBorders>
              <w:top w:val="nil"/>
              <w:left w:val="nil"/>
              <w:bottom w:val="single" w:sz="4" w:space="0" w:color="auto"/>
              <w:right w:val="nil"/>
            </w:tcBorders>
            <w:shd w:val="clear" w:color="auto" w:fill="auto"/>
            <w:vAlign w:val="bottom"/>
            <w:hideMark/>
          </w:tcPr>
          <w:p w14:paraId="37226AE9" w14:textId="4818B286" w:rsidR="00A46B68" w:rsidRPr="00DD3B0B" w:rsidRDefault="00A46B68" w:rsidP="00AB0D75">
            <w:pPr>
              <w:spacing w:line="240" w:lineRule="auto"/>
              <w:ind w:firstLine="0"/>
              <w:rPr>
                <w:b/>
                <w:bCs/>
                <w:color w:val="000000"/>
              </w:rPr>
            </w:pPr>
            <w:r w:rsidRPr="00DD3B0B">
              <w:rPr>
                <w:b/>
                <w:bCs/>
                <w:color w:val="000000"/>
              </w:rPr>
              <w:t>Annotation</w:t>
            </w:r>
          </w:p>
        </w:tc>
      </w:tr>
      <w:tr w:rsidR="00A46B68" w:rsidRPr="00502B03" w14:paraId="6F8E73FC" w14:textId="77777777" w:rsidTr="002E3F44">
        <w:trPr>
          <w:trHeight w:val="20"/>
        </w:trPr>
        <w:tc>
          <w:tcPr>
            <w:tcW w:w="864" w:type="dxa"/>
            <w:tcBorders>
              <w:top w:val="nil"/>
              <w:left w:val="nil"/>
              <w:bottom w:val="nil"/>
              <w:right w:val="nil"/>
            </w:tcBorders>
            <w:shd w:val="clear" w:color="auto" w:fill="auto"/>
            <w:noWrap/>
            <w:hideMark/>
          </w:tcPr>
          <w:p w14:paraId="56E5023E" w14:textId="77777777" w:rsidR="00A46B68" w:rsidRPr="00DD3B0B" w:rsidRDefault="00A46B68" w:rsidP="00A46B68">
            <w:pPr>
              <w:spacing w:line="240" w:lineRule="auto"/>
              <w:ind w:firstLine="0"/>
              <w:rPr>
                <w:color w:val="000000"/>
              </w:rPr>
            </w:pPr>
            <w:r w:rsidRPr="00DD3B0B">
              <w:rPr>
                <w:color w:val="000000"/>
              </w:rPr>
              <w:t>01536</w:t>
            </w:r>
          </w:p>
        </w:tc>
        <w:tc>
          <w:tcPr>
            <w:tcW w:w="1083" w:type="dxa"/>
            <w:tcBorders>
              <w:top w:val="nil"/>
              <w:left w:val="nil"/>
              <w:bottom w:val="nil"/>
              <w:right w:val="nil"/>
            </w:tcBorders>
            <w:shd w:val="clear" w:color="auto" w:fill="auto"/>
            <w:noWrap/>
            <w:hideMark/>
          </w:tcPr>
          <w:p w14:paraId="2A93D6B9" w14:textId="0CE73382" w:rsidR="00A46B68" w:rsidRPr="00DD3B0B" w:rsidRDefault="00A46B68" w:rsidP="00A46B68">
            <w:pPr>
              <w:spacing w:line="240" w:lineRule="auto"/>
              <w:ind w:firstLine="0"/>
              <w:jc w:val="center"/>
              <w:rPr>
                <w:color w:val="000000"/>
              </w:rPr>
            </w:pPr>
            <w:r w:rsidRPr="00DD3B0B">
              <w:rPr>
                <w:color w:val="000000"/>
              </w:rPr>
              <w:t>2.236</w:t>
            </w:r>
          </w:p>
        </w:tc>
        <w:tc>
          <w:tcPr>
            <w:tcW w:w="1152" w:type="dxa"/>
            <w:tcBorders>
              <w:top w:val="nil"/>
              <w:left w:val="nil"/>
              <w:bottom w:val="nil"/>
              <w:right w:val="nil"/>
            </w:tcBorders>
            <w:shd w:val="clear" w:color="auto" w:fill="auto"/>
            <w:noWrap/>
            <w:hideMark/>
          </w:tcPr>
          <w:p w14:paraId="04A134A7" w14:textId="77777777" w:rsidR="00A46B68" w:rsidRPr="00DD3B0B" w:rsidRDefault="00A46B68" w:rsidP="00A46B68">
            <w:pPr>
              <w:spacing w:line="240" w:lineRule="auto"/>
              <w:ind w:firstLine="0"/>
              <w:jc w:val="center"/>
              <w:rPr>
                <w:color w:val="000000"/>
              </w:rPr>
            </w:pPr>
            <w:r w:rsidRPr="00DD3B0B">
              <w:rPr>
                <w:color w:val="000000"/>
              </w:rPr>
              <w:t>4.61E-04</w:t>
            </w:r>
          </w:p>
        </w:tc>
        <w:tc>
          <w:tcPr>
            <w:tcW w:w="1297" w:type="dxa"/>
            <w:tcBorders>
              <w:top w:val="nil"/>
              <w:left w:val="nil"/>
              <w:bottom w:val="nil"/>
              <w:right w:val="nil"/>
            </w:tcBorders>
            <w:shd w:val="clear" w:color="auto" w:fill="auto"/>
            <w:noWrap/>
            <w:hideMark/>
          </w:tcPr>
          <w:p w14:paraId="376D9C0C" w14:textId="77777777" w:rsidR="00A46B68" w:rsidRPr="00DD3B0B" w:rsidRDefault="00A46B68" w:rsidP="00A46B68">
            <w:pPr>
              <w:spacing w:line="240" w:lineRule="auto"/>
              <w:ind w:firstLine="0"/>
              <w:rPr>
                <w:color w:val="000000"/>
              </w:rPr>
            </w:pPr>
          </w:p>
        </w:tc>
        <w:tc>
          <w:tcPr>
            <w:tcW w:w="4391" w:type="dxa"/>
            <w:tcBorders>
              <w:top w:val="nil"/>
              <w:left w:val="nil"/>
              <w:bottom w:val="nil"/>
              <w:right w:val="nil"/>
            </w:tcBorders>
            <w:shd w:val="clear" w:color="auto" w:fill="auto"/>
            <w:noWrap/>
            <w:hideMark/>
          </w:tcPr>
          <w:p w14:paraId="030846BD" w14:textId="77777777" w:rsidR="00A46B68" w:rsidRPr="00DD3B0B" w:rsidRDefault="00A46B68" w:rsidP="00AB0D75">
            <w:pPr>
              <w:spacing w:line="240" w:lineRule="auto"/>
              <w:ind w:left="288" w:hanging="288"/>
              <w:rPr>
                <w:color w:val="000000"/>
              </w:rPr>
            </w:pPr>
          </w:p>
        </w:tc>
      </w:tr>
      <w:tr w:rsidR="00A46B68" w:rsidRPr="00502B03" w14:paraId="0CA16D03" w14:textId="77777777" w:rsidTr="002E3F44">
        <w:trPr>
          <w:trHeight w:val="20"/>
        </w:trPr>
        <w:tc>
          <w:tcPr>
            <w:tcW w:w="864" w:type="dxa"/>
            <w:tcBorders>
              <w:top w:val="nil"/>
              <w:left w:val="nil"/>
              <w:bottom w:val="nil"/>
              <w:right w:val="nil"/>
            </w:tcBorders>
            <w:shd w:val="clear" w:color="auto" w:fill="auto"/>
            <w:noWrap/>
            <w:hideMark/>
          </w:tcPr>
          <w:p w14:paraId="470474A6" w14:textId="77777777" w:rsidR="00A46B68" w:rsidRPr="00DD3B0B" w:rsidRDefault="00A46B68" w:rsidP="00A46B68">
            <w:pPr>
              <w:spacing w:line="240" w:lineRule="auto"/>
              <w:ind w:firstLine="0"/>
              <w:rPr>
                <w:color w:val="000000"/>
              </w:rPr>
            </w:pPr>
            <w:r w:rsidRPr="00DD3B0B">
              <w:rPr>
                <w:color w:val="000000"/>
              </w:rPr>
              <w:t>02917</w:t>
            </w:r>
          </w:p>
        </w:tc>
        <w:tc>
          <w:tcPr>
            <w:tcW w:w="1083" w:type="dxa"/>
            <w:tcBorders>
              <w:top w:val="nil"/>
              <w:left w:val="nil"/>
              <w:bottom w:val="nil"/>
              <w:right w:val="nil"/>
            </w:tcBorders>
            <w:shd w:val="clear" w:color="auto" w:fill="auto"/>
            <w:noWrap/>
            <w:hideMark/>
          </w:tcPr>
          <w:p w14:paraId="10FBD6A7" w14:textId="77777777" w:rsidR="00A46B68" w:rsidRPr="00DD3B0B" w:rsidRDefault="00A46B68" w:rsidP="00A46B68">
            <w:pPr>
              <w:spacing w:line="240" w:lineRule="auto"/>
              <w:ind w:firstLine="0"/>
              <w:jc w:val="center"/>
              <w:rPr>
                <w:color w:val="000000"/>
              </w:rPr>
            </w:pPr>
            <w:r w:rsidRPr="00DD3B0B">
              <w:rPr>
                <w:color w:val="000000"/>
              </w:rPr>
              <w:t>2.152</w:t>
            </w:r>
          </w:p>
        </w:tc>
        <w:tc>
          <w:tcPr>
            <w:tcW w:w="1152" w:type="dxa"/>
            <w:tcBorders>
              <w:top w:val="nil"/>
              <w:left w:val="nil"/>
              <w:bottom w:val="nil"/>
              <w:right w:val="nil"/>
            </w:tcBorders>
            <w:shd w:val="clear" w:color="auto" w:fill="auto"/>
            <w:noWrap/>
            <w:hideMark/>
          </w:tcPr>
          <w:p w14:paraId="2866900C" w14:textId="77777777" w:rsidR="00A46B68" w:rsidRPr="00DD3B0B" w:rsidRDefault="00A46B68" w:rsidP="00A46B68">
            <w:pPr>
              <w:spacing w:line="240" w:lineRule="auto"/>
              <w:ind w:firstLine="0"/>
              <w:jc w:val="center"/>
              <w:rPr>
                <w:color w:val="000000"/>
              </w:rPr>
            </w:pPr>
            <w:r w:rsidRPr="00DD3B0B">
              <w:rPr>
                <w:color w:val="000000"/>
              </w:rPr>
              <w:t>2.40E-11</w:t>
            </w:r>
          </w:p>
        </w:tc>
        <w:tc>
          <w:tcPr>
            <w:tcW w:w="1297" w:type="dxa"/>
            <w:tcBorders>
              <w:top w:val="nil"/>
              <w:left w:val="nil"/>
              <w:bottom w:val="nil"/>
              <w:right w:val="nil"/>
            </w:tcBorders>
            <w:shd w:val="clear" w:color="auto" w:fill="auto"/>
            <w:noWrap/>
            <w:hideMark/>
          </w:tcPr>
          <w:p w14:paraId="01B0EBDD"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7B55260B" w14:textId="77777777" w:rsidR="00A46B68" w:rsidRPr="00DD3B0B" w:rsidRDefault="00A46B68" w:rsidP="00AB0D75">
            <w:pPr>
              <w:spacing w:line="240" w:lineRule="auto"/>
              <w:ind w:left="288" w:hanging="288"/>
              <w:rPr>
                <w:color w:val="000000"/>
              </w:rPr>
            </w:pPr>
            <w:r w:rsidRPr="00DD3B0B">
              <w:rPr>
                <w:color w:val="000000"/>
              </w:rPr>
              <w:t>Glycosyltransferase like family 2</w:t>
            </w:r>
          </w:p>
        </w:tc>
      </w:tr>
      <w:tr w:rsidR="00A46B68" w:rsidRPr="00502B03" w14:paraId="4359FEAD" w14:textId="77777777" w:rsidTr="002E3F44">
        <w:trPr>
          <w:trHeight w:val="20"/>
        </w:trPr>
        <w:tc>
          <w:tcPr>
            <w:tcW w:w="864" w:type="dxa"/>
            <w:tcBorders>
              <w:top w:val="nil"/>
              <w:left w:val="nil"/>
              <w:bottom w:val="nil"/>
              <w:right w:val="nil"/>
            </w:tcBorders>
            <w:shd w:val="clear" w:color="auto" w:fill="auto"/>
            <w:noWrap/>
            <w:hideMark/>
          </w:tcPr>
          <w:p w14:paraId="27DFBD9F" w14:textId="77777777" w:rsidR="00A46B68" w:rsidRPr="00DD3B0B" w:rsidRDefault="00A46B68" w:rsidP="00A46B68">
            <w:pPr>
              <w:spacing w:line="240" w:lineRule="auto"/>
              <w:ind w:firstLine="0"/>
              <w:rPr>
                <w:color w:val="000000"/>
              </w:rPr>
            </w:pPr>
            <w:r w:rsidRPr="00DD3B0B">
              <w:rPr>
                <w:color w:val="000000"/>
              </w:rPr>
              <w:t>02918</w:t>
            </w:r>
          </w:p>
        </w:tc>
        <w:tc>
          <w:tcPr>
            <w:tcW w:w="1083" w:type="dxa"/>
            <w:tcBorders>
              <w:top w:val="nil"/>
              <w:left w:val="nil"/>
              <w:bottom w:val="nil"/>
              <w:right w:val="nil"/>
            </w:tcBorders>
            <w:shd w:val="clear" w:color="auto" w:fill="auto"/>
            <w:noWrap/>
            <w:hideMark/>
          </w:tcPr>
          <w:p w14:paraId="4D7A32B6" w14:textId="77777777" w:rsidR="00A46B68" w:rsidRPr="00DD3B0B" w:rsidRDefault="00A46B68" w:rsidP="00A46B68">
            <w:pPr>
              <w:spacing w:line="240" w:lineRule="auto"/>
              <w:ind w:firstLine="0"/>
              <w:jc w:val="center"/>
              <w:rPr>
                <w:color w:val="000000"/>
              </w:rPr>
            </w:pPr>
            <w:r w:rsidRPr="00DD3B0B">
              <w:rPr>
                <w:color w:val="000000"/>
              </w:rPr>
              <w:t>2.027</w:t>
            </w:r>
          </w:p>
        </w:tc>
        <w:tc>
          <w:tcPr>
            <w:tcW w:w="1152" w:type="dxa"/>
            <w:tcBorders>
              <w:top w:val="nil"/>
              <w:left w:val="nil"/>
              <w:bottom w:val="nil"/>
              <w:right w:val="nil"/>
            </w:tcBorders>
            <w:shd w:val="clear" w:color="auto" w:fill="auto"/>
            <w:noWrap/>
            <w:hideMark/>
          </w:tcPr>
          <w:p w14:paraId="63F84190" w14:textId="77777777" w:rsidR="00A46B68" w:rsidRPr="00DD3B0B" w:rsidRDefault="00A46B68" w:rsidP="00A46B68">
            <w:pPr>
              <w:spacing w:line="240" w:lineRule="auto"/>
              <w:ind w:firstLine="0"/>
              <w:jc w:val="center"/>
              <w:rPr>
                <w:color w:val="000000"/>
              </w:rPr>
            </w:pPr>
            <w:r w:rsidRPr="00DD3B0B">
              <w:rPr>
                <w:color w:val="000000"/>
              </w:rPr>
              <w:t>5.22E-11</w:t>
            </w:r>
          </w:p>
        </w:tc>
        <w:tc>
          <w:tcPr>
            <w:tcW w:w="1297" w:type="dxa"/>
            <w:tcBorders>
              <w:top w:val="nil"/>
              <w:left w:val="nil"/>
              <w:bottom w:val="nil"/>
              <w:right w:val="nil"/>
            </w:tcBorders>
            <w:shd w:val="clear" w:color="auto" w:fill="auto"/>
            <w:noWrap/>
            <w:hideMark/>
          </w:tcPr>
          <w:p w14:paraId="45F81C29"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5A5D2B7B" w14:textId="77777777" w:rsidR="00A46B68" w:rsidRPr="00DD3B0B" w:rsidRDefault="00A46B68" w:rsidP="00AB0D75">
            <w:pPr>
              <w:spacing w:line="240" w:lineRule="auto"/>
              <w:ind w:left="288" w:hanging="288"/>
              <w:rPr>
                <w:color w:val="000000"/>
              </w:rPr>
            </w:pPr>
            <w:r>
              <w:rPr>
                <w:color w:val="000000"/>
              </w:rPr>
              <w:t>P</w:t>
            </w:r>
            <w:r w:rsidRPr="00DD3B0B">
              <w:rPr>
                <w:color w:val="000000"/>
              </w:rPr>
              <w:t>utative membrane protein EpsK</w:t>
            </w:r>
          </w:p>
        </w:tc>
      </w:tr>
      <w:tr w:rsidR="00A46B68" w:rsidRPr="00502B03" w14:paraId="72FFD434" w14:textId="77777777" w:rsidTr="002E3F44">
        <w:trPr>
          <w:trHeight w:val="20"/>
        </w:trPr>
        <w:tc>
          <w:tcPr>
            <w:tcW w:w="864" w:type="dxa"/>
            <w:tcBorders>
              <w:top w:val="nil"/>
              <w:left w:val="nil"/>
              <w:bottom w:val="nil"/>
              <w:right w:val="nil"/>
            </w:tcBorders>
            <w:shd w:val="clear" w:color="auto" w:fill="auto"/>
            <w:noWrap/>
            <w:hideMark/>
          </w:tcPr>
          <w:p w14:paraId="6E8C0963" w14:textId="77777777" w:rsidR="00A46B68" w:rsidRPr="00DD3B0B" w:rsidRDefault="00A46B68" w:rsidP="00A46B68">
            <w:pPr>
              <w:spacing w:line="240" w:lineRule="auto"/>
              <w:ind w:firstLine="0"/>
              <w:rPr>
                <w:color w:val="000000"/>
              </w:rPr>
            </w:pPr>
            <w:r w:rsidRPr="00DD3B0B">
              <w:rPr>
                <w:color w:val="000000"/>
              </w:rPr>
              <w:t>00591</w:t>
            </w:r>
          </w:p>
        </w:tc>
        <w:tc>
          <w:tcPr>
            <w:tcW w:w="1083" w:type="dxa"/>
            <w:tcBorders>
              <w:top w:val="nil"/>
              <w:left w:val="nil"/>
              <w:bottom w:val="nil"/>
              <w:right w:val="nil"/>
            </w:tcBorders>
            <w:shd w:val="clear" w:color="auto" w:fill="auto"/>
            <w:noWrap/>
            <w:hideMark/>
          </w:tcPr>
          <w:p w14:paraId="0D51134E" w14:textId="77777777" w:rsidR="00A46B68" w:rsidRPr="00DD3B0B" w:rsidRDefault="00A46B68" w:rsidP="00A46B68">
            <w:pPr>
              <w:spacing w:line="240" w:lineRule="auto"/>
              <w:ind w:firstLine="0"/>
              <w:jc w:val="center"/>
              <w:rPr>
                <w:color w:val="000000"/>
              </w:rPr>
            </w:pPr>
            <w:r w:rsidRPr="00DD3B0B">
              <w:rPr>
                <w:color w:val="000000"/>
              </w:rPr>
              <w:t>1.960</w:t>
            </w:r>
          </w:p>
        </w:tc>
        <w:tc>
          <w:tcPr>
            <w:tcW w:w="1152" w:type="dxa"/>
            <w:tcBorders>
              <w:top w:val="nil"/>
              <w:left w:val="nil"/>
              <w:bottom w:val="nil"/>
              <w:right w:val="nil"/>
            </w:tcBorders>
            <w:shd w:val="clear" w:color="auto" w:fill="auto"/>
            <w:noWrap/>
            <w:hideMark/>
          </w:tcPr>
          <w:p w14:paraId="7A5E4005" w14:textId="77777777" w:rsidR="00A46B68" w:rsidRPr="00DD3B0B" w:rsidRDefault="00A46B68" w:rsidP="00A46B68">
            <w:pPr>
              <w:spacing w:line="240" w:lineRule="auto"/>
              <w:ind w:firstLine="0"/>
              <w:jc w:val="center"/>
              <w:rPr>
                <w:color w:val="000000"/>
              </w:rPr>
            </w:pPr>
            <w:r w:rsidRPr="00DD3B0B">
              <w:rPr>
                <w:color w:val="000000"/>
              </w:rPr>
              <w:t>9.74E-05</w:t>
            </w:r>
          </w:p>
        </w:tc>
        <w:tc>
          <w:tcPr>
            <w:tcW w:w="1297" w:type="dxa"/>
            <w:tcBorders>
              <w:top w:val="nil"/>
              <w:left w:val="nil"/>
              <w:bottom w:val="nil"/>
              <w:right w:val="nil"/>
            </w:tcBorders>
            <w:shd w:val="clear" w:color="auto" w:fill="auto"/>
            <w:noWrap/>
          </w:tcPr>
          <w:p w14:paraId="0CCAF1DC"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60AD4A14" w14:textId="77777777" w:rsidR="00A46B68" w:rsidRPr="00DD3B0B" w:rsidRDefault="00A46B68" w:rsidP="00AB0D75">
            <w:pPr>
              <w:spacing w:line="240" w:lineRule="auto"/>
              <w:ind w:left="288" w:hanging="288"/>
              <w:rPr>
                <w:color w:val="000000"/>
              </w:rPr>
            </w:pPr>
          </w:p>
        </w:tc>
      </w:tr>
      <w:tr w:rsidR="00A46B68" w:rsidRPr="00502B03" w14:paraId="7EA18924" w14:textId="77777777" w:rsidTr="002E3F44">
        <w:trPr>
          <w:trHeight w:val="20"/>
        </w:trPr>
        <w:tc>
          <w:tcPr>
            <w:tcW w:w="864" w:type="dxa"/>
            <w:tcBorders>
              <w:top w:val="nil"/>
              <w:left w:val="nil"/>
              <w:bottom w:val="nil"/>
              <w:right w:val="nil"/>
            </w:tcBorders>
            <w:shd w:val="clear" w:color="auto" w:fill="auto"/>
            <w:noWrap/>
            <w:hideMark/>
          </w:tcPr>
          <w:p w14:paraId="5B7CC128" w14:textId="77777777" w:rsidR="00A46B68" w:rsidRPr="00DD3B0B" w:rsidRDefault="00A46B68" w:rsidP="00A46B68">
            <w:pPr>
              <w:spacing w:line="240" w:lineRule="auto"/>
              <w:ind w:firstLine="0"/>
              <w:rPr>
                <w:color w:val="000000"/>
              </w:rPr>
            </w:pPr>
            <w:r w:rsidRPr="00DD3B0B">
              <w:rPr>
                <w:color w:val="000000"/>
              </w:rPr>
              <w:t>03693</w:t>
            </w:r>
          </w:p>
        </w:tc>
        <w:tc>
          <w:tcPr>
            <w:tcW w:w="1083" w:type="dxa"/>
            <w:tcBorders>
              <w:top w:val="nil"/>
              <w:left w:val="nil"/>
              <w:bottom w:val="nil"/>
              <w:right w:val="nil"/>
            </w:tcBorders>
            <w:shd w:val="clear" w:color="auto" w:fill="auto"/>
            <w:noWrap/>
            <w:hideMark/>
          </w:tcPr>
          <w:p w14:paraId="5C0AF585" w14:textId="77777777" w:rsidR="00A46B68" w:rsidRPr="00DD3B0B" w:rsidRDefault="00A46B68" w:rsidP="00A46B68">
            <w:pPr>
              <w:spacing w:line="240" w:lineRule="auto"/>
              <w:ind w:firstLine="0"/>
              <w:jc w:val="center"/>
              <w:rPr>
                <w:color w:val="000000"/>
              </w:rPr>
            </w:pPr>
            <w:r w:rsidRPr="00DD3B0B">
              <w:rPr>
                <w:color w:val="000000"/>
              </w:rPr>
              <w:t>1.958</w:t>
            </w:r>
          </w:p>
        </w:tc>
        <w:tc>
          <w:tcPr>
            <w:tcW w:w="1152" w:type="dxa"/>
            <w:tcBorders>
              <w:top w:val="nil"/>
              <w:left w:val="nil"/>
              <w:bottom w:val="nil"/>
              <w:right w:val="nil"/>
            </w:tcBorders>
            <w:shd w:val="clear" w:color="auto" w:fill="auto"/>
            <w:noWrap/>
            <w:hideMark/>
          </w:tcPr>
          <w:p w14:paraId="2B79CEED" w14:textId="77777777" w:rsidR="00A46B68" w:rsidRPr="00DD3B0B" w:rsidRDefault="00A46B68" w:rsidP="00A46B68">
            <w:pPr>
              <w:spacing w:line="240" w:lineRule="auto"/>
              <w:ind w:firstLine="0"/>
              <w:jc w:val="center"/>
              <w:rPr>
                <w:color w:val="000000"/>
              </w:rPr>
            </w:pPr>
            <w:r w:rsidRPr="00DD3B0B">
              <w:rPr>
                <w:color w:val="000000"/>
              </w:rPr>
              <w:t>1.92E-02</w:t>
            </w:r>
          </w:p>
        </w:tc>
        <w:tc>
          <w:tcPr>
            <w:tcW w:w="1297" w:type="dxa"/>
            <w:tcBorders>
              <w:top w:val="nil"/>
              <w:left w:val="nil"/>
              <w:bottom w:val="nil"/>
              <w:right w:val="nil"/>
            </w:tcBorders>
            <w:shd w:val="clear" w:color="auto" w:fill="auto"/>
            <w:noWrap/>
          </w:tcPr>
          <w:p w14:paraId="7B042B3E"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69FBDEDC" w14:textId="77777777" w:rsidR="00A46B68" w:rsidRPr="00DD3B0B" w:rsidRDefault="00A46B68" w:rsidP="00AB0D75">
            <w:pPr>
              <w:spacing w:line="240" w:lineRule="auto"/>
              <w:ind w:left="288" w:hanging="288"/>
              <w:rPr>
                <w:color w:val="000000"/>
              </w:rPr>
            </w:pPr>
          </w:p>
        </w:tc>
      </w:tr>
      <w:tr w:rsidR="00A46B68" w:rsidRPr="00502B03" w14:paraId="6F44FCDC" w14:textId="77777777" w:rsidTr="002E3F44">
        <w:trPr>
          <w:trHeight w:val="20"/>
        </w:trPr>
        <w:tc>
          <w:tcPr>
            <w:tcW w:w="864" w:type="dxa"/>
            <w:tcBorders>
              <w:top w:val="nil"/>
              <w:left w:val="nil"/>
              <w:bottom w:val="nil"/>
              <w:right w:val="nil"/>
            </w:tcBorders>
            <w:shd w:val="clear" w:color="auto" w:fill="auto"/>
            <w:noWrap/>
            <w:hideMark/>
          </w:tcPr>
          <w:p w14:paraId="16172783" w14:textId="77777777" w:rsidR="00A46B68" w:rsidRPr="00DD3B0B" w:rsidRDefault="00A46B68" w:rsidP="00A46B68">
            <w:pPr>
              <w:spacing w:line="240" w:lineRule="auto"/>
              <w:ind w:firstLine="0"/>
              <w:rPr>
                <w:color w:val="000000"/>
              </w:rPr>
            </w:pPr>
            <w:r w:rsidRPr="00DD3B0B">
              <w:rPr>
                <w:color w:val="000000"/>
              </w:rPr>
              <w:t>02396</w:t>
            </w:r>
          </w:p>
        </w:tc>
        <w:tc>
          <w:tcPr>
            <w:tcW w:w="1083" w:type="dxa"/>
            <w:tcBorders>
              <w:top w:val="nil"/>
              <w:left w:val="nil"/>
              <w:bottom w:val="nil"/>
              <w:right w:val="nil"/>
            </w:tcBorders>
            <w:shd w:val="clear" w:color="auto" w:fill="auto"/>
            <w:noWrap/>
            <w:hideMark/>
          </w:tcPr>
          <w:p w14:paraId="115382C4" w14:textId="77777777" w:rsidR="00A46B68" w:rsidRPr="00DD3B0B" w:rsidRDefault="00A46B68" w:rsidP="00A46B68">
            <w:pPr>
              <w:spacing w:line="240" w:lineRule="auto"/>
              <w:ind w:firstLine="0"/>
              <w:jc w:val="center"/>
              <w:rPr>
                <w:color w:val="000000"/>
              </w:rPr>
            </w:pPr>
            <w:r w:rsidRPr="00DD3B0B">
              <w:rPr>
                <w:color w:val="000000"/>
              </w:rPr>
              <w:t>1.949</w:t>
            </w:r>
          </w:p>
        </w:tc>
        <w:tc>
          <w:tcPr>
            <w:tcW w:w="1152" w:type="dxa"/>
            <w:tcBorders>
              <w:top w:val="nil"/>
              <w:left w:val="nil"/>
              <w:bottom w:val="nil"/>
              <w:right w:val="nil"/>
            </w:tcBorders>
            <w:shd w:val="clear" w:color="auto" w:fill="auto"/>
            <w:noWrap/>
            <w:hideMark/>
          </w:tcPr>
          <w:p w14:paraId="4BCC5931" w14:textId="77777777" w:rsidR="00A46B68" w:rsidRPr="00DD3B0B" w:rsidRDefault="00A46B68" w:rsidP="00A46B68">
            <w:pPr>
              <w:spacing w:line="240" w:lineRule="auto"/>
              <w:ind w:firstLine="0"/>
              <w:jc w:val="center"/>
              <w:rPr>
                <w:color w:val="000000"/>
              </w:rPr>
            </w:pPr>
            <w:r w:rsidRPr="00DD3B0B">
              <w:rPr>
                <w:color w:val="000000"/>
              </w:rPr>
              <w:t>2.56E-02</w:t>
            </w:r>
          </w:p>
        </w:tc>
        <w:tc>
          <w:tcPr>
            <w:tcW w:w="1297" w:type="dxa"/>
            <w:tcBorders>
              <w:top w:val="nil"/>
              <w:left w:val="nil"/>
              <w:bottom w:val="nil"/>
              <w:right w:val="nil"/>
            </w:tcBorders>
            <w:shd w:val="clear" w:color="auto" w:fill="auto"/>
            <w:noWrap/>
            <w:hideMark/>
          </w:tcPr>
          <w:p w14:paraId="79868B48"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399A4B3C" w14:textId="77777777" w:rsidR="00A46B68" w:rsidRPr="00DD3B0B" w:rsidRDefault="00A46B68" w:rsidP="00AB0D75">
            <w:pPr>
              <w:spacing w:line="240" w:lineRule="auto"/>
              <w:ind w:left="288" w:hanging="288"/>
              <w:rPr>
                <w:color w:val="000000"/>
              </w:rPr>
            </w:pPr>
            <w:r w:rsidRPr="00DD3B0B">
              <w:rPr>
                <w:color w:val="000000"/>
              </w:rPr>
              <w:t>Predicted membrane protein</w:t>
            </w:r>
          </w:p>
        </w:tc>
      </w:tr>
      <w:tr w:rsidR="00A46B68" w:rsidRPr="00502B03" w14:paraId="7C0527C4" w14:textId="77777777" w:rsidTr="002E3F44">
        <w:trPr>
          <w:trHeight w:val="20"/>
        </w:trPr>
        <w:tc>
          <w:tcPr>
            <w:tcW w:w="864" w:type="dxa"/>
            <w:tcBorders>
              <w:top w:val="nil"/>
              <w:left w:val="nil"/>
              <w:bottom w:val="nil"/>
              <w:right w:val="nil"/>
            </w:tcBorders>
            <w:shd w:val="clear" w:color="auto" w:fill="auto"/>
            <w:noWrap/>
            <w:hideMark/>
          </w:tcPr>
          <w:p w14:paraId="44A56960" w14:textId="77777777" w:rsidR="00A46B68" w:rsidRPr="00DD3B0B" w:rsidRDefault="00A46B68" w:rsidP="00A46B68">
            <w:pPr>
              <w:spacing w:line="240" w:lineRule="auto"/>
              <w:ind w:firstLine="0"/>
              <w:rPr>
                <w:color w:val="000000"/>
              </w:rPr>
            </w:pPr>
            <w:r w:rsidRPr="00DD3B0B">
              <w:rPr>
                <w:color w:val="000000"/>
              </w:rPr>
              <w:t>02916</w:t>
            </w:r>
          </w:p>
        </w:tc>
        <w:tc>
          <w:tcPr>
            <w:tcW w:w="1083" w:type="dxa"/>
            <w:tcBorders>
              <w:top w:val="nil"/>
              <w:left w:val="nil"/>
              <w:bottom w:val="nil"/>
              <w:right w:val="nil"/>
            </w:tcBorders>
            <w:shd w:val="clear" w:color="auto" w:fill="auto"/>
            <w:noWrap/>
            <w:hideMark/>
          </w:tcPr>
          <w:p w14:paraId="18C85F9E" w14:textId="77777777" w:rsidR="00A46B68" w:rsidRPr="00DD3B0B" w:rsidRDefault="00A46B68" w:rsidP="00A46B68">
            <w:pPr>
              <w:spacing w:line="240" w:lineRule="auto"/>
              <w:ind w:firstLine="0"/>
              <w:jc w:val="center"/>
              <w:rPr>
                <w:color w:val="000000"/>
              </w:rPr>
            </w:pPr>
            <w:r w:rsidRPr="00DD3B0B">
              <w:rPr>
                <w:color w:val="000000"/>
              </w:rPr>
              <w:t>1.874</w:t>
            </w:r>
          </w:p>
        </w:tc>
        <w:tc>
          <w:tcPr>
            <w:tcW w:w="1152" w:type="dxa"/>
            <w:tcBorders>
              <w:top w:val="nil"/>
              <w:left w:val="nil"/>
              <w:bottom w:val="nil"/>
              <w:right w:val="nil"/>
            </w:tcBorders>
            <w:shd w:val="clear" w:color="auto" w:fill="auto"/>
            <w:noWrap/>
            <w:hideMark/>
          </w:tcPr>
          <w:p w14:paraId="5A08FEC6" w14:textId="77777777" w:rsidR="00A46B68" w:rsidRPr="00DD3B0B" w:rsidRDefault="00A46B68" w:rsidP="00A46B68">
            <w:pPr>
              <w:spacing w:line="240" w:lineRule="auto"/>
              <w:ind w:firstLine="0"/>
              <w:jc w:val="center"/>
              <w:rPr>
                <w:color w:val="000000"/>
              </w:rPr>
            </w:pPr>
            <w:r w:rsidRPr="00DD3B0B">
              <w:rPr>
                <w:color w:val="000000"/>
              </w:rPr>
              <w:t>1.07E-07</w:t>
            </w:r>
          </w:p>
        </w:tc>
        <w:tc>
          <w:tcPr>
            <w:tcW w:w="1297" w:type="dxa"/>
            <w:tcBorders>
              <w:top w:val="nil"/>
              <w:left w:val="nil"/>
              <w:bottom w:val="nil"/>
              <w:right w:val="nil"/>
            </w:tcBorders>
            <w:shd w:val="clear" w:color="auto" w:fill="auto"/>
            <w:noWrap/>
            <w:hideMark/>
          </w:tcPr>
          <w:p w14:paraId="2622CB9F"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1FEA5680" w14:textId="77777777" w:rsidR="00A46B68" w:rsidRPr="00DD3B0B" w:rsidRDefault="00A46B68" w:rsidP="00AB0D75">
            <w:pPr>
              <w:spacing w:line="240" w:lineRule="auto"/>
              <w:ind w:left="288" w:hanging="288"/>
              <w:rPr>
                <w:color w:val="000000"/>
              </w:rPr>
            </w:pPr>
          </w:p>
        </w:tc>
      </w:tr>
      <w:tr w:rsidR="00A46B68" w:rsidRPr="00502B03" w14:paraId="582C56AA" w14:textId="77777777" w:rsidTr="002E3F44">
        <w:trPr>
          <w:trHeight w:val="20"/>
        </w:trPr>
        <w:tc>
          <w:tcPr>
            <w:tcW w:w="864" w:type="dxa"/>
            <w:tcBorders>
              <w:top w:val="nil"/>
              <w:left w:val="nil"/>
              <w:bottom w:val="nil"/>
              <w:right w:val="nil"/>
            </w:tcBorders>
            <w:shd w:val="clear" w:color="auto" w:fill="auto"/>
            <w:noWrap/>
            <w:hideMark/>
          </w:tcPr>
          <w:p w14:paraId="6CD37E0A" w14:textId="77777777" w:rsidR="00A46B68" w:rsidRPr="00DD3B0B" w:rsidRDefault="00A46B68" w:rsidP="00A46B68">
            <w:pPr>
              <w:spacing w:line="240" w:lineRule="auto"/>
              <w:ind w:firstLine="0"/>
              <w:rPr>
                <w:color w:val="000000"/>
              </w:rPr>
            </w:pPr>
            <w:r w:rsidRPr="00DD3B0B">
              <w:rPr>
                <w:color w:val="000000"/>
              </w:rPr>
              <w:t>00590</w:t>
            </w:r>
          </w:p>
        </w:tc>
        <w:tc>
          <w:tcPr>
            <w:tcW w:w="1083" w:type="dxa"/>
            <w:tcBorders>
              <w:top w:val="nil"/>
              <w:left w:val="nil"/>
              <w:bottom w:val="nil"/>
              <w:right w:val="nil"/>
            </w:tcBorders>
            <w:shd w:val="clear" w:color="auto" w:fill="auto"/>
            <w:noWrap/>
            <w:hideMark/>
          </w:tcPr>
          <w:p w14:paraId="08973EF2" w14:textId="77777777" w:rsidR="00A46B68" w:rsidRPr="00DD3B0B" w:rsidRDefault="00A46B68" w:rsidP="00A46B68">
            <w:pPr>
              <w:spacing w:line="240" w:lineRule="auto"/>
              <w:ind w:firstLine="0"/>
              <w:jc w:val="center"/>
              <w:rPr>
                <w:color w:val="000000"/>
              </w:rPr>
            </w:pPr>
            <w:r w:rsidRPr="00DD3B0B">
              <w:rPr>
                <w:color w:val="000000"/>
              </w:rPr>
              <w:t>1.863</w:t>
            </w:r>
          </w:p>
        </w:tc>
        <w:tc>
          <w:tcPr>
            <w:tcW w:w="1152" w:type="dxa"/>
            <w:tcBorders>
              <w:top w:val="nil"/>
              <w:left w:val="nil"/>
              <w:bottom w:val="nil"/>
              <w:right w:val="nil"/>
            </w:tcBorders>
            <w:shd w:val="clear" w:color="auto" w:fill="auto"/>
            <w:noWrap/>
            <w:hideMark/>
          </w:tcPr>
          <w:p w14:paraId="2D568063" w14:textId="77777777" w:rsidR="00A46B68" w:rsidRPr="00DD3B0B" w:rsidRDefault="00A46B68" w:rsidP="00A46B68">
            <w:pPr>
              <w:spacing w:line="240" w:lineRule="auto"/>
              <w:ind w:firstLine="0"/>
              <w:jc w:val="center"/>
              <w:rPr>
                <w:color w:val="000000"/>
              </w:rPr>
            </w:pPr>
            <w:r w:rsidRPr="00DD3B0B">
              <w:rPr>
                <w:color w:val="000000"/>
              </w:rPr>
              <w:t>2.62E-05</w:t>
            </w:r>
          </w:p>
        </w:tc>
        <w:tc>
          <w:tcPr>
            <w:tcW w:w="1297" w:type="dxa"/>
            <w:tcBorders>
              <w:top w:val="nil"/>
              <w:left w:val="nil"/>
              <w:bottom w:val="nil"/>
              <w:right w:val="nil"/>
            </w:tcBorders>
            <w:shd w:val="clear" w:color="auto" w:fill="auto"/>
            <w:noWrap/>
            <w:hideMark/>
          </w:tcPr>
          <w:p w14:paraId="6A8831D3" w14:textId="77777777" w:rsidR="00A46B68" w:rsidRPr="00DD3B0B" w:rsidRDefault="00A46B68" w:rsidP="00A46B68">
            <w:pPr>
              <w:spacing w:line="240" w:lineRule="auto"/>
              <w:ind w:firstLine="0"/>
              <w:jc w:val="center"/>
              <w:rPr>
                <w:color w:val="000000"/>
              </w:rPr>
            </w:pP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05EC6005" w14:textId="77777777" w:rsidR="00A46B68" w:rsidRPr="00DD3B0B" w:rsidRDefault="00A46B68" w:rsidP="00AB0D75">
            <w:pPr>
              <w:spacing w:line="240" w:lineRule="auto"/>
              <w:ind w:left="288" w:hanging="288"/>
              <w:rPr>
                <w:color w:val="000000"/>
              </w:rPr>
            </w:pPr>
            <w:r w:rsidRPr="00DD3B0B">
              <w:rPr>
                <w:i/>
                <w:iCs/>
                <w:color w:val="000000"/>
              </w:rPr>
              <w:t>rpoE</w:t>
            </w:r>
            <w:r w:rsidRPr="00DD3B0B">
              <w:rPr>
                <w:color w:val="000000"/>
              </w:rPr>
              <w:t>; R polymerase sigma-70 factor, ECF subfamily</w:t>
            </w:r>
          </w:p>
        </w:tc>
      </w:tr>
      <w:tr w:rsidR="00A46B68" w:rsidRPr="00502B03" w14:paraId="7870E184" w14:textId="77777777" w:rsidTr="002E3F44">
        <w:trPr>
          <w:trHeight w:val="20"/>
        </w:trPr>
        <w:tc>
          <w:tcPr>
            <w:tcW w:w="864" w:type="dxa"/>
            <w:tcBorders>
              <w:top w:val="nil"/>
              <w:left w:val="nil"/>
              <w:bottom w:val="nil"/>
              <w:right w:val="nil"/>
            </w:tcBorders>
            <w:shd w:val="clear" w:color="auto" w:fill="auto"/>
            <w:noWrap/>
            <w:hideMark/>
          </w:tcPr>
          <w:p w14:paraId="38059019" w14:textId="77777777" w:rsidR="00A46B68" w:rsidRPr="00DD3B0B" w:rsidRDefault="00A46B68" w:rsidP="00A46B68">
            <w:pPr>
              <w:spacing w:line="240" w:lineRule="auto"/>
              <w:ind w:firstLine="0"/>
              <w:rPr>
                <w:color w:val="000000"/>
              </w:rPr>
            </w:pPr>
            <w:r w:rsidRPr="00DD3B0B">
              <w:rPr>
                <w:color w:val="000000"/>
              </w:rPr>
              <w:t>02919</w:t>
            </w:r>
          </w:p>
        </w:tc>
        <w:tc>
          <w:tcPr>
            <w:tcW w:w="1083" w:type="dxa"/>
            <w:tcBorders>
              <w:top w:val="nil"/>
              <w:left w:val="nil"/>
              <w:bottom w:val="nil"/>
              <w:right w:val="nil"/>
            </w:tcBorders>
            <w:shd w:val="clear" w:color="auto" w:fill="auto"/>
            <w:noWrap/>
            <w:hideMark/>
          </w:tcPr>
          <w:p w14:paraId="4875EED7" w14:textId="77777777" w:rsidR="00A46B68" w:rsidRPr="00DD3B0B" w:rsidRDefault="00A46B68" w:rsidP="00A46B68">
            <w:pPr>
              <w:spacing w:line="240" w:lineRule="auto"/>
              <w:ind w:firstLine="0"/>
              <w:jc w:val="center"/>
              <w:rPr>
                <w:color w:val="000000"/>
              </w:rPr>
            </w:pPr>
            <w:r w:rsidRPr="00DD3B0B">
              <w:rPr>
                <w:color w:val="000000"/>
              </w:rPr>
              <w:t>1.850</w:t>
            </w:r>
          </w:p>
        </w:tc>
        <w:tc>
          <w:tcPr>
            <w:tcW w:w="1152" w:type="dxa"/>
            <w:tcBorders>
              <w:top w:val="nil"/>
              <w:left w:val="nil"/>
              <w:bottom w:val="nil"/>
              <w:right w:val="nil"/>
            </w:tcBorders>
            <w:shd w:val="clear" w:color="auto" w:fill="auto"/>
            <w:noWrap/>
            <w:hideMark/>
          </w:tcPr>
          <w:p w14:paraId="6F588D30" w14:textId="77777777" w:rsidR="00A46B68" w:rsidRPr="00DD3B0B" w:rsidRDefault="00A46B68" w:rsidP="00A46B68">
            <w:pPr>
              <w:spacing w:line="240" w:lineRule="auto"/>
              <w:ind w:firstLine="0"/>
              <w:jc w:val="center"/>
              <w:rPr>
                <w:color w:val="000000"/>
              </w:rPr>
            </w:pPr>
            <w:r w:rsidRPr="00DD3B0B">
              <w:rPr>
                <w:color w:val="000000"/>
              </w:rPr>
              <w:t>4.58E-05</w:t>
            </w:r>
          </w:p>
        </w:tc>
        <w:tc>
          <w:tcPr>
            <w:tcW w:w="1297" w:type="dxa"/>
            <w:tcBorders>
              <w:top w:val="nil"/>
              <w:left w:val="nil"/>
              <w:bottom w:val="nil"/>
              <w:right w:val="nil"/>
            </w:tcBorders>
            <w:shd w:val="clear" w:color="auto" w:fill="auto"/>
            <w:noWrap/>
            <w:hideMark/>
          </w:tcPr>
          <w:p w14:paraId="332D5789"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6D83E83A" w14:textId="77777777" w:rsidR="00A46B68" w:rsidRPr="00DD3B0B" w:rsidRDefault="00A46B68" w:rsidP="00AB0D75">
            <w:pPr>
              <w:spacing w:line="240" w:lineRule="auto"/>
              <w:ind w:left="288" w:hanging="288"/>
              <w:rPr>
                <w:color w:val="000000"/>
              </w:rPr>
            </w:pPr>
            <w:r w:rsidRPr="00DD3B0B">
              <w:rPr>
                <w:color w:val="000000"/>
              </w:rPr>
              <w:t>GDP-L-fucose synthase</w:t>
            </w:r>
          </w:p>
        </w:tc>
      </w:tr>
      <w:tr w:rsidR="00A46B68" w:rsidRPr="00502B03" w14:paraId="31808C2C" w14:textId="77777777" w:rsidTr="002E3F44">
        <w:trPr>
          <w:trHeight w:val="20"/>
        </w:trPr>
        <w:tc>
          <w:tcPr>
            <w:tcW w:w="864" w:type="dxa"/>
            <w:tcBorders>
              <w:top w:val="nil"/>
              <w:left w:val="nil"/>
              <w:bottom w:val="nil"/>
              <w:right w:val="nil"/>
            </w:tcBorders>
            <w:shd w:val="clear" w:color="auto" w:fill="auto"/>
            <w:noWrap/>
            <w:hideMark/>
          </w:tcPr>
          <w:p w14:paraId="1D888D40" w14:textId="77777777" w:rsidR="00A46B68" w:rsidRPr="00DD3B0B" w:rsidRDefault="00A46B68" w:rsidP="00A46B68">
            <w:pPr>
              <w:spacing w:line="240" w:lineRule="auto"/>
              <w:ind w:firstLine="0"/>
              <w:rPr>
                <w:color w:val="000000"/>
              </w:rPr>
            </w:pPr>
            <w:r w:rsidRPr="00DD3B0B">
              <w:rPr>
                <w:color w:val="000000"/>
              </w:rPr>
              <w:t>02550</w:t>
            </w:r>
          </w:p>
        </w:tc>
        <w:tc>
          <w:tcPr>
            <w:tcW w:w="1083" w:type="dxa"/>
            <w:tcBorders>
              <w:top w:val="nil"/>
              <w:left w:val="nil"/>
              <w:bottom w:val="nil"/>
              <w:right w:val="nil"/>
            </w:tcBorders>
            <w:shd w:val="clear" w:color="auto" w:fill="auto"/>
            <w:noWrap/>
            <w:hideMark/>
          </w:tcPr>
          <w:p w14:paraId="1A9F9350" w14:textId="77777777" w:rsidR="00A46B68" w:rsidRPr="00DD3B0B" w:rsidRDefault="00A46B68" w:rsidP="00A46B68">
            <w:pPr>
              <w:spacing w:line="240" w:lineRule="auto"/>
              <w:ind w:firstLine="0"/>
              <w:jc w:val="center"/>
              <w:rPr>
                <w:color w:val="000000"/>
              </w:rPr>
            </w:pPr>
            <w:r w:rsidRPr="00DD3B0B">
              <w:rPr>
                <w:color w:val="000000"/>
              </w:rPr>
              <w:t>1.804</w:t>
            </w:r>
          </w:p>
        </w:tc>
        <w:tc>
          <w:tcPr>
            <w:tcW w:w="1152" w:type="dxa"/>
            <w:tcBorders>
              <w:top w:val="nil"/>
              <w:left w:val="nil"/>
              <w:bottom w:val="nil"/>
              <w:right w:val="nil"/>
            </w:tcBorders>
            <w:shd w:val="clear" w:color="auto" w:fill="auto"/>
            <w:noWrap/>
            <w:hideMark/>
          </w:tcPr>
          <w:p w14:paraId="76E32D57" w14:textId="77777777" w:rsidR="00A46B68" w:rsidRPr="00DD3B0B" w:rsidRDefault="00A46B68" w:rsidP="00A46B68">
            <w:pPr>
              <w:spacing w:line="240" w:lineRule="auto"/>
              <w:ind w:firstLine="0"/>
              <w:jc w:val="center"/>
              <w:rPr>
                <w:color w:val="000000"/>
              </w:rPr>
            </w:pPr>
            <w:r w:rsidRPr="00DD3B0B">
              <w:rPr>
                <w:color w:val="000000"/>
              </w:rPr>
              <w:t>2.56E-02</w:t>
            </w:r>
          </w:p>
        </w:tc>
        <w:tc>
          <w:tcPr>
            <w:tcW w:w="1297" w:type="dxa"/>
            <w:tcBorders>
              <w:top w:val="nil"/>
              <w:left w:val="nil"/>
              <w:bottom w:val="nil"/>
              <w:right w:val="nil"/>
            </w:tcBorders>
            <w:shd w:val="clear" w:color="auto" w:fill="auto"/>
            <w:noWrap/>
          </w:tcPr>
          <w:p w14:paraId="044F552D"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7283487B" w14:textId="77777777" w:rsidR="00A46B68" w:rsidRPr="00DD3B0B" w:rsidRDefault="00A46B68" w:rsidP="00AB0D75">
            <w:pPr>
              <w:spacing w:line="240" w:lineRule="auto"/>
              <w:ind w:left="288" w:hanging="288"/>
              <w:rPr>
                <w:color w:val="000000"/>
              </w:rPr>
            </w:pPr>
          </w:p>
        </w:tc>
      </w:tr>
      <w:tr w:rsidR="00A46B68" w:rsidRPr="00502B03" w14:paraId="0351DE55" w14:textId="77777777" w:rsidTr="002E3F44">
        <w:trPr>
          <w:trHeight w:val="20"/>
        </w:trPr>
        <w:tc>
          <w:tcPr>
            <w:tcW w:w="864" w:type="dxa"/>
            <w:tcBorders>
              <w:top w:val="nil"/>
              <w:left w:val="nil"/>
              <w:bottom w:val="nil"/>
              <w:right w:val="nil"/>
            </w:tcBorders>
            <w:shd w:val="clear" w:color="auto" w:fill="auto"/>
            <w:noWrap/>
            <w:hideMark/>
          </w:tcPr>
          <w:p w14:paraId="2B8E46A2" w14:textId="77777777" w:rsidR="00A46B68" w:rsidRPr="00DD3B0B" w:rsidRDefault="00A46B68" w:rsidP="00A46B68">
            <w:pPr>
              <w:spacing w:line="240" w:lineRule="auto"/>
              <w:ind w:firstLine="0"/>
              <w:rPr>
                <w:color w:val="000000"/>
              </w:rPr>
            </w:pPr>
            <w:r w:rsidRPr="00DD3B0B">
              <w:rPr>
                <w:color w:val="000000"/>
              </w:rPr>
              <w:t>02912</w:t>
            </w:r>
          </w:p>
        </w:tc>
        <w:tc>
          <w:tcPr>
            <w:tcW w:w="1083" w:type="dxa"/>
            <w:tcBorders>
              <w:top w:val="nil"/>
              <w:left w:val="nil"/>
              <w:bottom w:val="nil"/>
              <w:right w:val="nil"/>
            </w:tcBorders>
            <w:shd w:val="clear" w:color="auto" w:fill="auto"/>
            <w:noWrap/>
            <w:hideMark/>
          </w:tcPr>
          <w:p w14:paraId="0C3875BE" w14:textId="77777777" w:rsidR="00A46B68" w:rsidRPr="00DD3B0B" w:rsidRDefault="00A46B68" w:rsidP="00A46B68">
            <w:pPr>
              <w:spacing w:line="240" w:lineRule="auto"/>
              <w:ind w:firstLine="0"/>
              <w:jc w:val="center"/>
              <w:rPr>
                <w:color w:val="000000"/>
              </w:rPr>
            </w:pPr>
            <w:r w:rsidRPr="00DD3B0B">
              <w:rPr>
                <w:color w:val="000000"/>
              </w:rPr>
              <w:t>1.731</w:t>
            </w:r>
          </w:p>
        </w:tc>
        <w:tc>
          <w:tcPr>
            <w:tcW w:w="1152" w:type="dxa"/>
            <w:tcBorders>
              <w:top w:val="nil"/>
              <w:left w:val="nil"/>
              <w:bottom w:val="nil"/>
              <w:right w:val="nil"/>
            </w:tcBorders>
            <w:shd w:val="clear" w:color="auto" w:fill="auto"/>
            <w:noWrap/>
            <w:hideMark/>
          </w:tcPr>
          <w:p w14:paraId="6D09B909" w14:textId="77777777" w:rsidR="00A46B68" w:rsidRPr="00DD3B0B" w:rsidRDefault="00A46B68" w:rsidP="00A46B68">
            <w:pPr>
              <w:spacing w:line="240" w:lineRule="auto"/>
              <w:ind w:firstLine="0"/>
              <w:jc w:val="center"/>
              <w:rPr>
                <w:color w:val="000000"/>
              </w:rPr>
            </w:pPr>
            <w:r w:rsidRPr="00DD3B0B">
              <w:rPr>
                <w:color w:val="000000"/>
              </w:rPr>
              <w:t>3.10E-11</w:t>
            </w:r>
          </w:p>
        </w:tc>
        <w:tc>
          <w:tcPr>
            <w:tcW w:w="1297" w:type="dxa"/>
            <w:tcBorders>
              <w:top w:val="nil"/>
              <w:left w:val="nil"/>
              <w:bottom w:val="nil"/>
              <w:right w:val="nil"/>
            </w:tcBorders>
            <w:shd w:val="clear" w:color="auto" w:fill="auto"/>
            <w:noWrap/>
          </w:tcPr>
          <w:p w14:paraId="290C8542"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6060F989" w14:textId="77777777" w:rsidR="00A46B68" w:rsidRPr="00DD3B0B" w:rsidRDefault="00A46B68" w:rsidP="00AB0D75">
            <w:pPr>
              <w:spacing w:line="240" w:lineRule="auto"/>
              <w:ind w:left="288" w:hanging="288"/>
              <w:rPr>
                <w:color w:val="000000"/>
              </w:rPr>
            </w:pPr>
          </w:p>
        </w:tc>
      </w:tr>
      <w:tr w:rsidR="00A46B68" w:rsidRPr="00502B03" w14:paraId="49658BD7" w14:textId="77777777" w:rsidTr="002E3F44">
        <w:trPr>
          <w:trHeight w:val="20"/>
        </w:trPr>
        <w:tc>
          <w:tcPr>
            <w:tcW w:w="864" w:type="dxa"/>
            <w:tcBorders>
              <w:top w:val="nil"/>
              <w:left w:val="nil"/>
              <w:bottom w:val="nil"/>
              <w:right w:val="nil"/>
            </w:tcBorders>
            <w:shd w:val="clear" w:color="auto" w:fill="auto"/>
            <w:noWrap/>
            <w:hideMark/>
          </w:tcPr>
          <w:p w14:paraId="76CB0305" w14:textId="77777777" w:rsidR="00A46B68" w:rsidRPr="00DD3B0B" w:rsidRDefault="00A46B68" w:rsidP="00A46B68">
            <w:pPr>
              <w:spacing w:line="240" w:lineRule="auto"/>
              <w:ind w:firstLine="0"/>
              <w:rPr>
                <w:color w:val="000000"/>
              </w:rPr>
            </w:pPr>
            <w:r w:rsidRPr="00DD3B0B">
              <w:rPr>
                <w:color w:val="000000"/>
              </w:rPr>
              <w:t>03695</w:t>
            </w:r>
          </w:p>
        </w:tc>
        <w:tc>
          <w:tcPr>
            <w:tcW w:w="1083" w:type="dxa"/>
            <w:tcBorders>
              <w:top w:val="nil"/>
              <w:left w:val="nil"/>
              <w:bottom w:val="nil"/>
              <w:right w:val="nil"/>
            </w:tcBorders>
            <w:shd w:val="clear" w:color="auto" w:fill="auto"/>
            <w:noWrap/>
            <w:hideMark/>
          </w:tcPr>
          <w:p w14:paraId="653FD419" w14:textId="77777777" w:rsidR="00A46B68" w:rsidRPr="00DD3B0B" w:rsidRDefault="00A46B68" w:rsidP="00A46B68">
            <w:pPr>
              <w:spacing w:line="240" w:lineRule="auto"/>
              <w:ind w:firstLine="0"/>
              <w:jc w:val="center"/>
              <w:rPr>
                <w:color w:val="000000"/>
              </w:rPr>
            </w:pPr>
            <w:r w:rsidRPr="00DD3B0B">
              <w:rPr>
                <w:color w:val="000000"/>
              </w:rPr>
              <w:t>1.727</w:t>
            </w:r>
          </w:p>
        </w:tc>
        <w:tc>
          <w:tcPr>
            <w:tcW w:w="1152" w:type="dxa"/>
            <w:tcBorders>
              <w:top w:val="nil"/>
              <w:left w:val="nil"/>
              <w:bottom w:val="nil"/>
              <w:right w:val="nil"/>
            </w:tcBorders>
            <w:shd w:val="clear" w:color="auto" w:fill="auto"/>
            <w:noWrap/>
            <w:hideMark/>
          </w:tcPr>
          <w:p w14:paraId="5CB8A89C" w14:textId="77777777" w:rsidR="00A46B68" w:rsidRPr="00DD3B0B" w:rsidRDefault="00A46B68" w:rsidP="00A46B68">
            <w:pPr>
              <w:spacing w:line="240" w:lineRule="auto"/>
              <w:ind w:firstLine="0"/>
              <w:jc w:val="center"/>
              <w:rPr>
                <w:color w:val="000000"/>
              </w:rPr>
            </w:pPr>
            <w:r w:rsidRPr="00DD3B0B">
              <w:rPr>
                <w:color w:val="000000"/>
              </w:rPr>
              <w:t>1.92E-02</w:t>
            </w:r>
          </w:p>
        </w:tc>
        <w:tc>
          <w:tcPr>
            <w:tcW w:w="1297" w:type="dxa"/>
            <w:tcBorders>
              <w:top w:val="nil"/>
              <w:left w:val="nil"/>
              <w:bottom w:val="nil"/>
              <w:right w:val="nil"/>
            </w:tcBorders>
            <w:shd w:val="clear" w:color="auto" w:fill="auto"/>
            <w:noWrap/>
            <w:hideMark/>
          </w:tcPr>
          <w:p w14:paraId="3329473C"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519E851D" w14:textId="77777777" w:rsidR="00A46B68" w:rsidRPr="00DD3B0B" w:rsidRDefault="00A46B68" w:rsidP="00AB0D75">
            <w:pPr>
              <w:spacing w:line="240" w:lineRule="auto"/>
              <w:ind w:left="288" w:hanging="288"/>
              <w:rPr>
                <w:color w:val="000000"/>
              </w:rPr>
            </w:pPr>
            <w:r w:rsidRPr="00DD3B0B">
              <w:rPr>
                <w:i/>
                <w:iCs/>
                <w:color w:val="000000"/>
              </w:rPr>
              <w:t>uvrC</w:t>
            </w:r>
            <w:r w:rsidRPr="00DD3B0B">
              <w:rPr>
                <w:color w:val="000000"/>
              </w:rPr>
              <w:t>; excinuclease ABC subunit C</w:t>
            </w:r>
          </w:p>
        </w:tc>
      </w:tr>
      <w:tr w:rsidR="00A46B68" w:rsidRPr="00502B03" w14:paraId="54CA17F7" w14:textId="77777777" w:rsidTr="002E3F44">
        <w:trPr>
          <w:trHeight w:val="20"/>
        </w:trPr>
        <w:tc>
          <w:tcPr>
            <w:tcW w:w="864" w:type="dxa"/>
            <w:tcBorders>
              <w:top w:val="nil"/>
              <w:left w:val="nil"/>
              <w:bottom w:val="nil"/>
              <w:right w:val="nil"/>
            </w:tcBorders>
            <w:shd w:val="clear" w:color="auto" w:fill="auto"/>
            <w:noWrap/>
            <w:hideMark/>
          </w:tcPr>
          <w:p w14:paraId="57B29CEF" w14:textId="77777777" w:rsidR="00A46B68" w:rsidRPr="00DD3B0B" w:rsidRDefault="00A46B68" w:rsidP="00A46B68">
            <w:pPr>
              <w:spacing w:line="240" w:lineRule="auto"/>
              <w:ind w:firstLine="0"/>
              <w:rPr>
                <w:color w:val="000000"/>
              </w:rPr>
            </w:pPr>
            <w:r w:rsidRPr="00DD3B0B">
              <w:rPr>
                <w:color w:val="000000"/>
              </w:rPr>
              <w:t>02922</w:t>
            </w:r>
          </w:p>
        </w:tc>
        <w:tc>
          <w:tcPr>
            <w:tcW w:w="1083" w:type="dxa"/>
            <w:tcBorders>
              <w:top w:val="nil"/>
              <w:left w:val="nil"/>
              <w:bottom w:val="nil"/>
              <w:right w:val="nil"/>
            </w:tcBorders>
            <w:shd w:val="clear" w:color="auto" w:fill="auto"/>
            <w:noWrap/>
            <w:hideMark/>
          </w:tcPr>
          <w:p w14:paraId="7A3B50E4" w14:textId="77777777" w:rsidR="00A46B68" w:rsidRPr="00DD3B0B" w:rsidRDefault="00A46B68" w:rsidP="00A46B68">
            <w:pPr>
              <w:spacing w:line="240" w:lineRule="auto"/>
              <w:ind w:firstLine="0"/>
              <w:jc w:val="center"/>
              <w:rPr>
                <w:color w:val="000000"/>
              </w:rPr>
            </w:pPr>
            <w:r w:rsidRPr="00DD3B0B">
              <w:rPr>
                <w:color w:val="000000"/>
              </w:rPr>
              <w:t>1.702</w:t>
            </w:r>
          </w:p>
        </w:tc>
        <w:tc>
          <w:tcPr>
            <w:tcW w:w="1152" w:type="dxa"/>
            <w:tcBorders>
              <w:top w:val="nil"/>
              <w:left w:val="nil"/>
              <w:bottom w:val="nil"/>
              <w:right w:val="nil"/>
            </w:tcBorders>
            <w:shd w:val="clear" w:color="auto" w:fill="auto"/>
            <w:noWrap/>
            <w:hideMark/>
          </w:tcPr>
          <w:p w14:paraId="509B3363" w14:textId="77777777" w:rsidR="00A46B68" w:rsidRPr="00DD3B0B" w:rsidRDefault="00A46B68" w:rsidP="00A46B68">
            <w:pPr>
              <w:spacing w:line="240" w:lineRule="auto"/>
              <w:ind w:firstLine="0"/>
              <w:jc w:val="center"/>
              <w:rPr>
                <w:color w:val="000000"/>
              </w:rPr>
            </w:pPr>
            <w:r w:rsidRPr="00DD3B0B">
              <w:rPr>
                <w:color w:val="000000"/>
              </w:rPr>
              <w:t>2.16E-05</w:t>
            </w:r>
          </w:p>
        </w:tc>
        <w:tc>
          <w:tcPr>
            <w:tcW w:w="1297" w:type="dxa"/>
            <w:tcBorders>
              <w:top w:val="nil"/>
              <w:left w:val="nil"/>
              <w:bottom w:val="nil"/>
              <w:right w:val="nil"/>
            </w:tcBorders>
            <w:shd w:val="clear" w:color="auto" w:fill="auto"/>
            <w:noWrap/>
            <w:hideMark/>
          </w:tcPr>
          <w:p w14:paraId="6D0F40D8"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7D377D2D" w14:textId="77777777" w:rsidR="00A46B68" w:rsidRPr="00DD3B0B" w:rsidRDefault="00A46B68" w:rsidP="00AB0D75">
            <w:pPr>
              <w:spacing w:line="240" w:lineRule="auto"/>
              <w:ind w:left="288" w:hanging="288"/>
              <w:rPr>
                <w:color w:val="000000"/>
              </w:rPr>
            </w:pPr>
            <w:r w:rsidRPr="00DD3B0B">
              <w:rPr>
                <w:color w:val="000000"/>
              </w:rPr>
              <w:t>Alginate biosynthesis protein AlgA</w:t>
            </w:r>
          </w:p>
        </w:tc>
      </w:tr>
      <w:tr w:rsidR="00A46B68" w:rsidRPr="00502B03" w14:paraId="637E97CB" w14:textId="77777777" w:rsidTr="002E3F44">
        <w:trPr>
          <w:trHeight w:val="20"/>
        </w:trPr>
        <w:tc>
          <w:tcPr>
            <w:tcW w:w="864" w:type="dxa"/>
            <w:tcBorders>
              <w:top w:val="nil"/>
              <w:left w:val="nil"/>
              <w:bottom w:val="nil"/>
              <w:right w:val="nil"/>
            </w:tcBorders>
            <w:shd w:val="clear" w:color="auto" w:fill="auto"/>
            <w:noWrap/>
            <w:hideMark/>
          </w:tcPr>
          <w:p w14:paraId="680638DE" w14:textId="77777777" w:rsidR="00A46B68" w:rsidRPr="00DD3B0B" w:rsidRDefault="00A46B68" w:rsidP="00A46B68">
            <w:pPr>
              <w:spacing w:line="240" w:lineRule="auto"/>
              <w:ind w:firstLine="0"/>
              <w:rPr>
                <w:color w:val="000000"/>
              </w:rPr>
            </w:pPr>
            <w:r w:rsidRPr="00DD3B0B">
              <w:rPr>
                <w:color w:val="000000"/>
              </w:rPr>
              <w:t>00956</w:t>
            </w:r>
          </w:p>
        </w:tc>
        <w:tc>
          <w:tcPr>
            <w:tcW w:w="1083" w:type="dxa"/>
            <w:tcBorders>
              <w:top w:val="nil"/>
              <w:left w:val="nil"/>
              <w:bottom w:val="nil"/>
              <w:right w:val="nil"/>
            </w:tcBorders>
            <w:shd w:val="clear" w:color="auto" w:fill="auto"/>
            <w:noWrap/>
            <w:hideMark/>
          </w:tcPr>
          <w:p w14:paraId="51C08A31" w14:textId="77777777" w:rsidR="00A46B68" w:rsidRPr="00DD3B0B" w:rsidRDefault="00A46B68" w:rsidP="00A46B68">
            <w:pPr>
              <w:spacing w:line="240" w:lineRule="auto"/>
              <w:ind w:firstLine="0"/>
              <w:jc w:val="center"/>
              <w:rPr>
                <w:color w:val="000000"/>
              </w:rPr>
            </w:pPr>
            <w:r w:rsidRPr="00DD3B0B">
              <w:rPr>
                <w:color w:val="000000"/>
              </w:rPr>
              <w:t>1.673</w:t>
            </w:r>
          </w:p>
        </w:tc>
        <w:tc>
          <w:tcPr>
            <w:tcW w:w="1152" w:type="dxa"/>
            <w:tcBorders>
              <w:top w:val="nil"/>
              <w:left w:val="nil"/>
              <w:bottom w:val="nil"/>
              <w:right w:val="nil"/>
            </w:tcBorders>
            <w:shd w:val="clear" w:color="auto" w:fill="auto"/>
            <w:noWrap/>
            <w:hideMark/>
          </w:tcPr>
          <w:p w14:paraId="62826911" w14:textId="77777777" w:rsidR="00A46B68" w:rsidRPr="00DD3B0B" w:rsidRDefault="00A46B68" w:rsidP="00A46B68">
            <w:pPr>
              <w:spacing w:line="240" w:lineRule="auto"/>
              <w:ind w:firstLine="0"/>
              <w:jc w:val="center"/>
              <w:rPr>
                <w:color w:val="000000"/>
              </w:rPr>
            </w:pPr>
            <w:r w:rsidRPr="00DD3B0B">
              <w:rPr>
                <w:color w:val="000000"/>
              </w:rPr>
              <w:t>6.48E-03</w:t>
            </w:r>
          </w:p>
        </w:tc>
        <w:tc>
          <w:tcPr>
            <w:tcW w:w="1297" w:type="dxa"/>
            <w:tcBorders>
              <w:top w:val="nil"/>
              <w:left w:val="nil"/>
              <w:bottom w:val="nil"/>
              <w:right w:val="nil"/>
            </w:tcBorders>
            <w:shd w:val="clear" w:color="auto" w:fill="auto"/>
            <w:noWrap/>
            <w:hideMark/>
          </w:tcPr>
          <w:p w14:paraId="4005A743"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33EE995F" w14:textId="77777777" w:rsidR="00A46B68" w:rsidRPr="00DD3B0B" w:rsidRDefault="00A46B68" w:rsidP="00AB0D75">
            <w:pPr>
              <w:spacing w:line="240" w:lineRule="auto"/>
              <w:ind w:left="288" w:hanging="288"/>
              <w:rPr>
                <w:color w:val="000000"/>
              </w:rPr>
            </w:pPr>
            <w:r w:rsidRPr="00DD3B0B">
              <w:rPr>
                <w:i/>
                <w:iCs/>
                <w:color w:val="000000"/>
              </w:rPr>
              <w:t>rpoE</w:t>
            </w:r>
            <w:r w:rsidRPr="00DD3B0B">
              <w:rPr>
                <w:color w:val="000000"/>
              </w:rPr>
              <w:t>; R polymerase sigma-70 factor, ECF subfamily</w:t>
            </w:r>
          </w:p>
        </w:tc>
      </w:tr>
      <w:tr w:rsidR="00A46B68" w:rsidRPr="00502B03" w14:paraId="1004FBB9" w14:textId="77777777" w:rsidTr="002E3F44">
        <w:trPr>
          <w:trHeight w:val="20"/>
        </w:trPr>
        <w:tc>
          <w:tcPr>
            <w:tcW w:w="864" w:type="dxa"/>
            <w:tcBorders>
              <w:top w:val="nil"/>
              <w:left w:val="nil"/>
              <w:bottom w:val="nil"/>
              <w:right w:val="nil"/>
            </w:tcBorders>
            <w:shd w:val="clear" w:color="auto" w:fill="auto"/>
            <w:noWrap/>
            <w:hideMark/>
          </w:tcPr>
          <w:p w14:paraId="0A922F20" w14:textId="77777777" w:rsidR="00A46B68" w:rsidRPr="00DD3B0B" w:rsidRDefault="00A46B68" w:rsidP="00A46B68">
            <w:pPr>
              <w:spacing w:line="240" w:lineRule="auto"/>
              <w:ind w:firstLine="0"/>
              <w:rPr>
                <w:color w:val="000000"/>
              </w:rPr>
            </w:pPr>
            <w:r w:rsidRPr="00DD3B0B">
              <w:rPr>
                <w:color w:val="000000"/>
              </w:rPr>
              <w:t>02920</w:t>
            </w:r>
          </w:p>
        </w:tc>
        <w:tc>
          <w:tcPr>
            <w:tcW w:w="1083" w:type="dxa"/>
            <w:tcBorders>
              <w:top w:val="nil"/>
              <w:left w:val="nil"/>
              <w:bottom w:val="nil"/>
              <w:right w:val="nil"/>
            </w:tcBorders>
            <w:shd w:val="clear" w:color="auto" w:fill="auto"/>
            <w:noWrap/>
            <w:hideMark/>
          </w:tcPr>
          <w:p w14:paraId="25269314" w14:textId="77777777" w:rsidR="00A46B68" w:rsidRPr="00DD3B0B" w:rsidRDefault="00A46B68" w:rsidP="00A46B68">
            <w:pPr>
              <w:spacing w:line="240" w:lineRule="auto"/>
              <w:ind w:firstLine="0"/>
              <w:jc w:val="center"/>
              <w:rPr>
                <w:color w:val="000000"/>
              </w:rPr>
            </w:pPr>
            <w:r w:rsidRPr="00DD3B0B">
              <w:rPr>
                <w:color w:val="000000"/>
              </w:rPr>
              <w:t>1.646</w:t>
            </w:r>
          </w:p>
        </w:tc>
        <w:tc>
          <w:tcPr>
            <w:tcW w:w="1152" w:type="dxa"/>
            <w:tcBorders>
              <w:top w:val="nil"/>
              <w:left w:val="nil"/>
              <w:bottom w:val="nil"/>
              <w:right w:val="nil"/>
            </w:tcBorders>
            <w:shd w:val="clear" w:color="auto" w:fill="auto"/>
            <w:noWrap/>
            <w:hideMark/>
          </w:tcPr>
          <w:p w14:paraId="53E51F6F" w14:textId="77777777" w:rsidR="00A46B68" w:rsidRPr="00DD3B0B" w:rsidRDefault="00A46B68" w:rsidP="00A46B68">
            <w:pPr>
              <w:spacing w:line="240" w:lineRule="auto"/>
              <w:ind w:firstLine="0"/>
              <w:jc w:val="center"/>
              <w:rPr>
                <w:color w:val="000000"/>
              </w:rPr>
            </w:pPr>
            <w:r w:rsidRPr="00DD3B0B">
              <w:rPr>
                <w:color w:val="000000"/>
              </w:rPr>
              <w:t>2.11E-04</w:t>
            </w:r>
          </w:p>
        </w:tc>
        <w:tc>
          <w:tcPr>
            <w:tcW w:w="1297" w:type="dxa"/>
            <w:tcBorders>
              <w:top w:val="nil"/>
              <w:left w:val="nil"/>
              <w:bottom w:val="nil"/>
              <w:right w:val="nil"/>
            </w:tcBorders>
            <w:shd w:val="clear" w:color="auto" w:fill="auto"/>
            <w:noWrap/>
            <w:hideMark/>
          </w:tcPr>
          <w:p w14:paraId="17F3D5DF"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006078C0" w14:textId="77777777" w:rsidR="00A46B68" w:rsidRPr="00DD3B0B" w:rsidRDefault="00A46B68" w:rsidP="00AB0D75">
            <w:pPr>
              <w:spacing w:line="240" w:lineRule="auto"/>
              <w:ind w:left="288" w:hanging="288"/>
              <w:rPr>
                <w:color w:val="000000"/>
              </w:rPr>
            </w:pPr>
            <w:r w:rsidRPr="00DD3B0B">
              <w:rPr>
                <w:color w:val="000000"/>
              </w:rPr>
              <w:t>PD-(D/E)XK nuclease superfamily</w:t>
            </w:r>
          </w:p>
        </w:tc>
      </w:tr>
      <w:tr w:rsidR="00A46B68" w:rsidRPr="00502B03" w14:paraId="646E47EE" w14:textId="77777777" w:rsidTr="002E3F44">
        <w:trPr>
          <w:trHeight w:val="20"/>
        </w:trPr>
        <w:tc>
          <w:tcPr>
            <w:tcW w:w="864" w:type="dxa"/>
            <w:tcBorders>
              <w:top w:val="nil"/>
              <w:left w:val="nil"/>
              <w:bottom w:val="nil"/>
              <w:right w:val="nil"/>
            </w:tcBorders>
            <w:shd w:val="clear" w:color="auto" w:fill="auto"/>
            <w:noWrap/>
            <w:hideMark/>
          </w:tcPr>
          <w:p w14:paraId="2A39B4DD" w14:textId="77777777" w:rsidR="00A46B68" w:rsidRPr="00DD3B0B" w:rsidRDefault="00A46B68" w:rsidP="00A46B68">
            <w:pPr>
              <w:spacing w:line="240" w:lineRule="auto"/>
              <w:ind w:firstLine="0"/>
              <w:rPr>
                <w:color w:val="000000"/>
              </w:rPr>
            </w:pPr>
            <w:r w:rsidRPr="00DD3B0B">
              <w:rPr>
                <w:color w:val="000000"/>
              </w:rPr>
              <w:t>00932</w:t>
            </w:r>
          </w:p>
        </w:tc>
        <w:tc>
          <w:tcPr>
            <w:tcW w:w="1083" w:type="dxa"/>
            <w:tcBorders>
              <w:top w:val="nil"/>
              <w:left w:val="nil"/>
              <w:bottom w:val="nil"/>
              <w:right w:val="nil"/>
            </w:tcBorders>
            <w:shd w:val="clear" w:color="auto" w:fill="auto"/>
            <w:noWrap/>
            <w:hideMark/>
          </w:tcPr>
          <w:p w14:paraId="02DC3D2A" w14:textId="77777777" w:rsidR="00A46B68" w:rsidRPr="00DD3B0B" w:rsidRDefault="00A46B68" w:rsidP="00A46B68">
            <w:pPr>
              <w:spacing w:line="240" w:lineRule="auto"/>
              <w:ind w:firstLine="0"/>
              <w:jc w:val="center"/>
              <w:rPr>
                <w:color w:val="000000"/>
              </w:rPr>
            </w:pPr>
            <w:r w:rsidRPr="00DD3B0B">
              <w:rPr>
                <w:color w:val="000000"/>
              </w:rPr>
              <w:t>1.637</w:t>
            </w:r>
          </w:p>
        </w:tc>
        <w:tc>
          <w:tcPr>
            <w:tcW w:w="1152" w:type="dxa"/>
            <w:tcBorders>
              <w:top w:val="nil"/>
              <w:left w:val="nil"/>
              <w:bottom w:val="nil"/>
              <w:right w:val="nil"/>
            </w:tcBorders>
            <w:shd w:val="clear" w:color="auto" w:fill="auto"/>
            <w:noWrap/>
            <w:hideMark/>
          </w:tcPr>
          <w:p w14:paraId="562326C2" w14:textId="77777777" w:rsidR="00A46B68" w:rsidRPr="00DD3B0B" w:rsidRDefault="00A46B68" w:rsidP="00A46B68">
            <w:pPr>
              <w:spacing w:line="240" w:lineRule="auto"/>
              <w:ind w:firstLine="0"/>
              <w:jc w:val="center"/>
              <w:rPr>
                <w:color w:val="000000"/>
              </w:rPr>
            </w:pPr>
            <w:r w:rsidRPr="00DD3B0B">
              <w:rPr>
                <w:color w:val="000000"/>
              </w:rPr>
              <w:t>7.40E-04</w:t>
            </w:r>
          </w:p>
        </w:tc>
        <w:tc>
          <w:tcPr>
            <w:tcW w:w="1297" w:type="dxa"/>
            <w:tcBorders>
              <w:top w:val="nil"/>
              <w:left w:val="nil"/>
              <w:bottom w:val="nil"/>
              <w:right w:val="nil"/>
            </w:tcBorders>
            <w:shd w:val="clear" w:color="auto" w:fill="auto"/>
            <w:noWrap/>
          </w:tcPr>
          <w:p w14:paraId="1D92CAA8"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237541E9" w14:textId="77777777" w:rsidR="00A46B68" w:rsidRPr="00DD3B0B" w:rsidRDefault="00A46B68" w:rsidP="00AB0D75">
            <w:pPr>
              <w:spacing w:line="240" w:lineRule="auto"/>
              <w:ind w:left="288" w:hanging="288"/>
              <w:rPr>
                <w:color w:val="000000"/>
              </w:rPr>
            </w:pPr>
          </w:p>
        </w:tc>
      </w:tr>
      <w:tr w:rsidR="00A46B68" w:rsidRPr="00502B03" w14:paraId="1ADDC294" w14:textId="77777777" w:rsidTr="002E3F44">
        <w:trPr>
          <w:trHeight w:val="20"/>
        </w:trPr>
        <w:tc>
          <w:tcPr>
            <w:tcW w:w="864" w:type="dxa"/>
            <w:tcBorders>
              <w:top w:val="nil"/>
              <w:left w:val="nil"/>
              <w:bottom w:val="nil"/>
              <w:right w:val="nil"/>
            </w:tcBorders>
            <w:shd w:val="clear" w:color="auto" w:fill="auto"/>
            <w:noWrap/>
            <w:hideMark/>
          </w:tcPr>
          <w:p w14:paraId="75CA6FD1" w14:textId="77777777" w:rsidR="00A46B68" w:rsidRPr="00DD3B0B" w:rsidRDefault="00A46B68" w:rsidP="00A46B68">
            <w:pPr>
              <w:spacing w:line="240" w:lineRule="auto"/>
              <w:ind w:firstLine="0"/>
              <w:rPr>
                <w:color w:val="000000"/>
              </w:rPr>
            </w:pPr>
            <w:r w:rsidRPr="00DD3B0B">
              <w:rPr>
                <w:color w:val="000000"/>
              </w:rPr>
              <w:t>02910</w:t>
            </w:r>
          </w:p>
        </w:tc>
        <w:tc>
          <w:tcPr>
            <w:tcW w:w="1083" w:type="dxa"/>
            <w:tcBorders>
              <w:top w:val="nil"/>
              <w:left w:val="nil"/>
              <w:bottom w:val="nil"/>
              <w:right w:val="nil"/>
            </w:tcBorders>
            <w:shd w:val="clear" w:color="auto" w:fill="auto"/>
            <w:noWrap/>
            <w:hideMark/>
          </w:tcPr>
          <w:p w14:paraId="72309684" w14:textId="77777777" w:rsidR="00A46B68" w:rsidRPr="00DD3B0B" w:rsidRDefault="00A46B68" w:rsidP="00A46B68">
            <w:pPr>
              <w:spacing w:line="240" w:lineRule="auto"/>
              <w:ind w:firstLine="0"/>
              <w:jc w:val="center"/>
              <w:rPr>
                <w:color w:val="000000"/>
              </w:rPr>
            </w:pPr>
            <w:r w:rsidRPr="00DD3B0B">
              <w:rPr>
                <w:color w:val="000000"/>
              </w:rPr>
              <w:t>1.621</w:t>
            </w:r>
          </w:p>
        </w:tc>
        <w:tc>
          <w:tcPr>
            <w:tcW w:w="1152" w:type="dxa"/>
            <w:tcBorders>
              <w:top w:val="nil"/>
              <w:left w:val="nil"/>
              <w:bottom w:val="nil"/>
              <w:right w:val="nil"/>
            </w:tcBorders>
            <w:shd w:val="clear" w:color="auto" w:fill="auto"/>
            <w:noWrap/>
            <w:hideMark/>
          </w:tcPr>
          <w:p w14:paraId="4D0B2DE1" w14:textId="77777777" w:rsidR="00A46B68" w:rsidRPr="00DD3B0B" w:rsidRDefault="00A46B68" w:rsidP="00A46B68">
            <w:pPr>
              <w:spacing w:line="240" w:lineRule="auto"/>
              <w:ind w:firstLine="0"/>
              <w:jc w:val="center"/>
              <w:rPr>
                <w:color w:val="000000"/>
              </w:rPr>
            </w:pPr>
            <w:r w:rsidRPr="00DD3B0B">
              <w:rPr>
                <w:color w:val="000000"/>
              </w:rPr>
              <w:t>1.07E-04</w:t>
            </w:r>
          </w:p>
        </w:tc>
        <w:tc>
          <w:tcPr>
            <w:tcW w:w="1297" w:type="dxa"/>
            <w:tcBorders>
              <w:top w:val="nil"/>
              <w:left w:val="nil"/>
              <w:bottom w:val="nil"/>
              <w:right w:val="nil"/>
            </w:tcBorders>
            <w:shd w:val="clear" w:color="auto" w:fill="auto"/>
            <w:noWrap/>
          </w:tcPr>
          <w:p w14:paraId="40EBE82E"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35370594" w14:textId="77777777" w:rsidR="00A46B68" w:rsidRPr="00DD3B0B" w:rsidRDefault="00A46B68" w:rsidP="00AB0D75">
            <w:pPr>
              <w:spacing w:line="240" w:lineRule="auto"/>
              <w:ind w:left="288" w:hanging="288"/>
              <w:rPr>
                <w:color w:val="000000"/>
              </w:rPr>
            </w:pPr>
          </w:p>
        </w:tc>
      </w:tr>
      <w:tr w:rsidR="00A46B68" w:rsidRPr="00502B03" w14:paraId="3E2D71F9" w14:textId="77777777" w:rsidTr="002E3F44">
        <w:trPr>
          <w:trHeight w:val="20"/>
        </w:trPr>
        <w:tc>
          <w:tcPr>
            <w:tcW w:w="864" w:type="dxa"/>
            <w:tcBorders>
              <w:top w:val="nil"/>
              <w:left w:val="nil"/>
              <w:bottom w:val="nil"/>
              <w:right w:val="nil"/>
            </w:tcBorders>
            <w:shd w:val="clear" w:color="auto" w:fill="auto"/>
            <w:noWrap/>
            <w:hideMark/>
          </w:tcPr>
          <w:p w14:paraId="487E6A01" w14:textId="77777777" w:rsidR="00A46B68" w:rsidRPr="00DD3B0B" w:rsidRDefault="00A46B68" w:rsidP="00A46B68">
            <w:pPr>
              <w:spacing w:line="240" w:lineRule="auto"/>
              <w:ind w:firstLine="0"/>
              <w:rPr>
                <w:color w:val="000000"/>
              </w:rPr>
            </w:pPr>
            <w:r w:rsidRPr="00DD3B0B">
              <w:rPr>
                <w:color w:val="000000"/>
              </w:rPr>
              <w:t>02921</w:t>
            </w:r>
          </w:p>
        </w:tc>
        <w:tc>
          <w:tcPr>
            <w:tcW w:w="1083" w:type="dxa"/>
            <w:tcBorders>
              <w:top w:val="nil"/>
              <w:left w:val="nil"/>
              <w:bottom w:val="nil"/>
              <w:right w:val="nil"/>
            </w:tcBorders>
            <w:shd w:val="clear" w:color="auto" w:fill="auto"/>
            <w:noWrap/>
            <w:hideMark/>
          </w:tcPr>
          <w:p w14:paraId="34B571B8" w14:textId="77777777" w:rsidR="00A46B68" w:rsidRPr="00DD3B0B" w:rsidRDefault="00A46B68" w:rsidP="00A46B68">
            <w:pPr>
              <w:spacing w:line="240" w:lineRule="auto"/>
              <w:ind w:firstLine="0"/>
              <w:jc w:val="center"/>
              <w:rPr>
                <w:color w:val="000000"/>
              </w:rPr>
            </w:pPr>
            <w:r w:rsidRPr="00DD3B0B">
              <w:rPr>
                <w:color w:val="000000"/>
              </w:rPr>
              <w:t>1.591</w:t>
            </w:r>
          </w:p>
        </w:tc>
        <w:tc>
          <w:tcPr>
            <w:tcW w:w="1152" w:type="dxa"/>
            <w:tcBorders>
              <w:top w:val="nil"/>
              <w:left w:val="nil"/>
              <w:bottom w:val="nil"/>
              <w:right w:val="nil"/>
            </w:tcBorders>
            <w:shd w:val="clear" w:color="auto" w:fill="auto"/>
            <w:noWrap/>
            <w:hideMark/>
          </w:tcPr>
          <w:p w14:paraId="2FD87304" w14:textId="77777777" w:rsidR="00A46B68" w:rsidRPr="00DD3B0B" w:rsidRDefault="00A46B68" w:rsidP="00A46B68">
            <w:pPr>
              <w:spacing w:line="240" w:lineRule="auto"/>
              <w:ind w:firstLine="0"/>
              <w:jc w:val="center"/>
              <w:rPr>
                <w:color w:val="000000"/>
              </w:rPr>
            </w:pPr>
            <w:r w:rsidRPr="00DD3B0B">
              <w:rPr>
                <w:color w:val="000000"/>
              </w:rPr>
              <w:t>2.26E-04</w:t>
            </w:r>
          </w:p>
        </w:tc>
        <w:tc>
          <w:tcPr>
            <w:tcW w:w="1297" w:type="dxa"/>
            <w:tcBorders>
              <w:top w:val="nil"/>
              <w:left w:val="nil"/>
              <w:bottom w:val="nil"/>
              <w:right w:val="nil"/>
            </w:tcBorders>
            <w:shd w:val="clear" w:color="auto" w:fill="auto"/>
            <w:noWrap/>
            <w:hideMark/>
          </w:tcPr>
          <w:p w14:paraId="1DC12BC2"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16B87A03" w14:textId="77777777" w:rsidR="00A46B68" w:rsidRPr="00DD3B0B" w:rsidRDefault="00A46B68" w:rsidP="00AB0D75">
            <w:pPr>
              <w:spacing w:line="240" w:lineRule="auto"/>
              <w:ind w:left="288" w:hanging="288"/>
              <w:rPr>
                <w:color w:val="000000"/>
              </w:rPr>
            </w:pPr>
            <w:r w:rsidRPr="00DD3B0B">
              <w:rPr>
                <w:color w:val="000000"/>
              </w:rPr>
              <w:t>GDP-mannose 4,6-dehydratase</w:t>
            </w:r>
          </w:p>
        </w:tc>
      </w:tr>
      <w:tr w:rsidR="00A46B68" w:rsidRPr="00502B03" w14:paraId="13B8E105" w14:textId="77777777" w:rsidTr="002E3F44">
        <w:trPr>
          <w:trHeight w:val="20"/>
        </w:trPr>
        <w:tc>
          <w:tcPr>
            <w:tcW w:w="864" w:type="dxa"/>
            <w:tcBorders>
              <w:top w:val="nil"/>
              <w:left w:val="nil"/>
              <w:bottom w:val="nil"/>
              <w:right w:val="nil"/>
            </w:tcBorders>
            <w:shd w:val="clear" w:color="auto" w:fill="auto"/>
            <w:noWrap/>
            <w:hideMark/>
          </w:tcPr>
          <w:p w14:paraId="707A2FBA" w14:textId="77777777" w:rsidR="00A46B68" w:rsidRPr="00DD3B0B" w:rsidRDefault="00A46B68" w:rsidP="00A46B68">
            <w:pPr>
              <w:spacing w:line="240" w:lineRule="auto"/>
              <w:ind w:firstLine="0"/>
              <w:rPr>
                <w:color w:val="000000"/>
              </w:rPr>
            </w:pPr>
            <w:r w:rsidRPr="00DD3B0B">
              <w:rPr>
                <w:color w:val="000000"/>
              </w:rPr>
              <w:t>00955</w:t>
            </w:r>
          </w:p>
        </w:tc>
        <w:tc>
          <w:tcPr>
            <w:tcW w:w="1083" w:type="dxa"/>
            <w:tcBorders>
              <w:top w:val="nil"/>
              <w:left w:val="nil"/>
              <w:bottom w:val="nil"/>
              <w:right w:val="nil"/>
            </w:tcBorders>
            <w:shd w:val="clear" w:color="auto" w:fill="auto"/>
            <w:noWrap/>
            <w:hideMark/>
          </w:tcPr>
          <w:p w14:paraId="1A85DD59" w14:textId="77777777" w:rsidR="00A46B68" w:rsidRPr="00DD3B0B" w:rsidRDefault="00A46B68" w:rsidP="00A46B68">
            <w:pPr>
              <w:spacing w:line="240" w:lineRule="auto"/>
              <w:ind w:firstLine="0"/>
              <w:jc w:val="center"/>
              <w:rPr>
                <w:color w:val="000000"/>
              </w:rPr>
            </w:pPr>
            <w:r w:rsidRPr="00DD3B0B">
              <w:rPr>
                <w:color w:val="000000"/>
              </w:rPr>
              <w:t>1.587</w:t>
            </w:r>
          </w:p>
        </w:tc>
        <w:tc>
          <w:tcPr>
            <w:tcW w:w="1152" w:type="dxa"/>
            <w:tcBorders>
              <w:top w:val="nil"/>
              <w:left w:val="nil"/>
              <w:bottom w:val="nil"/>
              <w:right w:val="nil"/>
            </w:tcBorders>
            <w:shd w:val="clear" w:color="auto" w:fill="auto"/>
            <w:noWrap/>
            <w:hideMark/>
          </w:tcPr>
          <w:p w14:paraId="1C894CAB" w14:textId="77777777" w:rsidR="00A46B68" w:rsidRPr="00DD3B0B" w:rsidRDefault="00A46B68" w:rsidP="00A46B68">
            <w:pPr>
              <w:spacing w:line="240" w:lineRule="auto"/>
              <w:ind w:firstLine="0"/>
              <w:jc w:val="center"/>
              <w:rPr>
                <w:color w:val="000000"/>
              </w:rPr>
            </w:pPr>
            <w:r w:rsidRPr="00DD3B0B">
              <w:rPr>
                <w:color w:val="000000"/>
              </w:rPr>
              <w:t>9.62E-03</w:t>
            </w:r>
          </w:p>
        </w:tc>
        <w:tc>
          <w:tcPr>
            <w:tcW w:w="1297" w:type="dxa"/>
            <w:tcBorders>
              <w:top w:val="nil"/>
              <w:left w:val="nil"/>
              <w:bottom w:val="nil"/>
              <w:right w:val="nil"/>
            </w:tcBorders>
            <w:shd w:val="clear" w:color="auto" w:fill="auto"/>
            <w:noWrap/>
            <w:hideMark/>
          </w:tcPr>
          <w:p w14:paraId="5A4EEB79"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20AC795E" w14:textId="77777777" w:rsidR="00A46B68" w:rsidRPr="00DD3B0B" w:rsidRDefault="00A46B68" w:rsidP="00AB0D75">
            <w:pPr>
              <w:spacing w:line="240" w:lineRule="auto"/>
              <w:ind w:left="288" w:hanging="288"/>
              <w:rPr>
                <w:color w:val="000000"/>
              </w:rPr>
            </w:pPr>
          </w:p>
        </w:tc>
      </w:tr>
      <w:tr w:rsidR="00A46B68" w:rsidRPr="00502B03" w14:paraId="6B142CC4" w14:textId="77777777" w:rsidTr="002E3F44">
        <w:trPr>
          <w:trHeight w:val="20"/>
        </w:trPr>
        <w:tc>
          <w:tcPr>
            <w:tcW w:w="864" w:type="dxa"/>
            <w:tcBorders>
              <w:top w:val="nil"/>
              <w:left w:val="nil"/>
              <w:bottom w:val="nil"/>
              <w:right w:val="nil"/>
            </w:tcBorders>
            <w:shd w:val="clear" w:color="auto" w:fill="auto"/>
            <w:noWrap/>
            <w:hideMark/>
          </w:tcPr>
          <w:p w14:paraId="369D3670" w14:textId="77777777" w:rsidR="00A46B68" w:rsidRPr="00DD3B0B" w:rsidRDefault="00A46B68" w:rsidP="00A46B68">
            <w:pPr>
              <w:spacing w:line="240" w:lineRule="auto"/>
              <w:ind w:firstLine="0"/>
              <w:rPr>
                <w:color w:val="000000"/>
              </w:rPr>
            </w:pPr>
            <w:r w:rsidRPr="00DD3B0B">
              <w:rPr>
                <w:color w:val="000000"/>
              </w:rPr>
              <w:t>02489</w:t>
            </w:r>
          </w:p>
        </w:tc>
        <w:tc>
          <w:tcPr>
            <w:tcW w:w="1083" w:type="dxa"/>
            <w:tcBorders>
              <w:top w:val="nil"/>
              <w:left w:val="nil"/>
              <w:bottom w:val="nil"/>
              <w:right w:val="nil"/>
            </w:tcBorders>
            <w:shd w:val="clear" w:color="auto" w:fill="auto"/>
            <w:noWrap/>
            <w:hideMark/>
          </w:tcPr>
          <w:p w14:paraId="483E3450" w14:textId="77777777" w:rsidR="00A46B68" w:rsidRPr="00DD3B0B" w:rsidRDefault="00A46B68" w:rsidP="00A46B68">
            <w:pPr>
              <w:spacing w:line="240" w:lineRule="auto"/>
              <w:ind w:firstLine="0"/>
              <w:jc w:val="center"/>
              <w:rPr>
                <w:color w:val="000000"/>
              </w:rPr>
            </w:pPr>
            <w:r w:rsidRPr="00DD3B0B">
              <w:rPr>
                <w:color w:val="000000"/>
              </w:rPr>
              <w:t>1.580</w:t>
            </w:r>
          </w:p>
        </w:tc>
        <w:tc>
          <w:tcPr>
            <w:tcW w:w="1152" w:type="dxa"/>
            <w:tcBorders>
              <w:top w:val="nil"/>
              <w:left w:val="nil"/>
              <w:bottom w:val="nil"/>
              <w:right w:val="nil"/>
            </w:tcBorders>
            <w:shd w:val="clear" w:color="auto" w:fill="auto"/>
            <w:noWrap/>
            <w:hideMark/>
          </w:tcPr>
          <w:p w14:paraId="1569C1CC" w14:textId="77777777" w:rsidR="00A46B68" w:rsidRPr="00DD3B0B" w:rsidRDefault="00A46B68" w:rsidP="00A46B68">
            <w:pPr>
              <w:spacing w:line="240" w:lineRule="auto"/>
              <w:ind w:firstLine="0"/>
              <w:jc w:val="center"/>
              <w:rPr>
                <w:color w:val="000000"/>
              </w:rPr>
            </w:pPr>
            <w:r w:rsidRPr="00DD3B0B">
              <w:rPr>
                <w:color w:val="000000"/>
              </w:rPr>
              <w:t>7.57E-03</w:t>
            </w:r>
          </w:p>
        </w:tc>
        <w:tc>
          <w:tcPr>
            <w:tcW w:w="1297" w:type="dxa"/>
            <w:tcBorders>
              <w:top w:val="nil"/>
              <w:left w:val="nil"/>
              <w:bottom w:val="nil"/>
              <w:right w:val="nil"/>
            </w:tcBorders>
            <w:shd w:val="clear" w:color="auto" w:fill="auto"/>
            <w:noWrap/>
            <w:hideMark/>
          </w:tcPr>
          <w:p w14:paraId="153C75B2"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4B7BE530" w14:textId="77777777" w:rsidR="00A46B68" w:rsidRPr="00DD3B0B" w:rsidRDefault="00A46B68" w:rsidP="00AB0D75">
            <w:pPr>
              <w:spacing w:line="240" w:lineRule="auto"/>
              <w:ind w:left="288" w:hanging="288"/>
              <w:rPr>
                <w:color w:val="000000"/>
              </w:rPr>
            </w:pPr>
            <w:r w:rsidRPr="00DD3B0B">
              <w:rPr>
                <w:color w:val="000000"/>
              </w:rPr>
              <w:t>L,D-transpeptidase catalytic domain</w:t>
            </w:r>
          </w:p>
        </w:tc>
      </w:tr>
      <w:tr w:rsidR="00A46B68" w:rsidRPr="00502B03" w14:paraId="7923F525" w14:textId="77777777" w:rsidTr="002E3F44">
        <w:trPr>
          <w:trHeight w:val="20"/>
        </w:trPr>
        <w:tc>
          <w:tcPr>
            <w:tcW w:w="864" w:type="dxa"/>
            <w:tcBorders>
              <w:top w:val="nil"/>
              <w:left w:val="nil"/>
              <w:bottom w:val="nil"/>
              <w:right w:val="nil"/>
            </w:tcBorders>
            <w:shd w:val="clear" w:color="auto" w:fill="auto"/>
            <w:noWrap/>
            <w:hideMark/>
          </w:tcPr>
          <w:p w14:paraId="00063C3D" w14:textId="77777777" w:rsidR="00A46B68" w:rsidRPr="00DD3B0B" w:rsidRDefault="00A46B68" w:rsidP="00A46B68">
            <w:pPr>
              <w:spacing w:line="240" w:lineRule="auto"/>
              <w:ind w:firstLine="0"/>
              <w:rPr>
                <w:color w:val="000000"/>
              </w:rPr>
            </w:pPr>
            <w:r w:rsidRPr="00DD3B0B">
              <w:rPr>
                <w:color w:val="000000"/>
              </w:rPr>
              <w:t>02911</w:t>
            </w:r>
          </w:p>
        </w:tc>
        <w:tc>
          <w:tcPr>
            <w:tcW w:w="1083" w:type="dxa"/>
            <w:tcBorders>
              <w:top w:val="nil"/>
              <w:left w:val="nil"/>
              <w:bottom w:val="nil"/>
              <w:right w:val="nil"/>
            </w:tcBorders>
            <w:shd w:val="clear" w:color="auto" w:fill="auto"/>
            <w:noWrap/>
            <w:hideMark/>
          </w:tcPr>
          <w:p w14:paraId="0A41AC55" w14:textId="77777777" w:rsidR="00A46B68" w:rsidRPr="00DD3B0B" w:rsidRDefault="00A46B68" w:rsidP="00A46B68">
            <w:pPr>
              <w:spacing w:line="240" w:lineRule="auto"/>
              <w:ind w:firstLine="0"/>
              <w:jc w:val="center"/>
              <w:rPr>
                <w:color w:val="000000"/>
              </w:rPr>
            </w:pPr>
            <w:r w:rsidRPr="00DD3B0B">
              <w:rPr>
                <w:color w:val="000000"/>
              </w:rPr>
              <w:t>1.572</w:t>
            </w:r>
          </w:p>
        </w:tc>
        <w:tc>
          <w:tcPr>
            <w:tcW w:w="1152" w:type="dxa"/>
            <w:tcBorders>
              <w:top w:val="nil"/>
              <w:left w:val="nil"/>
              <w:bottom w:val="nil"/>
              <w:right w:val="nil"/>
            </w:tcBorders>
            <w:shd w:val="clear" w:color="auto" w:fill="auto"/>
            <w:noWrap/>
            <w:hideMark/>
          </w:tcPr>
          <w:p w14:paraId="147CE6E4" w14:textId="77777777" w:rsidR="00A46B68" w:rsidRPr="00DD3B0B" w:rsidRDefault="00A46B68" w:rsidP="00A46B68">
            <w:pPr>
              <w:spacing w:line="240" w:lineRule="auto"/>
              <w:ind w:firstLine="0"/>
              <w:jc w:val="center"/>
              <w:rPr>
                <w:color w:val="000000"/>
              </w:rPr>
            </w:pPr>
            <w:r w:rsidRPr="00DD3B0B">
              <w:rPr>
                <w:color w:val="000000"/>
              </w:rPr>
              <w:t>2.05E-04</w:t>
            </w:r>
          </w:p>
        </w:tc>
        <w:tc>
          <w:tcPr>
            <w:tcW w:w="1297" w:type="dxa"/>
            <w:tcBorders>
              <w:top w:val="nil"/>
              <w:left w:val="nil"/>
              <w:bottom w:val="nil"/>
              <w:right w:val="nil"/>
            </w:tcBorders>
            <w:shd w:val="clear" w:color="auto" w:fill="auto"/>
            <w:noWrap/>
            <w:hideMark/>
          </w:tcPr>
          <w:p w14:paraId="16B267D4"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5545FDBC" w14:textId="77777777" w:rsidR="00A46B68" w:rsidRPr="00DD3B0B" w:rsidRDefault="00A46B68" w:rsidP="00AB0D75">
            <w:pPr>
              <w:spacing w:line="240" w:lineRule="auto"/>
              <w:ind w:left="288" w:hanging="288"/>
              <w:rPr>
                <w:color w:val="000000"/>
              </w:rPr>
            </w:pPr>
            <w:r w:rsidRPr="00DD3B0B">
              <w:rPr>
                <w:color w:val="000000"/>
              </w:rPr>
              <w:t>PGL/p-HBAD biosynthesis glycosyltransferase</w:t>
            </w:r>
          </w:p>
        </w:tc>
      </w:tr>
      <w:tr w:rsidR="00A46B68" w:rsidRPr="00502B03" w14:paraId="20E5A5E8" w14:textId="77777777" w:rsidTr="002E3F44">
        <w:trPr>
          <w:trHeight w:val="20"/>
        </w:trPr>
        <w:tc>
          <w:tcPr>
            <w:tcW w:w="864" w:type="dxa"/>
            <w:tcBorders>
              <w:top w:val="nil"/>
              <w:left w:val="nil"/>
              <w:bottom w:val="nil"/>
              <w:right w:val="nil"/>
            </w:tcBorders>
            <w:shd w:val="clear" w:color="auto" w:fill="auto"/>
            <w:noWrap/>
            <w:hideMark/>
          </w:tcPr>
          <w:p w14:paraId="738090FD" w14:textId="77777777" w:rsidR="00A46B68" w:rsidRPr="00DD3B0B" w:rsidRDefault="00A46B68" w:rsidP="00A46B68">
            <w:pPr>
              <w:spacing w:line="240" w:lineRule="auto"/>
              <w:ind w:firstLine="0"/>
              <w:rPr>
                <w:color w:val="000000"/>
              </w:rPr>
            </w:pPr>
            <w:r w:rsidRPr="00DD3B0B">
              <w:rPr>
                <w:color w:val="000000"/>
              </w:rPr>
              <w:t>03717</w:t>
            </w:r>
          </w:p>
        </w:tc>
        <w:tc>
          <w:tcPr>
            <w:tcW w:w="1083" w:type="dxa"/>
            <w:tcBorders>
              <w:top w:val="nil"/>
              <w:left w:val="nil"/>
              <w:bottom w:val="nil"/>
              <w:right w:val="nil"/>
            </w:tcBorders>
            <w:shd w:val="clear" w:color="auto" w:fill="auto"/>
            <w:noWrap/>
            <w:hideMark/>
          </w:tcPr>
          <w:p w14:paraId="26472030" w14:textId="77777777" w:rsidR="00A46B68" w:rsidRPr="00DD3B0B" w:rsidRDefault="00A46B68" w:rsidP="00A46B68">
            <w:pPr>
              <w:spacing w:line="240" w:lineRule="auto"/>
              <w:ind w:firstLine="0"/>
              <w:jc w:val="center"/>
              <w:rPr>
                <w:color w:val="000000"/>
              </w:rPr>
            </w:pPr>
            <w:r w:rsidRPr="00DD3B0B">
              <w:rPr>
                <w:color w:val="000000"/>
              </w:rPr>
              <w:t>1.548</w:t>
            </w:r>
          </w:p>
        </w:tc>
        <w:tc>
          <w:tcPr>
            <w:tcW w:w="1152" w:type="dxa"/>
            <w:tcBorders>
              <w:top w:val="nil"/>
              <w:left w:val="nil"/>
              <w:bottom w:val="nil"/>
              <w:right w:val="nil"/>
            </w:tcBorders>
            <w:shd w:val="clear" w:color="auto" w:fill="auto"/>
            <w:noWrap/>
            <w:hideMark/>
          </w:tcPr>
          <w:p w14:paraId="11AAA908" w14:textId="77777777" w:rsidR="00A46B68" w:rsidRPr="00DD3B0B" w:rsidRDefault="00A46B68" w:rsidP="00A46B68">
            <w:pPr>
              <w:spacing w:line="240" w:lineRule="auto"/>
              <w:ind w:firstLine="0"/>
              <w:jc w:val="center"/>
              <w:rPr>
                <w:color w:val="000000"/>
              </w:rPr>
            </w:pPr>
            <w:r w:rsidRPr="00DD3B0B">
              <w:rPr>
                <w:color w:val="000000"/>
              </w:rPr>
              <w:t>1.84E-02</w:t>
            </w:r>
          </w:p>
        </w:tc>
        <w:tc>
          <w:tcPr>
            <w:tcW w:w="1297" w:type="dxa"/>
            <w:tcBorders>
              <w:top w:val="nil"/>
              <w:left w:val="nil"/>
              <w:bottom w:val="nil"/>
              <w:right w:val="nil"/>
            </w:tcBorders>
            <w:shd w:val="clear" w:color="auto" w:fill="auto"/>
            <w:noWrap/>
            <w:hideMark/>
          </w:tcPr>
          <w:p w14:paraId="5B235858"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760109E6" w14:textId="77777777" w:rsidR="00A46B68" w:rsidRPr="00DD3B0B" w:rsidRDefault="00A46B68" w:rsidP="00AB0D75">
            <w:pPr>
              <w:spacing w:line="240" w:lineRule="auto"/>
              <w:ind w:left="288" w:hanging="288"/>
              <w:rPr>
                <w:color w:val="000000"/>
              </w:rPr>
            </w:pPr>
            <w:r w:rsidRPr="00DD3B0B">
              <w:rPr>
                <w:color w:val="000000"/>
              </w:rPr>
              <w:t>IS21 family transposase ISPpu7</w:t>
            </w:r>
          </w:p>
        </w:tc>
      </w:tr>
      <w:tr w:rsidR="00A46B68" w:rsidRPr="00502B03" w14:paraId="217DADE6" w14:textId="77777777" w:rsidTr="002E3F44">
        <w:trPr>
          <w:trHeight w:val="20"/>
        </w:trPr>
        <w:tc>
          <w:tcPr>
            <w:tcW w:w="864" w:type="dxa"/>
            <w:tcBorders>
              <w:top w:val="nil"/>
              <w:left w:val="nil"/>
              <w:bottom w:val="nil"/>
              <w:right w:val="nil"/>
            </w:tcBorders>
            <w:shd w:val="clear" w:color="auto" w:fill="auto"/>
            <w:noWrap/>
            <w:hideMark/>
          </w:tcPr>
          <w:p w14:paraId="251A77BF" w14:textId="77777777" w:rsidR="00A46B68" w:rsidRPr="00DD3B0B" w:rsidRDefault="00A46B68" w:rsidP="00A46B68">
            <w:pPr>
              <w:spacing w:line="240" w:lineRule="auto"/>
              <w:ind w:firstLine="0"/>
              <w:rPr>
                <w:color w:val="000000"/>
              </w:rPr>
            </w:pPr>
            <w:r w:rsidRPr="00DD3B0B">
              <w:rPr>
                <w:color w:val="000000"/>
              </w:rPr>
              <w:t>03324</w:t>
            </w:r>
          </w:p>
        </w:tc>
        <w:tc>
          <w:tcPr>
            <w:tcW w:w="1083" w:type="dxa"/>
            <w:tcBorders>
              <w:top w:val="nil"/>
              <w:left w:val="nil"/>
              <w:bottom w:val="nil"/>
              <w:right w:val="nil"/>
            </w:tcBorders>
            <w:shd w:val="clear" w:color="auto" w:fill="auto"/>
            <w:noWrap/>
            <w:hideMark/>
          </w:tcPr>
          <w:p w14:paraId="0370924A" w14:textId="77777777" w:rsidR="00A46B68" w:rsidRPr="00DD3B0B" w:rsidRDefault="00A46B68" w:rsidP="00A46B68">
            <w:pPr>
              <w:spacing w:line="240" w:lineRule="auto"/>
              <w:ind w:firstLine="0"/>
              <w:jc w:val="center"/>
              <w:rPr>
                <w:color w:val="000000"/>
              </w:rPr>
            </w:pPr>
            <w:r w:rsidRPr="00DD3B0B">
              <w:rPr>
                <w:color w:val="000000"/>
              </w:rPr>
              <w:t>1.536</w:t>
            </w:r>
          </w:p>
        </w:tc>
        <w:tc>
          <w:tcPr>
            <w:tcW w:w="1152" w:type="dxa"/>
            <w:tcBorders>
              <w:top w:val="nil"/>
              <w:left w:val="nil"/>
              <w:bottom w:val="nil"/>
              <w:right w:val="nil"/>
            </w:tcBorders>
            <w:shd w:val="clear" w:color="auto" w:fill="auto"/>
            <w:noWrap/>
            <w:hideMark/>
          </w:tcPr>
          <w:p w14:paraId="10A8C154" w14:textId="77777777" w:rsidR="00A46B68" w:rsidRPr="00DD3B0B" w:rsidRDefault="00A46B68" w:rsidP="00A46B68">
            <w:pPr>
              <w:spacing w:line="240" w:lineRule="auto"/>
              <w:ind w:firstLine="0"/>
              <w:jc w:val="center"/>
              <w:rPr>
                <w:color w:val="000000"/>
              </w:rPr>
            </w:pPr>
            <w:r w:rsidRPr="00DD3B0B">
              <w:rPr>
                <w:color w:val="000000"/>
              </w:rPr>
              <w:t>2.72E-02</w:t>
            </w:r>
          </w:p>
        </w:tc>
        <w:tc>
          <w:tcPr>
            <w:tcW w:w="1297" w:type="dxa"/>
            <w:tcBorders>
              <w:top w:val="nil"/>
              <w:left w:val="nil"/>
              <w:bottom w:val="nil"/>
              <w:right w:val="nil"/>
            </w:tcBorders>
            <w:shd w:val="clear" w:color="auto" w:fill="auto"/>
            <w:noWrap/>
            <w:hideMark/>
          </w:tcPr>
          <w:p w14:paraId="350D7FF2"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61F224E1" w14:textId="77777777" w:rsidR="00A46B68" w:rsidRPr="00DD3B0B" w:rsidRDefault="00A46B68" w:rsidP="00AB0D75">
            <w:pPr>
              <w:spacing w:line="240" w:lineRule="auto"/>
              <w:ind w:left="288" w:hanging="288"/>
              <w:rPr>
                <w:color w:val="000000"/>
              </w:rPr>
            </w:pPr>
            <w:r w:rsidRPr="00DD3B0B">
              <w:rPr>
                <w:color w:val="000000"/>
              </w:rPr>
              <w:t>Flavastacin</w:t>
            </w:r>
          </w:p>
        </w:tc>
      </w:tr>
      <w:tr w:rsidR="00A46B68" w:rsidRPr="00502B03" w14:paraId="5B898495" w14:textId="77777777" w:rsidTr="002E3F44">
        <w:trPr>
          <w:trHeight w:val="20"/>
        </w:trPr>
        <w:tc>
          <w:tcPr>
            <w:tcW w:w="864" w:type="dxa"/>
            <w:tcBorders>
              <w:top w:val="nil"/>
              <w:left w:val="nil"/>
              <w:bottom w:val="nil"/>
              <w:right w:val="nil"/>
            </w:tcBorders>
            <w:shd w:val="clear" w:color="auto" w:fill="auto"/>
            <w:noWrap/>
            <w:hideMark/>
          </w:tcPr>
          <w:p w14:paraId="6D850214" w14:textId="77777777" w:rsidR="00A46B68" w:rsidRPr="00DD3B0B" w:rsidRDefault="00A46B68" w:rsidP="00A46B68">
            <w:pPr>
              <w:spacing w:line="240" w:lineRule="auto"/>
              <w:ind w:firstLine="0"/>
              <w:rPr>
                <w:color w:val="000000"/>
              </w:rPr>
            </w:pPr>
            <w:r w:rsidRPr="00DD3B0B">
              <w:rPr>
                <w:color w:val="000000"/>
              </w:rPr>
              <w:t>00930</w:t>
            </w:r>
          </w:p>
        </w:tc>
        <w:tc>
          <w:tcPr>
            <w:tcW w:w="1083" w:type="dxa"/>
            <w:tcBorders>
              <w:top w:val="nil"/>
              <w:left w:val="nil"/>
              <w:bottom w:val="nil"/>
              <w:right w:val="nil"/>
            </w:tcBorders>
            <w:shd w:val="clear" w:color="auto" w:fill="auto"/>
            <w:noWrap/>
            <w:hideMark/>
          </w:tcPr>
          <w:p w14:paraId="22ADBBF1" w14:textId="77777777" w:rsidR="00A46B68" w:rsidRPr="00DD3B0B" w:rsidRDefault="00A46B68" w:rsidP="00A46B68">
            <w:pPr>
              <w:spacing w:line="240" w:lineRule="auto"/>
              <w:ind w:firstLine="0"/>
              <w:jc w:val="center"/>
              <w:rPr>
                <w:color w:val="000000"/>
              </w:rPr>
            </w:pPr>
            <w:r w:rsidRPr="00DD3B0B">
              <w:rPr>
                <w:color w:val="000000"/>
              </w:rPr>
              <w:t>1.531</w:t>
            </w:r>
          </w:p>
        </w:tc>
        <w:tc>
          <w:tcPr>
            <w:tcW w:w="1152" w:type="dxa"/>
            <w:tcBorders>
              <w:top w:val="nil"/>
              <w:left w:val="nil"/>
              <w:bottom w:val="nil"/>
              <w:right w:val="nil"/>
            </w:tcBorders>
            <w:shd w:val="clear" w:color="auto" w:fill="auto"/>
            <w:noWrap/>
            <w:hideMark/>
          </w:tcPr>
          <w:p w14:paraId="7E0FDDFF" w14:textId="77777777" w:rsidR="00A46B68" w:rsidRPr="00DD3B0B" w:rsidRDefault="00A46B68" w:rsidP="00A46B68">
            <w:pPr>
              <w:spacing w:line="240" w:lineRule="auto"/>
              <w:ind w:firstLine="0"/>
              <w:jc w:val="center"/>
              <w:rPr>
                <w:color w:val="000000"/>
              </w:rPr>
            </w:pPr>
            <w:r w:rsidRPr="00DD3B0B">
              <w:rPr>
                <w:color w:val="000000"/>
              </w:rPr>
              <w:t>3.57E-02</w:t>
            </w:r>
          </w:p>
        </w:tc>
        <w:tc>
          <w:tcPr>
            <w:tcW w:w="1297" w:type="dxa"/>
            <w:tcBorders>
              <w:top w:val="nil"/>
              <w:left w:val="nil"/>
              <w:bottom w:val="nil"/>
              <w:right w:val="nil"/>
            </w:tcBorders>
            <w:shd w:val="clear" w:color="auto" w:fill="auto"/>
            <w:noWrap/>
            <w:hideMark/>
          </w:tcPr>
          <w:p w14:paraId="41C46A7C"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2735F1C9" w14:textId="77777777" w:rsidR="00A46B68" w:rsidRPr="00DD3B0B" w:rsidRDefault="00A46B68" w:rsidP="00AB0D75">
            <w:pPr>
              <w:spacing w:line="240" w:lineRule="auto"/>
              <w:ind w:left="288" w:hanging="288"/>
              <w:rPr>
                <w:color w:val="000000"/>
              </w:rPr>
            </w:pPr>
            <w:r w:rsidRPr="00DD3B0B">
              <w:rPr>
                <w:i/>
                <w:iCs/>
                <w:color w:val="000000"/>
              </w:rPr>
              <w:t>rpoE</w:t>
            </w:r>
            <w:r w:rsidRPr="00DD3B0B">
              <w:rPr>
                <w:color w:val="000000"/>
              </w:rPr>
              <w:t>; R polymerase sigma-70 factor, ECF subfamily</w:t>
            </w:r>
          </w:p>
        </w:tc>
      </w:tr>
      <w:tr w:rsidR="00A46B68" w:rsidRPr="00502B03" w14:paraId="07F4D7D9" w14:textId="77777777" w:rsidTr="002E3F44">
        <w:trPr>
          <w:trHeight w:val="20"/>
        </w:trPr>
        <w:tc>
          <w:tcPr>
            <w:tcW w:w="864" w:type="dxa"/>
            <w:tcBorders>
              <w:top w:val="nil"/>
              <w:left w:val="nil"/>
              <w:bottom w:val="nil"/>
              <w:right w:val="nil"/>
            </w:tcBorders>
            <w:shd w:val="clear" w:color="auto" w:fill="auto"/>
            <w:noWrap/>
            <w:hideMark/>
          </w:tcPr>
          <w:p w14:paraId="45B03CCB" w14:textId="77777777" w:rsidR="00A46B68" w:rsidRPr="00DD3B0B" w:rsidRDefault="00A46B68" w:rsidP="00A46B68">
            <w:pPr>
              <w:spacing w:line="240" w:lineRule="auto"/>
              <w:ind w:firstLine="0"/>
              <w:rPr>
                <w:color w:val="000000"/>
              </w:rPr>
            </w:pPr>
            <w:r w:rsidRPr="00DD3B0B">
              <w:rPr>
                <w:color w:val="000000"/>
              </w:rPr>
              <w:t>02909</w:t>
            </w:r>
          </w:p>
        </w:tc>
        <w:tc>
          <w:tcPr>
            <w:tcW w:w="1083" w:type="dxa"/>
            <w:tcBorders>
              <w:top w:val="nil"/>
              <w:left w:val="nil"/>
              <w:bottom w:val="nil"/>
              <w:right w:val="nil"/>
            </w:tcBorders>
            <w:shd w:val="clear" w:color="auto" w:fill="auto"/>
            <w:noWrap/>
            <w:hideMark/>
          </w:tcPr>
          <w:p w14:paraId="15190A78" w14:textId="77777777" w:rsidR="00A46B68" w:rsidRPr="00DD3B0B" w:rsidRDefault="00A46B68" w:rsidP="00A46B68">
            <w:pPr>
              <w:spacing w:line="240" w:lineRule="auto"/>
              <w:ind w:firstLine="0"/>
              <w:jc w:val="center"/>
              <w:rPr>
                <w:color w:val="000000"/>
              </w:rPr>
            </w:pPr>
            <w:r w:rsidRPr="00DD3B0B">
              <w:rPr>
                <w:color w:val="000000"/>
              </w:rPr>
              <w:t>1.525</w:t>
            </w:r>
          </w:p>
        </w:tc>
        <w:tc>
          <w:tcPr>
            <w:tcW w:w="1152" w:type="dxa"/>
            <w:tcBorders>
              <w:top w:val="nil"/>
              <w:left w:val="nil"/>
              <w:bottom w:val="nil"/>
              <w:right w:val="nil"/>
            </w:tcBorders>
            <w:shd w:val="clear" w:color="auto" w:fill="auto"/>
            <w:noWrap/>
            <w:hideMark/>
          </w:tcPr>
          <w:p w14:paraId="7CB36572" w14:textId="77777777" w:rsidR="00A46B68" w:rsidRPr="00DD3B0B" w:rsidRDefault="00A46B68" w:rsidP="00A46B68">
            <w:pPr>
              <w:spacing w:line="240" w:lineRule="auto"/>
              <w:ind w:firstLine="0"/>
              <w:jc w:val="center"/>
              <w:rPr>
                <w:color w:val="000000"/>
              </w:rPr>
            </w:pPr>
            <w:r w:rsidRPr="00DD3B0B">
              <w:rPr>
                <w:color w:val="000000"/>
              </w:rPr>
              <w:t>4.73E-02</w:t>
            </w:r>
          </w:p>
        </w:tc>
        <w:tc>
          <w:tcPr>
            <w:tcW w:w="1297" w:type="dxa"/>
            <w:tcBorders>
              <w:top w:val="nil"/>
              <w:left w:val="nil"/>
              <w:bottom w:val="nil"/>
              <w:right w:val="nil"/>
            </w:tcBorders>
            <w:shd w:val="clear" w:color="auto" w:fill="auto"/>
            <w:noWrap/>
            <w:hideMark/>
          </w:tcPr>
          <w:p w14:paraId="0947CE0A"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22B8006B" w14:textId="77777777" w:rsidR="00A46B68" w:rsidRPr="00DD3B0B" w:rsidRDefault="00A46B68" w:rsidP="00AB0D75">
            <w:pPr>
              <w:spacing w:line="240" w:lineRule="auto"/>
              <w:ind w:left="288" w:hanging="288"/>
              <w:rPr>
                <w:color w:val="000000"/>
              </w:rPr>
            </w:pPr>
            <w:r w:rsidRPr="00DD3B0B">
              <w:rPr>
                <w:color w:val="000000"/>
              </w:rPr>
              <w:t xml:space="preserve">Decaprenyl-phosphate N-acetylglucosaminephosphotransferase </w:t>
            </w:r>
            <w:r w:rsidRPr="00DD3B0B">
              <w:rPr>
                <w:i/>
                <w:iCs/>
                <w:color w:val="000000"/>
              </w:rPr>
              <w:t>wecA</w:t>
            </w:r>
          </w:p>
        </w:tc>
      </w:tr>
      <w:tr w:rsidR="00A46B68" w:rsidRPr="00502B03" w14:paraId="04BE35A0" w14:textId="77777777" w:rsidTr="002E3F44">
        <w:trPr>
          <w:trHeight w:val="20"/>
        </w:trPr>
        <w:tc>
          <w:tcPr>
            <w:tcW w:w="864" w:type="dxa"/>
            <w:tcBorders>
              <w:top w:val="nil"/>
              <w:left w:val="nil"/>
              <w:bottom w:val="nil"/>
              <w:right w:val="nil"/>
            </w:tcBorders>
            <w:shd w:val="clear" w:color="auto" w:fill="auto"/>
            <w:noWrap/>
            <w:hideMark/>
          </w:tcPr>
          <w:p w14:paraId="5709648A" w14:textId="77777777" w:rsidR="00A46B68" w:rsidRPr="00DD3B0B" w:rsidRDefault="00A46B68" w:rsidP="00A46B68">
            <w:pPr>
              <w:spacing w:line="240" w:lineRule="auto"/>
              <w:ind w:firstLine="0"/>
              <w:rPr>
                <w:color w:val="000000"/>
              </w:rPr>
            </w:pPr>
            <w:r w:rsidRPr="00DD3B0B">
              <w:rPr>
                <w:color w:val="000000"/>
              </w:rPr>
              <w:t>02369</w:t>
            </w:r>
          </w:p>
        </w:tc>
        <w:tc>
          <w:tcPr>
            <w:tcW w:w="1083" w:type="dxa"/>
            <w:tcBorders>
              <w:top w:val="nil"/>
              <w:left w:val="nil"/>
              <w:bottom w:val="nil"/>
              <w:right w:val="nil"/>
            </w:tcBorders>
            <w:shd w:val="clear" w:color="auto" w:fill="auto"/>
            <w:noWrap/>
            <w:hideMark/>
          </w:tcPr>
          <w:p w14:paraId="1E62F1A1" w14:textId="77777777" w:rsidR="00A46B68" w:rsidRPr="00DD3B0B" w:rsidRDefault="00A46B68" w:rsidP="00A46B68">
            <w:pPr>
              <w:spacing w:line="240" w:lineRule="auto"/>
              <w:ind w:firstLine="0"/>
              <w:jc w:val="center"/>
              <w:rPr>
                <w:color w:val="000000"/>
              </w:rPr>
            </w:pPr>
            <w:r w:rsidRPr="00DD3B0B">
              <w:rPr>
                <w:color w:val="000000"/>
              </w:rPr>
              <w:t>1.502</w:t>
            </w:r>
          </w:p>
        </w:tc>
        <w:tc>
          <w:tcPr>
            <w:tcW w:w="1152" w:type="dxa"/>
            <w:tcBorders>
              <w:top w:val="nil"/>
              <w:left w:val="nil"/>
              <w:bottom w:val="nil"/>
              <w:right w:val="nil"/>
            </w:tcBorders>
            <w:shd w:val="clear" w:color="auto" w:fill="auto"/>
            <w:noWrap/>
            <w:hideMark/>
          </w:tcPr>
          <w:p w14:paraId="54DC6BC1" w14:textId="77777777" w:rsidR="00A46B68" w:rsidRPr="00DD3B0B" w:rsidRDefault="00A46B68" w:rsidP="00A46B68">
            <w:pPr>
              <w:spacing w:line="240" w:lineRule="auto"/>
              <w:ind w:firstLine="0"/>
              <w:jc w:val="center"/>
              <w:rPr>
                <w:color w:val="000000"/>
              </w:rPr>
            </w:pPr>
            <w:r w:rsidRPr="00DD3B0B">
              <w:rPr>
                <w:color w:val="000000"/>
              </w:rPr>
              <w:t>1.15E-02</w:t>
            </w:r>
          </w:p>
        </w:tc>
        <w:tc>
          <w:tcPr>
            <w:tcW w:w="1297" w:type="dxa"/>
            <w:tcBorders>
              <w:top w:val="nil"/>
              <w:left w:val="nil"/>
              <w:bottom w:val="nil"/>
              <w:right w:val="nil"/>
            </w:tcBorders>
            <w:shd w:val="clear" w:color="auto" w:fill="auto"/>
            <w:noWrap/>
          </w:tcPr>
          <w:p w14:paraId="271EA2C8"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5D579A10" w14:textId="77777777" w:rsidR="00A46B68" w:rsidRPr="00DD3B0B" w:rsidRDefault="00A46B68" w:rsidP="00AB0D75">
            <w:pPr>
              <w:spacing w:line="240" w:lineRule="auto"/>
              <w:ind w:left="288" w:hanging="288"/>
              <w:rPr>
                <w:color w:val="000000"/>
              </w:rPr>
            </w:pPr>
          </w:p>
        </w:tc>
      </w:tr>
      <w:tr w:rsidR="00A46B68" w:rsidRPr="00502B03" w14:paraId="05CC59BF" w14:textId="77777777" w:rsidTr="002E3F44">
        <w:trPr>
          <w:trHeight w:val="20"/>
        </w:trPr>
        <w:tc>
          <w:tcPr>
            <w:tcW w:w="864" w:type="dxa"/>
            <w:tcBorders>
              <w:top w:val="nil"/>
              <w:left w:val="nil"/>
              <w:bottom w:val="nil"/>
              <w:right w:val="nil"/>
            </w:tcBorders>
            <w:shd w:val="clear" w:color="auto" w:fill="auto"/>
            <w:noWrap/>
            <w:hideMark/>
          </w:tcPr>
          <w:p w14:paraId="101BFE7D" w14:textId="77777777" w:rsidR="00A46B68" w:rsidRPr="00DD3B0B" w:rsidRDefault="00A46B68" w:rsidP="00A46B68">
            <w:pPr>
              <w:spacing w:line="240" w:lineRule="auto"/>
              <w:ind w:firstLine="0"/>
              <w:rPr>
                <w:color w:val="000000"/>
              </w:rPr>
            </w:pPr>
            <w:r w:rsidRPr="00DD3B0B">
              <w:rPr>
                <w:color w:val="000000"/>
              </w:rPr>
              <w:t>03621</w:t>
            </w:r>
          </w:p>
        </w:tc>
        <w:tc>
          <w:tcPr>
            <w:tcW w:w="1083" w:type="dxa"/>
            <w:tcBorders>
              <w:top w:val="nil"/>
              <w:left w:val="nil"/>
              <w:bottom w:val="nil"/>
              <w:right w:val="nil"/>
            </w:tcBorders>
            <w:shd w:val="clear" w:color="auto" w:fill="auto"/>
            <w:noWrap/>
            <w:hideMark/>
          </w:tcPr>
          <w:p w14:paraId="1CFEC034" w14:textId="77777777" w:rsidR="00A46B68" w:rsidRPr="00DD3B0B" w:rsidRDefault="00A46B68" w:rsidP="00A46B68">
            <w:pPr>
              <w:spacing w:line="240" w:lineRule="auto"/>
              <w:ind w:firstLine="0"/>
              <w:jc w:val="center"/>
              <w:rPr>
                <w:color w:val="000000"/>
              </w:rPr>
            </w:pPr>
            <w:r w:rsidRPr="00DD3B0B">
              <w:rPr>
                <w:color w:val="000000"/>
              </w:rPr>
              <w:t>1.499</w:t>
            </w:r>
          </w:p>
        </w:tc>
        <w:tc>
          <w:tcPr>
            <w:tcW w:w="1152" w:type="dxa"/>
            <w:tcBorders>
              <w:top w:val="nil"/>
              <w:left w:val="nil"/>
              <w:bottom w:val="nil"/>
              <w:right w:val="nil"/>
            </w:tcBorders>
            <w:shd w:val="clear" w:color="auto" w:fill="auto"/>
            <w:noWrap/>
            <w:hideMark/>
          </w:tcPr>
          <w:p w14:paraId="7420469B" w14:textId="77777777" w:rsidR="00A46B68" w:rsidRPr="00DD3B0B" w:rsidRDefault="00A46B68" w:rsidP="00A46B68">
            <w:pPr>
              <w:spacing w:line="240" w:lineRule="auto"/>
              <w:ind w:firstLine="0"/>
              <w:jc w:val="center"/>
              <w:rPr>
                <w:color w:val="000000"/>
              </w:rPr>
            </w:pPr>
            <w:r w:rsidRPr="00DD3B0B">
              <w:rPr>
                <w:color w:val="000000"/>
              </w:rPr>
              <w:t>3.17E-03</w:t>
            </w:r>
          </w:p>
        </w:tc>
        <w:tc>
          <w:tcPr>
            <w:tcW w:w="1297" w:type="dxa"/>
            <w:tcBorders>
              <w:top w:val="nil"/>
              <w:left w:val="nil"/>
              <w:bottom w:val="nil"/>
              <w:right w:val="nil"/>
            </w:tcBorders>
            <w:shd w:val="clear" w:color="auto" w:fill="auto"/>
            <w:noWrap/>
            <w:hideMark/>
          </w:tcPr>
          <w:p w14:paraId="15419F99"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11946AA8" w14:textId="77777777" w:rsidR="00A46B68" w:rsidRPr="00DD3B0B" w:rsidRDefault="00A46B68" w:rsidP="00AB0D75">
            <w:pPr>
              <w:spacing w:line="240" w:lineRule="auto"/>
              <w:ind w:left="288" w:hanging="288"/>
              <w:rPr>
                <w:color w:val="000000"/>
              </w:rPr>
            </w:pPr>
            <w:r w:rsidRPr="00DD3B0B">
              <w:rPr>
                <w:color w:val="000000"/>
              </w:rPr>
              <w:t>Capsule assembly protein Wzi</w:t>
            </w:r>
          </w:p>
        </w:tc>
      </w:tr>
      <w:tr w:rsidR="00A46B68" w:rsidRPr="00502B03" w14:paraId="4026DEC3" w14:textId="77777777" w:rsidTr="002E3F44">
        <w:trPr>
          <w:trHeight w:val="20"/>
        </w:trPr>
        <w:tc>
          <w:tcPr>
            <w:tcW w:w="864" w:type="dxa"/>
            <w:tcBorders>
              <w:top w:val="nil"/>
              <w:left w:val="nil"/>
              <w:bottom w:val="nil"/>
              <w:right w:val="nil"/>
            </w:tcBorders>
            <w:shd w:val="clear" w:color="auto" w:fill="auto"/>
            <w:noWrap/>
            <w:hideMark/>
          </w:tcPr>
          <w:p w14:paraId="0B9B9608" w14:textId="77777777" w:rsidR="00A46B68" w:rsidRPr="00DD3B0B" w:rsidRDefault="00A46B68" w:rsidP="00A46B68">
            <w:pPr>
              <w:spacing w:line="240" w:lineRule="auto"/>
              <w:ind w:firstLine="0"/>
              <w:rPr>
                <w:color w:val="000000"/>
              </w:rPr>
            </w:pPr>
            <w:r w:rsidRPr="00DD3B0B">
              <w:rPr>
                <w:color w:val="000000"/>
              </w:rPr>
              <w:t>00575</w:t>
            </w:r>
          </w:p>
        </w:tc>
        <w:tc>
          <w:tcPr>
            <w:tcW w:w="1083" w:type="dxa"/>
            <w:tcBorders>
              <w:top w:val="nil"/>
              <w:left w:val="nil"/>
              <w:bottom w:val="nil"/>
              <w:right w:val="nil"/>
            </w:tcBorders>
            <w:shd w:val="clear" w:color="auto" w:fill="auto"/>
            <w:noWrap/>
            <w:hideMark/>
          </w:tcPr>
          <w:p w14:paraId="6AD779BC" w14:textId="77777777" w:rsidR="00A46B68" w:rsidRPr="00DD3B0B" w:rsidRDefault="00A46B68" w:rsidP="00A46B68">
            <w:pPr>
              <w:spacing w:line="240" w:lineRule="auto"/>
              <w:ind w:firstLine="0"/>
              <w:jc w:val="center"/>
              <w:rPr>
                <w:color w:val="000000"/>
              </w:rPr>
            </w:pPr>
            <w:r w:rsidRPr="00DD3B0B">
              <w:rPr>
                <w:color w:val="000000"/>
              </w:rPr>
              <w:t>1.472</w:t>
            </w:r>
          </w:p>
        </w:tc>
        <w:tc>
          <w:tcPr>
            <w:tcW w:w="1152" w:type="dxa"/>
            <w:tcBorders>
              <w:top w:val="nil"/>
              <w:left w:val="nil"/>
              <w:bottom w:val="nil"/>
              <w:right w:val="nil"/>
            </w:tcBorders>
            <w:shd w:val="clear" w:color="auto" w:fill="auto"/>
            <w:noWrap/>
            <w:hideMark/>
          </w:tcPr>
          <w:p w14:paraId="6766106A" w14:textId="77777777" w:rsidR="00A46B68" w:rsidRPr="00DD3B0B" w:rsidRDefault="00A46B68" w:rsidP="00A46B68">
            <w:pPr>
              <w:spacing w:line="240" w:lineRule="auto"/>
              <w:ind w:firstLine="0"/>
              <w:jc w:val="center"/>
              <w:rPr>
                <w:color w:val="000000"/>
              </w:rPr>
            </w:pPr>
            <w:r w:rsidRPr="00DD3B0B">
              <w:rPr>
                <w:color w:val="000000"/>
              </w:rPr>
              <w:t>9.21E-08</w:t>
            </w:r>
          </w:p>
        </w:tc>
        <w:tc>
          <w:tcPr>
            <w:tcW w:w="1297" w:type="dxa"/>
            <w:tcBorders>
              <w:top w:val="nil"/>
              <w:left w:val="nil"/>
              <w:bottom w:val="nil"/>
              <w:right w:val="nil"/>
            </w:tcBorders>
            <w:shd w:val="clear" w:color="auto" w:fill="auto"/>
            <w:noWrap/>
            <w:hideMark/>
          </w:tcPr>
          <w:p w14:paraId="51909ABB"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338CEB2D" w14:textId="77777777" w:rsidR="00A46B68" w:rsidRPr="00DD3B0B" w:rsidRDefault="00A46B68" w:rsidP="00AB0D75">
            <w:pPr>
              <w:spacing w:line="240" w:lineRule="auto"/>
              <w:ind w:left="288" w:hanging="288"/>
              <w:rPr>
                <w:color w:val="000000"/>
              </w:rPr>
            </w:pPr>
            <w:r w:rsidRPr="00DD3B0B">
              <w:rPr>
                <w:i/>
                <w:iCs/>
                <w:color w:val="000000"/>
              </w:rPr>
              <w:t>hemA</w:t>
            </w:r>
            <w:r w:rsidRPr="00DD3B0B">
              <w:rPr>
                <w:color w:val="000000"/>
              </w:rPr>
              <w:t>; glutamyl-tR reductase</w:t>
            </w:r>
          </w:p>
        </w:tc>
      </w:tr>
      <w:tr w:rsidR="00A46B68" w:rsidRPr="00502B03" w14:paraId="07FB7995" w14:textId="77777777" w:rsidTr="002E3F44">
        <w:trPr>
          <w:trHeight w:val="20"/>
        </w:trPr>
        <w:tc>
          <w:tcPr>
            <w:tcW w:w="864" w:type="dxa"/>
            <w:tcBorders>
              <w:top w:val="nil"/>
              <w:left w:val="nil"/>
              <w:bottom w:val="nil"/>
              <w:right w:val="nil"/>
            </w:tcBorders>
            <w:shd w:val="clear" w:color="auto" w:fill="auto"/>
            <w:noWrap/>
            <w:hideMark/>
          </w:tcPr>
          <w:p w14:paraId="2E3CA845" w14:textId="77777777" w:rsidR="00A46B68" w:rsidRPr="00DD3B0B" w:rsidRDefault="00A46B68" w:rsidP="00A46B68">
            <w:pPr>
              <w:spacing w:line="240" w:lineRule="auto"/>
              <w:ind w:firstLine="0"/>
              <w:rPr>
                <w:color w:val="000000"/>
              </w:rPr>
            </w:pPr>
            <w:r w:rsidRPr="00DD3B0B">
              <w:rPr>
                <w:color w:val="000000"/>
              </w:rPr>
              <w:t>00544</w:t>
            </w:r>
          </w:p>
        </w:tc>
        <w:tc>
          <w:tcPr>
            <w:tcW w:w="1083" w:type="dxa"/>
            <w:tcBorders>
              <w:top w:val="nil"/>
              <w:left w:val="nil"/>
              <w:bottom w:val="nil"/>
              <w:right w:val="nil"/>
            </w:tcBorders>
            <w:shd w:val="clear" w:color="auto" w:fill="auto"/>
            <w:noWrap/>
            <w:hideMark/>
          </w:tcPr>
          <w:p w14:paraId="68103934" w14:textId="77777777" w:rsidR="00A46B68" w:rsidRPr="00DD3B0B" w:rsidRDefault="00A46B68" w:rsidP="00A46B68">
            <w:pPr>
              <w:spacing w:line="240" w:lineRule="auto"/>
              <w:ind w:firstLine="0"/>
              <w:jc w:val="center"/>
              <w:rPr>
                <w:color w:val="000000"/>
              </w:rPr>
            </w:pPr>
            <w:r w:rsidRPr="00DD3B0B">
              <w:rPr>
                <w:color w:val="000000"/>
              </w:rPr>
              <w:t>1.443</w:t>
            </w:r>
          </w:p>
        </w:tc>
        <w:tc>
          <w:tcPr>
            <w:tcW w:w="1152" w:type="dxa"/>
            <w:tcBorders>
              <w:top w:val="nil"/>
              <w:left w:val="nil"/>
              <w:bottom w:val="nil"/>
              <w:right w:val="nil"/>
            </w:tcBorders>
            <w:shd w:val="clear" w:color="auto" w:fill="auto"/>
            <w:noWrap/>
            <w:hideMark/>
          </w:tcPr>
          <w:p w14:paraId="516F6D6F" w14:textId="77777777" w:rsidR="00A46B68" w:rsidRPr="00DD3B0B" w:rsidRDefault="00A46B68" w:rsidP="00A46B68">
            <w:pPr>
              <w:spacing w:line="240" w:lineRule="auto"/>
              <w:ind w:firstLine="0"/>
              <w:jc w:val="center"/>
              <w:rPr>
                <w:color w:val="000000"/>
              </w:rPr>
            </w:pPr>
            <w:r w:rsidRPr="00DD3B0B">
              <w:rPr>
                <w:color w:val="000000"/>
              </w:rPr>
              <w:t>3.72E-06</w:t>
            </w:r>
          </w:p>
        </w:tc>
        <w:tc>
          <w:tcPr>
            <w:tcW w:w="1297" w:type="dxa"/>
            <w:tcBorders>
              <w:top w:val="nil"/>
              <w:left w:val="nil"/>
              <w:bottom w:val="nil"/>
              <w:right w:val="nil"/>
            </w:tcBorders>
            <w:shd w:val="clear" w:color="auto" w:fill="auto"/>
            <w:noWrap/>
            <w:hideMark/>
          </w:tcPr>
          <w:p w14:paraId="3AC62A98"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5F5CD8F1" w14:textId="77777777" w:rsidR="00A46B68" w:rsidRPr="00DD3B0B" w:rsidRDefault="00A46B68" w:rsidP="00AB0D75">
            <w:pPr>
              <w:spacing w:line="240" w:lineRule="auto"/>
              <w:ind w:left="288" w:hanging="288"/>
              <w:rPr>
                <w:color w:val="000000"/>
              </w:rPr>
            </w:pPr>
            <w:r w:rsidRPr="00DD3B0B">
              <w:rPr>
                <w:color w:val="000000"/>
              </w:rPr>
              <w:t>2-succinyl-6-hydroxy-2,4-cyclohexadiene-1-carboxylate synthase</w:t>
            </w:r>
          </w:p>
        </w:tc>
      </w:tr>
      <w:tr w:rsidR="00A46B68" w:rsidRPr="00502B03" w14:paraId="2FDC3E05" w14:textId="77777777" w:rsidTr="002E3F44">
        <w:trPr>
          <w:trHeight w:val="20"/>
        </w:trPr>
        <w:tc>
          <w:tcPr>
            <w:tcW w:w="864" w:type="dxa"/>
            <w:tcBorders>
              <w:top w:val="nil"/>
              <w:left w:val="nil"/>
              <w:bottom w:val="nil"/>
              <w:right w:val="nil"/>
            </w:tcBorders>
            <w:shd w:val="clear" w:color="auto" w:fill="auto"/>
            <w:noWrap/>
            <w:hideMark/>
          </w:tcPr>
          <w:p w14:paraId="55740F69" w14:textId="77777777" w:rsidR="00A46B68" w:rsidRPr="00DD3B0B" w:rsidRDefault="00A46B68" w:rsidP="00A46B68">
            <w:pPr>
              <w:spacing w:line="240" w:lineRule="auto"/>
              <w:ind w:firstLine="0"/>
              <w:rPr>
                <w:color w:val="000000"/>
              </w:rPr>
            </w:pPr>
            <w:r w:rsidRPr="00DD3B0B">
              <w:rPr>
                <w:color w:val="000000"/>
              </w:rPr>
              <w:lastRenderedPageBreak/>
              <w:t>02914</w:t>
            </w:r>
          </w:p>
        </w:tc>
        <w:tc>
          <w:tcPr>
            <w:tcW w:w="1083" w:type="dxa"/>
            <w:tcBorders>
              <w:top w:val="nil"/>
              <w:left w:val="nil"/>
              <w:bottom w:val="nil"/>
              <w:right w:val="nil"/>
            </w:tcBorders>
            <w:shd w:val="clear" w:color="auto" w:fill="auto"/>
            <w:noWrap/>
            <w:hideMark/>
          </w:tcPr>
          <w:p w14:paraId="60801785" w14:textId="77777777" w:rsidR="00A46B68" w:rsidRPr="00DD3B0B" w:rsidRDefault="00A46B68" w:rsidP="00A46B68">
            <w:pPr>
              <w:spacing w:line="240" w:lineRule="auto"/>
              <w:ind w:firstLine="0"/>
              <w:jc w:val="center"/>
              <w:rPr>
                <w:color w:val="000000"/>
              </w:rPr>
            </w:pPr>
            <w:r w:rsidRPr="00DD3B0B">
              <w:rPr>
                <w:color w:val="000000"/>
              </w:rPr>
              <w:t>1.437</w:t>
            </w:r>
          </w:p>
        </w:tc>
        <w:tc>
          <w:tcPr>
            <w:tcW w:w="1152" w:type="dxa"/>
            <w:tcBorders>
              <w:top w:val="nil"/>
              <w:left w:val="nil"/>
              <w:bottom w:val="nil"/>
              <w:right w:val="nil"/>
            </w:tcBorders>
            <w:shd w:val="clear" w:color="auto" w:fill="auto"/>
            <w:noWrap/>
            <w:hideMark/>
          </w:tcPr>
          <w:p w14:paraId="2D132422" w14:textId="77777777" w:rsidR="00A46B68" w:rsidRPr="00DD3B0B" w:rsidRDefault="00A46B68" w:rsidP="00A46B68">
            <w:pPr>
              <w:spacing w:line="240" w:lineRule="auto"/>
              <w:ind w:firstLine="0"/>
              <w:jc w:val="center"/>
              <w:rPr>
                <w:color w:val="000000"/>
              </w:rPr>
            </w:pPr>
            <w:r w:rsidRPr="00DD3B0B">
              <w:rPr>
                <w:color w:val="000000"/>
              </w:rPr>
              <w:t>4.73E-08</w:t>
            </w:r>
          </w:p>
        </w:tc>
        <w:tc>
          <w:tcPr>
            <w:tcW w:w="1297" w:type="dxa"/>
            <w:tcBorders>
              <w:top w:val="nil"/>
              <w:left w:val="nil"/>
              <w:bottom w:val="nil"/>
              <w:right w:val="nil"/>
            </w:tcBorders>
            <w:shd w:val="clear" w:color="auto" w:fill="auto"/>
            <w:noWrap/>
            <w:hideMark/>
          </w:tcPr>
          <w:p w14:paraId="525DE585"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773B0FDB" w14:textId="77777777" w:rsidR="00A46B68" w:rsidRPr="00DD3B0B" w:rsidRDefault="00A46B68" w:rsidP="00AB0D75">
            <w:pPr>
              <w:spacing w:line="240" w:lineRule="auto"/>
              <w:ind w:left="288" w:hanging="288"/>
              <w:rPr>
                <w:color w:val="000000"/>
              </w:rPr>
            </w:pPr>
            <w:r w:rsidRPr="00DD3B0B">
              <w:rPr>
                <w:color w:val="000000"/>
              </w:rPr>
              <w:t>Galc-alpha-(1-&gt;4)-Galc-alpha-(1-&gt;3)-dicBac-PP-undecaprenol alpha-1,4-N-acetyl-D-galactosaminyltransferase</w:t>
            </w:r>
          </w:p>
        </w:tc>
      </w:tr>
      <w:tr w:rsidR="00A46B68" w:rsidRPr="00502B03" w14:paraId="70A3A408" w14:textId="77777777" w:rsidTr="002E3F44">
        <w:trPr>
          <w:trHeight w:val="20"/>
        </w:trPr>
        <w:tc>
          <w:tcPr>
            <w:tcW w:w="864" w:type="dxa"/>
            <w:tcBorders>
              <w:top w:val="nil"/>
              <w:left w:val="nil"/>
              <w:bottom w:val="nil"/>
              <w:right w:val="nil"/>
            </w:tcBorders>
            <w:shd w:val="clear" w:color="auto" w:fill="auto"/>
            <w:noWrap/>
            <w:hideMark/>
          </w:tcPr>
          <w:p w14:paraId="2F440A3A" w14:textId="77777777" w:rsidR="00A46B68" w:rsidRPr="00DD3B0B" w:rsidRDefault="00A46B68" w:rsidP="00A46B68">
            <w:pPr>
              <w:spacing w:line="240" w:lineRule="auto"/>
              <w:ind w:firstLine="0"/>
              <w:rPr>
                <w:color w:val="000000"/>
              </w:rPr>
            </w:pPr>
            <w:r w:rsidRPr="00DD3B0B">
              <w:rPr>
                <w:color w:val="000000"/>
              </w:rPr>
              <w:t>00592</w:t>
            </w:r>
          </w:p>
        </w:tc>
        <w:tc>
          <w:tcPr>
            <w:tcW w:w="1083" w:type="dxa"/>
            <w:tcBorders>
              <w:top w:val="nil"/>
              <w:left w:val="nil"/>
              <w:bottom w:val="nil"/>
              <w:right w:val="nil"/>
            </w:tcBorders>
            <w:shd w:val="clear" w:color="auto" w:fill="auto"/>
            <w:noWrap/>
            <w:hideMark/>
          </w:tcPr>
          <w:p w14:paraId="604926B0" w14:textId="77777777" w:rsidR="00A46B68" w:rsidRPr="00DD3B0B" w:rsidRDefault="00A46B68" w:rsidP="00A46B68">
            <w:pPr>
              <w:spacing w:line="240" w:lineRule="auto"/>
              <w:ind w:firstLine="0"/>
              <w:jc w:val="center"/>
              <w:rPr>
                <w:color w:val="000000"/>
              </w:rPr>
            </w:pPr>
            <w:r w:rsidRPr="00DD3B0B">
              <w:rPr>
                <w:color w:val="000000"/>
              </w:rPr>
              <w:t>1.434</w:t>
            </w:r>
          </w:p>
        </w:tc>
        <w:tc>
          <w:tcPr>
            <w:tcW w:w="1152" w:type="dxa"/>
            <w:tcBorders>
              <w:top w:val="nil"/>
              <w:left w:val="nil"/>
              <w:bottom w:val="nil"/>
              <w:right w:val="nil"/>
            </w:tcBorders>
            <w:shd w:val="clear" w:color="auto" w:fill="auto"/>
            <w:noWrap/>
            <w:hideMark/>
          </w:tcPr>
          <w:p w14:paraId="715E230C" w14:textId="77777777" w:rsidR="00A46B68" w:rsidRPr="00DD3B0B" w:rsidRDefault="00A46B68" w:rsidP="00A46B68">
            <w:pPr>
              <w:spacing w:line="240" w:lineRule="auto"/>
              <w:ind w:firstLine="0"/>
              <w:jc w:val="center"/>
              <w:rPr>
                <w:color w:val="000000"/>
              </w:rPr>
            </w:pPr>
            <w:r w:rsidRPr="00DD3B0B">
              <w:rPr>
                <w:color w:val="000000"/>
              </w:rPr>
              <w:t>6.09E-03</w:t>
            </w:r>
          </w:p>
        </w:tc>
        <w:tc>
          <w:tcPr>
            <w:tcW w:w="1297" w:type="dxa"/>
            <w:tcBorders>
              <w:top w:val="nil"/>
              <w:left w:val="nil"/>
              <w:bottom w:val="nil"/>
              <w:right w:val="nil"/>
            </w:tcBorders>
            <w:shd w:val="clear" w:color="auto" w:fill="auto"/>
            <w:noWrap/>
          </w:tcPr>
          <w:p w14:paraId="43737FE4"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40FE2379" w14:textId="77777777" w:rsidR="00A46B68" w:rsidRPr="00DD3B0B" w:rsidRDefault="00A46B68" w:rsidP="00AB0D75">
            <w:pPr>
              <w:spacing w:line="240" w:lineRule="auto"/>
              <w:ind w:left="288" w:hanging="288"/>
              <w:rPr>
                <w:color w:val="000000"/>
              </w:rPr>
            </w:pPr>
          </w:p>
        </w:tc>
      </w:tr>
      <w:tr w:rsidR="00A46B68" w:rsidRPr="00502B03" w14:paraId="70BA371B" w14:textId="77777777" w:rsidTr="002E3F44">
        <w:trPr>
          <w:trHeight w:val="20"/>
        </w:trPr>
        <w:tc>
          <w:tcPr>
            <w:tcW w:w="864" w:type="dxa"/>
            <w:tcBorders>
              <w:top w:val="nil"/>
              <w:left w:val="nil"/>
              <w:bottom w:val="nil"/>
              <w:right w:val="nil"/>
            </w:tcBorders>
            <w:shd w:val="clear" w:color="auto" w:fill="auto"/>
            <w:noWrap/>
            <w:hideMark/>
          </w:tcPr>
          <w:p w14:paraId="50D8C742" w14:textId="77777777" w:rsidR="00A46B68" w:rsidRPr="00DD3B0B" w:rsidRDefault="00A46B68" w:rsidP="00A46B68">
            <w:pPr>
              <w:spacing w:line="240" w:lineRule="auto"/>
              <w:ind w:firstLine="0"/>
              <w:rPr>
                <w:color w:val="000000"/>
              </w:rPr>
            </w:pPr>
            <w:r w:rsidRPr="00DD3B0B">
              <w:rPr>
                <w:color w:val="000000"/>
              </w:rPr>
              <w:t>00326</w:t>
            </w:r>
          </w:p>
        </w:tc>
        <w:tc>
          <w:tcPr>
            <w:tcW w:w="1083" w:type="dxa"/>
            <w:tcBorders>
              <w:top w:val="nil"/>
              <w:left w:val="nil"/>
              <w:bottom w:val="nil"/>
              <w:right w:val="nil"/>
            </w:tcBorders>
            <w:shd w:val="clear" w:color="auto" w:fill="auto"/>
            <w:noWrap/>
            <w:hideMark/>
          </w:tcPr>
          <w:p w14:paraId="27610EA9" w14:textId="77777777" w:rsidR="00A46B68" w:rsidRPr="00DD3B0B" w:rsidRDefault="00A46B68" w:rsidP="00A46B68">
            <w:pPr>
              <w:spacing w:line="240" w:lineRule="auto"/>
              <w:ind w:firstLine="0"/>
              <w:jc w:val="center"/>
              <w:rPr>
                <w:color w:val="000000"/>
              </w:rPr>
            </w:pPr>
            <w:r w:rsidRPr="00DD3B0B">
              <w:rPr>
                <w:color w:val="000000"/>
              </w:rPr>
              <w:t>1.432</w:t>
            </w:r>
          </w:p>
        </w:tc>
        <w:tc>
          <w:tcPr>
            <w:tcW w:w="1152" w:type="dxa"/>
            <w:tcBorders>
              <w:top w:val="nil"/>
              <w:left w:val="nil"/>
              <w:bottom w:val="nil"/>
              <w:right w:val="nil"/>
            </w:tcBorders>
            <w:shd w:val="clear" w:color="auto" w:fill="auto"/>
            <w:noWrap/>
            <w:hideMark/>
          </w:tcPr>
          <w:p w14:paraId="517C4182" w14:textId="77777777" w:rsidR="00A46B68" w:rsidRPr="00DD3B0B" w:rsidRDefault="00A46B68" w:rsidP="00A46B68">
            <w:pPr>
              <w:spacing w:line="240" w:lineRule="auto"/>
              <w:ind w:firstLine="0"/>
              <w:jc w:val="center"/>
              <w:rPr>
                <w:color w:val="000000"/>
              </w:rPr>
            </w:pPr>
            <w:r w:rsidRPr="00DD3B0B">
              <w:rPr>
                <w:color w:val="000000"/>
              </w:rPr>
              <w:t>3.80E-02</w:t>
            </w:r>
          </w:p>
        </w:tc>
        <w:tc>
          <w:tcPr>
            <w:tcW w:w="1297" w:type="dxa"/>
            <w:tcBorders>
              <w:top w:val="nil"/>
              <w:left w:val="nil"/>
              <w:bottom w:val="nil"/>
              <w:right w:val="nil"/>
            </w:tcBorders>
            <w:shd w:val="clear" w:color="auto" w:fill="auto"/>
            <w:noWrap/>
          </w:tcPr>
          <w:p w14:paraId="26EA0972"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7B791F7F" w14:textId="77777777" w:rsidR="00A46B68" w:rsidRPr="00DD3B0B" w:rsidRDefault="00A46B68" w:rsidP="00AB0D75">
            <w:pPr>
              <w:spacing w:line="240" w:lineRule="auto"/>
              <w:ind w:left="288" w:hanging="288"/>
              <w:rPr>
                <w:color w:val="000000"/>
              </w:rPr>
            </w:pPr>
          </w:p>
        </w:tc>
      </w:tr>
      <w:tr w:rsidR="00A46B68" w:rsidRPr="00502B03" w14:paraId="02928451" w14:textId="77777777" w:rsidTr="002E3F44">
        <w:trPr>
          <w:trHeight w:val="20"/>
        </w:trPr>
        <w:tc>
          <w:tcPr>
            <w:tcW w:w="864" w:type="dxa"/>
            <w:tcBorders>
              <w:top w:val="nil"/>
              <w:left w:val="nil"/>
              <w:bottom w:val="nil"/>
              <w:right w:val="nil"/>
            </w:tcBorders>
            <w:shd w:val="clear" w:color="auto" w:fill="auto"/>
            <w:noWrap/>
            <w:hideMark/>
          </w:tcPr>
          <w:p w14:paraId="32E0FD45" w14:textId="77777777" w:rsidR="00A46B68" w:rsidRPr="00DD3B0B" w:rsidRDefault="00A46B68" w:rsidP="00A46B68">
            <w:pPr>
              <w:spacing w:line="240" w:lineRule="auto"/>
              <w:ind w:firstLine="0"/>
              <w:rPr>
                <w:color w:val="000000"/>
              </w:rPr>
            </w:pPr>
            <w:r w:rsidRPr="00DD3B0B">
              <w:rPr>
                <w:color w:val="000000"/>
              </w:rPr>
              <w:t>01054</w:t>
            </w:r>
          </w:p>
        </w:tc>
        <w:tc>
          <w:tcPr>
            <w:tcW w:w="1083" w:type="dxa"/>
            <w:tcBorders>
              <w:top w:val="nil"/>
              <w:left w:val="nil"/>
              <w:bottom w:val="nil"/>
              <w:right w:val="nil"/>
            </w:tcBorders>
            <w:shd w:val="clear" w:color="auto" w:fill="auto"/>
            <w:noWrap/>
            <w:hideMark/>
          </w:tcPr>
          <w:p w14:paraId="7C6120A5" w14:textId="77777777" w:rsidR="00A46B68" w:rsidRPr="00DD3B0B" w:rsidRDefault="00A46B68" w:rsidP="00A46B68">
            <w:pPr>
              <w:spacing w:line="240" w:lineRule="auto"/>
              <w:ind w:firstLine="0"/>
              <w:jc w:val="center"/>
              <w:rPr>
                <w:color w:val="000000"/>
              </w:rPr>
            </w:pPr>
            <w:r w:rsidRPr="00DD3B0B">
              <w:rPr>
                <w:color w:val="000000"/>
              </w:rPr>
              <w:t>1.427</w:t>
            </w:r>
          </w:p>
        </w:tc>
        <w:tc>
          <w:tcPr>
            <w:tcW w:w="1152" w:type="dxa"/>
            <w:tcBorders>
              <w:top w:val="nil"/>
              <w:left w:val="nil"/>
              <w:bottom w:val="nil"/>
              <w:right w:val="nil"/>
            </w:tcBorders>
            <w:shd w:val="clear" w:color="auto" w:fill="auto"/>
            <w:noWrap/>
            <w:hideMark/>
          </w:tcPr>
          <w:p w14:paraId="352E5F51" w14:textId="77777777" w:rsidR="00A46B68" w:rsidRPr="00DD3B0B" w:rsidRDefault="00A46B68" w:rsidP="00A46B68">
            <w:pPr>
              <w:spacing w:line="240" w:lineRule="auto"/>
              <w:ind w:firstLine="0"/>
              <w:jc w:val="center"/>
              <w:rPr>
                <w:color w:val="000000"/>
              </w:rPr>
            </w:pPr>
            <w:r w:rsidRPr="00DD3B0B">
              <w:rPr>
                <w:color w:val="000000"/>
              </w:rPr>
              <w:t>6.39E-03</w:t>
            </w:r>
          </w:p>
        </w:tc>
        <w:tc>
          <w:tcPr>
            <w:tcW w:w="1297" w:type="dxa"/>
            <w:tcBorders>
              <w:top w:val="nil"/>
              <w:left w:val="nil"/>
              <w:bottom w:val="nil"/>
              <w:right w:val="nil"/>
            </w:tcBorders>
            <w:shd w:val="clear" w:color="auto" w:fill="auto"/>
            <w:noWrap/>
            <w:hideMark/>
          </w:tcPr>
          <w:p w14:paraId="4F0B6630"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035C2F62" w14:textId="77777777" w:rsidR="00A46B68" w:rsidRPr="00DD3B0B" w:rsidRDefault="00A46B68" w:rsidP="00AB0D75">
            <w:pPr>
              <w:spacing w:line="240" w:lineRule="auto"/>
              <w:ind w:left="288" w:hanging="288"/>
              <w:rPr>
                <w:color w:val="000000"/>
              </w:rPr>
            </w:pPr>
            <w:r w:rsidRPr="00DD3B0B">
              <w:rPr>
                <w:i/>
                <w:iCs/>
                <w:color w:val="000000"/>
              </w:rPr>
              <w:t>rpoE</w:t>
            </w:r>
            <w:r w:rsidRPr="00DD3B0B">
              <w:rPr>
                <w:color w:val="000000"/>
              </w:rPr>
              <w:t>; R polymerase sigma-70 factor, ECF subfamily</w:t>
            </w:r>
          </w:p>
        </w:tc>
      </w:tr>
      <w:tr w:rsidR="00A46B68" w:rsidRPr="00502B03" w14:paraId="025F9BCD" w14:textId="77777777" w:rsidTr="002E3F44">
        <w:trPr>
          <w:trHeight w:val="20"/>
        </w:trPr>
        <w:tc>
          <w:tcPr>
            <w:tcW w:w="864" w:type="dxa"/>
            <w:tcBorders>
              <w:top w:val="nil"/>
              <w:left w:val="nil"/>
              <w:bottom w:val="nil"/>
              <w:right w:val="nil"/>
            </w:tcBorders>
            <w:shd w:val="clear" w:color="auto" w:fill="auto"/>
            <w:noWrap/>
            <w:hideMark/>
          </w:tcPr>
          <w:p w14:paraId="49EAD65E" w14:textId="77777777" w:rsidR="00A46B68" w:rsidRPr="00DD3B0B" w:rsidRDefault="00A46B68" w:rsidP="00A46B68">
            <w:pPr>
              <w:spacing w:line="240" w:lineRule="auto"/>
              <w:ind w:firstLine="0"/>
              <w:rPr>
                <w:color w:val="000000"/>
              </w:rPr>
            </w:pPr>
            <w:r w:rsidRPr="00DD3B0B">
              <w:rPr>
                <w:color w:val="000000"/>
              </w:rPr>
              <w:t>02913</w:t>
            </w:r>
          </w:p>
        </w:tc>
        <w:tc>
          <w:tcPr>
            <w:tcW w:w="1083" w:type="dxa"/>
            <w:tcBorders>
              <w:top w:val="nil"/>
              <w:left w:val="nil"/>
              <w:bottom w:val="nil"/>
              <w:right w:val="nil"/>
            </w:tcBorders>
            <w:shd w:val="clear" w:color="auto" w:fill="auto"/>
            <w:noWrap/>
            <w:hideMark/>
          </w:tcPr>
          <w:p w14:paraId="512E9DCE" w14:textId="77777777" w:rsidR="00A46B68" w:rsidRPr="00DD3B0B" w:rsidRDefault="00A46B68" w:rsidP="00A46B68">
            <w:pPr>
              <w:spacing w:line="240" w:lineRule="auto"/>
              <w:ind w:firstLine="0"/>
              <w:jc w:val="center"/>
              <w:rPr>
                <w:color w:val="000000"/>
              </w:rPr>
            </w:pPr>
            <w:r w:rsidRPr="00DD3B0B">
              <w:rPr>
                <w:color w:val="000000"/>
              </w:rPr>
              <w:t>1.418</w:t>
            </w:r>
          </w:p>
        </w:tc>
        <w:tc>
          <w:tcPr>
            <w:tcW w:w="1152" w:type="dxa"/>
            <w:tcBorders>
              <w:top w:val="nil"/>
              <w:left w:val="nil"/>
              <w:bottom w:val="nil"/>
              <w:right w:val="nil"/>
            </w:tcBorders>
            <w:shd w:val="clear" w:color="auto" w:fill="auto"/>
            <w:noWrap/>
            <w:hideMark/>
          </w:tcPr>
          <w:p w14:paraId="0468C786" w14:textId="77777777" w:rsidR="00A46B68" w:rsidRPr="00DD3B0B" w:rsidRDefault="00A46B68" w:rsidP="00A46B68">
            <w:pPr>
              <w:spacing w:line="240" w:lineRule="auto"/>
              <w:ind w:firstLine="0"/>
              <w:jc w:val="center"/>
              <w:rPr>
                <w:color w:val="000000"/>
              </w:rPr>
            </w:pPr>
            <w:r w:rsidRPr="00DD3B0B">
              <w:rPr>
                <w:color w:val="000000"/>
              </w:rPr>
              <w:t>1.26E-12</w:t>
            </w:r>
          </w:p>
        </w:tc>
        <w:tc>
          <w:tcPr>
            <w:tcW w:w="1297" w:type="dxa"/>
            <w:tcBorders>
              <w:top w:val="nil"/>
              <w:left w:val="nil"/>
              <w:bottom w:val="nil"/>
              <w:right w:val="nil"/>
            </w:tcBorders>
            <w:shd w:val="clear" w:color="auto" w:fill="auto"/>
            <w:noWrap/>
            <w:hideMark/>
          </w:tcPr>
          <w:p w14:paraId="42BB116F"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1D989A2E" w14:textId="77777777" w:rsidR="00A46B68" w:rsidRPr="00DD3B0B" w:rsidRDefault="00A46B68" w:rsidP="00AB0D75">
            <w:pPr>
              <w:spacing w:line="240" w:lineRule="auto"/>
              <w:ind w:left="288" w:hanging="288"/>
              <w:rPr>
                <w:color w:val="000000"/>
              </w:rPr>
            </w:pPr>
            <w:r w:rsidRPr="00DD3B0B">
              <w:rPr>
                <w:color w:val="000000"/>
              </w:rPr>
              <w:t>Maltose O-acetyltransferase</w:t>
            </w:r>
          </w:p>
        </w:tc>
      </w:tr>
      <w:tr w:rsidR="00A46B68" w:rsidRPr="00502B03" w14:paraId="051700A7" w14:textId="77777777" w:rsidTr="002E3F44">
        <w:trPr>
          <w:trHeight w:val="20"/>
        </w:trPr>
        <w:tc>
          <w:tcPr>
            <w:tcW w:w="864" w:type="dxa"/>
            <w:tcBorders>
              <w:top w:val="nil"/>
              <w:left w:val="nil"/>
              <w:bottom w:val="nil"/>
              <w:right w:val="nil"/>
            </w:tcBorders>
            <w:shd w:val="clear" w:color="auto" w:fill="auto"/>
            <w:noWrap/>
            <w:hideMark/>
          </w:tcPr>
          <w:p w14:paraId="28E8A6B8" w14:textId="77777777" w:rsidR="00A46B68" w:rsidRPr="00DD3B0B" w:rsidRDefault="00A46B68" w:rsidP="00A46B68">
            <w:pPr>
              <w:spacing w:line="240" w:lineRule="auto"/>
              <w:ind w:firstLine="0"/>
              <w:rPr>
                <w:color w:val="000000"/>
              </w:rPr>
            </w:pPr>
            <w:r w:rsidRPr="00DD3B0B">
              <w:rPr>
                <w:color w:val="000000"/>
              </w:rPr>
              <w:t>02915</w:t>
            </w:r>
          </w:p>
        </w:tc>
        <w:tc>
          <w:tcPr>
            <w:tcW w:w="1083" w:type="dxa"/>
            <w:tcBorders>
              <w:top w:val="nil"/>
              <w:left w:val="nil"/>
              <w:bottom w:val="nil"/>
              <w:right w:val="nil"/>
            </w:tcBorders>
            <w:shd w:val="clear" w:color="auto" w:fill="auto"/>
            <w:noWrap/>
            <w:hideMark/>
          </w:tcPr>
          <w:p w14:paraId="0050B0E0" w14:textId="77777777" w:rsidR="00A46B68" w:rsidRPr="00DD3B0B" w:rsidRDefault="00A46B68" w:rsidP="00A46B68">
            <w:pPr>
              <w:spacing w:line="240" w:lineRule="auto"/>
              <w:ind w:firstLine="0"/>
              <w:jc w:val="center"/>
              <w:rPr>
                <w:color w:val="000000"/>
              </w:rPr>
            </w:pPr>
            <w:r w:rsidRPr="00DD3B0B">
              <w:rPr>
                <w:color w:val="000000"/>
              </w:rPr>
              <w:t>1.414</w:t>
            </w:r>
          </w:p>
        </w:tc>
        <w:tc>
          <w:tcPr>
            <w:tcW w:w="1152" w:type="dxa"/>
            <w:tcBorders>
              <w:top w:val="nil"/>
              <w:left w:val="nil"/>
              <w:bottom w:val="nil"/>
              <w:right w:val="nil"/>
            </w:tcBorders>
            <w:shd w:val="clear" w:color="auto" w:fill="auto"/>
            <w:noWrap/>
            <w:hideMark/>
          </w:tcPr>
          <w:p w14:paraId="329E2531" w14:textId="77777777" w:rsidR="00A46B68" w:rsidRPr="00DD3B0B" w:rsidRDefault="00A46B68" w:rsidP="00A46B68">
            <w:pPr>
              <w:spacing w:line="240" w:lineRule="auto"/>
              <w:ind w:firstLine="0"/>
              <w:jc w:val="center"/>
              <w:rPr>
                <w:color w:val="000000"/>
              </w:rPr>
            </w:pPr>
            <w:r w:rsidRPr="00DD3B0B">
              <w:rPr>
                <w:color w:val="000000"/>
              </w:rPr>
              <w:t>2.79E-04</w:t>
            </w:r>
          </w:p>
        </w:tc>
        <w:tc>
          <w:tcPr>
            <w:tcW w:w="1297" w:type="dxa"/>
            <w:tcBorders>
              <w:top w:val="nil"/>
              <w:left w:val="nil"/>
              <w:bottom w:val="nil"/>
              <w:right w:val="nil"/>
            </w:tcBorders>
            <w:shd w:val="clear" w:color="auto" w:fill="auto"/>
            <w:noWrap/>
          </w:tcPr>
          <w:p w14:paraId="78059BE5"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0A3A9947" w14:textId="77777777" w:rsidR="00A46B68" w:rsidRPr="00DD3B0B" w:rsidRDefault="00A46B68" w:rsidP="00AB0D75">
            <w:pPr>
              <w:spacing w:line="240" w:lineRule="auto"/>
              <w:ind w:left="288" w:hanging="288"/>
              <w:rPr>
                <w:color w:val="000000"/>
              </w:rPr>
            </w:pPr>
          </w:p>
        </w:tc>
      </w:tr>
      <w:tr w:rsidR="00A46B68" w:rsidRPr="00502B03" w14:paraId="4CED54FF" w14:textId="77777777" w:rsidTr="002E3F44">
        <w:trPr>
          <w:trHeight w:val="20"/>
        </w:trPr>
        <w:tc>
          <w:tcPr>
            <w:tcW w:w="864" w:type="dxa"/>
            <w:tcBorders>
              <w:top w:val="nil"/>
              <w:left w:val="nil"/>
              <w:bottom w:val="nil"/>
              <w:right w:val="nil"/>
            </w:tcBorders>
            <w:shd w:val="clear" w:color="auto" w:fill="auto"/>
            <w:noWrap/>
            <w:hideMark/>
          </w:tcPr>
          <w:p w14:paraId="5E80C18F" w14:textId="77777777" w:rsidR="00A46B68" w:rsidRPr="00DD3B0B" w:rsidRDefault="00A46B68" w:rsidP="00A46B68">
            <w:pPr>
              <w:spacing w:line="240" w:lineRule="auto"/>
              <w:ind w:firstLine="0"/>
              <w:rPr>
                <w:color w:val="000000"/>
              </w:rPr>
            </w:pPr>
            <w:r w:rsidRPr="00DD3B0B">
              <w:rPr>
                <w:color w:val="000000"/>
              </w:rPr>
              <w:t>00996</w:t>
            </w:r>
          </w:p>
        </w:tc>
        <w:tc>
          <w:tcPr>
            <w:tcW w:w="1083" w:type="dxa"/>
            <w:tcBorders>
              <w:top w:val="nil"/>
              <w:left w:val="nil"/>
              <w:bottom w:val="nil"/>
              <w:right w:val="nil"/>
            </w:tcBorders>
            <w:shd w:val="clear" w:color="auto" w:fill="auto"/>
            <w:noWrap/>
            <w:hideMark/>
          </w:tcPr>
          <w:p w14:paraId="0C8E8250" w14:textId="77777777" w:rsidR="00A46B68" w:rsidRPr="00DD3B0B" w:rsidRDefault="00A46B68" w:rsidP="00A46B68">
            <w:pPr>
              <w:spacing w:line="240" w:lineRule="auto"/>
              <w:ind w:firstLine="0"/>
              <w:jc w:val="center"/>
              <w:rPr>
                <w:color w:val="000000"/>
              </w:rPr>
            </w:pPr>
            <w:r w:rsidRPr="00DD3B0B">
              <w:rPr>
                <w:color w:val="000000"/>
              </w:rPr>
              <w:t>1.413</w:t>
            </w:r>
          </w:p>
        </w:tc>
        <w:tc>
          <w:tcPr>
            <w:tcW w:w="1152" w:type="dxa"/>
            <w:tcBorders>
              <w:top w:val="nil"/>
              <w:left w:val="nil"/>
              <w:bottom w:val="nil"/>
              <w:right w:val="nil"/>
            </w:tcBorders>
            <w:shd w:val="clear" w:color="auto" w:fill="auto"/>
            <w:noWrap/>
            <w:hideMark/>
          </w:tcPr>
          <w:p w14:paraId="5229F819" w14:textId="77777777" w:rsidR="00A46B68" w:rsidRPr="00DD3B0B" w:rsidRDefault="00A46B68" w:rsidP="00A46B68">
            <w:pPr>
              <w:spacing w:line="240" w:lineRule="auto"/>
              <w:ind w:firstLine="0"/>
              <w:jc w:val="center"/>
              <w:rPr>
                <w:color w:val="000000"/>
              </w:rPr>
            </w:pPr>
            <w:r w:rsidRPr="00DD3B0B">
              <w:rPr>
                <w:color w:val="000000"/>
              </w:rPr>
              <w:t>4.11E-02</w:t>
            </w:r>
          </w:p>
        </w:tc>
        <w:tc>
          <w:tcPr>
            <w:tcW w:w="1297" w:type="dxa"/>
            <w:tcBorders>
              <w:top w:val="nil"/>
              <w:left w:val="nil"/>
              <w:bottom w:val="nil"/>
              <w:right w:val="nil"/>
            </w:tcBorders>
            <w:shd w:val="clear" w:color="auto" w:fill="auto"/>
            <w:noWrap/>
          </w:tcPr>
          <w:p w14:paraId="2F1FCA66"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71A4736F" w14:textId="77777777" w:rsidR="00A46B68" w:rsidRPr="00DD3B0B" w:rsidRDefault="00A46B68" w:rsidP="00AB0D75">
            <w:pPr>
              <w:spacing w:line="240" w:lineRule="auto"/>
              <w:ind w:left="288" w:hanging="288"/>
              <w:rPr>
                <w:color w:val="000000"/>
              </w:rPr>
            </w:pPr>
          </w:p>
        </w:tc>
      </w:tr>
      <w:tr w:rsidR="00A46B68" w:rsidRPr="00502B03" w14:paraId="08139F18" w14:textId="77777777" w:rsidTr="002E3F44">
        <w:trPr>
          <w:trHeight w:val="20"/>
        </w:trPr>
        <w:tc>
          <w:tcPr>
            <w:tcW w:w="864" w:type="dxa"/>
            <w:tcBorders>
              <w:top w:val="nil"/>
              <w:left w:val="nil"/>
              <w:bottom w:val="nil"/>
              <w:right w:val="nil"/>
            </w:tcBorders>
            <w:shd w:val="clear" w:color="auto" w:fill="auto"/>
            <w:noWrap/>
            <w:hideMark/>
          </w:tcPr>
          <w:p w14:paraId="47E2953A" w14:textId="77777777" w:rsidR="00A46B68" w:rsidRPr="00DD3B0B" w:rsidRDefault="00A46B68" w:rsidP="00A46B68">
            <w:pPr>
              <w:spacing w:line="240" w:lineRule="auto"/>
              <w:ind w:firstLine="0"/>
              <w:rPr>
                <w:color w:val="000000"/>
              </w:rPr>
            </w:pPr>
            <w:r w:rsidRPr="00DD3B0B">
              <w:rPr>
                <w:color w:val="000000"/>
              </w:rPr>
              <w:t>01418</w:t>
            </w:r>
          </w:p>
        </w:tc>
        <w:tc>
          <w:tcPr>
            <w:tcW w:w="1083" w:type="dxa"/>
            <w:tcBorders>
              <w:top w:val="nil"/>
              <w:left w:val="nil"/>
              <w:bottom w:val="nil"/>
              <w:right w:val="nil"/>
            </w:tcBorders>
            <w:shd w:val="clear" w:color="auto" w:fill="auto"/>
            <w:noWrap/>
            <w:hideMark/>
          </w:tcPr>
          <w:p w14:paraId="5A839CB3" w14:textId="77777777" w:rsidR="00A46B68" w:rsidRPr="00DD3B0B" w:rsidRDefault="00A46B68" w:rsidP="00A46B68">
            <w:pPr>
              <w:spacing w:line="240" w:lineRule="auto"/>
              <w:ind w:firstLine="0"/>
              <w:jc w:val="center"/>
              <w:rPr>
                <w:color w:val="000000"/>
              </w:rPr>
            </w:pPr>
            <w:r w:rsidRPr="00DD3B0B">
              <w:rPr>
                <w:color w:val="000000"/>
              </w:rPr>
              <w:t>1.409</w:t>
            </w:r>
          </w:p>
        </w:tc>
        <w:tc>
          <w:tcPr>
            <w:tcW w:w="1152" w:type="dxa"/>
            <w:tcBorders>
              <w:top w:val="nil"/>
              <w:left w:val="nil"/>
              <w:bottom w:val="nil"/>
              <w:right w:val="nil"/>
            </w:tcBorders>
            <w:shd w:val="clear" w:color="auto" w:fill="auto"/>
            <w:noWrap/>
            <w:hideMark/>
          </w:tcPr>
          <w:p w14:paraId="061F5593" w14:textId="77777777" w:rsidR="00A46B68" w:rsidRPr="00DD3B0B" w:rsidRDefault="00A46B68" w:rsidP="00A46B68">
            <w:pPr>
              <w:spacing w:line="240" w:lineRule="auto"/>
              <w:ind w:firstLine="0"/>
              <w:jc w:val="center"/>
              <w:rPr>
                <w:color w:val="000000"/>
              </w:rPr>
            </w:pPr>
            <w:r w:rsidRPr="00DD3B0B">
              <w:rPr>
                <w:color w:val="000000"/>
              </w:rPr>
              <w:t>1.74E-03</w:t>
            </w:r>
          </w:p>
        </w:tc>
        <w:tc>
          <w:tcPr>
            <w:tcW w:w="1297" w:type="dxa"/>
            <w:tcBorders>
              <w:top w:val="nil"/>
              <w:left w:val="nil"/>
              <w:bottom w:val="nil"/>
              <w:right w:val="nil"/>
            </w:tcBorders>
            <w:shd w:val="clear" w:color="auto" w:fill="auto"/>
            <w:noWrap/>
            <w:hideMark/>
          </w:tcPr>
          <w:p w14:paraId="7B229402"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789505FC" w14:textId="77777777" w:rsidR="00A46B68" w:rsidRPr="00DD3B0B" w:rsidRDefault="00A46B68" w:rsidP="00AB0D75">
            <w:pPr>
              <w:spacing w:line="240" w:lineRule="auto"/>
              <w:ind w:left="288" w:hanging="288"/>
              <w:rPr>
                <w:color w:val="000000"/>
              </w:rPr>
            </w:pPr>
            <w:r w:rsidRPr="00DD3B0B">
              <w:rPr>
                <w:color w:val="000000"/>
              </w:rPr>
              <w:t>N-acetylglucosamine repressor</w:t>
            </w:r>
          </w:p>
        </w:tc>
      </w:tr>
      <w:tr w:rsidR="00A46B68" w:rsidRPr="00502B03" w14:paraId="47EE6738" w14:textId="77777777" w:rsidTr="002E3F44">
        <w:trPr>
          <w:trHeight w:val="20"/>
        </w:trPr>
        <w:tc>
          <w:tcPr>
            <w:tcW w:w="864" w:type="dxa"/>
            <w:tcBorders>
              <w:top w:val="nil"/>
              <w:left w:val="nil"/>
              <w:bottom w:val="nil"/>
              <w:right w:val="nil"/>
            </w:tcBorders>
            <w:shd w:val="clear" w:color="auto" w:fill="auto"/>
            <w:noWrap/>
            <w:hideMark/>
          </w:tcPr>
          <w:p w14:paraId="73CB09A6" w14:textId="77777777" w:rsidR="00A46B68" w:rsidRPr="00DD3B0B" w:rsidRDefault="00A46B68" w:rsidP="00A46B68">
            <w:pPr>
              <w:spacing w:line="240" w:lineRule="auto"/>
              <w:ind w:firstLine="0"/>
              <w:rPr>
                <w:color w:val="000000"/>
              </w:rPr>
            </w:pPr>
            <w:r w:rsidRPr="00DD3B0B">
              <w:rPr>
                <w:color w:val="000000"/>
              </w:rPr>
              <w:t>00954</w:t>
            </w:r>
          </w:p>
        </w:tc>
        <w:tc>
          <w:tcPr>
            <w:tcW w:w="1083" w:type="dxa"/>
            <w:tcBorders>
              <w:top w:val="nil"/>
              <w:left w:val="nil"/>
              <w:bottom w:val="nil"/>
              <w:right w:val="nil"/>
            </w:tcBorders>
            <w:shd w:val="clear" w:color="auto" w:fill="auto"/>
            <w:noWrap/>
            <w:hideMark/>
          </w:tcPr>
          <w:p w14:paraId="4F3E0C68" w14:textId="77777777" w:rsidR="00A46B68" w:rsidRPr="00DD3B0B" w:rsidRDefault="00A46B68" w:rsidP="00A46B68">
            <w:pPr>
              <w:spacing w:line="240" w:lineRule="auto"/>
              <w:ind w:firstLine="0"/>
              <w:jc w:val="center"/>
              <w:rPr>
                <w:color w:val="000000"/>
              </w:rPr>
            </w:pPr>
            <w:r w:rsidRPr="00DD3B0B">
              <w:rPr>
                <w:color w:val="000000"/>
              </w:rPr>
              <w:t>1.365</w:t>
            </w:r>
          </w:p>
        </w:tc>
        <w:tc>
          <w:tcPr>
            <w:tcW w:w="1152" w:type="dxa"/>
            <w:tcBorders>
              <w:top w:val="nil"/>
              <w:left w:val="nil"/>
              <w:bottom w:val="nil"/>
              <w:right w:val="nil"/>
            </w:tcBorders>
            <w:shd w:val="clear" w:color="auto" w:fill="auto"/>
            <w:noWrap/>
            <w:hideMark/>
          </w:tcPr>
          <w:p w14:paraId="1A6EC93A" w14:textId="77777777" w:rsidR="00A46B68" w:rsidRPr="00DD3B0B" w:rsidRDefault="00A46B68" w:rsidP="00A46B68">
            <w:pPr>
              <w:spacing w:line="240" w:lineRule="auto"/>
              <w:ind w:firstLine="0"/>
              <w:jc w:val="center"/>
              <w:rPr>
                <w:color w:val="000000"/>
              </w:rPr>
            </w:pPr>
            <w:r w:rsidRPr="00DD3B0B">
              <w:rPr>
                <w:color w:val="000000"/>
              </w:rPr>
              <w:t>1.15E-02</w:t>
            </w:r>
          </w:p>
        </w:tc>
        <w:tc>
          <w:tcPr>
            <w:tcW w:w="1297" w:type="dxa"/>
            <w:tcBorders>
              <w:top w:val="nil"/>
              <w:left w:val="nil"/>
              <w:bottom w:val="nil"/>
              <w:right w:val="nil"/>
            </w:tcBorders>
            <w:shd w:val="clear" w:color="auto" w:fill="auto"/>
            <w:noWrap/>
          </w:tcPr>
          <w:p w14:paraId="272A6893"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20FA9337" w14:textId="77777777" w:rsidR="00A46B68" w:rsidRPr="00DD3B0B" w:rsidRDefault="00A46B68" w:rsidP="00AB0D75">
            <w:pPr>
              <w:spacing w:line="240" w:lineRule="auto"/>
              <w:ind w:left="288" w:hanging="288"/>
              <w:rPr>
                <w:color w:val="000000"/>
              </w:rPr>
            </w:pPr>
          </w:p>
        </w:tc>
      </w:tr>
      <w:tr w:rsidR="00A46B68" w:rsidRPr="00502B03" w14:paraId="300003FE" w14:textId="77777777" w:rsidTr="002E3F44">
        <w:trPr>
          <w:trHeight w:val="20"/>
        </w:trPr>
        <w:tc>
          <w:tcPr>
            <w:tcW w:w="864" w:type="dxa"/>
            <w:tcBorders>
              <w:top w:val="nil"/>
              <w:left w:val="nil"/>
              <w:bottom w:val="nil"/>
              <w:right w:val="nil"/>
            </w:tcBorders>
            <w:shd w:val="clear" w:color="auto" w:fill="auto"/>
            <w:noWrap/>
            <w:hideMark/>
          </w:tcPr>
          <w:p w14:paraId="1FFA98B3" w14:textId="77777777" w:rsidR="00A46B68" w:rsidRPr="00DD3B0B" w:rsidRDefault="00A46B68" w:rsidP="00A46B68">
            <w:pPr>
              <w:spacing w:line="240" w:lineRule="auto"/>
              <w:ind w:firstLine="0"/>
              <w:rPr>
                <w:color w:val="000000"/>
              </w:rPr>
            </w:pPr>
            <w:r w:rsidRPr="00DD3B0B">
              <w:rPr>
                <w:color w:val="000000"/>
              </w:rPr>
              <w:t>00475</w:t>
            </w:r>
          </w:p>
        </w:tc>
        <w:tc>
          <w:tcPr>
            <w:tcW w:w="1083" w:type="dxa"/>
            <w:tcBorders>
              <w:top w:val="nil"/>
              <w:left w:val="nil"/>
              <w:bottom w:val="nil"/>
              <w:right w:val="nil"/>
            </w:tcBorders>
            <w:shd w:val="clear" w:color="auto" w:fill="auto"/>
            <w:noWrap/>
            <w:hideMark/>
          </w:tcPr>
          <w:p w14:paraId="6BC0DE32" w14:textId="77777777" w:rsidR="00A46B68" w:rsidRPr="00DD3B0B" w:rsidRDefault="00A46B68" w:rsidP="00A46B68">
            <w:pPr>
              <w:spacing w:line="240" w:lineRule="auto"/>
              <w:ind w:firstLine="0"/>
              <w:jc w:val="center"/>
              <w:rPr>
                <w:color w:val="000000"/>
              </w:rPr>
            </w:pPr>
            <w:r w:rsidRPr="00DD3B0B">
              <w:rPr>
                <w:color w:val="000000"/>
              </w:rPr>
              <w:t>1.322</w:t>
            </w:r>
          </w:p>
        </w:tc>
        <w:tc>
          <w:tcPr>
            <w:tcW w:w="1152" w:type="dxa"/>
            <w:tcBorders>
              <w:top w:val="nil"/>
              <w:left w:val="nil"/>
              <w:bottom w:val="nil"/>
              <w:right w:val="nil"/>
            </w:tcBorders>
            <w:shd w:val="clear" w:color="auto" w:fill="auto"/>
            <w:noWrap/>
            <w:hideMark/>
          </w:tcPr>
          <w:p w14:paraId="611915D4" w14:textId="77777777" w:rsidR="00A46B68" w:rsidRPr="00DD3B0B" w:rsidRDefault="00A46B68" w:rsidP="00A46B68">
            <w:pPr>
              <w:spacing w:line="240" w:lineRule="auto"/>
              <w:ind w:firstLine="0"/>
              <w:jc w:val="center"/>
              <w:rPr>
                <w:color w:val="000000"/>
              </w:rPr>
            </w:pPr>
            <w:r w:rsidRPr="00DD3B0B">
              <w:rPr>
                <w:color w:val="000000"/>
              </w:rPr>
              <w:t>3.80E-02</w:t>
            </w:r>
          </w:p>
        </w:tc>
        <w:tc>
          <w:tcPr>
            <w:tcW w:w="1297" w:type="dxa"/>
            <w:tcBorders>
              <w:top w:val="nil"/>
              <w:left w:val="nil"/>
              <w:bottom w:val="nil"/>
              <w:right w:val="nil"/>
            </w:tcBorders>
            <w:shd w:val="clear" w:color="auto" w:fill="auto"/>
            <w:noWrap/>
          </w:tcPr>
          <w:p w14:paraId="1A6754FD"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093421C4" w14:textId="77777777" w:rsidR="00A46B68" w:rsidRPr="00DD3B0B" w:rsidRDefault="00A46B68" w:rsidP="00AB0D75">
            <w:pPr>
              <w:spacing w:line="240" w:lineRule="auto"/>
              <w:ind w:left="288" w:hanging="288"/>
              <w:rPr>
                <w:color w:val="000000"/>
              </w:rPr>
            </w:pPr>
          </w:p>
        </w:tc>
      </w:tr>
      <w:tr w:rsidR="00A46B68" w:rsidRPr="00502B03" w14:paraId="3552D825" w14:textId="77777777" w:rsidTr="002E3F44">
        <w:trPr>
          <w:trHeight w:val="20"/>
        </w:trPr>
        <w:tc>
          <w:tcPr>
            <w:tcW w:w="864" w:type="dxa"/>
            <w:tcBorders>
              <w:top w:val="nil"/>
              <w:left w:val="nil"/>
              <w:bottom w:val="nil"/>
              <w:right w:val="nil"/>
            </w:tcBorders>
            <w:shd w:val="clear" w:color="auto" w:fill="auto"/>
            <w:noWrap/>
            <w:hideMark/>
          </w:tcPr>
          <w:p w14:paraId="0BA5EC10" w14:textId="77777777" w:rsidR="00A46B68" w:rsidRPr="00DD3B0B" w:rsidRDefault="00A46B68" w:rsidP="00A46B68">
            <w:pPr>
              <w:spacing w:line="240" w:lineRule="auto"/>
              <w:ind w:firstLine="0"/>
              <w:rPr>
                <w:color w:val="000000"/>
              </w:rPr>
            </w:pPr>
            <w:r w:rsidRPr="00DD3B0B">
              <w:rPr>
                <w:color w:val="000000"/>
              </w:rPr>
              <w:t>03622</w:t>
            </w:r>
          </w:p>
        </w:tc>
        <w:tc>
          <w:tcPr>
            <w:tcW w:w="1083" w:type="dxa"/>
            <w:tcBorders>
              <w:top w:val="nil"/>
              <w:left w:val="nil"/>
              <w:bottom w:val="nil"/>
              <w:right w:val="nil"/>
            </w:tcBorders>
            <w:shd w:val="clear" w:color="auto" w:fill="auto"/>
            <w:noWrap/>
            <w:hideMark/>
          </w:tcPr>
          <w:p w14:paraId="775DCB8B" w14:textId="77777777" w:rsidR="00A46B68" w:rsidRPr="00DD3B0B" w:rsidRDefault="00A46B68" w:rsidP="00A46B68">
            <w:pPr>
              <w:spacing w:line="240" w:lineRule="auto"/>
              <w:ind w:firstLine="0"/>
              <w:jc w:val="center"/>
              <w:rPr>
                <w:color w:val="000000"/>
              </w:rPr>
            </w:pPr>
            <w:r w:rsidRPr="00DD3B0B">
              <w:rPr>
                <w:color w:val="000000"/>
              </w:rPr>
              <w:t>1.293</w:t>
            </w:r>
          </w:p>
        </w:tc>
        <w:tc>
          <w:tcPr>
            <w:tcW w:w="1152" w:type="dxa"/>
            <w:tcBorders>
              <w:top w:val="nil"/>
              <w:left w:val="nil"/>
              <w:bottom w:val="nil"/>
              <w:right w:val="nil"/>
            </w:tcBorders>
            <w:shd w:val="clear" w:color="auto" w:fill="auto"/>
            <w:noWrap/>
            <w:hideMark/>
          </w:tcPr>
          <w:p w14:paraId="64569A5D" w14:textId="77777777" w:rsidR="00A46B68" w:rsidRPr="00DD3B0B" w:rsidRDefault="00A46B68" w:rsidP="00A46B68">
            <w:pPr>
              <w:spacing w:line="240" w:lineRule="auto"/>
              <w:ind w:firstLine="0"/>
              <w:jc w:val="center"/>
              <w:rPr>
                <w:color w:val="000000"/>
              </w:rPr>
            </w:pPr>
            <w:r w:rsidRPr="00DD3B0B">
              <w:rPr>
                <w:color w:val="000000"/>
              </w:rPr>
              <w:t>9.70E-03</w:t>
            </w:r>
          </w:p>
        </w:tc>
        <w:tc>
          <w:tcPr>
            <w:tcW w:w="1297" w:type="dxa"/>
            <w:tcBorders>
              <w:top w:val="nil"/>
              <w:left w:val="nil"/>
              <w:bottom w:val="nil"/>
              <w:right w:val="nil"/>
            </w:tcBorders>
            <w:shd w:val="clear" w:color="auto" w:fill="auto"/>
            <w:noWrap/>
            <w:hideMark/>
          </w:tcPr>
          <w:p w14:paraId="696CE030"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10E17BB0" w14:textId="77777777" w:rsidR="00A46B68" w:rsidRPr="00DD3B0B" w:rsidRDefault="00A46B68" w:rsidP="00AB0D75">
            <w:pPr>
              <w:spacing w:line="240" w:lineRule="auto"/>
              <w:ind w:left="288" w:hanging="288"/>
              <w:rPr>
                <w:color w:val="000000"/>
              </w:rPr>
            </w:pPr>
            <w:r w:rsidRPr="00DD3B0B">
              <w:rPr>
                <w:color w:val="000000"/>
              </w:rPr>
              <w:t>Tyrosine-protein kinase Wzc</w:t>
            </w:r>
          </w:p>
        </w:tc>
      </w:tr>
      <w:tr w:rsidR="00A46B68" w:rsidRPr="00502B03" w14:paraId="0574B144" w14:textId="77777777" w:rsidTr="002E3F44">
        <w:trPr>
          <w:trHeight w:val="20"/>
        </w:trPr>
        <w:tc>
          <w:tcPr>
            <w:tcW w:w="864" w:type="dxa"/>
            <w:tcBorders>
              <w:top w:val="nil"/>
              <w:left w:val="nil"/>
              <w:bottom w:val="nil"/>
              <w:right w:val="nil"/>
            </w:tcBorders>
            <w:shd w:val="clear" w:color="auto" w:fill="auto"/>
            <w:noWrap/>
            <w:hideMark/>
          </w:tcPr>
          <w:p w14:paraId="463AC8AD" w14:textId="77777777" w:rsidR="00A46B68" w:rsidRPr="00DD3B0B" w:rsidRDefault="00A46B68" w:rsidP="00A46B68">
            <w:pPr>
              <w:spacing w:line="240" w:lineRule="auto"/>
              <w:ind w:firstLine="0"/>
              <w:rPr>
                <w:color w:val="000000"/>
              </w:rPr>
            </w:pPr>
            <w:r w:rsidRPr="00DD3B0B">
              <w:rPr>
                <w:color w:val="000000"/>
              </w:rPr>
              <w:t>00574</w:t>
            </w:r>
          </w:p>
        </w:tc>
        <w:tc>
          <w:tcPr>
            <w:tcW w:w="1083" w:type="dxa"/>
            <w:tcBorders>
              <w:top w:val="nil"/>
              <w:left w:val="nil"/>
              <w:bottom w:val="nil"/>
              <w:right w:val="nil"/>
            </w:tcBorders>
            <w:shd w:val="clear" w:color="auto" w:fill="auto"/>
            <w:noWrap/>
            <w:hideMark/>
          </w:tcPr>
          <w:p w14:paraId="58316864" w14:textId="77777777" w:rsidR="00A46B68" w:rsidRPr="00DD3B0B" w:rsidRDefault="00A46B68" w:rsidP="00A46B68">
            <w:pPr>
              <w:spacing w:line="240" w:lineRule="auto"/>
              <w:ind w:firstLine="0"/>
              <w:jc w:val="center"/>
              <w:rPr>
                <w:color w:val="000000"/>
              </w:rPr>
            </w:pPr>
            <w:r w:rsidRPr="00DD3B0B">
              <w:rPr>
                <w:color w:val="000000"/>
              </w:rPr>
              <w:t>1.290</w:t>
            </w:r>
          </w:p>
        </w:tc>
        <w:tc>
          <w:tcPr>
            <w:tcW w:w="1152" w:type="dxa"/>
            <w:tcBorders>
              <w:top w:val="nil"/>
              <w:left w:val="nil"/>
              <w:bottom w:val="nil"/>
              <w:right w:val="nil"/>
            </w:tcBorders>
            <w:shd w:val="clear" w:color="auto" w:fill="auto"/>
            <w:noWrap/>
            <w:hideMark/>
          </w:tcPr>
          <w:p w14:paraId="7A7EB278" w14:textId="77777777" w:rsidR="00A46B68" w:rsidRPr="00DD3B0B" w:rsidRDefault="00A46B68" w:rsidP="00A46B68">
            <w:pPr>
              <w:spacing w:line="240" w:lineRule="auto"/>
              <w:ind w:firstLine="0"/>
              <w:jc w:val="center"/>
              <w:rPr>
                <w:color w:val="000000"/>
              </w:rPr>
            </w:pPr>
            <w:r w:rsidRPr="00DD3B0B">
              <w:rPr>
                <w:color w:val="000000"/>
              </w:rPr>
              <w:t>1.12E-02</w:t>
            </w:r>
          </w:p>
        </w:tc>
        <w:tc>
          <w:tcPr>
            <w:tcW w:w="1297" w:type="dxa"/>
            <w:tcBorders>
              <w:top w:val="nil"/>
              <w:left w:val="nil"/>
              <w:bottom w:val="nil"/>
              <w:right w:val="nil"/>
            </w:tcBorders>
            <w:shd w:val="clear" w:color="auto" w:fill="auto"/>
            <w:noWrap/>
            <w:hideMark/>
          </w:tcPr>
          <w:p w14:paraId="6991A63E"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13A39415" w14:textId="77777777" w:rsidR="00A46B68" w:rsidRPr="00DD3B0B" w:rsidRDefault="00A46B68" w:rsidP="00AB0D75">
            <w:pPr>
              <w:spacing w:line="240" w:lineRule="auto"/>
              <w:ind w:left="288" w:hanging="288"/>
              <w:rPr>
                <w:color w:val="000000"/>
              </w:rPr>
            </w:pPr>
            <w:r w:rsidRPr="00DD3B0B">
              <w:rPr>
                <w:color w:val="000000"/>
              </w:rPr>
              <w:t>helix_turn_helix, arabinose operon control protein</w:t>
            </w:r>
          </w:p>
        </w:tc>
      </w:tr>
      <w:tr w:rsidR="00A46B68" w:rsidRPr="00502B03" w14:paraId="6BB1396E" w14:textId="77777777" w:rsidTr="002E3F44">
        <w:trPr>
          <w:trHeight w:val="20"/>
        </w:trPr>
        <w:tc>
          <w:tcPr>
            <w:tcW w:w="864" w:type="dxa"/>
            <w:tcBorders>
              <w:top w:val="nil"/>
              <w:left w:val="nil"/>
              <w:bottom w:val="nil"/>
              <w:right w:val="nil"/>
            </w:tcBorders>
            <w:shd w:val="clear" w:color="auto" w:fill="auto"/>
            <w:noWrap/>
            <w:hideMark/>
          </w:tcPr>
          <w:p w14:paraId="68C123B1" w14:textId="77777777" w:rsidR="00A46B68" w:rsidRPr="00DD3B0B" w:rsidRDefault="00A46B68" w:rsidP="00A46B68">
            <w:pPr>
              <w:spacing w:line="240" w:lineRule="auto"/>
              <w:ind w:firstLine="0"/>
              <w:rPr>
                <w:color w:val="000000"/>
              </w:rPr>
            </w:pPr>
            <w:r w:rsidRPr="00DD3B0B">
              <w:rPr>
                <w:color w:val="000000"/>
              </w:rPr>
              <w:t>02371</w:t>
            </w:r>
          </w:p>
        </w:tc>
        <w:tc>
          <w:tcPr>
            <w:tcW w:w="1083" w:type="dxa"/>
            <w:tcBorders>
              <w:top w:val="nil"/>
              <w:left w:val="nil"/>
              <w:bottom w:val="nil"/>
              <w:right w:val="nil"/>
            </w:tcBorders>
            <w:shd w:val="clear" w:color="auto" w:fill="auto"/>
            <w:noWrap/>
            <w:hideMark/>
          </w:tcPr>
          <w:p w14:paraId="54831AA9" w14:textId="77777777" w:rsidR="00A46B68" w:rsidRPr="00DD3B0B" w:rsidRDefault="00A46B68" w:rsidP="00A46B68">
            <w:pPr>
              <w:spacing w:line="240" w:lineRule="auto"/>
              <w:ind w:firstLine="0"/>
              <w:jc w:val="center"/>
              <w:rPr>
                <w:color w:val="000000"/>
              </w:rPr>
            </w:pPr>
            <w:r w:rsidRPr="00DD3B0B">
              <w:rPr>
                <w:color w:val="000000"/>
              </w:rPr>
              <w:t>1.271</w:t>
            </w:r>
          </w:p>
        </w:tc>
        <w:tc>
          <w:tcPr>
            <w:tcW w:w="1152" w:type="dxa"/>
            <w:tcBorders>
              <w:top w:val="nil"/>
              <w:left w:val="nil"/>
              <w:bottom w:val="nil"/>
              <w:right w:val="nil"/>
            </w:tcBorders>
            <w:shd w:val="clear" w:color="auto" w:fill="auto"/>
            <w:noWrap/>
            <w:hideMark/>
          </w:tcPr>
          <w:p w14:paraId="44A2ABAC" w14:textId="77777777" w:rsidR="00A46B68" w:rsidRPr="00DD3B0B" w:rsidRDefault="00A46B68" w:rsidP="00A46B68">
            <w:pPr>
              <w:spacing w:line="240" w:lineRule="auto"/>
              <w:ind w:firstLine="0"/>
              <w:jc w:val="center"/>
              <w:rPr>
                <w:color w:val="000000"/>
              </w:rPr>
            </w:pPr>
            <w:r w:rsidRPr="00DD3B0B">
              <w:rPr>
                <w:color w:val="000000"/>
              </w:rPr>
              <w:t>1.67E-08</w:t>
            </w:r>
          </w:p>
        </w:tc>
        <w:tc>
          <w:tcPr>
            <w:tcW w:w="1297" w:type="dxa"/>
            <w:tcBorders>
              <w:top w:val="nil"/>
              <w:left w:val="nil"/>
              <w:bottom w:val="nil"/>
              <w:right w:val="nil"/>
            </w:tcBorders>
            <w:shd w:val="clear" w:color="auto" w:fill="auto"/>
            <w:noWrap/>
            <w:hideMark/>
          </w:tcPr>
          <w:p w14:paraId="2FA0BD00"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447F88D5" w14:textId="77777777" w:rsidR="00A46B68" w:rsidRPr="00DD3B0B" w:rsidRDefault="00A46B68" w:rsidP="00AB0D75">
            <w:pPr>
              <w:spacing w:line="240" w:lineRule="auto"/>
              <w:ind w:left="288" w:hanging="288"/>
              <w:rPr>
                <w:color w:val="000000"/>
              </w:rPr>
            </w:pPr>
            <w:r w:rsidRPr="00DD3B0B">
              <w:rPr>
                <w:color w:val="000000"/>
              </w:rPr>
              <w:t>Calcineurin-like phosphoesterase</w:t>
            </w:r>
          </w:p>
        </w:tc>
      </w:tr>
      <w:tr w:rsidR="00A46B68" w:rsidRPr="00502B03" w14:paraId="27CD2369" w14:textId="77777777" w:rsidTr="002E3F44">
        <w:trPr>
          <w:trHeight w:val="20"/>
        </w:trPr>
        <w:tc>
          <w:tcPr>
            <w:tcW w:w="864" w:type="dxa"/>
            <w:tcBorders>
              <w:top w:val="nil"/>
              <w:left w:val="nil"/>
              <w:bottom w:val="nil"/>
              <w:right w:val="nil"/>
            </w:tcBorders>
            <w:shd w:val="clear" w:color="auto" w:fill="auto"/>
            <w:noWrap/>
            <w:hideMark/>
          </w:tcPr>
          <w:p w14:paraId="08F519F0" w14:textId="77777777" w:rsidR="00A46B68" w:rsidRPr="00DD3B0B" w:rsidRDefault="00A46B68" w:rsidP="00A46B68">
            <w:pPr>
              <w:spacing w:line="240" w:lineRule="auto"/>
              <w:ind w:firstLine="0"/>
              <w:rPr>
                <w:color w:val="000000"/>
              </w:rPr>
            </w:pPr>
            <w:r w:rsidRPr="00DD3B0B">
              <w:rPr>
                <w:color w:val="000000"/>
              </w:rPr>
              <w:t>02743</w:t>
            </w:r>
          </w:p>
        </w:tc>
        <w:tc>
          <w:tcPr>
            <w:tcW w:w="1083" w:type="dxa"/>
            <w:tcBorders>
              <w:top w:val="nil"/>
              <w:left w:val="nil"/>
              <w:bottom w:val="nil"/>
              <w:right w:val="nil"/>
            </w:tcBorders>
            <w:shd w:val="clear" w:color="auto" w:fill="auto"/>
            <w:noWrap/>
            <w:hideMark/>
          </w:tcPr>
          <w:p w14:paraId="3DF0D219" w14:textId="77777777" w:rsidR="00A46B68" w:rsidRPr="00DD3B0B" w:rsidRDefault="00A46B68" w:rsidP="00A46B68">
            <w:pPr>
              <w:spacing w:line="240" w:lineRule="auto"/>
              <w:ind w:firstLine="0"/>
              <w:jc w:val="center"/>
              <w:rPr>
                <w:color w:val="000000"/>
              </w:rPr>
            </w:pPr>
            <w:r w:rsidRPr="00DD3B0B">
              <w:rPr>
                <w:color w:val="000000"/>
              </w:rPr>
              <w:t>1.245</w:t>
            </w:r>
          </w:p>
        </w:tc>
        <w:tc>
          <w:tcPr>
            <w:tcW w:w="1152" w:type="dxa"/>
            <w:tcBorders>
              <w:top w:val="nil"/>
              <w:left w:val="nil"/>
              <w:bottom w:val="nil"/>
              <w:right w:val="nil"/>
            </w:tcBorders>
            <w:shd w:val="clear" w:color="auto" w:fill="auto"/>
            <w:noWrap/>
            <w:hideMark/>
          </w:tcPr>
          <w:p w14:paraId="5AB8CE9D" w14:textId="77777777" w:rsidR="00A46B68" w:rsidRPr="00DD3B0B" w:rsidRDefault="00A46B68" w:rsidP="00A46B68">
            <w:pPr>
              <w:spacing w:line="240" w:lineRule="auto"/>
              <w:ind w:firstLine="0"/>
              <w:jc w:val="center"/>
              <w:rPr>
                <w:color w:val="000000"/>
              </w:rPr>
            </w:pPr>
            <w:r w:rsidRPr="00DD3B0B">
              <w:rPr>
                <w:color w:val="000000"/>
              </w:rPr>
              <w:t>2.37E-02</w:t>
            </w:r>
          </w:p>
        </w:tc>
        <w:tc>
          <w:tcPr>
            <w:tcW w:w="1297" w:type="dxa"/>
            <w:tcBorders>
              <w:top w:val="nil"/>
              <w:left w:val="nil"/>
              <w:bottom w:val="nil"/>
              <w:right w:val="nil"/>
            </w:tcBorders>
            <w:shd w:val="clear" w:color="auto" w:fill="auto"/>
            <w:noWrap/>
          </w:tcPr>
          <w:p w14:paraId="7EDB4C73"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3E10DBCD" w14:textId="77777777" w:rsidR="00A46B68" w:rsidRPr="00DD3B0B" w:rsidRDefault="00A46B68" w:rsidP="00AB0D75">
            <w:pPr>
              <w:spacing w:line="240" w:lineRule="auto"/>
              <w:ind w:left="288" w:hanging="288"/>
              <w:rPr>
                <w:color w:val="000000"/>
              </w:rPr>
            </w:pPr>
          </w:p>
        </w:tc>
      </w:tr>
      <w:tr w:rsidR="00A46B68" w:rsidRPr="00502B03" w14:paraId="4233C5AE" w14:textId="77777777" w:rsidTr="002E3F44">
        <w:trPr>
          <w:trHeight w:val="20"/>
        </w:trPr>
        <w:tc>
          <w:tcPr>
            <w:tcW w:w="864" w:type="dxa"/>
            <w:tcBorders>
              <w:top w:val="nil"/>
              <w:left w:val="nil"/>
              <w:bottom w:val="nil"/>
              <w:right w:val="nil"/>
            </w:tcBorders>
            <w:shd w:val="clear" w:color="auto" w:fill="auto"/>
            <w:noWrap/>
            <w:hideMark/>
          </w:tcPr>
          <w:p w14:paraId="03D4481E" w14:textId="77777777" w:rsidR="00A46B68" w:rsidRPr="00DD3B0B" w:rsidRDefault="00A46B68" w:rsidP="00A46B68">
            <w:pPr>
              <w:spacing w:line="240" w:lineRule="auto"/>
              <w:ind w:firstLine="0"/>
              <w:rPr>
                <w:color w:val="000000"/>
              </w:rPr>
            </w:pPr>
            <w:r w:rsidRPr="00DD3B0B">
              <w:rPr>
                <w:color w:val="000000"/>
              </w:rPr>
              <w:t>01055</w:t>
            </w:r>
          </w:p>
        </w:tc>
        <w:tc>
          <w:tcPr>
            <w:tcW w:w="1083" w:type="dxa"/>
            <w:tcBorders>
              <w:top w:val="nil"/>
              <w:left w:val="nil"/>
              <w:bottom w:val="nil"/>
              <w:right w:val="nil"/>
            </w:tcBorders>
            <w:shd w:val="clear" w:color="auto" w:fill="auto"/>
            <w:noWrap/>
            <w:hideMark/>
          </w:tcPr>
          <w:p w14:paraId="01DF59A1" w14:textId="77777777" w:rsidR="00A46B68" w:rsidRPr="00DD3B0B" w:rsidRDefault="00A46B68" w:rsidP="00A46B68">
            <w:pPr>
              <w:spacing w:line="240" w:lineRule="auto"/>
              <w:ind w:firstLine="0"/>
              <w:jc w:val="center"/>
              <w:rPr>
                <w:color w:val="000000"/>
              </w:rPr>
            </w:pPr>
            <w:r w:rsidRPr="00DD3B0B">
              <w:rPr>
                <w:color w:val="000000"/>
              </w:rPr>
              <w:t>1.185</w:t>
            </w:r>
          </w:p>
        </w:tc>
        <w:tc>
          <w:tcPr>
            <w:tcW w:w="1152" w:type="dxa"/>
            <w:tcBorders>
              <w:top w:val="nil"/>
              <w:left w:val="nil"/>
              <w:bottom w:val="nil"/>
              <w:right w:val="nil"/>
            </w:tcBorders>
            <w:shd w:val="clear" w:color="auto" w:fill="auto"/>
            <w:noWrap/>
            <w:hideMark/>
          </w:tcPr>
          <w:p w14:paraId="707E27D6" w14:textId="77777777" w:rsidR="00A46B68" w:rsidRPr="00DD3B0B" w:rsidRDefault="00A46B68" w:rsidP="00A46B68">
            <w:pPr>
              <w:spacing w:line="240" w:lineRule="auto"/>
              <w:ind w:firstLine="0"/>
              <w:jc w:val="center"/>
              <w:rPr>
                <w:color w:val="000000"/>
              </w:rPr>
            </w:pPr>
            <w:r w:rsidRPr="00DD3B0B">
              <w:rPr>
                <w:color w:val="000000"/>
              </w:rPr>
              <w:t>1.29E-02</w:t>
            </w:r>
          </w:p>
        </w:tc>
        <w:tc>
          <w:tcPr>
            <w:tcW w:w="1297" w:type="dxa"/>
            <w:tcBorders>
              <w:top w:val="nil"/>
              <w:left w:val="nil"/>
              <w:bottom w:val="nil"/>
              <w:right w:val="nil"/>
            </w:tcBorders>
            <w:shd w:val="clear" w:color="auto" w:fill="auto"/>
            <w:noWrap/>
          </w:tcPr>
          <w:p w14:paraId="32CB3F58"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3A49F473" w14:textId="77777777" w:rsidR="00A46B68" w:rsidRPr="00DD3B0B" w:rsidRDefault="00A46B68" w:rsidP="00AB0D75">
            <w:pPr>
              <w:spacing w:line="240" w:lineRule="auto"/>
              <w:ind w:left="288" w:hanging="288"/>
              <w:rPr>
                <w:color w:val="000000"/>
              </w:rPr>
            </w:pPr>
          </w:p>
        </w:tc>
      </w:tr>
      <w:tr w:rsidR="00A46B68" w:rsidRPr="00502B03" w14:paraId="5719E283" w14:textId="77777777" w:rsidTr="002E3F44">
        <w:trPr>
          <w:trHeight w:val="20"/>
        </w:trPr>
        <w:tc>
          <w:tcPr>
            <w:tcW w:w="864" w:type="dxa"/>
            <w:tcBorders>
              <w:top w:val="nil"/>
              <w:left w:val="nil"/>
              <w:bottom w:val="nil"/>
              <w:right w:val="nil"/>
            </w:tcBorders>
            <w:shd w:val="clear" w:color="auto" w:fill="auto"/>
            <w:noWrap/>
            <w:hideMark/>
          </w:tcPr>
          <w:p w14:paraId="57337F3F" w14:textId="77777777" w:rsidR="00A46B68" w:rsidRPr="00DD3B0B" w:rsidRDefault="00A46B68" w:rsidP="00A46B68">
            <w:pPr>
              <w:spacing w:line="240" w:lineRule="auto"/>
              <w:ind w:firstLine="0"/>
              <w:rPr>
                <w:color w:val="000000"/>
              </w:rPr>
            </w:pPr>
            <w:r w:rsidRPr="00DD3B0B">
              <w:rPr>
                <w:color w:val="000000"/>
              </w:rPr>
              <w:t>03560</w:t>
            </w:r>
          </w:p>
        </w:tc>
        <w:tc>
          <w:tcPr>
            <w:tcW w:w="1083" w:type="dxa"/>
            <w:tcBorders>
              <w:top w:val="nil"/>
              <w:left w:val="nil"/>
              <w:bottom w:val="nil"/>
              <w:right w:val="nil"/>
            </w:tcBorders>
            <w:shd w:val="clear" w:color="auto" w:fill="auto"/>
            <w:noWrap/>
            <w:hideMark/>
          </w:tcPr>
          <w:p w14:paraId="6DA58853" w14:textId="77777777" w:rsidR="00A46B68" w:rsidRPr="00DD3B0B" w:rsidRDefault="00A46B68" w:rsidP="00A46B68">
            <w:pPr>
              <w:spacing w:line="240" w:lineRule="auto"/>
              <w:ind w:firstLine="0"/>
              <w:jc w:val="center"/>
              <w:rPr>
                <w:color w:val="000000"/>
              </w:rPr>
            </w:pPr>
            <w:r w:rsidRPr="00DD3B0B">
              <w:rPr>
                <w:color w:val="000000"/>
              </w:rPr>
              <w:t>1.153</w:t>
            </w:r>
          </w:p>
        </w:tc>
        <w:tc>
          <w:tcPr>
            <w:tcW w:w="1152" w:type="dxa"/>
            <w:tcBorders>
              <w:top w:val="nil"/>
              <w:left w:val="nil"/>
              <w:bottom w:val="nil"/>
              <w:right w:val="nil"/>
            </w:tcBorders>
            <w:shd w:val="clear" w:color="auto" w:fill="auto"/>
            <w:noWrap/>
            <w:hideMark/>
          </w:tcPr>
          <w:p w14:paraId="026BBC56" w14:textId="77777777" w:rsidR="00A46B68" w:rsidRPr="00DD3B0B" w:rsidRDefault="00A46B68" w:rsidP="00A46B68">
            <w:pPr>
              <w:spacing w:line="240" w:lineRule="auto"/>
              <w:ind w:firstLine="0"/>
              <w:jc w:val="center"/>
              <w:rPr>
                <w:color w:val="000000"/>
              </w:rPr>
            </w:pPr>
            <w:r w:rsidRPr="00DD3B0B">
              <w:rPr>
                <w:color w:val="000000"/>
              </w:rPr>
              <w:t>4.72E-03</w:t>
            </w:r>
          </w:p>
        </w:tc>
        <w:tc>
          <w:tcPr>
            <w:tcW w:w="1297" w:type="dxa"/>
            <w:tcBorders>
              <w:top w:val="nil"/>
              <w:left w:val="nil"/>
              <w:bottom w:val="nil"/>
              <w:right w:val="nil"/>
            </w:tcBorders>
            <w:shd w:val="clear" w:color="auto" w:fill="auto"/>
            <w:noWrap/>
            <w:hideMark/>
          </w:tcPr>
          <w:p w14:paraId="7A24DD2C"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7345C816" w14:textId="77777777" w:rsidR="00A46B68" w:rsidRPr="00DD3B0B" w:rsidRDefault="00A46B68" w:rsidP="00AB0D75">
            <w:pPr>
              <w:spacing w:line="240" w:lineRule="auto"/>
              <w:ind w:left="288" w:hanging="288"/>
              <w:rPr>
                <w:color w:val="000000"/>
              </w:rPr>
            </w:pPr>
            <w:r w:rsidRPr="00DD3B0B">
              <w:rPr>
                <w:color w:val="000000"/>
              </w:rPr>
              <w:t>Glycosyltransferase like family 2</w:t>
            </w:r>
          </w:p>
        </w:tc>
      </w:tr>
      <w:tr w:rsidR="00A46B68" w:rsidRPr="00502B03" w14:paraId="4B039F95" w14:textId="77777777" w:rsidTr="002E3F44">
        <w:trPr>
          <w:trHeight w:val="20"/>
        </w:trPr>
        <w:tc>
          <w:tcPr>
            <w:tcW w:w="864" w:type="dxa"/>
            <w:tcBorders>
              <w:top w:val="nil"/>
              <w:left w:val="nil"/>
              <w:bottom w:val="nil"/>
              <w:right w:val="nil"/>
            </w:tcBorders>
            <w:shd w:val="clear" w:color="auto" w:fill="auto"/>
            <w:noWrap/>
            <w:hideMark/>
          </w:tcPr>
          <w:p w14:paraId="1713926F" w14:textId="77777777" w:rsidR="00A46B68" w:rsidRPr="00DD3B0B" w:rsidRDefault="00A46B68" w:rsidP="00A46B68">
            <w:pPr>
              <w:spacing w:line="240" w:lineRule="auto"/>
              <w:ind w:firstLine="0"/>
              <w:rPr>
                <w:color w:val="000000"/>
              </w:rPr>
            </w:pPr>
            <w:r w:rsidRPr="00DD3B0B">
              <w:rPr>
                <w:color w:val="000000"/>
              </w:rPr>
              <w:t>01747</w:t>
            </w:r>
          </w:p>
        </w:tc>
        <w:tc>
          <w:tcPr>
            <w:tcW w:w="1083" w:type="dxa"/>
            <w:tcBorders>
              <w:top w:val="nil"/>
              <w:left w:val="nil"/>
              <w:bottom w:val="nil"/>
              <w:right w:val="nil"/>
            </w:tcBorders>
            <w:shd w:val="clear" w:color="auto" w:fill="auto"/>
            <w:noWrap/>
            <w:hideMark/>
          </w:tcPr>
          <w:p w14:paraId="64E573CE" w14:textId="77777777" w:rsidR="00A46B68" w:rsidRPr="00DD3B0B" w:rsidRDefault="00A46B68" w:rsidP="00A46B68">
            <w:pPr>
              <w:spacing w:line="240" w:lineRule="auto"/>
              <w:ind w:firstLine="0"/>
              <w:jc w:val="center"/>
              <w:rPr>
                <w:color w:val="000000"/>
              </w:rPr>
            </w:pPr>
            <w:r w:rsidRPr="00DD3B0B">
              <w:rPr>
                <w:color w:val="000000"/>
              </w:rPr>
              <w:t>1.138</w:t>
            </w:r>
          </w:p>
        </w:tc>
        <w:tc>
          <w:tcPr>
            <w:tcW w:w="1152" w:type="dxa"/>
            <w:tcBorders>
              <w:top w:val="nil"/>
              <w:left w:val="nil"/>
              <w:bottom w:val="nil"/>
              <w:right w:val="nil"/>
            </w:tcBorders>
            <w:shd w:val="clear" w:color="auto" w:fill="auto"/>
            <w:noWrap/>
            <w:hideMark/>
          </w:tcPr>
          <w:p w14:paraId="51988A9D" w14:textId="77777777" w:rsidR="00A46B68" w:rsidRPr="00DD3B0B" w:rsidRDefault="00A46B68" w:rsidP="00A46B68">
            <w:pPr>
              <w:spacing w:line="240" w:lineRule="auto"/>
              <w:ind w:firstLine="0"/>
              <w:jc w:val="center"/>
              <w:rPr>
                <w:color w:val="000000"/>
              </w:rPr>
            </w:pPr>
            <w:r w:rsidRPr="00DD3B0B">
              <w:rPr>
                <w:color w:val="000000"/>
              </w:rPr>
              <w:t>3.80E-02</w:t>
            </w:r>
          </w:p>
        </w:tc>
        <w:tc>
          <w:tcPr>
            <w:tcW w:w="1297" w:type="dxa"/>
            <w:tcBorders>
              <w:top w:val="nil"/>
              <w:left w:val="nil"/>
              <w:bottom w:val="nil"/>
              <w:right w:val="nil"/>
            </w:tcBorders>
            <w:shd w:val="clear" w:color="auto" w:fill="auto"/>
            <w:noWrap/>
            <w:hideMark/>
          </w:tcPr>
          <w:p w14:paraId="640A8EA3"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040EE8BF" w14:textId="77777777" w:rsidR="00A46B68" w:rsidRPr="00DD3B0B" w:rsidRDefault="00A46B68" w:rsidP="00AB0D75">
            <w:pPr>
              <w:spacing w:line="240" w:lineRule="auto"/>
              <w:ind w:left="288" w:hanging="288"/>
              <w:rPr>
                <w:color w:val="000000"/>
              </w:rPr>
            </w:pPr>
            <w:r w:rsidRPr="00DD3B0B">
              <w:rPr>
                <w:color w:val="000000"/>
              </w:rPr>
              <w:t>Endoribonuclease MazF9</w:t>
            </w:r>
          </w:p>
        </w:tc>
      </w:tr>
      <w:tr w:rsidR="00A46B68" w:rsidRPr="00502B03" w14:paraId="47F2C160" w14:textId="77777777" w:rsidTr="002E3F44">
        <w:trPr>
          <w:trHeight w:val="20"/>
        </w:trPr>
        <w:tc>
          <w:tcPr>
            <w:tcW w:w="864" w:type="dxa"/>
            <w:tcBorders>
              <w:top w:val="nil"/>
              <w:left w:val="nil"/>
              <w:bottom w:val="nil"/>
              <w:right w:val="nil"/>
            </w:tcBorders>
            <w:shd w:val="clear" w:color="auto" w:fill="auto"/>
            <w:noWrap/>
            <w:hideMark/>
          </w:tcPr>
          <w:p w14:paraId="650DF9CF" w14:textId="77777777" w:rsidR="00A46B68" w:rsidRPr="00DD3B0B" w:rsidRDefault="00A46B68" w:rsidP="00A46B68">
            <w:pPr>
              <w:spacing w:line="240" w:lineRule="auto"/>
              <w:ind w:firstLine="0"/>
              <w:rPr>
                <w:color w:val="000000"/>
              </w:rPr>
            </w:pPr>
            <w:r w:rsidRPr="00DD3B0B">
              <w:rPr>
                <w:color w:val="000000"/>
              </w:rPr>
              <w:t>00031</w:t>
            </w:r>
          </w:p>
        </w:tc>
        <w:tc>
          <w:tcPr>
            <w:tcW w:w="1083" w:type="dxa"/>
            <w:tcBorders>
              <w:top w:val="nil"/>
              <w:left w:val="nil"/>
              <w:bottom w:val="nil"/>
              <w:right w:val="nil"/>
            </w:tcBorders>
            <w:shd w:val="clear" w:color="auto" w:fill="auto"/>
            <w:noWrap/>
            <w:hideMark/>
          </w:tcPr>
          <w:p w14:paraId="64355C81" w14:textId="77777777" w:rsidR="00A46B68" w:rsidRPr="00DD3B0B" w:rsidRDefault="00A46B68" w:rsidP="00A46B68">
            <w:pPr>
              <w:spacing w:line="240" w:lineRule="auto"/>
              <w:ind w:firstLine="0"/>
              <w:jc w:val="center"/>
              <w:rPr>
                <w:color w:val="000000"/>
              </w:rPr>
            </w:pPr>
            <w:r w:rsidRPr="00DD3B0B">
              <w:rPr>
                <w:color w:val="000000"/>
              </w:rPr>
              <w:t>1.109</w:t>
            </w:r>
          </w:p>
        </w:tc>
        <w:tc>
          <w:tcPr>
            <w:tcW w:w="1152" w:type="dxa"/>
            <w:tcBorders>
              <w:top w:val="nil"/>
              <w:left w:val="nil"/>
              <w:bottom w:val="nil"/>
              <w:right w:val="nil"/>
            </w:tcBorders>
            <w:shd w:val="clear" w:color="auto" w:fill="auto"/>
            <w:noWrap/>
            <w:hideMark/>
          </w:tcPr>
          <w:p w14:paraId="6E2AA6B0" w14:textId="77777777" w:rsidR="00A46B68" w:rsidRPr="00DD3B0B" w:rsidRDefault="00A46B68" w:rsidP="00A46B68">
            <w:pPr>
              <w:spacing w:line="240" w:lineRule="auto"/>
              <w:ind w:firstLine="0"/>
              <w:jc w:val="center"/>
              <w:rPr>
                <w:color w:val="000000"/>
              </w:rPr>
            </w:pPr>
            <w:r w:rsidRPr="00DD3B0B">
              <w:rPr>
                <w:color w:val="000000"/>
              </w:rPr>
              <w:t>6.59E-03</w:t>
            </w:r>
          </w:p>
        </w:tc>
        <w:tc>
          <w:tcPr>
            <w:tcW w:w="1297" w:type="dxa"/>
            <w:tcBorders>
              <w:top w:val="nil"/>
              <w:left w:val="nil"/>
              <w:bottom w:val="nil"/>
              <w:right w:val="nil"/>
            </w:tcBorders>
            <w:shd w:val="clear" w:color="auto" w:fill="auto"/>
            <w:noWrap/>
            <w:hideMark/>
          </w:tcPr>
          <w:p w14:paraId="7549A85E"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25CD16DC" w14:textId="77777777" w:rsidR="00A46B68" w:rsidRPr="00DD3B0B" w:rsidRDefault="00A46B68" w:rsidP="00AB0D75">
            <w:pPr>
              <w:spacing w:line="240" w:lineRule="auto"/>
              <w:ind w:left="288" w:hanging="288"/>
              <w:rPr>
                <w:color w:val="000000"/>
              </w:rPr>
            </w:pPr>
            <w:r w:rsidRPr="00DD3B0B">
              <w:rPr>
                <w:color w:val="000000"/>
              </w:rPr>
              <w:t>Adaptive-response sensory-kinase SasA</w:t>
            </w:r>
          </w:p>
        </w:tc>
      </w:tr>
      <w:tr w:rsidR="00A46B68" w:rsidRPr="00502B03" w14:paraId="0016A4A3" w14:textId="77777777" w:rsidTr="002E3F44">
        <w:trPr>
          <w:trHeight w:val="20"/>
        </w:trPr>
        <w:tc>
          <w:tcPr>
            <w:tcW w:w="864" w:type="dxa"/>
            <w:tcBorders>
              <w:top w:val="nil"/>
              <w:left w:val="nil"/>
              <w:bottom w:val="nil"/>
              <w:right w:val="nil"/>
            </w:tcBorders>
            <w:shd w:val="clear" w:color="auto" w:fill="auto"/>
            <w:noWrap/>
            <w:hideMark/>
          </w:tcPr>
          <w:p w14:paraId="46F15658" w14:textId="77777777" w:rsidR="00A46B68" w:rsidRPr="00DD3B0B" w:rsidRDefault="00A46B68" w:rsidP="00A46B68">
            <w:pPr>
              <w:spacing w:line="240" w:lineRule="auto"/>
              <w:ind w:firstLine="0"/>
              <w:rPr>
                <w:color w:val="000000"/>
              </w:rPr>
            </w:pPr>
            <w:r w:rsidRPr="00DD3B0B">
              <w:rPr>
                <w:color w:val="000000"/>
              </w:rPr>
              <w:t>02048</w:t>
            </w:r>
          </w:p>
        </w:tc>
        <w:tc>
          <w:tcPr>
            <w:tcW w:w="1083" w:type="dxa"/>
            <w:tcBorders>
              <w:top w:val="nil"/>
              <w:left w:val="nil"/>
              <w:bottom w:val="nil"/>
              <w:right w:val="nil"/>
            </w:tcBorders>
            <w:shd w:val="clear" w:color="auto" w:fill="auto"/>
            <w:noWrap/>
            <w:hideMark/>
          </w:tcPr>
          <w:p w14:paraId="338A38F9" w14:textId="77777777" w:rsidR="00A46B68" w:rsidRPr="00DD3B0B" w:rsidRDefault="00A46B68" w:rsidP="00A46B68">
            <w:pPr>
              <w:spacing w:line="240" w:lineRule="auto"/>
              <w:ind w:firstLine="0"/>
              <w:jc w:val="center"/>
              <w:rPr>
                <w:color w:val="000000"/>
              </w:rPr>
            </w:pPr>
            <w:r w:rsidRPr="00DD3B0B">
              <w:rPr>
                <w:color w:val="000000"/>
              </w:rPr>
              <w:t>1.050</w:t>
            </w:r>
          </w:p>
        </w:tc>
        <w:tc>
          <w:tcPr>
            <w:tcW w:w="1152" w:type="dxa"/>
            <w:tcBorders>
              <w:top w:val="nil"/>
              <w:left w:val="nil"/>
              <w:bottom w:val="nil"/>
              <w:right w:val="nil"/>
            </w:tcBorders>
            <w:shd w:val="clear" w:color="auto" w:fill="auto"/>
            <w:noWrap/>
            <w:hideMark/>
          </w:tcPr>
          <w:p w14:paraId="58B87B7A" w14:textId="77777777" w:rsidR="00A46B68" w:rsidRPr="00DD3B0B" w:rsidRDefault="00A46B68" w:rsidP="00A46B68">
            <w:pPr>
              <w:spacing w:line="240" w:lineRule="auto"/>
              <w:ind w:firstLine="0"/>
              <w:jc w:val="center"/>
              <w:rPr>
                <w:color w:val="000000"/>
              </w:rPr>
            </w:pPr>
            <w:r w:rsidRPr="00DD3B0B">
              <w:rPr>
                <w:color w:val="000000"/>
              </w:rPr>
              <w:t>3.20E-02</w:t>
            </w:r>
          </w:p>
        </w:tc>
        <w:tc>
          <w:tcPr>
            <w:tcW w:w="1297" w:type="dxa"/>
            <w:tcBorders>
              <w:top w:val="nil"/>
              <w:left w:val="nil"/>
              <w:bottom w:val="nil"/>
              <w:right w:val="nil"/>
            </w:tcBorders>
            <w:shd w:val="clear" w:color="auto" w:fill="auto"/>
            <w:noWrap/>
            <w:hideMark/>
          </w:tcPr>
          <w:p w14:paraId="3865DB0D" w14:textId="77777777" w:rsidR="00A46B68" w:rsidRPr="00DD3B0B" w:rsidRDefault="00A46B68" w:rsidP="00A46B68">
            <w:pPr>
              <w:spacing w:line="240" w:lineRule="auto"/>
              <w:ind w:firstLine="0"/>
              <w:jc w:val="center"/>
              <w:rPr>
                <w:color w:val="000000"/>
              </w:rPr>
            </w:pPr>
            <w:r>
              <w:rPr>
                <w:color w:val="000000"/>
              </w:rPr>
              <w:t>K</w:t>
            </w:r>
          </w:p>
        </w:tc>
        <w:tc>
          <w:tcPr>
            <w:tcW w:w="4391" w:type="dxa"/>
            <w:tcBorders>
              <w:top w:val="nil"/>
              <w:left w:val="nil"/>
              <w:bottom w:val="nil"/>
              <w:right w:val="nil"/>
            </w:tcBorders>
            <w:shd w:val="clear" w:color="auto" w:fill="auto"/>
            <w:hideMark/>
          </w:tcPr>
          <w:p w14:paraId="3691527F" w14:textId="77777777" w:rsidR="00A46B68" w:rsidRPr="00DD3B0B" w:rsidRDefault="00A46B68" w:rsidP="00AB0D75">
            <w:pPr>
              <w:spacing w:line="240" w:lineRule="auto"/>
              <w:ind w:left="288" w:hanging="288"/>
              <w:rPr>
                <w:color w:val="000000"/>
              </w:rPr>
            </w:pPr>
            <w:r w:rsidRPr="00DD3B0B">
              <w:rPr>
                <w:i/>
                <w:iCs/>
                <w:color w:val="000000"/>
              </w:rPr>
              <w:t>trpCF</w:t>
            </w:r>
            <w:r w:rsidRPr="00DD3B0B">
              <w:rPr>
                <w:color w:val="000000"/>
              </w:rPr>
              <w:t>; indole-3-glycerol phosphate synthase / phosphoribosylanthranilate isomerase</w:t>
            </w:r>
          </w:p>
        </w:tc>
      </w:tr>
      <w:tr w:rsidR="00A46B68" w:rsidRPr="00502B03" w14:paraId="6842B9A0" w14:textId="77777777" w:rsidTr="00AB0D75">
        <w:trPr>
          <w:trHeight w:val="20"/>
        </w:trPr>
        <w:tc>
          <w:tcPr>
            <w:tcW w:w="864" w:type="dxa"/>
            <w:tcBorders>
              <w:top w:val="nil"/>
              <w:left w:val="nil"/>
              <w:right w:val="nil"/>
            </w:tcBorders>
            <w:shd w:val="clear" w:color="auto" w:fill="auto"/>
            <w:noWrap/>
            <w:hideMark/>
          </w:tcPr>
          <w:p w14:paraId="7FB6B42A" w14:textId="77777777" w:rsidR="00A46B68" w:rsidRPr="00DD3B0B" w:rsidRDefault="00A46B68" w:rsidP="00A46B68">
            <w:pPr>
              <w:spacing w:line="240" w:lineRule="auto"/>
              <w:ind w:firstLine="0"/>
              <w:rPr>
                <w:color w:val="000000"/>
              </w:rPr>
            </w:pPr>
            <w:r w:rsidRPr="00DD3B0B">
              <w:rPr>
                <w:color w:val="000000"/>
              </w:rPr>
              <w:t>01282</w:t>
            </w:r>
          </w:p>
        </w:tc>
        <w:tc>
          <w:tcPr>
            <w:tcW w:w="1083" w:type="dxa"/>
            <w:tcBorders>
              <w:top w:val="nil"/>
              <w:left w:val="nil"/>
              <w:right w:val="nil"/>
            </w:tcBorders>
            <w:shd w:val="clear" w:color="auto" w:fill="auto"/>
            <w:noWrap/>
            <w:hideMark/>
          </w:tcPr>
          <w:p w14:paraId="1F2A9CE2" w14:textId="77777777" w:rsidR="00A46B68" w:rsidRPr="00DD3B0B" w:rsidRDefault="00A46B68" w:rsidP="00A46B68">
            <w:pPr>
              <w:spacing w:line="240" w:lineRule="auto"/>
              <w:ind w:firstLine="0"/>
              <w:jc w:val="center"/>
              <w:rPr>
                <w:color w:val="000000"/>
              </w:rPr>
            </w:pPr>
            <w:r w:rsidRPr="00DD3B0B">
              <w:rPr>
                <w:color w:val="000000"/>
              </w:rPr>
              <w:t>1.047</w:t>
            </w:r>
          </w:p>
        </w:tc>
        <w:tc>
          <w:tcPr>
            <w:tcW w:w="1152" w:type="dxa"/>
            <w:tcBorders>
              <w:top w:val="nil"/>
              <w:left w:val="nil"/>
              <w:right w:val="nil"/>
            </w:tcBorders>
            <w:shd w:val="clear" w:color="auto" w:fill="auto"/>
            <w:noWrap/>
            <w:hideMark/>
          </w:tcPr>
          <w:p w14:paraId="40D14153" w14:textId="77777777" w:rsidR="00A46B68" w:rsidRPr="00DD3B0B" w:rsidRDefault="00A46B68" w:rsidP="00A46B68">
            <w:pPr>
              <w:spacing w:line="240" w:lineRule="auto"/>
              <w:ind w:firstLine="0"/>
              <w:jc w:val="center"/>
              <w:rPr>
                <w:color w:val="000000"/>
              </w:rPr>
            </w:pPr>
            <w:r w:rsidRPr="00DD3B0B">
              <w:rPr>
                <w:color w:val="000000"/>
              </w:rPr>
              <w:t>9.31E-03</w:t>
            </w:r>
          </w:p>
        </w:tc>
        <w:tc>
          <w:tcPr>
            <w:tcW w:w="1297" w:type="dxa"/>
            <w:tcBorders>
              <w:top w:val="nil"/>
              <w:left w:val="nil"/>
              <w:right w:val="nil"/>
            </w:tcBorders>
            <w:shd w:val="clear" w:color="auto" w:fill="auto"/>
            <w:noWrap/>
            <w:hideMark/>
          </w:tcPr>
          <w:p w14:paraId="36C3E1F9" w14:textId="77777777" w:rsidR="00A46B68" w:rsidRPr="00DD3B0B" w:rsidRDefault="00A46B68" w:rsidP="00A46B68">
            <w:pPr>
              <w:spacing w:line="240" w:lineRule="auto"/>
              <w:ind w:firstLine="0"/>
              <w:jc w:val="center"/>
              <w:rPr>
                <w:color w:val="000000"/>
              </w:rPr>
            </w:pPr>
            <w:r>
              <w:rPr>
                <w:color w:val="000000"/>
              </w:rPr>
              <w:t>K</w:t>
            </w:r>
            <w:r w:rsidRPr="00DD3B0B">
              <w:rPr>
                <w:color w:val="000000"/>
              </w:rPr>
              <w:t xml:space="preserve">, </w:t>
            </w:r>
            <w:r>
              <w:rPr>
                <w:color w:val="000000"/>
              </w:rPr>
              <w:t>C</w:t>
            </w:r>
          </w:p>
        </w:tc>
        <w:tc>
          <w:tcPr>
            <w:tcW w:w="4391" w:type="dxa"/>
            <w:tcBorders>
              <w:top w:val="nil"/>
              <w:left w:val="nil"/>
              <w:right w:val="nil"/>
            </w:tcBorders>
            <w:shd w:val="clear" w:color="auto" w:fill="auto"/>
            <w:hideMark/>
          </w:tcPr>
          <w:p w14:paraId="13C0D89D" w14:textId="77777777" w:rsidR="00A46B68" w:rsidRPr="00DD3B0B" w:rsidRDefault="00A46B68" w:rsidP="00AB0D75">
            <w:pPr>
              <w:spacing w:line="240" w:lineRule="auto"/>
              <w:ind w:left="288" w:hanging="288"/>
              <w:rPr>
                <w:color w:val="000000"/>
              </w:rPr>
            </w:pPr>
            <w:r w:rsidRPr="00DD3B0B">
              <w:rPr>
                <w:i/>
                <w:iCs/>
                <w:color w:val="000000"/>
              </w:rPr>
              <w:t>yafQ</w:t>
            </w:r>
            <w:r w:rsidRPr="00DD3B0B">
              <w:rPr>
                <w:color w:val="000000"/>
              </w:rPr>
              <w:t>; mR interferase YafQ</w:t>
            </w:r>
          </w:p>
        </w:tc>
      </w:tr>
      <w:tr w:rsidR="00A46B68" w:rsidRPr="00502B03" w14:paraId="5A28F574" w14:textId="77777777" w:rsidTr="00AB0D75">
        <w:trPr>
          <w:trHeight w:val="20"/>
        </w:trPr>
        <w:tc>
          <w:tcPr>
            <w:tcW w:w="864" w:type="dxa"/>
            <w:tcBorders>
              <w:top w:val="nil"/>
              <w:left w:val="nil"/>
              <w:bottom w:val="single" w:sz="4" w:space="0" w:color="000000"/>
              <w:right w:val="nil"/>
            </w:tcBorders>
            <w:shd w:val="clear" w:color="auto" w:fill="auto"/>
            <w:noWrap/>
            <w:hideMark/>
          </w:tcPr>
          <w:p w14:paraId="62D830F9" w14:textId="77777777" w:rsidR="00A46B68" w:rsidRPr="00DD3B0B" w:rsidRDefault="00A46B68" w:rsidP="00A46B68">
            <w:pPr>
              <w:spacing w:line="240" w:lineRule="auto"/>
              <w:ind w:firstLine="0"/>
              <w:rPr>
                <w:color w:val="000000"/>
              </w:rPr>
            </w:pPr>
            <w:r w:rsidRPr="00DD3B0B">
              <w:rPr>
                <w:color w:val="000000"/>
              </w:rPr>
              <w:t>00078</w:t>
            </w:r>
          </w:p>
        </w:tc>
        <w:tc>
          <w:tcPr>
            <w:tcW w:w="1083" w:type="dxa"/>
            <w:tcBorders>
              <w:top w:val="nil"/>
              <w:left w:val="nil"/>
              <w:bottom w:val="single" w:sz="4" w:space="0" w:color="000000"/>
              <w:right w:val="nil"/>
            </w:tcBorders>
            <w:shd w:val="clear" w:color="auto" w:fill="auto"/>
            <w:noWrap/>
            <w:hideMark/>
          </w:tcPr>
          <w:p w14:paraId="1ADBB858" w14:textId="77777777" w:rsidR="00A46B68" w:rsidRPr="00DD3B0B" w:rsidRDefault="00A46B68" w:rsidP="00A46B68">
            <w:pPr>
              <w:spacing w:line="240" w:lineRule="auto"/>
              <w:ind w:firstLine="0"/>
              <w:jc w:val="center"/>
              <w:rPr>
                <w:color w:val="000000"/>
              </w:rPr>
            </w:pPr>
            <w:r w:rsidRPr="00DD3B0B">
              <w:rPr>
                <w:color w:val="000000"/>
              </w:rPr>
              <w:t>0.835</w:t>
            </w:r>
          </w:p>
        </w:tc>
        <w:tc>
          <w:tcPr>
            <w:tcW w:w="1152" w:type="dxa"/>
            <w:tcBorders>
              <w:top w:val="nil"/>
              <w:left w:val="nil"/>
              <w:bottom w:val="single" w:sz="4" w:space="0" w:color="000000"/>
              <w:right w:val="nil"/>
            </w:tcBorders>
            <w:shd w:val="clear" w:color="auto" w:fill="auto"/>
            <w:noWrap/>
            <w:hideMark/>
          </w:tcPr>
          <w:p w14:paraId="7A3BD36B" w14:textId="77777777" w:rsidR="00A46B68" w:rsidRPr="00DD3B0B" w:rsidRDefault="00A46B68" w:rsidP="00A46B68">
            <w:pPr>
              <w:spacing w:line="240" w:lineRule="auto"/>
              <w:ind w:firstLine="0"/>
              <w:jc w:val="center"/>
              <w:rPr>
                <w:color w:val="000000"/>
              </w:rPr>
            </w:pPr>
            <w:r w:rsidRPr="00DD3B0B">
              <w:rPr>
                <w:color w:val="000000"/>
              </w:rPr>
              <w:t>4.11E-02</w:t>
            </w:r>
          </w:p>
        </w:tc>
        <w:tc>
          <w:tcPr>
            <w:tcW w:w="1297" w:type="dxa"/>
            <w:tcBorders>
              <w:top w:val="nil"/>
              <w:left w:val="nil"/>
              <w:bottom w:val="single" w:sz="4" w:space="0" w:color="000000"/>
              <w:right w:val="nil"/>
            </w:tcBorders>
            <w:shd w:val="clear" w:color="auto" w:fill="auto"/>
            <w:noWrap/>
            <w:hideMark/>
          </w:tcPr>
          <w:p w14:paraId="642AACB3"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single" w:sz="4" w:space="0" w:color="000000"/>
              <w:right w:val="nil"/>
            </w:tcBorders>
            <w:shd w:val="clear" w:color="auto" w:fill="auto"/>
            <w:hideMark/>
          </w:tcPr>
          <w:p w14:paraId="5430408B" w14:textId="77777777" w:rsidR="00A46B68" w:rsidRPr="00DD3B0B" w:rsidRDefault="00A46B68" w:rsidP="00AB0D75">
            <w:pPr>
              <w:spacing w:line="240" w:lineRule="auto"/>
              <w:ind w:left="288" w:hanging="288"/>
              <w:rPr>
                <w:color w:val="000000"/>
              </w:rPr>
            </w:pPr>
            <w:r w:rsidRPr="00DD3B0B">
              <w:rPr>
                <w:color w:val="000000"/>
              </w:rPr>
              <w:t>Threonylcarbamoyladenosine tR methylthiotransferase MtaB</w:t>
            </w:r>
          </w:p>
        </w:tc>
      </w:tr>
      <w:tr w:rsidR="00A46B68" w:rsidRPr="00502B03" w14:paraId="42D97D51" w14:textId="77777777" w:rsidTr="00AB0D75">
        <w:trPr>
          <w:trHeight w:val="20"/>
        </w:trPr>
        <w:tc>
          <w:tcPr>
            <w:tcW w:w="864" w:type="dxa"/>
            <w:tcBorders>
              <w:top w:val="single" w:sz="4" w:space="0" w:color="000000"/>
              <w:left w:val="nil"/>
              <w:bottom w:val="nil"/>
              <w:right w:val="nil"/>
            </w:tcBorders>
            <w:shd w:val="clear" w:color="auto" w:fill="auto"/>
            <w:noWrap/>
            <w:hideMark/>
          </w:tcPr>
          <w:p w14:paraId="705D3EA0" w14:textId="77777777" w:rsidR="00A46B68" w:rsidRPr="00DD3B0B" w:rsidRDefault="00A46B68" w:rsidP="00A46B68">
            <w:pPr>
              <w:spacing w:line="240" w:lineRule="auto"/>
              <w:ind w:firstLine="0"/>
              <w:rPr>
                <w:color w:val="000000"/>
              </w:rPr>
            </w:pPr>
            <w:r w:rsidRPr="00DD3B0B">
              <w:rPr>
                <w:color w:val="000000"/>
              </w:rPr>
              <w:t>03297</w:t>
            </w:r>
          </w:p>
        </w:tc>
        <w:tc>
          <w:tcPr>
            <w:tcW w:w="1083" w:type="dxa"/>
            <w:tcBorders>
              <w:top w:val="single" w:sz="4" w:space="0" w:color="000000"/>
              <w:left w:val="nil"/>
              <w:bottom w:val="nil"/>
              <w:right w:val="nil"/>
            </w:tcBorders>
            <w:shd w:val="clear" w:color="auto" w:fill="auto"/>
            <w:noWrap/>
            <w:hideMark/>
          </w:tcPr>
          <w:p w14:paraId="44387803" w14:textId="77777777" w:rsidR="00A46B68" w:rsidRPr="00DD3B0B" w:rsidRDefault="00A46B68" w:rsidP="00A46B68">
            <w:pPr>
              <w:spacing w:line="240" w:lineRule="auto"/>
              <w:ind w:firstLine="0"/>
              <w:jc w:val="center"/>
              <w:rPr>
                <w:color w:val="000000"/>
              </w:rPr>
            </w:pPr>
            <w:r w:rsidRPr="00DD3B0B">
              <w:rPr>
                <w:color w:val="000000"/>
              </w:rPr>
              <w:t>-0.938</w:t>
            </w:r>
          </w:p>
        </w:tc>
        <w:tc>
          <w:tcPr>
            <w:tcW w:w="1152" w:type="dxa"/>
            <w:tcBorders>
              <w:top w:val="single" w:sz="4" w:space="0" w:color="000000"/>
              <w:left w:val="nil"/>
              <w:bottom w:val="nil"/>
              <w:right w:val="nil"/>
            </w:tcBorders>
            <w:shd w:val="clear" w:color="auto" w:fill="auto"/>
            <w:noWrap/>
            <w:hideMark/>
          </w:tcPr>
          <w:p w14:paraId="4560D68B" w14:textId="77777777" w:rsidR="00A46B68" w:rsidRPr="00DD3B0B" w:rsidRDefault="00A46B68" w:rsidP="00A46B68">
            <w:pPr>
              <w:spacing w:line="240" w:lineRule="auto"/>
              <w:ind w:firstLine="0"/>
              <w:jc w:val="center"/>
              <w:rPr>
                <w:color w:val="000000"/>
              </w:rPr>
            </w:pPr>
            <w:r w:rsidRPr="00DD3B0B">
              <w:rPr>
                <w:color w:val="000000"/>
              </w:rPr>
              <w:t>9.89E-03</w:t>
            </w:r>
          </w:p>
        </w:tc>
        <w:tc>
          <w:tcPr>
            <w:tcW w:w="1297" w:type="dxa"/>
            <w:tcBorders>
              <w:top w:val="single" w:sz="4" w:space="0" w:color="000000"/>
              <w:left w:val="nil"/>
              <w:bottom w:val="nil"/>
              <w:right w:val="nil"/>
            </w:tcBorders>
            <w:shd w:val="clear" w:color="auto" w:fill="auto"/>
            <w:noWrap/>
            <w:hideMark/>
          </w:tcPr>
          <w:p w14:paraId="2F1368F7"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single" w:sz="4" w:space="0" w:color="000000"/>
              <w:left w:val="nil"/>
              <w:bottom w:val="nil"/>
              <w:right w:val="nil"/>
            </w:tcBorders>
            <w:shd w:val="clear" w:color="auto" w:fill="auto"/>
            <w:hideMark/>
          </w:tcPr>
          <w:p w14:paraId="16AE96BD" w14:textId="77777777" w:rsidR="00A46B68" w:rsidRPr="00DD3B0B" w:rsidRDefault="00A46B68" w:rsidP="00AB0D75">
            <w:pPr>
              <w:spacing w:line="240" w:lineRule="auto"/>
              <w:ind w:left="288" w:hanging="288"/>
              <w:rPr>
                <w:color w:val="000000"/>
              </w:rPr>
            </w:pPr>
            <w:r>
              <w:rPr>
                <w:color w:val="000000"/>
              </w:rPr>
              <w:t>L</w:t>
            </w:r>
            <w:r w:rsidRPr="00DD3B0B">
              <w:rPr>
                <w:color w:val="000000"/>
              </w:rPr>
              <w:t>ysine biosynthetic process via aminoadipic acid</w:t>
            </w:r>
          </w:p>
        </w:tc>
      </w:tr>
      <w:tr w:rsidR="00A46B68" w:rsidRPr="00502B03" w14:paraId="26855B5F" w14:textId="77777777" w:rsidTr="002E3F44">
        <w:trPr>
          <w:trHeight w:val="20"/>
        </w:trPr>
        <w:tc>
          <w:tcPr>
            <w:tcW w:w="864" w:type="dxa"/>
            <w:tcBorders>
              <w:top w:val="nil"/>
              <w:left w:val="nil"/>
              <w:bottom w:val="nil"/>
              <w:right w:val="nil"/>
            </w:tcBorders>
            <w:shd w:val="clear" w:color="auto" w:fill="auto"/>
            <w:noWrap/>
            <w:hideMark/>
          </w:tcPr>
          <w:p w14:paraId="2CA97028" w14:textId="77777777" w:rsidR="00A46B68" w:rsidRPr="00DD3B0B" w:rsidRDefault="00A46B68" w:rsidP="00A46B68">
            <w:pPr>
              <w:spacing w:line="240" w:lineRule="auto"/>
              <w:ind w:firstLine="0"/>
              <w:rPr>
                <w:color w:val="000000"/>
              </w:rPr>
            </w:pPr>
            <w:r w:rsidRPr="00DD3B0B">
              <w:rPr>
                <w:color w:val="000000"/>
              </w:rPr>
              <w:t>01864</w:t>
            </w:r>
          </w:p>
        </w:tc>
        <w:tc>
          <w:tcPr>
            <w:tcW w:w="1083" w:type="dxa"/>
            <w:tcBorders>
              <w:top w:val="nil"/>
              <w:left w:val="nil"/>
              <w:bottom w:val="nil"/>
              <w:right w:val="nil"/>
            </w:tcBorders>
            <w:shd w:val="clear" w:color="auto" w:fill="auto"/>
            <w:noWrap/>
            <w:hideMark/>
          </w:tcPr>
          <w:p w14:paraId="7B407F4D" w14:textId="77777777" w:rsidR="00A46B68" w:rsidRPr="00DD3B0B" w:rsidRDefault="00A46B68" w:rsidP="00A46B68">
            <w:pPr>
              <w:spacing w:line="240" w:lineRule="auto"/>
              <w:ind w:firstLine="0"/>
              <w:jc w:val="center"/>
              <w:rPr>
                <w:color w:val="000000"/>
              </w:rPr>
            </w:pPr>
            <w:r w:rsidRPr="00DD3B0B">
              <w:rPr>
                <w:color w:val="000000"/>
              </w:rPr>
              <w:t>-0.995</w:t>
            </w:r>
          </w:p>
        </w:tc>
        <w:tc>
          <w:tcPr>
            <w:tcW w:w="1152" w:type="dxa"/>
            <w:tcBorders>
              <w:top w:val="nil"/>
              <w:left w:val="nil"/>
              <w:bottom w:val="nil"/>
              <w:right w:val="nil"/>
            </w:tcBorders>
            <w:shd w:val="clear" w:color="auto" w:fill="auto"/>
            <w:noWrap/>
            <w:hideMark/>
          </w:tcPr>
          <w:p w14:paraId="7460A5D4" w14:textId="77777777" w:rsidR="00A46B68" w:rsidRPr="00DD3B0B" w:rsidRDefault="00A46B68" w:rsidP="00A46B68">
            <w:pPr>
              <w:spacing w:line="240" w:lineRule="auto"/>
              <w:ind w:firstLine="0"/>
              <w:jc w:val="center"/>
              <w:rPr>
                <w:color w:val="000000"/>
              </w:rPr>
            </w:pPr>
            <w:r w:rsidRPr="00DD3B0B">
              <w:rPr>
                <w:color w:val="000000"/>
              </w:rPr>
              <w:t>4.59E-02</w:t>
            </w:r>
          </w:p>
        </w:tc>
        <w:tc>
          <w:tcPr>
            <w:tcW w:w="1297" w:type="dxa"/>
            <w:tcBorders>
              <w:top w:val="nil"/>
              <w:left w:val="nil"/>
              <w:bottom w:val="nil"/>
              <w:right w:val="nil"/>
            </w:tcBorders>
            <w:shd w:val="clear" w:color="auto" w:fill="auto"/>
            <w:noWrap/>
            <w:hideMark/>
          </w:tcPr>
          <w:p w14:paraId="3AC6B5C5"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743814DD" w14:textId="77777777" w:rsidR="00A46B68" w:rsidRPr="00DD3B0B" w:rsidRDefault="00A46B68" w:rsidP="00AB0D75">
            <w:pPr>
              <w:spacing w:line="240" w:lineRule="auto"/>
              <w:ind w:left="288" w:hanging="288"/>
              <w:rPr>
                <w:color w:val="000000"/>
              </w:rPr>
            </w:pPr>
            <w:r w:rsidRPr="00DD3B0B">
              <w:rPr>
                <w:color w:val="000000"/>
              </w:rPr>
              <w:t>Protoheme IX farnesyltransferase</w:t>
            </w:r>
          </w:p>
        </w:tc>
      </w:tr>
      <w:tr w:rsidR="00A46B68" w:rsidRPr="00502B03" w14:paraId="691CE7C7" w14:textId="77777777" w:rsidTr="002E3F44">
        <w:trPr>
          <w:trHeight w:val="20"/>
        </w:trPr>
        <w:tc>
          <w:tcPr>
            <w:tcW w:w="864" w:type="dxa"/>
            <w:tcBorders>
              <w:top w:val="nil"/>
              <w:left w:val="nil"/>
              <w:bottom w:val="nil"/>
              <w:right w:val="nil"/>
            </w:tcBorders>
            <w:shd w:val="clear" w:color="auto" w:fill="auto"/>
            <w:noWrap/>
            <w:hideMark/>
          </w:tcPr>
          <w:p w14:paraId="650F135E" w14:textId="77777777" w:rsidR="00A46B68" w:rsidRPr="00DD3B0B" w:rsidRDefault="00A46B68" w:rsidP="00A46B68">
            <w:pPr>
              <w:spacing w:line="240" w:lineRule="auto"/>
              <w:ind w:firstLine="0"/>
              <w:rPr>
                <w:color w:val="000000"/>
              </w:rPr>
            </w:pPr>
            <w:r w:rsidRPr="00DD3B0B">
              <w:rPr>
                <w:color w:val="000000"/>
              </w:rPr>
              <w:t>01105</w:t>
            </w:r>
          </w:p>
        </w:tc>
        <w:tc>
          <w:tcPr>
            <w:tcW w:w="1083" w:type="dxa"/>
            <w:tcBorders>
              <w:top w:val="nil"/>
              <w:left w:val="nil"/>
              <w:bottom w:val="nil"/>
              <w:right w:val="nil"/>
            </w:tcBorders>
            <w:shd w:val="clear" w:color="auto" w:fill="auto"/>
            <w:noWrap/>
            <w:hideMark/>
          </w:tcPr>
          <w:p w14:paraId="0E66DE69" w14:textId="77777777" w:rsidR="00A46B68" w:rsidRPr="00DD3B0B" w:rsidRDefault="00A46B68" w:rsidP="00A46B68">
            <w:pPr>
              <w:spacing w:line="240" w:lineRule="auto"/>
              <w:ind w:firstLine="0"/>
              <w:jc w:val="center"/>
              <w:rPr>
                <w:color w:val="000000"/>
              </w:rPr>
            </w:pPr>
            <w:r w:rsidRPr="00DD3B0B">
              <w:rPr>
                <w:color w:val="000000"/>
              </w:rPr>
              <w:t>-0.995</w:t>
            </w:r>
          </w:p>
        </w:tc>
        <w:tc>
          <w:tcPr>
            <w:tcW w:w="1152" w:type="dxa"/>
            <w:tcBorders>
              <w:top w:val="nil"/>
              <w:left w:val="nil"/>
              <w:bottom w:val="nil"/>
              <w:right w:val="nil"/>
            </w:tcBorders>
            <w:shd w:val="clear" w:color="auto" w:fill="auto"/>
            <w:noWrap/>
            <w:hideMark/>
          </w:tcPr>
          <w:p w14:paraId="1B6F0CC8" w14:textId="77777777" w:rsidR="00A46B68" w:rsidRPr="00DD3B0B" w:rsidRDefault="00A46B68" w:rsidP="00A46B68">
            <w:pPr>
              <w:spacing w:line="240" w:lineRule="auto"/>
              <w:ind w:firstLine="0"/>
              <w:jc w:val="center"/>
              <w:rPr>
                <w:color w:val="000000"/>
              </w:rPr>
            </w:pPr>
            <w:r w:rsidRPr="00DD3B0B">
              <w:rPr>
                <w:color w:val="000000"/>
              </w:rPr>
              <w:t>4.47E-02</w:t>
            </w:r>
          </w:p>
        </w:tc>
        <w:tc>
          <w:tcPr>
            <w:tcW w:w="1297" w:type="dxa"/>
            <w:tcBorders>
              <w:top w:val="nil"/>
              <w:left w:val="nil"/>
              <w:bottom w:val="nil"/>
              <w:right w:val="nil"/>
            </w:tcBorders>
            <w:shd w:val="clear" w:color="auto" w:fill="auto"/>
            <w:noWrap/>
            <w:hideMark/>
          </w:tcPr>
          <w:p w14:paraId="0E4A15B3"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4B2F1A9D" w14:textId="77777777" w:rsidR="00A46B68" w:rsidRPr="00DD3B0B" w:rsidRDefault="00A46B68" w:rsidP="00AB0D75">
            <w:pPr>
              <w:spacing w:line="240" w:lineRule="auto"/>
              <w:ind w:left="288" w:hanging="288"/>
              <w:rPr>
                <w:color w:val="000000"/>
              </w:rPr>
            </w:pPr>
            <w:r w:rsidRPr="00DD3B0B">
              <w:rPr>
                <w:color w:val="000000"/>
              </w:rPr>
              <w:t>3-isopropylmalate dehydratase large subunit</w:t>
            </w:r>
          </w:p>
        </w:tc>
      </w:tr>
      <w:tr w:rsidR="00A46B68" w:rsidRPr="00502B03" w14:paraId="0CF70B38" w14:textId="77777777" w:rsidTr="002E3F44">
        <w:trPr>
          <w:trHeight w:val="20"/>
        </w:trPr>
        <w:tc>
          <w:tcPr>
            <w:tcW w:w="864" w:type="dxa"/>
            <w:tcBorders>
              <w:top w:val="nil"/>
              <w:left w:val="nil"/>
              <w:bottom w:val="nil"/>
              <w:right w:val="nil"/>
            </w:tcBorders>
            <w:shd w:val="clear" w:color="auto" w:fill="auto"/>
            <w:noWrap/>
            <w:hideMark/>
          </w:tcPr>
          <w:p w14:paraId="14F4A8F8" w14:textId="77777777" w:rsidR="00A46B68" w:rsidRPr="00DD3B0B" w:rsidRDefault="00A46B68" w:rsidP="00A46B68">
            <w:pPr>
              <w:spacing w:line="240" w:lineRule="auto"/>
              <w:ind w:firstLine="0"/>
              <w:rPr>
                <w:color w:val="000000"/>
              </w:rPr>
            </w:pPr>
            <w:r w:rsidRPr="00DD3B0B">
              <w:rPr>
                <w:color w:val="000000"/>
              </w:rPr>
              <w:t>02240</w:t>
            </w:r>
          </w:p>
        </w:tc>
        <w:tc>
          <w:tcPr>
            <w:tcW w:w="1083" w:type="dxa"/>
            <w:tcBorders>
              <w:top w:val="nil"/>
              <w:left w:val="nil"/>
              <w:bottom w:val="nil"/>
              <w:right w:val="nil"/>
            </w:tcBorders>
            <w:shd w:val="clear" w:color="auto" w:fill="auto"/>
            <w:noWrap/>
            <w:hideMark/>
          </w:tcPr>
          <w:p w14:paraId="0902E63F" w14:textId="77777777" w:rsidR="00A46B68" w:rsidRPr="00DD3B0B" w:rsidRDefault="00A46B68" w:rsidP="00A46B68">
            <w:pPr>
              <w:spacing w:line="240" w:lineRule="auto"/>
              <w:ind w:firstLine="0"/>
              <w:jc w:val="center"/>
              <w:rPr>
                <w:color w:val="000000"/>
              </w:rPr>
            </w:pPr>
            <w:r w:rsidRPr="00DD3B0B">
              <w:rPr>
                <w:color w:val="000000"/>
              </w:rPr>
              <w:t>-0.996</w:t>
            </w:r>
          </w:p>
        </w:tc>
        <w:tc>
          <w:tcPr>
            <w:tcW w:w="1152" w:type="dxa"/>
            <w:tcBorders>
              <w:top w:val="nil"/>
              <w:left w:val="nil"/>
              <w:bottom w:val="nil"/>
              <w:right w:val="nil"/>
            </w:tcBorders>
            <w:shd w:val="clear" w:color="auto" w:fill="auto"/>
            <w:noWrap/>
            <w:hideMark/>
          </w:tcPr>
          <w:p w14:paraId="4F47C28C" w14:textId="77777777" w:rsidR="00A46B68" w:rsidRPr="00DD3B0B" w:rsidRDefault="00A46B68" w:rsidP="00A46B68">
            <w:pPr>
              <w:spacing w:line="240" w:lineRule="auto"/>
              <w:ind w:firstLine="0"/>
              <w:jc w:val="center"/>
              <w:rPr>
                <w:color w:val="000000"/>
              </w:rPr>
            </w:pPr>
            <w:r w:rsidRPr="00DD3B0B">
              <w:rPr>
                <w:color w:val="000000"/>
              </w:rPr>
              <w:t>2.72E-02</w:t>
            </w:r>
          </w:p>
        </w:tc>
        <w:tc>
          <w:tcPr>
            <w:tcW w:w="1297" w:type="dxa"/>
            <w:tcBorders>
              <w:top w:val="nil"/>
              <w:left w:val="nil"/>
              <w:bottom w:val="nil"/>
              <w:right w:val="nil"/>
            </w:tcBorders>
            <w:shd w:val="clear" w:color="auto" w:fill="auto"/>
            <w:noWrap/>
            <w:hideMark/>
          </w:tcPr>
          <w:p w14:paraId="0EFF4F87"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739A9946" w14:textId="77777777" w:rsidR="00A46B68" w:rsidRPr="00DD3B0B" w:rsidRDefault="00A46B68" w:rsidP="00AB0D75">
            <w:pPr>
              <w:spacing w:line="240" w:lineRule="auto"/>
              <w:ind w:left="288" w:hanging="288"/>
              <w:rPr>
                <w:color w:val="000000"/>
              </w:rPr>
            </w:pPr>
            <w:r w:rsidRPr="00DD3B0B">
              <w:rPr>
                <w:color w:val="000000"/>
              </w:rPr>
              <w:t>Alcohol dehydrogenase</w:t>
            </w:r>
          </w:p>
        </w:tc>
      </w:tr>
      <w:tr w:rsidR="00A46B68" w:rsidRPr="00502B03" w14:paraId="62D3CB2E" w14:textId="77777777" w:rsidTr="002E3F44">
        <w:trPr>
          <w:trHeight w:val="20"/>
        </w:trPr>
        <w:tc>
          <w:tcPr>
            <w:tcW w:w="864" w:type="dxa"/>
            <w:tcBorders>
              <w:top w:val="nil"/>
              <w:left w:val="nil"/>
              <w:bottom w:val="nil"/>
              <w:right w:val="nil"/>
            </w:tcBorders>
            <w:shd w:val="clear" w:color="auto" w:fill="auto"/>
            <w:noWrap/>
            <w:hideMark/>
          </w:tcPr>
          <w:p w14:paraId="7C760F53" w14:textId="77777777" w:rsidR="00A46B68" w:rsidRPr="00DD3B0B" w:rsidRDefault="00A46B68" w:rsidP="00A46B68">
            <w:pPr>
              <w:spacing w:line="240" w:lineRule="auto"/>
              <w:ind w:firstLine="0"/>
              <w:rPr>
                <w:color w:val="000000"/>
              </w:rPr>
            </w:pPr>
            <w:r w:rsidRPr="00DD3B0B">
              <w:rPr>
                <w:color w:val="000000"/>
              </w:rPr>
              <w:t>02908</w:t>
            </w:r>
          </w:p>
        </w:tc>
        <w:tc>
          <w:tcPr>
            <w:tcW w:w="1083" w:type="dxa"/>
            <w:tcBorders>
              <w:top w:val="nil"/>
              <w:left w:val="nil"/>
              <w:bottom w:val="nil"/>
              <w:right w:val="nil"/>
            </w:tcBorders>
            <w:shd w:val="clear" w:color="auto" w:fill="auto"/>
            <w:noWrap/>
            <w:hideMark/>
          </w:tcPr>
          <w:p w14:paraId="5836D4E4" w14:textId="77777777" w:rsidR="00A46B68" w:rsidRPr="00DD3B0B" w:rsidRDefault="00A46B68" w:rsidP="00A46B68">
            <w:pPr>
              <w:spacing w:line="240" w:lineRule="auto"/>
              <w:ind w:firstLine="0"/>
              <w:jc w:val="center"/>
              <w:rPr>
                <w:color w:val="000000"/>
              </w:rPr>
            </w:pPr>
            <w:r w:rsidRPr="00DD3B0B">
              <w:rPr>
                <w:color w:val="000000"/>
              </w:rPr>
              <w:t>-1.002</w:t>
            </w:r>
          </w:p>
        </w:tc>
        <w:tc>
          <w:tcPr>
            <w:tcW w:w="1152" w:type="dxa"/>
            <w:tcBorders>
              <w:top w:val="nil"/>
              <w:left w:val="nil"/>
              <w:bottom w:val="nil"/>
              <w:right w:val="nil"/>
            </w:tcBorders>
            <w:shd w:val="clear" w:color="auto" w:fill="auto"/>
            <w:noWrap/>
            <w:hideMark/>
          </w:tcPr>
          <w:p w14:paraId="4A9224D7" w14:textId="77777777" w:rsidR="00A46B68" w:rsidRPr="00DD3B0B" w:rsidRDefault="00A46B68" w:rsidP="00A46B68">
            <w:pPr>
              <w:spacing w:line="240" w:lineRule="auto"/>
              <w:ind w:firstLine="0"/>
              <w:jc w:val="center"/>
              <w:rPr>
                <w:color w:val="000000"/>
              </w:rPr>
            </w:pPr>
            <w:r w:rsidRPr="00DD3B0B">
              <w:rPr>
                <w:color w:val="000000"/>
              </w:rPr>
              <w:t>9.62E-03</w:t>
            </w:r>
          </w:p>
        </w:tc>
        <w:tc>
          <w:tcPr>
            <w:tcW w:w="1297" w:type="dxa"/>
            <w:tcBorders>
              <w:top w:val="nil"/>
              <w:left w:val="nil"/>
              <w:bottom w:val="nil"/>
              <w:right w:val="nil"/>
            </w:tcBorders>
            <w:shd w:val="clear" w:color="auto" w:fill="auto"/>
            <w:noWrap/>
            <w:hideMark/>
          </w:tcPr>
          <w:p w14:paraId="639C292A"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78E42106" w14:textId="77777777" w:rsidR="00A46B68" w:rsidRPr="00DD3B0B" w:rsidRDefault="00A46B68" w:rsidP="00AB0D75">
            <w:pPr>
              <w:spacing w:line="240" w:lineRule="auto"/>
              <w:ind w:left="288" w:hanging="288"/>
              <w:rPr>
                <w:color w:val="000000"/>
              </w:rPr>
            </w:pPr>
            <w:r w:rsidRPr="00DD3B0B">
              <w:rPr>
                <w:i/>
                <w:iCs/>
                <w:color w:val="000000"/>
              </w:rPr>
              <w:t>fabH</w:t>
            </w:r>
            <w:r w:rsidRPr="00DD3B0B">
              <w:rPr>
                <w:color w:val="000000"/>
              </w:rPr>
              <w:t>; 3-oxoacyl-[acyl-carrier-protein] synthase III</w:t>
            </w:r>
          </w:p>
        </w:tc>
      </w:tr>
      <w:tr w:rsidR="00A46B68" w:rsidRPr="00502B03" w14:paraId="70980B55" w14:textId="77777777" w:rsidTr="002E3F44">
        <w:trPr>
          <w:trHeight w:val="20"/>
        </w:trPr>
        <w:tc>
          <w:tcPr>
            <w:tcW w:w="864" w:type="dxa"/>
            <w:tcBorders>
              <w:top w:val="nil"/>
              <w:left w:val="nil"/>
              <w:bottom w:val="nil"/>
              <w:right w:val="nil"/>
            </w:tcBorders>
            <w:shd w:val="clear" w:color="auto" w:fill="auto"/>
            <w:noWrap/>
            <w:hideMark/>
          </w:tcPr>
          <w:p w14:paraId="7226820B" w14:textId="77777777" w:rsidR="00A46B68" w:rsidRPr="00DD3B0B" w:rsidRDefault="00A46B68" w:rsidP="00A46B68">
            <w:pPr>
              <w:spacing w:line="240" w:lineRule="auto"/>
              <w:ind w:firstLine="0"/>
              <w:rPr>
                <w:color w:val="000000"/>
              </w:rPr>
            </w:pPr>
            <w:r w:rsidRPr="00DD3B0B">
              <w:rPr>
                <w:color w:val="000000"/>
              </w:rPr>
              <w:t>00157</w:t>
            </w:r>
          </w:p>
        </w:tc>
        <w:tc>
          <w:tcPr>
            <w:tcW w:w="1083" w:type="dxa"/>
            <w:tcBorders>
              <w:top w:val="nil"/>
              <w:left w:val="nil"/>
              <w:bottom w:val="nil"/>
              <w:right w:val="nil"/>
            </w:tcBorders>
            <w:shd w:val="clear" w:color="auto" w:fill="auto"/>
            <w:noWrap/>
            <w:hideMark/>
          </w:tcPr>
          <w:p w14:paraId="4A57D422" w14:textId="77777777" w:rsidR="00A46B68" w:rsidRPr="00DD3B0B" w:rsidRDefault="00A46B68" w:rsidP="00A46B68">
            <w:pPr>
              <w:spacing w:line="240" w:lineRule="auto"/>
              <w:ind w:firstLine="0"/>
              <w:jc w:val="center"/>
              <w:rPr>
                <w:color w:val="000000"/>
              </w:rPr>
            </w:pPr>
            <w:r w:rsidRPr="00DD3B0B">
              <w:rPr>
                <w:color w:val="000000"/>
              </w:rPr>
              <w:t>-1.010</w:t>
            </w:r>
          </w:p>
        </w:tc>
        <w:tc>
          <w:tcPr>
            <w:tcW w:w="1152" w:type="dxa"/>
            <w:tcBorders>
              <w:top w:val="nil"/>
              <w:left w:val="nil"/>
              <w:bottom w:val="nil"/>
              <w:right w:val="nil"/>
            </w:tcBorders>
            <w:shd w:val="clear" w:color="auto" w:fill="auto"/>
            <w:noWrap/>
            <w:hideMark/>
          </w:tcPr>
          <w:p w14:paraId="26720B2C" w14:textId="77777777" w:rsidR="00A46B68" w:rsidRPr="00DD3B0B" w:rsidRDefault="00A46B68" w:rsidP="00A46B68">
            <w:pPr>
              <w:spacing w:line="240" w:lineRule="auto"/>
              <w:ind w:firstLine="0"/>
              <w:jc w:val="center"/>
              <w:rPr>
                <w:color w:val="000000"/>
              </w:rPr>
            </w:pPr>
            <w:r w:rsidRPr="00DD3B0B">
              <w:rPr>
                <w:color w:val="000000"/>
              </w:rPr>
              <w:t>7.06E-03</w:t>
            </w:r>
          </w:p>
        </w:tc>
        <w:tc>
          <w:tcPr>
            <w:tcW w:w="1297" w:type="dxa"/>
            <w:tcBorders>
              <w:top w:val="nil"/>
              <w:left w:val="nil"/>
              <w:bottom w:val="nil"/>
              <w:right w:val="nil"/>
            </w:tcBorders>
            <w:shd w:val="clear" w:color="auto" w:fill="auto"/>
            <w:noWrap/>
            <w:hideMark/>
          </w:tcPr>
          <w:p w14:paraId="00236344"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68A3D7BB" w14:textId="77777777" w:rsidR="00A46B68" w:rsidRPr="00DD3B0B" w:rsidRDefault="00A46B68" w:rsidP="00AB0D75">
            <w:pPr>
              <w:spacing w:line="240" w:lineRule="auto"/>
              <w:ind w:left="288" w:hanging="288"/>
              <w:rPr>
                <w:color w:val="000000"/>
              </w:rPr>
            </w:pPr>
          </w:p>
        </w:tc>
      </w:tr>
      <w:tr w:rsidR="00A46B68" w:rsidRPr="00502B03" w14:paraId="4B864D1F" w14:textId="77777777" w:rsidTr="002E3F44">
        <w:trPr>
          <w:trHeight w:val="20"/>
        </w:trPr>
        <w:tc>
          <w:tcPr>
            <w:tcW w:w="864" w:type="dxa"/>
            <w:tcBorders>
              <w:top w:val="nil"/>
              <w:left w:val="nil"/>
              <w:bottom w:val="nil"/>
              <w:right w:val="nil"/>
            </w:tcBorders>
            <w:shd w:val="clear" w:color="auto" w:fill="auto"/>
            <w:noWrap/>
            <w:hideMark/>
          </w:tcPr>
          <w:p w14:paraId="13F7A169" w14:textId="77777777" w:rsidR="00A46B68" w:rsidRPr="00DD3B0B" w:rsidRDefault="00A46B68" w:rsidP="00A46B68">
            <w:pPr>
              <w:spacing w:line="240" w:lineRule="auto"/>
              <w:ind w:firstLine="0"/>
              <w:rPr>
                <w:color w:val="000000"/>
              </w:rPr>
            </w:pPr>
            <w:r w:rsidRPr="00DD3B0B">
              <w:rPr>
                <w:color w:val="000000"/>
              </w:rPr>
              <w:t>01641</w:t>
            </w:r>
          </w:p>
        </w:tc>
        <w:tc>
          <w:tcPr>
            <w:tcW w:w="1083" w:type="dxa"/>
            <w:tcBorders>
              <w:top w:val="nil"/>
              <w:left w:val="nil"/>
              <w:bottom w:val="nil"/>
              <w:right w:val="nil"/>
            </w:tcBorders>
            <w:shd w:val="clear" w:color="auto" w:fill="auto"/>
            <w:noWrap/>
            <w:hideMark/>
          </w:tcPr>
          <w:p w14:paraId="1DF7F16B" w14:textId="77777777" w:rsidR="00A46B68" w:rsidRPr="00DD3B0B" w:rsidRDefault="00A46B68" w:rsidP="00A46B68">
            <w:pPr>
              <w:spacing w:line="240" w:lineRule="auto"/>
              <w:ind w:firstLine="0"/>
              <w:jc w:val="center"/>
              <w:rPr>
                <w:color w:val="000000"/>
              </w:rPr>
            </w:pPr>
            <w:r w:rsidRPr="00DD3B0B">
              <w:rPr>
                <w:color w:val="000000"/>
              </w:rPr>
              <w:t>-1.038</w:t>
            </w:r>
          </w:p>
        </w:tc>
        <w:tc>
          <w:tcPr>
            <w:tcW w:w="1152" w:type="dxa"/>
            <w:tcBorders>
              <w:top w:val="nil"/>
              <w:left w:val="nil"/>
              <w:bottom w:val="nil"/>
              <w:right w:val="nil"/>
            </w:tcBorders>
            <w:shd w:val="clear" w:color="auto" w:fill="auto"/>
            <w:noWrap/>
            <w:hideMark/>
          </w:tcPr>
          <w:p w14:paraId="4BF55928" w14:textId="77777777" w:rsidR="00A46B68" w:rsidRPr="00DD3B0B" w:rsidRDefault="00A46B68" w:rsidP="00A46B68">
            <w:pPr>
              <w:spacing w:line="240" w:lineRule="auto"/>
              <w:ind w:firstLine="0"/>
              <w:jc w:val="center"/>
              <w:rPr>
                <w:color w:val="000000"/>
              </w:rPr>
            </w:pPr>
            <w:r w:rsidRPr="00DD3B0B">
              <w:rPr>
                <w:color w:val="000000"/>
              </w:rPr>
              <w:t>2.56E-02</w:t>
            </w:r>
          </w:p>
        </w:tc>
        <w:tc>
          <w:tcPr>
            <w:tcW w:w="1297" w:type="dxa"/>
            <w:tcBorders>
              <w:top w:val="nil"/>
              <w:left w:val="nil"/>
              <w:bottom w:val="nil"/>
              <w:right w:val="nil"/>
            </w:tcBorders>
            <w:shd w:val="clear" w:color="auto" w:fill="auto"/>
            <w:noWrap/>
            <w:hideMark/>
          </w:tcPr>
          <w:p w14:paraId="1E6A31B8"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6B021FAE" w14:textId="77777777" w:rsidR="00A46B68" w:rsidRPr="00DD3B0B" w:rsidRDefault="00A46B68" w:rsidP="00AB0D75">
            <w:pPr>
              <w:spacing w:line="240" w:lineRule="auto"/>
              <w:ind w:left="288" w:hanging="288"/>
              <w:rPr>
                <w:color w:val="000000"/>
              </w:rPr>
            </w:pPr>
            <w:r w:rsidRPr="00DD3B0B">
              <w:rPr>
                <w:color w:val="000000"/>
              </w:rPr>
              <w:t>Adaptive-response sensory-kinase SasA</w:t>
            </w:r>
          </w:p>
        </w:tc>
      </w:tr>
      <w:tr w:rsidR="00A46B68" w:rsidRPr="00502B03" w14:paraId="2E71D2A6" w14:textId="77777777" w:rsidTr="002E3F44">
        <w:trPr>
          <w:trHeight w:val="20"/>
        </w:trPr>
        <w:tc>
          <w:tcPr>
            <w:tcW w:w="864" w:type="dxa"/>
            <w:tcBorders>
              <w:top w:val="nil"/>
              <w:left w:val="nil"/>
              <w:bottom w:val="nil"/>
              <w:right w:val="nil"/>
            </w:tcBorders>
            <w:shd w:val="clear" w:color="auto" w:fill="auto"/>
            <w:noWrap/>
            <w:hideMark/>
          </w:tcPr>
          <w:p w14:paraId="7A49824A" w14:textId="77777777" w:rsidR="00A46B68" w:rsidRPr="00DD3B0B" w:rsidRDefault="00A46B68" w:rsidP="00A46B68">
            <w:pPr>
              <w:spacing w:line="240" w:lineRule="auto"/>
              <w:ind w:firstLine="0"/>
              <w:rPr>
                <w:color w:val="000000"/>
              </w:rPr>
            </w:pPr>
            <w:r w:rsidRPr="00DD3B0B">
              <w:rPr>
                <w:color w:val="000000"/>
              </w:rPr>
              <w:t>03476</w:t>
            </w:r>
          </w:p>
        </w:tc>
        <w:tc>
          <w:tcPr>
            <w:tcW w:w="1083" w:type="dxa"/>
            <w:tcBorders>
              <w:top w:val="nil"/>
              <w:left w:val="nil"/>
              <w:bottom w:val="nil"/>
              <w:right w:val="nil"/>
            </w:tcBorders>
            <w:shd w:val="clear" w:color="auto" w:fill="auto"/>
            <w:noWrap/>
            <w:hideMark/>
          </w:tcPr>
          <w:p w14:paraId="71183D87" w14:textId="77777777" w:rsidR="00A46B68" w:rsidRPr="00DD3B0B" w:rsidRDefault="00A46B68" w:rsidP="00A46B68">
            <w:pPr>
              <w:spacing w:line="240" w:lineRule="auto"/>
              <w:ind w:firstLine="0"/>
              <w:jc w:val="center"/>
              <w:rPr>
                <w:color w:val="000000"/>
              </w:rPr>
            </w:pPr>
            <w:r w:rsidRPr="00DD3B0B">
              <w:rPr>
                <w:color w:val="000000"/>
              </w:rPr>
              <w:t>-1.097</w:t>
            </w:r>
          </w:p>
        </w:tc>
        <w:tc>
          <w:tcPr>
            <w:tcW w:w="1152" w:type="dxa"/>
            <w:tcBorders>
              <w:top w:val="nil"/>
              <w:left w:val="nil"/>
              <w:bottom w:val="nil"/>
              <w:right w:val="nil"/>
            </w:tcBorders>
            <w:shd w:val="clear" w:color="auto" w:fill="auto"/>
            <w:noWrap/>
            <w:hideMark/>
          </w:tcPr>
          <w:p w14:paraId="49FD4C91" w14:textId="77777777" w:rsidR="00A46B68" w:rsidRPr="00DD3B0B" w:rsidRDefault="00A46B68" w:rsidP="00A46B68">
            <w:pPr>
              <w:spacing w:line="240" w:lineRule="auto"/>
              <w:ind w:firstLine="0"/>
              <w:jc w:val="center"/>
              <w:rPr>
                <w:color w:val="000000"/>
              </w:rPr>
            </w:pPr>
            <w:r w:rsidRPr="00DD3B0B">
              <w:rPr>
                <w:color w:val="000000"/>
              </w:rPr>
              <w:t>4.31E-02</w:t>
            </w:r>
          </w:p>
        </w:tc>
        <w:tc>
          <w:tcPr>
            <w:tcW w:w="1297" w:type="dxa"/>
            <w:tcBorders>
              <w:top w:val="nil"/>
              <w:left w:val="nil"/>
              <w:bottom w:val="nil"/>
              <w:right w:val="nil"/>
            </w:tcBorders>
            <w:shd w:val="clear" w:color="auto" w:fill="auto"/>
            <w:noWrap/>
            <w:hideMark/>
          </w:tcPr>
          <w:p w14:paraId="156F3F81"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67E3EFC2" w14:textId="77777777" w:rsidR="00A46B68" w:rsidRPr="00DD3B0B" w:rsidRDefault="00A46B68" w:rsidP="00AB0D75">
            <w:pPr>
              <w:spacing w:line="240" w:lineRule="auto"/>
              <w:ind w:left="288" w:hanging="288"/>
              <w:rPr>
                <w:color w:val="000000"/>
              </w:rPr>
            </w:pPr>
            <w:r w:rsidRPr="00DD3B0B">
              <w:rPr>
                <w:color w:val="000000"/>
              </w:rPr>
              <w:t>Fungalysin metallopeptidase (M36)</w:t>
            </w:r>
          </w:p>
        </w:tc>
      </w:tr>
      <w:tr w:rsidR="00A46B68" w:rsidRPr="00502B03" w14:paraId="1C5F2F02" w14:textId="77777777" w:rsidTr="002E3F44">
        <w:trPr>
          <w:trHeight w:val="20"/>
        </w:trPr>
        <w:tc>
          <w:tcPr>
            <w:tcW w:w="864" w:type="dxa"/>
            <w:tcBorders>
              <w:top w:val="nil"/>
              <w:left w:val="nil"/>
              <w:bottom w:val="nil"/>
              <w:right w:val="nil"/>
            </w:tcBorders>
            <w:shd w:val="clear" w:color="auto" w:fill="auto"/>
            <w:noWrap/>
            <w:hideMark/>
          </w:tcPr>
          <w:p w14:paraId="5FAAF6BB" w14:textId="77777777" w:rsidR="00A46B68" w:rsidRPr="00DD3B0B" w:rsidRDefault="00A46B68" w:rsidP="00A46B68">
            <w:pPr>
              <w:spacing w:line="240" w:lineRule="auto"/>
              <w:ind w:firstLine="0"/>
              <w:rPr>
                <w:color w:val="000000"/>
              </w:rPr>
            </w:pPr>
            <w:r w:rsidRPr="00DD3B0B">
              <w:rPr>
                <w:color w:val="000000"/>
              </w:rPr>
              <w:t>00158</w:t>
            </w:r>
          </w:p>
        </w:tc>
        <w:tc>
          <w:tcPr>
            <w:tcW w:w="1083" w:type="dxa"/>
            <w:tcBorders>
              <w:top w:val="nil"/>
              <w:left w:val="nil"/>
              <w:bottom w:val="nil"/>
              <w:right w:val="nil"/>
            </w:tcBorders>
            <w:shd w:val="clear" w:color="auto" w:fill="auto"/>
            <w:noWrap/>
            <w:hideMark/>
          </w:tcPr>
          <w:p w14:paraId="3CC84843" w14:textId="77777777" w:rsidR="00A46B68" w:rsidRPr="00DD3B0B" w:rsidRDefault="00A46B68" w:rsidP="00A46B68">
            <w:pPr>
              <w:spacing w:line="240" w:lineRule="auto"/>
              <w:ind w:firstLine="0"/>
              <w:jc w:val="center"/>
              <w:rPr>
                <w:color w:val="000000"/>
              </w:rPr>
            </w:pPr>
            <w:r w:rsidRPr="00DD3B0B">
              <w:rPr>
                <w:color w:val="000000"/>
              </w:rPr>
              <w:t>-1.103</w:t>
            </w:r>
          </w:p>
        </w:tc>
        <w:tc>
          <w:tcPr>
            <w:tcW w:w="1152" w:type="dxa"/>
            <w:tcBorders>
              <w:top w:val="nil"/>
              <w:left w:val="nil"/>
              <w:bottom w:val="nil"/>
              <w:right w:val="nil"/>
            </w:tcBorders>
            <w:shd w:val="clear" w:color="auto" w:fill="auto"/>
            <w:noWrap/>
            <w:hideMark/>
          </w:tcPr>
          <w:p w14:paraId="6A89147E" w14:textId="77777777" w:rsidR="00A46B68" w:rsidRPr="00DD3B0B" w:rsidRDefault="00A46B68" w:rsidP="00A46B68">
            <w:pPr>
              <w:spacing w:line="240" w:lineRule="auto"/>
              <w:ind w:firstLine="0"/>
              <w:jc w:val="center"/>
              <w:rPr>
                <w:color w:val="000000"/>
              </w:rPr>
            </w:pPr>
            <w:r w:rsidRPr="00DD3B0B">
              <w:rPr>
                <w:color w:val="000000"/>
              </w:rPr>
              <w:t>1.84E-02</w:t>
            </w:r>
          </w:p>
        </w:tc>
        <w:tc>
          <w:tcPr>
            <w:tcW w:w="1297" w:type="dxa"/>
            <w:tcBorders>
              <w:top w:val="nil"/>
              <w:left w:val="nil"/>
              <w:bottom w:val="nil"/>
              <w:right w:val="nil"/>
            </w:tcBorders>
            <w:shd w:val="clear" w:color="auto" w:fill="auto"/>
            <w:noWrap/>
            <w:hideMark/>
          </w:tcPr>
          <w:p w14:paraId="27E42408"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7646FCDA" w14:textId="77777777" w:rsidR="00A46B68" w:rsidRPr="00DD3B0B" w:rsidRDefault="00A46B68" w:rsidP="00AB0D75">
            <w:pPr>
              <w:spacing w:line="240" w:lineRule="auto"/>
              <w:ind w:left="288" w:hanging="288"/>
              <w:rPr>
                <w:color w:val="000000"/>
              </w:rPr>
            </w:pPr>
            <w:r w:rsidRPr="00DD3B0B">
              <w:rPr>
                <w:color w:val="000000"/>
              </w:rPr>
              <w:t>Thioredoxin reductase</w:t>
            </w:r>
          </w:p>
        </w:tc>
      </w:tr>
      <w:tr w:rsidR="00A46B68" w:rsidRPr="00502B03" w14:paraId="3BB8ECB4" w14:textId="77777777" w:rsidTr="002E3F44">
        <w:trPr>
          <w:trHeight w:val="20"/>
        </w:trPr>
        <w:tc>
          <w:tcPr>
            <w:tcW w:w="864" w:type="dxa"/>
            <w:tcBorders>
              <w:top w:val="nil"/>
              <w:left w:val="nil"/>
              <w:bottom w:val="nil"/>
              <w:right w:val="nil"/>
            </w:tcBorders>
            <w:shd w:val="clear" w:color="auto" w:fill="auto"/>
            <w:noWrap/>
            <w:hideMark/>
          </w:tcPr>
          <w:p w14:paraId="0A9B244A" w14:textId="77777777" w:rsidR="00A46B68" w:rsidRPr="00DD3B0B" w:rsidRDefault="00A46B68" w:rsidP="00A46B68">
            <w:pPr>
              <w:spacing w:line="240" w:lineRule="auto"/>
              <w:ind w:firstLine="0"/>
              <w:rPr>
                <w:color w:val="000000"/>
              </w:rPr>
            </w:pPr>
            <w:r w:rsidRPr="00DD3B0B">
              <w:rPr>
                <w:color w:val="000000"/>
              </w:rPr>
              <w:lastRenderedPageBreak/>
              <w:t>02073</w:t>
            </w:r>
          </w:p>
        </w:tc>
        <w:tc>
          <w:tcPr>
            <w:tcW w:w="1083" w:type="dxa"/>
            <w:tcBorders>
              <w:top w:val="nil"/>
              <w:left w:val="nil"/>
              <w:bottom w:val="nil"/>
              <w:right w:val="nil"/>
            </w:tcBorders>
            <w:shd w:val="clear" w:color="auto" w:fill="auto"/>
            <w:noWrap/>
            <w:hideMark/>
          </w:tcPr>
          <w:p w14:paraId="7CCBE613" w14:textId="77777777" w:rsidR="00A46B68" w:rsidRPr="00DD3B0B" w:rsidRDefault="00A46B68" w:rsidP="00A46B68">
            <w:pPr>
              <w:spacing w:line="240" w:lineRule="auto"/>
              <w:ind w:firstLine="0"/>
              <w:jc w:val="center"/>
              <w:rPr>
                <w:color w:val="000000"/>
              </w:rPr>
            </w:pPr>
            <w:r w:rsidRPr="00DD3B0B">
              <w:rPr>
                <w:color w:val="000000"/>
              </w:rPr>
              <w:t>-1.117</w:t>
            </w:r>
          </w:p>
        </w:tc>
        <w:tc>
          <w:tcPr>
            <w:tcW w:w="1152" w:type="dxa"/>
            <w:tcBorders>
              <w:top w:val="nil"/>
              <w:left w:val="nil"/>
              <w:bottom w:val="nil"/>
              <w:right w:val="nil"/>
            </w:tcBorders>
            <w:shd w:val="clear" w:color="auto" w:fill="auto"/>
            <w:noWrap/>
            <w:hideMark/>
          </w:tcPr>
          <w:p w14:paraId="354653C6" w14:textId="77777777" w:rsidR="00A46B68" w:rsidRPr="00DD3B0B" w:rsidRDefault="00A46B68" w:rsidP="00A46B68">
            <w:pPr>
              <w:spacing w:line="240" w:lineRule="auto"/>
              <w:ind w:firstLine="0"/>
              <w:jc w:val="center"/>
              <w:rPr>
                <w:color w:val="000000"/>
              </w:rPr>
            </w:pPr>
            <w:r w:rsidRPr="00DD3B0B">
              <w:rPr>
                <w:color w:val="000000"/>
              </w:rPr>
              <w:t>1.68E-02</w:t>
            </w:r>
          </w:p>
        </w:tc>
        <w:tc>
          <w:tcPr>
            <w:tcW w:w="1297" w:type="dxa"/>
            <w:tcBorders>
              <w:top w:val="nil"/>
              <w:left w:val="nil"/>
              <w:bottom w:val="nil"/>
              <w:right w:val="nil"/>
            </w:tcBorders>
            <w:shd w:val="clear" w:color="auto" w:fill="auto"/>
            <w:noWrap/>
            <w:hideMark/>
          </w:tcPr>
          <w:p w14:paraId="6608A9EB"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756B9826" w14:textId="77777777" w:rsidR="00A46B68" w:rsidRPr="00DD3B0B" w:rsidRDefault="00A46B68" w:rsidP="00AB0D75">
            <w:pPr>
              <w:spacing w:line="240" w:lineRule="auto"/>
              <w:ind w:left="288" w:hanging="288"/>
              <w:rPr>
                <w:color w:val="000000"/>
              </w:rPr>
            </w:pPr>
            <w:r w:rsidRPr="00DD3B0B">
              <w:rPr>
                <w:color w:val="000000"/>
              </w:rPr>
              <w:t>Ferritin-like domain</w:t>
            </w:r>
          </w:p>
        </w:tc>
      </w:tr>
      <w:tr w:rsidR="00A46B68" w:rsidRPr="00502B03" w14:paraId="015ECAE9" w14:textId="77777777" w:rsidTr="002E3F44">
        <w:trPr>
          <w:trHeight w:val="20"/>
        </w:trPr>
        <w:tc>
          <w:tcPr>
            <w:tcW w:w="864" w:type="dxa"/>
            <w:tcBorders>
              <w:top w:val="nil"/>
              <w:left w:val="nil"/>
              <w:bottom w:val="nil"/>
              <w:right w:val="nil"/>
            </w:tcBorders>
            <w:shd w:val="clear" w:color="auto" w:fill="auto"/>
            <w:noWrap/>
            <w:hideMark/>
          </w:tcPr>
          <w:p w14:paraId="405D9BD1" w14:textId="77777777" w:rsidR="00A46B68" w:rsidRPr="00DD3B0B" w:rsidRDefault="00A46B68" w:rsidP="00A46B68">
            <w:pPr>
              <w:spacing w:line="240" w:lineRule="auto"/>
              <w:ind w:firstLine="0"/>
              <w:rPr>
                <w:color w:val="000000"/>
              </w:rPr>
            </w:pPr>
            <w:r w:rsidRPr="00DD3B0B">
              <w:rPr>
                <w:color w:val="000000"/>
              </w:rPr>
              <w:t>02907</w:t>
            </w:r>
          </w:p>
        </w:tc>
        <w:tc>
          <w:tcPr>
            <w:tcW w:w="1083" w:type="dxa"/>
            <w:tcBorders>
              <w:top w:val="nil"/>
              <w:left w:val="nil"/>
              <w:bottom w:val="nil"/>
              <w:right w:val="nil"/>
            </w:tcBorders>
            <w:shd w:val="clear" w:color="auto" w:fill="auto"/>
            <w:noWrap/>
            <w:hideMark/>
          </w:tcPr>
          <w:p w14:paraId="622F8660" w14:textId="77777777" w:rsidR="00A46B68" w:rsidRPr="00DD3B0B" w:rsidRDefault="00A46B68" w:rsidP="00A46B68">
            <w:pPr>
              <w:spacing w:line="240" w:lineRule="auto"/>
              <w:ind w:firstLine="0"/>
              <w:jc w:val="center"/>
              <w:rPr>
                <w:color w:val="000000"/>
              </w:rPr>
            </w:pPr>
            <w:r w:rsidRPr="00DD3B0B">
              <w:rPr>
                <w:color w:val="000000"/>
              </w:rPr>
              <w:t>-1.121</w:t>
            </w:r>
          </w:p>
        </w:tc>
        <w:tc>
          <w:tcPr>
            <w:tcW w:w="1152" w:type="dxa"/>
            <w:tcBorders>
              <w:top w:val="nil"/>
              <w:left w:val="nil"/>
              <w:bottom w:val="nil"/>
              <w:right w:val="nil"/>
            </w:tcBorders>
            <w:shd w:val="clear" w:color="auto" w:fill="auto"/>
            <w:noWrap/>
            <w:hideMark/>
          </w:tcPr>
          <w:p w14:paraId="54430ED4" w14:textId="77777777" w:rsidR="00A46B68" w:rsidRPr="00DD3B0B" w:rsidRDefault="00A46B68" w:rsidP="00A46B68">
            <w:pPr>
              <w:spacing w:line="240" w:lineRule="auto"/>
              <w:ind w:firstLine="0"/>
              <w:jc w:val="center"/>
              <w:rPr>
                <w:color w:val="000000"/>
              </w:rPr>
            </w:pPr>
            <w:r w:rsidRPr="00DD3B0B">
              <w:rPr>
                <w:color w:val="000000"/>
              </w:rPr>
              <w:t>2.67E-03</w:t>
            </w:r>
          </w:p>
        </w:tc>
        <w:tc>
          <w:tcPr>
            <w:tcW w:w="1297" w:type="dxa"/>
            <w:tcBorders>
              <w:top w:val="nil"/>
              <w:left w:val="nil"/>
              <w:bottom w:val="nil"/>
              <w:right w:val="nil"/>
            </w:tcBorders>
            <w:shd w:val="clear" w:color="auto" w:fill="auto"/>
            <w:noWrap/>
            <w:hideMark/>
          </w:tcPr>
          <w:p w14:paraId="2B9CC1D2"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37C450DC" w14:textId="77777777" w:rsidR="00A46B68" w:rsidRPr="00DD3B0B" w:rsidRDefault="00A46B68" w:rsidP="00AB0D75">
            <w:pPr>
              <w:spacing w:line="240" w:lineRule="auto"/>
              <w:ind w:left="288" w:hanging="288"/>
              <w:rPr>
                <w:color w:val="000000"/>
              </w:rPr>
            </w:pPr>
            <w:r w:rsidRPr="00DD3B0B">
              <w:rPr>
                <w:color w:val="000000"/>
              </w:rPr>
              <w:t>X-Pro dipeptidyl-peptidase (S15 family)</w:t>
            </w:r>
          </w:p>
        </w:tc>
      </w:tr>
      <w:tr w:rsidR="00A46B68" w:rsidRPr="00502B03" w14:paraId="6180E13F" w14:textId="77777777" w:rsidTr="002E3F44">
        <w:trPr>
          <w:trHeight w:val="20"/>
        </w:trPr>
        <w:tc>
          <w:tcPr>
            <w:tcW w:w="864" w:type="dxa"/>
            <w:tcBorders>
              <w:top w:val="nil"/>
              <w:left w:val="nil"/>
              <w:bottom w:val="nil"/>
              <w:right w:val="nil"/>
            </w:tcBorders>
            <w:shd w:val="clear" w:color="auto" w:fill="auto"/>
            <w:noWrap/>
            <w:hideMark/>
          </w:tcPr>
          <w:p w14:paraId="2C9B0EF5" w14:textId="77777777" w:rsidR="00A46B68" w:rsidRPr="00DD3B0B" w:rsidRDefault="00A46B68" w:rsidP="00A46B68">
            <w:pPr>
              <w:spacing w:line="240" w:lineRule="auto"/>
              <w:ind w:firstLine="0"/>
              <w:rPr>
                <w:color w:val="000000"/>
              </w:rPr>
            </w:pPr>
            <w:r w:rsidRPr="00DD3B0B">
              <w:rPr>
                <w:color w:val="000000"/>
              </w:rPr>
              <w:t>01865</w:t>
            </w:r>
          </w:p>
        </w:tc>
        <w:tc>
          <w:tcPr>
            <w:tcW w:w="1083" w:type="dxa"/>
            <w:tcBorders>
              <w:top w:val="nil"/>
              <w:left w:val="nil"/>
              <w:bottom w:val="nil"/>
              <w:right w:val="nil"/>
            </w:tcBorders>
            <w:shd w:val="clear" w:color="auto" w:fill="auto"/>
            <w:noWrap/>
            <w:hideMark/>
          </w:tcPr>
          <w:p w14:paraId="53999D54" w14:textId="77777777" w:rsidR="00A46B68" w:rsidRPr="00DD3B0B" w:rsidRDefault="00A46B68" w:rsidP="00A46B68">
            <w:pPr>
              <w:spacing w:line="240" w:lineRule="auto"/>
              <w:ind w:firstLine="0"/>
              <w:jc w:val="center"/>
              <w:rPr>
                <w:color w:val="000000"/>
              </w:rPr>
            </w:pPr>
            <w:r w:rsidRPr="00DD3B0B">
              <w:rPr>
                <w:color w:val="000000"/>
              </w:rPr>
              <w:t>-1.133</w:t>
            </w:r>
          </w:p>
        </w:tc>
        <w:tc>
          <w:tcPr>
            <w:tcW w:w="1152" w:type="dxa"/>
            <w:tcBorders>
              <w:top w:val="nil"/>
              <w:left w:val="nil"/>
              <w:bottom w:val="nil"/>
              <w:right w:val="nil"/>
            </w:tcBorders>
            <w:shd w:val="clear" w:color="auto" w:fill="auto"/>
            <w:noWrap/>
            <w:hideMark/>
          </w:tcPr>
          <w:p w14:paraId="47357A11" w14:textId="77777777" w:rsidR="00A46B68" w:rsidRPr="00DD3B0B" w:rsidRDefault="00A46B68" w:rsidP="00A46B68">
            <w:pPr>
              <w:spacing w:line="240" w:lineRule="auto"/>
              <w:ind w:firstLine="0"/>
              <w:jc w:val="center"/>
              <w:rPr>
                <w:color w:val="000000"/>
              </w:rPr>
            </w:pPr>
            <w:r w:rsidRPr="00DD3B0B">
              <w:rPr>
                <w:color w:val="000000"/>
              </w:rPr>
              <w:t>5.90E-03</w:t>
            </w:r>
          </w:p>
        </w:tc>
        <w:tc>
          <w:tcPr>
            <w:tcW w:w="1297" w:type="dxa"/>
            <w:tcBorders>
              <w:top w:val="nil"/>
              <w:left w:val="nil"/>
              <w:bottom w:val="nil"/>
              <w:right w:val="nil"/>
            </w:tcBorders>
            <w:shd w:val="clear" w:color="auto" w:fill="auto"/>
            <w:noWrap/>
            <w:hideMark/>
          </w:tcPr>
          <w:p w14:paraId="6998B889" w14:textId="77777777" w:rsidR="00A46B68" w:rsidRPr="00DD3B0B" w:rsidRDefault="00A46B68" w:rsidP="00A46B68">
            <w:pPr>
              <w:spacing w:line="240" w:lineRule="auto"/>
              <w:ind w:firstLine="0"/>
              <w:jc w:val="center"/>
              <w:rPr>
                <w:color w:val="000000"/>
              </w:rPr>
            </w:pP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22EC6239" w14:textId="77777777" w:rsidR="00A46B68" w:rsidRPr="00DD3B0B" w:rsidRDefault="00A46B68" w:rsidP="00AB0D75">
            <w:pPr>
              <w:spacing w:line="240" w:lineRule="auto"/>
              <w:ind w:left="288" w:hanging="288"/>
              <w:rPr>
                <w:color w:val="000000"/>
              </w:rPr>
            </w:pPr>
            <w:r w:rsidRPr="00DD3B0B">
              <w:rPr>
                <w:color w:val="000000"/>
              </w:rPr>
              <w:t>TatD related DNase</w:t>
            </w:r>
          </w:p>
        </w:tc>
      </w:tr>
      <w:tr w:rsidR="00A46B68" w:rsidRPr="00502B03" w14:paraId="52482786" w14:textId="77777777" w:rsidTr="002E3F44">
        <w:trPr>
          <w:trHeight w:val="20"/>
        </w:trPr>
        <w:tc>
          <w:tcPr>
            <w:tcW w:w="864" w:type="dxa"/>
            <w:tcBorders>
              <w:top w:val="nil"/>
              <w:left w:val="nil"/>
              <w:bottom w:val="nil"/>
              <w:right w:val="nil"/>
            </w:tcBorders>
            <w:shd w:val="clear" w:color="auto" w:fill="auto"/>
            <w:noWrap/>
            <w:hideMark/>
          </w:tcPr>
          <w:p w14:paraId="284E2519" w14:textId="77777777" w:rsidR="00A46B68" w:rsidRPr="00DD3B0B" w:rsidRDefault="00A46B68" w:rsidP="00A46B68">
            <w:pPr>
              <w:spacing w:line="240" w:lineRule="auto"/>
              <w:ind w:firstLine="0"/>
              <w:rPr>
                <w:color w:val="000000"/>
              </w:rPr>
            </w:pPr>
            <w:r w:rsidRPr="00DD3B0B">
              <w:rPr>
                <w:color w:val="000000"/>
              </w:rPr>
              <w:t>02085</w:t>
            </w:r>
          </w:p>
        </w:tc>
        <w:tc>
          <w:tcPr>
            <w:tcW w:w="1083" w:type="dxa"/>
            <w:tcBorders>
              <w:top w:val="nil"/>
              <w:left w:val="nil"/>
              <w:bottom w:val="nil"/>
              <w:right w:val="nil"/>
            </w:tcBorders>
            <w:shd w:val="clear" w:color="auto" w:fill="auto"/>
            <w:noWrap/>
            <w:hideMark/>
          </w:tcPr>
          <w:p w14:paraId="58F2098C" w14:textId="77777777" w:rsidR="00A46B68" w:rsidRPr="00DD3B0B" w:rsidRDefault="00A46B68" w:rsidP="00A46B68">
            <w:pPr>
              <w:spacing w:line="240" w:lineRule="auto"/>
              <w:ind w:firstLine="0"/>
              <w:jc w:val="center"/>
              <w:rPr>
                <w:color w:val="000000"/>
              </w:rPr>
            </w:pPr>
            <w:r w:rsidRPr="00DD3B0B">
              <w:rPr>
                <w:color w:val="000000"/>
              </w:rPr>
              <w:t>-1.152</w:t>
            </w:r>
          </w:p>
        </w:tc>
        <w:tc>
          <w:tcPr>
            <w:tcW w:w="1152" w:type="dxa"/>
            <w:tcBorders>
              <w:top w:val="nil"/>
              <w:left w:val="nil"/>
              <w:bottom w:val="nil"/>
              <w:right w:val="nil"/>
            </w:tcBorders>
            <w:shd w:val="clear" w:color="auto" w:fill="auto"/>
            <w:noWrap/>
            <w:hideMark/>
          </w:tcPr>
          <w:p w14:paraId="5865150D" w14:textId="77777777" w:rsidR="00A46B68" w:rsidRPr="00DD3B0B" w:rsidRDefault="00A46B68" w:rsidP="00A46B68">
            <w:pPr>
              <w:spacing w:line="240" w:lineRule="auto"/>
              <w:ind w:firstLine="0"/>
              <w:jc w:val="center"/>
              <w:rPr>
                <w:color w:val="000000"/>
              </w:rPr>
            </w:pPr>
            <w:r w:rsidRPr="00DD3B0B">
              <w:rPr>
                <w:color w:val="000000"/>
              </w:rPr>
              <w:t>4.52E-04</w:t>
            </w:r>
          </w:p>
        </w:tc>
        <w:tc>
          <w:tcPr>
            <w:tcW w:w="1297" w:type="dxa"/>
            <w:tcBorders>
              <w:top w:val="nil"/>
              <w:left w:val="nil"/>
              <w:bottom w:val="nil"/>
              <w:right w:val="nil"/>
            </w:tcBorders>
            <w:shd w:val="clear" w:color="auto" w:fill="auto"/>
            <w:noWrap/>
            <w:hideMark/>
          </w:tcPr>
          <w:p w14:paraId="38E581B8"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57AE3C32" w14:textId="77777777" w:rsidR="00A46B68" w:rsidRPr="00DD3B0B" w:rsidRDefault="00A46B68" w:rsidP="00AB0D75">
            <w:pPr>
              <w:spacing w:line="240" w:lineRule="auto"/>
              <w:ind w:left="288" w:hanging="288"/>
              <w:rPr>
                <w:color w:val="000000"/>
              </w:rPr>
            </w:pPr>
            <w:r w:rsidRPr="00DD3B0B">
              <w:rPr>
                <w:color w:val="000000"/>
              </w:rPr>
              <w:t>6-hydroxy-D-nicotine oxidase</w:t>
            </w:r>
          </w:p>
        </w:tc>
      </w:tr>
      <w:tr w:rsidR="00A46B68" w:rsidRPr="00502B03" w14:paraId="6B73A39A" w14:textId="77777777" w:rsidTr="002E3F44">
        <w:trPr>
          <w:trHeight w:val="20"/>
        </w:trPr>
        <w:tc>
          <w:tcPr>
            <w:tcW w:w="864" w:type="dxa"/>
            <w:tcBorders>
              <w:top w:val="nil"/>
              <w:left w:val="nil"/>
              <w:bottom w:val="nil"/>
              <w:right w:val="nil"/>
            </w:tcBorders>
            <w:shd w:val="clear" w:color="auto" w:fill="auto"/>
            <w:noWrap/>
            <w:hideMark/>
          </w:tcPr>
          <w:p w14:paraId="352125F5" w14:textId="77777777" w:rsidR="00A46B68" w:rsidRPr="00DD3B0B" w:rsidRDefault="00A46B68" w:rsidP="00A46B68">
            <w:pPr>
              <w:spacing w:line="240" w:lineRule="auto"/>
              <w:ind w:firstLine="0"/>
              <w:rPr>
                <w:color w:val="000000"/>
              </w:rPr>
            </w:pPr>
            <w:r w:rsidRPr="00DD3B0B">
              <w:rPr>
                <w:color w:val="000000"/>
              </w:rPr>
              <w:t>01458</w:t>
            </w:r>
          </w:p>
        </w:tc>
        <w:tc>
          <w:tcPr>
            <w:tcW w:w="1083" w:type="dxa"/>
            <w:tcBorders>
              <w:top w:val="nil"/>
              <w:left w:val="nil"/>
              <w:bottom w:val="nil"/>
              <w:right w:val="nil"/>
            </w:tcBorders>
            <w:shd w:val="clear" w:color="auto" w:fill="auto"/>
            <w:noWrap/>
            <w:hideMark/>
          </w:tcPr>
          <w:p w14:paraId="53B9FF85" w14:textId="77777777" w:rsidR="00A46B68" w:rsidRPr="00DD3B0B" w:rsidRDefault="00A46B68" w:rsidP="00A46B68">
            <w:pPr>
              <w:spacing w:line="240" w:lineRule="auto"/>
              <w:ind w:firstLine="0"/>
              <w:jc w:val="center"/>
              <w:rPr>
                <w:color w:val="000000"/>
              </w:rPr>
            </w:pPr>
            <w:r w:rsidRPr="00DD3B0B">
              <w:rPr>
                <w:color w:val="000000"/>
              </w:rPr>
              <w:t>-1.160</w:t>
            </w:r>
          </w:p>
        </w:tc>
        <w:tc>
          <w:tcPr>
            <w:tcW w:w="1152" w:type="dxa"/>
            <w:tcBorders>
              <w:top w:val="nil"/>
              <w:left w:val="nil"/>
              <w:bottom w:val="nil"/>
              <w:right w:val="nil"/>
            </w:tcBorders>
            <w:shd w:val="clear" w:color="auto" w:fill="auto"/>
            <w:noWrap/>
            <w:hideMark/>
          </w:tcPr>
          <w:p w14:paraId="218C7127" w14:textId="77777777" w:rsidR="00A46B68" w:rsidRPr="00DD3B0B" w:rsidRDefault="00A46B68" w:rsidP="00A46B68">
            <w:pPr>
              <w:spacing w:line="240" w:lineRule="auto"/>
              <w:ind w:firstLine="0"/>
              <w:jc w:val="center"/>
              <w:rPr>
                <w:color w:val="000000"/>
              </w:rPr>
            </w:pPr>
            <w:r w:rsidRPr="00DD3B0B">
              <w:rPr>
                <w:color w:val="000000"/>
              </w:rPr>
              <w:t>1.54E-02</w:t>
            </w:r>
          </w:p>
        </w:tc>
        <w:tc>
          <w:tcPr>
            <w:tcW w:w="1297" w:type="dxa"/>
            <w:tcBorders>
              <w:top w:val="nil"/>
              <w:left w:val="nil"/>
              <w:bottom w:val="nil"/>
              <w:right w:val="nil"/>
            </w:tcBorders>
            <w:shd w:val="clear" w:color="auto" w:fill="auto"/>
            <w:noWrap/>
            <w:hideMark/>
          </w:tcPr>
          <w:p w14:paraId="23DDA4DC"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090A4E89" w14:textId="77777777" w:rsidR="00A46B68" w:rsidRPr="00DD3B0B" w:rsidRDefault="00A46B68" w:rsidP="00AB0D75">
            <w:pPr>
              <w:spacing w:line="240" w:lineRule="auto"/>
              <w:ind w:left="288" w:hanging="288"/>
              <w:rPr>
                <w:color w:val="000000"/>
              </w:rPr>
            </w:pPr>
            <w:r w:rsidRPr="00DD3B0B">
              <w:rPr>
                <w:color w:val="000000"/>
              </w:rPr>
              <w:t>Na</w:t>
            </w:r>
            <w:r>
              <w:rPr>
                <w:color w:val="000000"/>
                <w:vertAlign w:val="superscript"/>
              </w:rPr>
              <w:t>+</w:t>
            </w:r>
            <w:r w:rsidRPr="00DD3B0B">
              <w:rPr>
                <w:color w:val="000000"/>
              </w:rPr>
              <w:t>/H</w:t>
            </w:r>
            <w:r w:rsidRPr="00DD3B0B">
              <w:rPr>
                <w:color w:val="000000"/>
                <w:vertAlign w:val="superscript"/>
              </w:rPr>
              <w:t>+</w:t>
            </w:r>
            <w:r w:rsidRPr="00DD3B0B">
              <w:rPr>
                <w:color w:val="000000"/>
              </w:rPr>
              <w:t xml:space="preserve"> antiporter NhaG</w:t>
            </w:r>
          </w:p>
        </w:tc>
      </w:tr>
      <w:tr w:rsidR="00A46B68" w:rsidRPr="00502B03" w14:paraId="0B57249D" w14:textId="77777777" w:rsidTr="002E3F44">
        <w:trPr>
          <w:trHeight w:val="20"/>
        </w:trPr>
        <w:tc>
          <w:tcPr>
            <w:tcW w:w="864" w:type="dxa"/>
            <w:tcBorders>
              <w:top w:val="nil"/>
              <w:left w:val="nil"/>
              <w:bottom w:val="nil"/>
              <w:right w:val="nil"/>
            </w:tcBorders>
            <w:shd w:val="clear" w:color="auto" w:fill="auto"/>
            <w:noWrap/>
            <w:hideMark/>
          </w:tcPr>
          <w:p w14:paraId="4E582FE0" w14:textId="77777777" w:rsidR="00A46B68" w:rsidRPr="00DD3B0B" w:rsidRDefault="00A46B68" w:rsidP="00A46B68">
            <w:pPr>
              <w:spacing w:line="240" w:lineRule="auto"/>
              <w:ind w:firstLine="0"/>
              <w:rPr>
                <w:color w:val="000000"/>
              </w:rPr>
            </w:pPr>
            <w:r w:rsidRPr="00DD3B0B">
              <w:rPr>
                <w:color w:val="000000"/>
              </w:rPr>
              <w:t>00858</w:t>
            </w:r>
          </w:p>
        </w:tc>
        <w:tc>
          <w:tcPr>
            <w:tcW w:w="1083" w:type="dxa"/>
            <w:tcBorders>
              <w:top w:val="nil"/>
              <w:left w:val="nil"/>
              <w:bottom w:val="nil"/>
              <w:right w:val="nil"/>
            </w:tcBorders>
            <w:shd w:val="clear" w:color="auto" w:fill="auto"/>
            <w:noWrap/>
            <w:hideMark/>
          </w:tcPr>
          <w:p w14:paraId="283171A1" w14:textId="77777777" w:rsidR="00A46B68" w:rsidRPr="00DD3B0B" w:rsidRDefault="00A46B68" w:rsidP="00A46B68">
            <w:pPr>
              <w:spacing w:line="240" w:lineRule="auto"/>
              <w:ind w:firstLine="0"/>
              <w:jc w:val="center"/>
              <w:rPr>
                <w:color w:val="000000"/>
              </w:rPr>
            </w:pPr>
            <w:r w:rsidRPr="00DD3B0B">
              <w:rPr>
                <w:color w:val="000000"/>
              </w:rPr>
              <w:t>-1.174</w:t>
            </w:r>
          </w:p>
        </w:tc>
        <w:tc>
          <w:tcPr>
            <w:tcW w:w="1152" w:type="dxa"/>
            <w:tcBorders>
              <w:top w:val="nil"/>
              <w:left w:val="nil"/>
              <w:bottom w:val="nil"/>
              <w:right w:val="nil"/>
            </w:tcBorders>
            <w:shd w:val="clear" w:color="auto" w:fill="auto"/>
            <w:noWrap/>
            <w:hideMark/>
          </w:tcPr>
          <w:p w14:paraId="0BE0EB62" w14:textId="77777777" w:rsidR="00A46B68" w:rsidRPr="00DD3B0B" w:rsidRDefault="00A46B68" w:rsidP="00A46B68">
            <w:pPr>
              <w:spacing w:line="240" w:lineRule="auto"/>
              <w:ind w:firstLine="0"/>
              <w:jc w:val="center"/>
              <w:rPr>
                <w:color w:val="000000"/>
              </w:rPr>
            </w:pPr>
            <w:r w:rsidRPr="00DD3B0B">
              <w:rPr>
                <w:color w:val="000000"/>
              </w:rPr>
              <w:t>9.81E-03</w:t>
            </w:r>
          </w:p>
        </w:tc>
        <w:tc>
          <w:tcPr>
            <w:tcW w:w="1297" w:type="dxa"/>
            <w:tcBorders>
              <w:top w:val="nil"/>
              <w:left w:val="nil"/>
              <w:bottom w:val="nil"/>
              <w:right w:val="nil"/>
            </w:tcBorders>
            <w:shd w:val="clear" w:color="auto" w:fill="auto"/>
            <w:noWrap/>
            <w:hideMark/>
          </w:tcPr>
          <w:p w14:paraId="4EB2C36D"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3B00089C" w14:textId="77777777" w:rsidR="00A46B68" w:rsidRPr="00DD3B0B" w:rsidRDefault="00A46B68" w:rsidP="00AB0D75">
            <w:pPr>
              <w:spacing w:line="240" w:lineRule="auto"/>
              <w:ind w:left="288" w:hanging="288"/>
              <w:rPr>
                <w:color w:val="000000"/>
              </w:rPr>
            </w:pPr>
            <w:r w:rsidRPr="00DD3B0B">
              <w:rPr>
                <w:color w:val="000000"/>
              </w:rPr>
              <w:t>Formamidopyrimidine-D glycosylase</w:t>
            </w:r>
          </w:p>
        </w:tc>
      </w:tr>
      <w:tr w:rsidR="00A46B68" w:rsidRPr="00502B03" w14:paraId="5BB3DB5D" w14:textId="77777777" w:rsidTr="002E3F44">
        <w:trPr>
          <w:trHeight w:val="20"/>
        </w:trPr>
        <w:tc>
          <w:tcPr>
            <w:tcW w:w="864" w:type="dxa"/>
            <w:tcBorders>
              <w:top w:val="nil"/>
              <w:left w:val="nil"/>
              <w:bottom w:val="nil"/>
              <w:right w:val="nil"/>
            </w:tcBorders>
            <w:shd w:val="clear" w:color="auto" w:fill="auto"/>
            <w:noWrap/>
            <w:hideMark/>
          </w:tcPr>
          <w:p w14:paraId="292449A4" w14:textId="77777777" w:rsidR="00A46B68" w:rsidRPr="00DD3B0B" w:rsidRDefault="00A46B68" w:rsidP="00A46B68">
            <w:pPr>
              <w:spacing w:line="240" w:lineRule="auto"/>
              <w:ind w:firstLine="0"/>
              <w:rPr>
                <w:color w:val="000000"/>
              </w:rPr>
            </w:pPr>
            <w:r w:rsidRPr="00DD3B0B">
              <w:rPr>
                <w:color w:val="000000"/>
              </w:rPr>
              <w:t>01823</w:t>
            </w:r>
          </w:p>
        </w:tc>
        <w:tc>
          <w:tcPr>
            <w:tcW w:w="1083" w:type="dxa"/>
            <w:tcBorders>
              <w:top w:val="nil"/>
              <w:left w:val="nil"/>
              <w:bottom w:val="nil"/>
              <w:right w:val="nil"/>
            </w:tcBorders>
            <w:shd w:val="clear" w:color="auto" w:fill="auto"/>
            <w:noWrap/>
            <w:hideMark/>
          </w:tcPr>
          <w:p w14:paraId="7029F1AA" w14:textId="77777777" w:rsidR="00A46B68" w:rsidRPr="00DD3B0B" w:rsidRDefault="00A46B68" w:rsidP="00A46B68">
            <w:pPr>
              <w:spacing w:line="240" w:lineRule="auto"/>
              <w:ind w:firstLine="0"/>
              <w:jc w:val="center"/>
              <w:rPr>
                <w:color w:val="000000"/>
              </w:rPr>
            </w:pPr>
            <w:r w:rsidRPr="00DD3B0B">
              <w:rPr>
                <w:color w:val="000000"/>
              </w:rPr>
              <w:t>-1.182</w:t>
            </w:r>
          </w:p>
        </w:tc>
        <w:tc>
          <w:tcPr>
            <w:tcW w:w="1152" w:type="dxa"/>
            <w:tcBorders>
              <w:top w:val="nil"/>
              <w:left w:val="nil"/>
              <w:bottom w:val="nil"/>
              <w:right w:val="nil"/>
            </w:tcBorders>
            <w:shd w:val="clear" w:color="auto" w:fill="auto"/>
            <w:noWrap/>
            <w:hideMark/>
          </w:tcPr>
          <w:p w14:paraId="142905D7" w14:textId="77777777" w:rsidR="00A46B68" w:rsidRPr="00DD3B0B" w:rsidRDefault="00A46B68" w:rsidP="00A46B68">
            <w:pPr>
              <w:spacing w:line="240" w:lineRule="auto"/>
              <w:ind w:firstLine="0"/>
              <w:jc w:val="center"/>
              <w:rPr>
                <w:color w:val="000000"/>
              </w:rPr>
            </w:pPr>
            <w:r w:rsidRPr="00DD3B0B">
              <w:rPr>
                <w:color w:val="000000"/>
              </w:rPr>
              <w:t>2.18E-03</w:t>
            </w:r>
          </w:p>
        </w:tc>
        <w:tc>
          <w:tcPr>
            <w:tcW w:w="1297" w:type="dxa"/>
            <w:tcBorders>
              <w:top w:val="nil"/>
              <w:left w:val="nil"/>
              <w:bottom w:val="nil"/>
              <w:right w:val="nil"/>
            </w:tcBorders>
            <w:shd w:val="clear" w:color="auto" w:fill="auto"/>
            <w:noWrap/>
            <w:hideMark/>
          </w:tcPr>
          <w:p w14:paraId="04D1BEFC"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7D986DA9" w14:textId="77777777" w:rsidR="00A46B68" w:rsidRPr="00DD3B0B" w:rsidRDefault="00A46B68" w:rsidP="00AB0D75">
            <w:pPr>
              <w:spacing w:line="240" w:lineRule="auto"/>
              <w:ind w:left="288" w:hanging="288"/>
              <w:rPr>
                <w:color w:val="000000"/>
              </w:rPr>
            </w:pPr>
            <w:r w:rsidRPr="00DD3B0B">
              <w:rPr>
                <w:color w:val="000000"/>
              </w:rPr>
              <w:t>GDSL-like Lipase/Acylhydrolase family</w:t>
            </w:r>
          </w:p>
        </w:tc>
      </w:tr>
      <w:tr w:rsidR="00A46B68" w:rsidRPr="00502B03" w14:paraId="5BE01291" w14:textId="77777777" w:rsidTr="002E3F44">
        <w:trPr>
          <w:trHeight w:val="20"/>
        </w:trPr>
        <w:tc>
          <w:tcPr>
            <w:tcW w:w="864" w:type="dxa"/>
            <w:tcBorders>
              <w:top w:val="nil"/>
              <w:left w:val="nil"/>
              <w:bottom w:val="nil"/>
              <w:right w:val="nil"/>
            </w:tcBorders>
            <w:shd w:val="clear" w:color="auto" w:fill="auto"/>
            <w:noWrap/>
            <w:hideMark/>
          </w:tcPr>
          <w:p w14:paraId="1DF35913" w14:textId="77777777" w:rsidR="00A46B68" w:rsidRPr="00DD3B0B" w:rsidRDefault="00A46B68" w:rsidP="00A46B68">
            <w:pPr>
              <w:spacing w:line="240" w:lineRule="auto"/>
              <w:ind w:firstLine="0"/>
              <w:rPr>
                <w:color w:val="000000"/>
              </w:rPr>
            </w:pPr>
            <w:r w:rsidRPr="00DD3B0B">
              <w:rPr>
                <w:color w:val="000000"/>
              </w:rPr>
              <w:t>02406</w:t>
            </w:r>
          </w:p>
        </w:tc>
        <w:tc>
          <w:tcPr>
            <w:tcW w:w="1083" w:type="dxa"/>
            <w:tcBorders>
              <w:top w:val="nil"/>
              <w:left w:val="nil"/>
              <w:bottom w:val="nil"/>
              <w:right w:val="nil"/>
            </w:tcBorders>
            <w:shd w:val="clear" w:color="auto" w:fill="auto"/>
            <w:noWrap/>
            <w:hideMark/>
          </w:tcPr>
          <w:p w14:paraId="1BAD0306" w14:textId="77777777" w:rsidR="00A46B68" w:rsidRPr="00DD3B0B" w:rsidRDefault="00A46B68" w:rsidP="00A46B68">
            <w:pPr>
              <w:spacing w:line="240" w:lineRule="auto"/>
              <w:ind w:firstLine="0"/>
              <w:jc w:val="center"/>
              <w:rPr>
                <w:color w:val="000000"/>
              </w:rPr>
            </w:pPr>
            <w:r w:rsidRPr="00DD3B0B">
              <w:rPr>
                <w:color w:val="000000"/>
              </w:rPr>
              <w:t>-1.188</w:t>
            </w:r>
          </w:p>
        </w:tc>
        <w:tc>
          <w:tcPr>
            <w:tcW w:w="1152" w:type="dxa"/>
            <w:tcBorders>
              <w:top w:val="nil"/>
              <w:left w:val="nil"/>
              <w:bottom w:val="nil"/>
              <w:right w:val="nil"/>
            </w:tcBorders>
            <w:shd w:val="clear" w:color="auto" w:fill="auto"/>
            <w:noWrap/>
            <w:hideMark/>
          </w:tcPr>
          <w:p w14:paraId="5759BDD7" w14:textId="77777777" w:rsidR="00A46B68" w:rsidRPr="00DD3B0B" w:rsidRDefault="00A46B68" w:rsidP="00A46B68">
            <w:pPr>
              <w:spacing w:line="240" w:lineRule="auto"/>
              <w:ind w:firstLine="0"/>
              <w:jc w:val="center"/>
              <w:rPr>
                <w:color w:val="000000"/>
              </w:rPr>
            </w:pPr>
            <w:r w:rsidRPr="00DD3B0B">
              <w:rPr>
                <w:color w:val="000000"/>
              </w:rPr>
              <w:t>1.08E-02</w:t>
            </w:r>
          </w:p>
        </w:tc>
        <w:tc>
          <w:tcPr>
            <w:tcW w:w="1297" w:type="dxa"/>
            <w:tcBorders>
              <w:top w:val="nil"/>
              <w:left w:val="nil"/>
              <w:bottom w:val="nil"/>
              <w:right w:val="nil"/>
            </w:tcBorders>
            <w:shd w:val="clear" w:color="auto" w:fill="auto"/>
            <w:noWrap/>
            <w:hideMark/>
          </w:tcPr>
          <w:p w14:paraId="28D4D7F2"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086D158A" w14:textId="77777777" w:rsidR="00A46B68" w:rsidRPr="00DD3B0B" w:rsidRDefault="00A46B68" w:rsidP="00AB0D75">
            <w:pPr>
              <w:spacing w:line="240" w:lineRule="auto"/>
              <w:ind w:left="288" w:hanging="288"/>
              <w:rPr>
                <w:color w:val="000000"/>
              </w:rPr>
            </w:pPr>
            <w:r w:rsidRPr="00DD3B0B">
              <w:rPr>
                <w:color w:val="000000"/>
              </w:rPr>
              <w:t>Acyl-CoA dehydrogenase</w:t>
            </w:r>
          </w:p>
        </w:tc>
      </w:tr>
      <w:tr w:rsidR="00A46B68" w:rsidRPr="00502B03" w14:paraId="3A21EA61" w14:textId="77777777" w:rsidTr="002E3F44">
        <w:trPr>
          <w:trHeight w:val="20"/>
        </w:trPr>
        <w:tc>
          <w:tcPr>
            <w:tcW w:w="864" w:type="dxa"/>
            <w:tcBorders>
              <w:top w:val="nil"/>
              <w:left w:val="nil"/>
              <w:bottom w:val="nil"/>
              <w:right w:val="nil"/>
            </w:tcBorders>
            <w:shd w:val="clear" w:color="auto" w:fill="auto"/>
            <w:noWrap/>
            <w:hideMark/>
          </w:tcPr>
          <w:p w14:paraId="3E3530CC" w14:textId="77777777" w:rsidR="00A46B68" w:rsidRPr="00DD3B0B" w:rsidRDefault="00A46B68" w:rsidP="00A46B68">
            <w:pPr>
              <w:spacing w:line="240" w:lineRule="auto"/>
              <w:ind w:firstLine="0"/>
              <w:rPr>
                <w:color w:val="000000"/>
              </w:rPr>
            </w:pPr>
            <w:r w:rsidRPr="00DD3B0B">
              <w:rPr>
                <w:color w:val="000000"/>
              </w:rPr>
              <w:t>03291</w:t>
            </w:r>
          </w:p>
        </w:tc>
        <w:tc>
          <w:tcPr>
            <w:tcW w:w="1083" w:type="dxa"/>
            <w:tcBorders>
              <w:top w:val="nil"/>
              <w:left w:val="nil"/>
              <w:bottom w:val="nil"/>
              <w:right w:val="nil"/>
            </w:tcBorders>
            <w:shd w:val="clear" w:color="auto" w:fill="auto"/>
            <w:noWrap/>
            <w:hideMark/>
          </w:tcPr>
          <w:p w14:paraId="199DE012" w14:textId="77777777" w:rsidR="00A46B68" w:rsidRPr="00DD3B0B" w:rsidRDefault="00A46B68" w:rsidP="00A46B68">
            <w:pPr>
              <w:spacing w:line="240" w:lineRule="auto"/>
              <w:ind w:firstLine="0"/>
              <w:jc w:val="center"/>
              <w:rPr>
                <w:color w:val="000000"/>
              </w:rPr>
            </w:pPr>
            <w:r w:rsidRPr="00DD3B0B">
              <w:rPr>
                <w:color w:val="000000"/>
              </w:rPr>
              <w:t>-1.188</w:t>
            </w:r>
          </w:p>
        </w:tc>
        <w:tc>
          <w:tcPr>
            <w:tcW w:w="1152" w:type="dxa"/>
            <w:tcBorders>
              <w:top w:val="nil"/>
              <w:left w:val="nil"/>
              <w:bottom w:val="nil"/>
              <w:right w:val="nil"/>
            </w:tcBorders>
            <w:shd w:val="clear" w:color="auto" w:fill="auto"/>
            <w:noWrap/>
            <w:hideMark/>
          </w:tcPr>
          <w:p w14:paraId="58A9E3D6" w14:textId="77777777" w:rsidR="00A46B68" w:rsidRPr="00DD3B0B" w:rsidRDefault="00A46B68" w:rsidP="00A46B68">
            <w:pPr>
              <w:spacing w:line="240" w:lineRule="auto"/>
              <w:ind w:firstLine="0"/>
              <w:jc w:val="center"/>
              <w:rPr>
                <w:color w:val="000000"/>
              </w:rPr>
            </w:pPr>
            <w:r w:rsidRPr="00DD3B0B">
              <w:rPr>
                <w:color w:val="000000"/>
              </w:rPr>
              <w:t>9.62E-03</w:t>
            </w:r>
          </w:p>
        </w:tc>
        <w:tc>
          <w:tcPr>
            <w:tcW w:w="1297" w:type="dxa"/>
            <w:tcBorders>
              <w:top w:val="nil"/>
              <w:left w:val="nil"/>
              <w:bottom w:val="nil"/>
              <w:right w:val="nil"/>
            </w:tcBorders>
            <w:shd w:val="clear" w:color="auto" w:fill="auto"/>
            <w:noWrap/>
            <w:hideMark/>
          </w:tcPr>
          <w:p w14:paraId="089665A8" w14:textId="77777777" w:rsidR="00A46B68" w:rsidRPr="00DD3B0B" w:rsidRDefault="00A46B68" w:rsidP="00A46B68">
            <w:pPr>
              <w:spacing w:line="240" w:lineRule="auto"/>
              <w:ind w:firstLine="0"/>
              <w:jc w:val="center"/>
              <w:rPr>
                <w:color w:val="000000"/>
              </w:rPr>
            </w:pP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0CC69A80" w14:textId="77777777" w:rsidR="00A46B68" w:rsidRPr="00DD3B0B" w:rsidRDefault="00A46B68" w:rsidP="00AB0D75">
            <w:pPr>
              <w:spacing w:line="240" w:lineRule="auto"/>
              <w:ind w:left="288" w:hanging="288"/>
              <w:rPr>
                <w:color w:val="000000"/>
              </w:rPr>
            </w:pPr>
            <w:r w:rsidRPr="00DD3B0B">
              <w:rPr>
                <w:i/>
                <w:iCs/>
                <w:color w:val="000000"/>
              </w:rPr>
              <w:t>topA</w:t>
            </w:r>
            <w:r w:rsidRPr="00DD3B0B">
              <w:rPr>
                <w:color w:val="000000"/>
              </w:rPr>
              <w:t>; D topoisomerase I</w:t>
            </w:r>
          </w:p>
        </w:tc>
      </w:tr>
      <w:tr w:rsidR="00A46B68" w:rsidRPr="00502B03" w14:paraId="6F7A49D7" w14:textId="77777777" w:rsidTr="002E3F44">
        <w:trPr>
          <w:trHeight w:val="20"/>
        </w:trPr>
        <w:tc>
          <w:tcPr>
            <w:tcW w:w="864" w:type="dxa"/>
            <w:tcBorders>
              <w:top w:val="nil"/>
              <w:left w:val="nil"/>
              <w:bottom w:val="nil"/>
              <w:right w:val="nil"/>
            </w:tcBorders>
            <w:shd w:val="clear" w:color="auto" w:fill="auto"/>
            <w:noWrap/>
            <w:hideMark/>
          </w:tcPr>
          <w:p w14:paraId="422968D3" w14:textId="77777777" w:rsidR="00A46B68" w:rsidRPr="00DD3B0B" w:rsidRDefault="00A46B68" w:rsidP="00A46B68">
            <w:pPr>
              <w:spacing w:line="240" w:lineRule="auto"/>
              <w:ind w:firstLine="0"/>
              <w:rPr>
                <w:color w:val="000000"/>
              </w:rPr>
            </w:pPr>
            <w:r w:rsidRPr="00DD3B0B">
              <w:rPr>
                <w:color w:val="000000"/>
              </w:rPr>
              <w:t>02465</w:t>
            </w:r>
          </w:p>
        </w:tc>
        <w:tc>
          <w:tcPr>
            <w:tcW w:w="1083" w:type="dxa"/>
            <w:tcBorders>
              <w:top w:val="nil"/>
              <w:left w:val="nil"/>
              <w:bottom w:val="nil"/>
              <w:right w:val="nil"/>
            </w:tcBorders>
            <w:shd w:val="clear" w:color="auto" w:fill="auto"/>
            <w:noWrap/>
            <w:hideMark/>
          </w:tcPr>
          <w:p w14:paraId="49A73B79" w14:textId="77777777" w:rsidR="00A46B68" w:rsidRPr="00DD3B0B" w:rsidRDefault="00A46B68" w:rsidP="00A46B68">
            <w:pPr>
              <w:spacing w:line="240" w:lineRule="auto"/>
              <w:ind w:firstLine="0"/>
              <w:jc w:val="center"/>
              <w:rPr>
                <w:color w:val="000000"/>
              </w:rPr>
            </w:pPr>
            <w:r w:rsidRPr="00DD3B0B">
              <w:rPr>
                <w:color w:val="000000"/>
              </w:rPr>
              <w:t>-1.212</w:t>
            </w:r>
          </w:p>
        </w:tc>
        <w:tc>
          <w:tcPr>
            <w:tcW w:w="1152" w:type="dxa"/>
            <w:tcBorders>
              <w:top w:val="nil"/>
              <w:left w:val="nil"/>
              <w:bottom w:val="nil"/>
              <w:right w:val="nil"/>
            </w:tcBorders>
            <w:shd w:val="clear" w:color="auto" w:fill="auto"/>
            <w:noWrap/>
            <w:hideMark/>
          </w:tcPr>
          <w:p w14:paraId="2FA15C1D" w14:textId="77777777" w:rsidR="00A46B68" w:rsidRPr="00DD3B0B" w:rsidRDefault="00A46B68" w:rsidP="00A46B68">
            <w:pPr>
              <w:spacing w:line="240" w:lineRule="auto"/>
              <w:ind w:firstLine="0"/>
              <w:jc w:val="center"/>
              <w:rPr>
                <w:color w:val="000000"/>
              </w:rPr>
            </w:pPr>
            <w:r w:rsidRPr="00DD3B0B">
              <w:rPr>
                <w:color w:val="000000"/>
              </w:rPr>
              <w:t>9.31E-03</w:t>
            </w:r>
          </w:p>
        </w:tc>
        <w:tc>
          <w:tcPr>
            <w:tcW w:w="1297" w:type="dxa"/>
            <w:tcBorders>
              <w:top w:val="nil"/>
              <w:left w:val="nil"/>
              <w:bottom w:val="nil"/>
              <w:right w:val="nil"/>
            </w:tcBorders>
            <w:shd w:val="clear" w:color="auto" w:fill="auto"/>
            <w:noWrap/>
            <w:hideMark/>
          </w:tcPr>
          <w:p w14:paraId="5C577F21" w14:textId="77777777" w:rsidR="00A46B68" w:rsidRPr="00DD3B0B" w:rsidRDefault="00A46B68" w:rsidP="00A46B68">
            <w:pPr>
              <w:spacing w:line="240" w:lineRule="auto"/>
              <w:ind w:firstLine="0"/>
              <w:jc w:val="center"/>
              <w:rPr>
                <w:color w:val="000000"/>
              </w:rPr>
            </w:pP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23B4F07A" w14:textId="77777777" w:rsidR="00A46B68" w:rsidRPr="00DD3B0B" w:rsidRDefault="00A46B68" w:rsidP="00AB0D75">
            <w:pPr>
              <w:spacing w:line="240" w:lineRule="auto"/>
              <w:ind w:left="288" w:hanging="288"/>
              <w:rPr>
                <w:color w:val="000000"/>
              </w:rPr>
            </w:pPr>
            <w:r w:rsidRPr="00DD3B0B">
              <w:rPr>
                <w:color w:val="000000"/>
              </w:rPr>
              <w:t>Putative neutral zinc metallopeptidase</w:t>
            </w:r>
          </w:p>
        </w:tc>
      </w:tr>
      <w:tr w:rsidR="00A46B68" w:rsidRPr="00502B03" w14:paraId="5201B841" w14:textId="77777777" w:rsidTr="002E3F44">
        <w:trPr>
          <w:trHeight w:val="20"/>
        </w:trPr>
        <w:tc>
          <w:tcPr>
            <w:tcW w:w="864" w:type="dxa"/>
            <w:tcBorders>
              <w:top w:val="nil"/>
              <w:left w:val="nil"/>
              <w:bottom w:val="nil"/>
              <w:right w:val="nil"/>
            </w:tcBorders>
            <w:shd w:val="clear" w:color="auto" w:fill="auto"/>
            <w:noWrap/>
            <w:hideMark/>
          </w:tcPr>
          <w:p w14:paraId="416FAEEC" w14:textId="77777777" w:rsidR="00A46B68" w:rsidRPr="00DD3B0B" w:rsidRDefault="00A46B68" w:rsidP="00A46B68">
            <w:pPr>
              <w:spacing w:line="240" w:lineRule="auto"/>
              <w:ind w:firstLine="0"/>
              <w:rPr>
                <w:color w:val="000000"/>
              </w:rPr>
            </w:pPr>
            <w:r w:rsidRPr="00DD3B0B">
              <w:rPr>
                <w:color w:val="000000"/>
              </w:rPr>
              <w:t>02349</w:t>
            </w:r>
          </w:p>
        </w:tc>
        <w:tc>
          <w:tcPr>
            <w:tcW w:w="1083" w:type="dxa"/>
            <w:tcBorders>
              <w:top w:val="nil"/>
              <w:left w:val="nil"/>
              <w:bottom w:val="nil"/>
              <w:right w:val="nil"/>
            </w:tcBorders>
            <w:shd w:val="clear" w:color="auto" w:fill="auto"/>
            <w:noWrap/>
            <w:hideMark/>
          </w:tcPr>
          <w:p w14:paraId="74966A46" w14:textId="77777777" w:rsidR="00A46B68" w:rsidRPr="00DD3B0B" w:rsidRDefault="00A46B68" w:rsidP="00A46B68">
            <w:pPr>
              <w:spacing w:line="240" w:lineRule="auto"/>
              <w:ind w:firstLine="0"/>
              <w:jc w:val="center"/>
              <w:rPr>
                <w:color w:val="000000"/>
              </w:rPr>
            </w:pPr>
            <w:r w:rsidRPr="00DD3B0B">
              <w:rPr>
                <w:color w:val="000000"/>
              </w:rPr>
              <w:t>-1.213</w:t>
            </w:r>
          </w:p>
        </w:tc>
        <w:tc>
          <w:tcPr>
            <w:tcW w:w="1152" w:type="dxa"/>
            <w:tcBorders>
              <w:top w:val="nil"/>
              <w:left w:val="nil"/>
              <w:bottom w:val="nil"/>
              <w:right w:val="nil"/>
            </w:tcBorders>
            <w:shd w:val="clear" w:color="auto" w:fill="auto"/>
            <w:noWrap/>
            <w:hideMark/>
          </w:tcPr>
          <w:p w14:paraId="4977F7C4" w14:textId="77777777" w:rsidR="00A46B68" w:rsidRPr="00DD3B0B" w:rsidRDefault="00A46B68" w:rsidP="00A46B68">
            <w:pPr>
              <w:spacing w:line="240" w:lineRule="auto"/>
              <w:ind w:firstLine="0"/>
              <w:jc w:val="center"/>
              <w:rPr>
                <w:color w:val="000000"/>
              </w:rPr>
            </w:pPr>
            <w:r w:rsidRPr="00DD3B0B">
              <w:rPr>
                <w:color w:val="000000"/>
              </w:rPr>
              <w:t>2.94E-05</w:t>
            </w:r>
          </w:p>
        </w:tc>
        <w:tc>
          <w:tcPr>
            <w:tcW w:w="1297" w:type="dxa"/>
            <w:tcBorders>
              <w:top w:val="nil"/>
              <w:left w:val="nil"/>
              <w:bottom w:val="nil"/>
              <w:right w:val="nil"/>
            </w:tcBorders>
            <w:shd w:val="clear" w:color="auto" w:fill="auto"/>
            <w:noWrap/>
            <w:hideMark/>
          </w:tcPr>
          <w:p w14:paraId="1A68E941"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45C92E4A" w14:textId="77777777" w:rsidR="00A46B68" w:rsidRPr="00DD3B0B" w:rsidRDefault="00A46B68" w:rsidP="00AB0D75">
            <w:pPr>
              <w:spacing w:line="240" w:lineRule="auto"/>
              <w:ind w:left="288" w:hanging="288"/>
              <w:rPr>
                <w:color w:val="000000"/>
              </w:rPr>
            </w:pPr>
            <w:r w:rsidRPr="00DD3B0B">
              <w:rPr>
                <w:color w:val="000000"/>
              </w:rPr>
              <w:t>Cyanophycin synthetase</w:t>
            </w:r>
          </w:p>
        </w:tc>
      </w:tr>
      <w:tr w:rsidR="00A46B68" w:rsidRPr="00502B03" w14:paraId="10874475" w14:textId="77777777" w:rsidTr="002E3F44">
        <w:trPr>
          <w:trHeight w:val="20"/>
        </w:trPr>
        <w:tc>
          <w:tcPr>
            <w:tcW w:w="864" w:type="dxa"/>
            <w:tcBorders>
              <w:top w:val="nil"/>
              <w:left w:val="nil"/>
              <w:bottom w:val="nil"/>
              <w:right w:val="nil"/>
            </w:tcBorders>
            <w:shd w:val="clear" w:color="auto" w:fill="auto"/>
            <w:noWrap/>
            <w:hideMark/>
          </w:tcPr>
          <w:p w14:paraId="27067A9E" w14:textId="77777777" w:rsidR="00A46B68" w:rsidRPr="00DD3B0B" w:rsidRDefault="00A46B68" w:rsidP="00A46B68">
            <w:pPr>
              <w:spacing w:line="240" w:lineRule="auto"/>
              <w:ind w:firstLine="0"/>
              <w:rPr>
                <w:color w:val="000000"/>
              </w:rPr>
            </w:pPr>
            <w:r w:rsidRPr="00DD3B0B">
              <w:rPr>
                <w:color w:val="000000"/>
              </w:rPr>
              <w:t>03507</w:t>
            </w:r>
          </w:p>
        </w:tc>
        <w:tc>
          <w:tcPr>
            <w:tcW w:w="1083" w:type="dxa"/>
            <w:tcBorders>
              <w:top w:val="nil"/>
              <w:left w:val="nil"/>
              <w:bottom w:val="nil"/>
              <w:right w:val="nil"/>
            </w:tcBorders>
            <w:shd w:val="clear" w:color="auto" w:fill="auto"/>
            <w:noWrap/>
            <w:hideMark/>
          </w:tcPr>
          <w:p w14:paraId="3E9AD38B" w14:textId="77777777" w:rsidR="00A46B68" w:rsidRPr="00DD3B0B" w:rsidRDefault="00A46B68" w:rsidP="00A46B68">
            <w:pPr>
              <w:spacing w:line="240" w:lineRule="auto"/>
              <w:ind w:firstLine="0"/>
              <w:jc w:val="center"/>
              <w:rPr>
                <w:color w:val="000000"/>
              </w:rPr>
            </w:pPr>
            <w:r w:rsidRPr="00DD3B0B">
              <w:rPr>
                <w:color w:val="000000"/>
              </w:rPr>
              <w:t>-1.214</w:t>
            </w:r>
          </w:p>
        </w:tc>
        <w:tc>
          <w:tcPr>
            <w:tcW w:w="1152" w:type="dxa"/>
            <w:tcBorders>
              <w:top w:val="nil"/>
              <w:left w:val="nil"/>
              <w:bottom w:val="nil"/>
              <w:right w:val="nil"/>
            </w:tcBorders>
            <w:shd w:val="clear" w:color="auto" w:fill="auto"/>
            <w:noWrap/>
            <w:hideMark/>
          </w:tcPr>
          <w:p w14:paraId="54B254A9" w14:textId="77777777" w:rsidR="00A46B68" w:rsidRPr="00DD3B0B" w:rsidRDefault="00A46B68" w:rsidP="00A46B68">
            <w:pPr>
              <w:spacing w:line="240" w:lineRule="auto"/>
              <w:ind w:firstLine="0"/>
              <w:jc w:val="center"/>
              <w:rPr>
                <w:color w:val="000000"/>
              </w:rPr>
            </w:pPr>
            <w:r w:rsidRPr="00DD3B0B">
              <w:rPr>
                <w:color w:val="000000"/>
              </w:rPr>
              <w:t>4.73E-02</w:t>
            </w:r>
          </w:p>
        </w:tc>
        <w:tc>
          <w:tcPr>
            <w:tcW w:w="1297" w:type="dxa"/>
            <w:tcBorders>
              <w:top w:val="nil"/>
              <w:left w:val="nil"/>
              <w:bottom w:val="nil"/>
              <w:right w:val="nil"/>
            </w:tcBorders>
            <w:shd w:val="clear" w:color="auto" w:fill="auto"/>
            <w:noWrap/>
            <w:hideMark/>
          </w:tcPr>
          <w:p w14:paraId="5866B714" w14:textId="77777777" w:rsidR="00A46B68" w:rsidRPr="00DD3B0B" w:rsidRDefault="00A46B68" w:rsidP="00A46B68">
            <w:pPr>
              <w:spacing w:line="240" w:lineRule="auto"/>
              <w:ind w:firstLine="0"/>
              <w:jc w:val="center"/>
              <w:rPr>
                <w:color w:val="000000"/>
              </w:rPr>
            </w:pPr>
            <w:r>
              <w:rPr>
                <w:color w:val="000000"/>
              </w:rPr>
              <w:t>P</w:t>
            </w:r>
          </w:p>
        </w:tc>
        <w:tc>
          <w:tcPr>
            <w:tcW w:w="4391" w:type="dxa"/>
            <w:tcBorders>
              <w:top w:val="nil"/>
              <w:left w:val="nil"/>
              <w:bottom w:val="nil"/>
              <w:right w:val="nil"/>
            </w:tcBorders>
            <w:shd w:val="clear" w:color="auto" w:fill="auto"/>
            <w:hideMark/>
          </w:tcPr>
          <w:p w14:paraId="778A5261" w14:textId="77777777" w:rsidR="00A46B68" w:rsidRPr="00DD3B0B" w:rsidRDefault="00A46B68" w:rsidP="00AB0D75">
            <w:pPr>
              <w:spacing w:line="240" w:lineRule="auto"/>
              <w:ind w:left="288" w:hanging="288"/>
              <w:rPr>
                <w:color w:val="000000"/>
              </w:rPr>
            </w:pPr>
            <w:r w:rsidRPr="00DD3B0B">
              <w:rPr>
                <w:color w:val="000000"/>
              </w:rPr>
              <w:t>Protein YciF</w:t>
            </w:r>
          </w:p>
        </w:tc>
      </w:tr>
      <w:tr w:rsidR="00A46B68" w:rsidRPr="00502B03" w14:paraId="42BB224C" w14:textId="77777777" w:rsidTr="002E3F44">
        <w:trPr>
          <w:trHeight w:val="20"/>
        </w:trPr>
        <w:tc>
          <w:tcPr>
            <w:tcW w:w="864" w:type="dxa"/>
            <w:tcBorders>
              <w:top w:val="nil"/>
              <w:left w:val="nil"/>
              <w:bottom w:val="nil"/>
              <w:right w:val="nil"/>
            </w:tcBorders>
            <w:shd w:val="clear" w:color="auto" w:fill="auto"/>
            <w:noWrap/>
            <w:hideMark/>
          </w:tcPr>
          <w:p w14:paraId="305A01AA" w14:textId="77777777" w:rsidR="00A46B68" w:rsidRPr="00DD3B0B" w:rsidRDefault="00A46B68" w:rsidP="00A46B68">
            <w:pPr>
              <w:spacing w:line="240" w:lineRule="auto"/>
              <w:ind w:firstLine="0"/>
              <w:rPr>
                <w:color w:val="000000"/>
              </w:rPr>
            </w:pPr>
            <w:r w:rsidRPr="00DD3B0B">
              <w:rPr>
                <w:color w:val="000000"/>
              </w:rPr>
              <w:t>02570</w:t>
            </w:r>
          </w:p>
        </w:tc>
        <w:tc>
          <w:tcPr>
            <w:tcW w:w="1083" w:type="dxa"/>
            <w:tcBorders>
              <w:top w:val="nil"/>
              <w:left w:val="nil"/>
              <w:bottom w:val="nil"/>
              <w:right w:val="nil"/>
            </w:tcBorders>
            <w:shd w:val="clear" w:color="auto" w:fill="auto"/>
            <w:noWrap/>
            <w:hideMark/>
          </w:tcPr>
          <w:p w14:paraId="07FEA357" w14:textId="77777777" w:rsidR="00A46B68" w:rsidRPr="00DD3B0B" w:rsidRDefault="00A46B68" w:rsidP="00A46B68">
            <w:pPr>
              <w:spacing w:line="240" w:lineRule="auto"/>
              <w:ind w:firstLine="0"/>
              <w:jc w:val="center"/>
              <w:rPr>
                <w:color w:val="000000"/>
              </w:rPr>
            </w:pPr>
            <w:r w:rsidRPr="00DD3B0B">
              <w:rPr>
                <w:color w:val="000000"/>
              </w:rPr>
              <w:t>-1.233</w:t>
            </w:r>
          </w:p>
        </w:tc>
        <w:tc>
          <w:tcPr>
            <w:tcW w:w="1152" w:type="dxa"/>
            <w:tcBorders>
              <w:top w:val="nil"/>
              <w:left w:val="nil"/>
              <w:bottom w:val="nil"/>
              <w:right w:val="nil"/>
            </w:tcBorders>
            <w:shd w:val="clear" w:color="auto" w:fill="auto"/>
            <w:noWrap/>
            <w:hideMark/>
          </w:tcPr>
          <w:p w14:paraId="4ECCE625" w14:textId="77777777" w:rsidR="00A46B68" w:rsidRPr="00DD3B0B" w:rsidRDefault="00A46B68" w:rsidP="00A46B68">
            <w:pPr>
              <w:spacing w:line="240" w:lineRule="auto"/>
              <w:ind w:firstLine="0"/>
              <w:jc w:val="center"/>
              <w:rPr>
                <w:color w:val="000000"/>
              </w:rPr>
            </w:pPr>
            <w:r w:rsidRPr="00DD3B0B">
              <w:rPr>
                <w:color w:val="000000"/>
              </w:rPr>
              <w:t>4.98E-02</w:t>
            </w:r>
          </w:p>
        </w:tc>
        <w:tc>
          <w:tcPr>
            <w:tcW w:w="1297" w:type="dxa"/>
            <w:tcBorders>
              <w:top w:val="nil"/>
              <w:left w:val="nil"/>
              <w:bottom w:val="nil"/>
              <w:right w:val="nil"/>
            </w:tcBorders>
            <w:shd w:val="clear" w:color="auto" w:fill="auto"/>
            <w:noWrap/>
            <w:hideMark/>
          </w:tcPr>
          <w:p w14:paraId="25A5F35B"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6A75C2B2" w14:textId="77777777" w:rsidR="00A46B68" w:rsidRPr="00DD3B0B" w:rsidRDefault="00A46B68" w:rsidP="00AB0D75">
            <w:pPr>
              <w:spacing w:line="240" w:lineRule="auto"/>
              <w:ind w:left="288" w:hanging="288"/>
              <w:rPr>
                <w:color w:val="000000"/>
              </w:rPr>
            </w:pPr>
            <w:r w:rsidRPr="00DD3B0B">
              <w:rPr>
                <w:color w:val="000000"/>
              </w:rPr>
              <w:t>Flavin containing amine oxidoreductase</w:t>
            </w:r>
          </w:p>
        </w:tc>
      </w:tr>
      <w:tr w:rsidR="00A46B68" w:rsidRPr="00502B03" w14:paraId="7358EB78" w14:textId="77777777" w:rsidTr="002E3F44">
        <w:trPr>
          <w:trHeight w:val="20"/>
        </w:trPr>
        <w:tc>
          <w:tcPr>
            <w:tcW w:w="864" w:type="dxa"/>
            <w:tcBorders>
              <w:top w:val="nil"/>
              <w:left w:val="nil"/>
              <w:bottom w:val="nil"/>
              <w:right w:val="nil"/>
            </w:tcBorders>
            <w:shd w:val="clear" w:color="auto" w:fill="auto"/>
            <w:noWrap/>
            <w:hideMark/>
          </w:tcPr>
          <w:p w14:paraId="201F8C36" w14:textId="77777777" w:rsidR="00A46B68" w:rsidRPr="00DD3B0B" w:rsidRDefault="00A46B68" w:rsidP="00A46B68">
            <w:pPr>
              <w:spacing w:line="240" w:lineRule="auto"/>
              <w:ind w:firstLine="0"/>
              <w:rPr>
                <w:color w:val="000000"/>
              </w:rPr>
            </w:pPr>
            <w:r w:rsidRPr="00DD3B0B">
              <w:rPr>
                <w:color w:val="000000"/>
              </w:rPr>
              <w:t>02422</w:t>
            </w:r>
          </w:p>
        </w:tc>
        <w:tc>
          <w:tcPr>
            <w:tcW w:w="1083" w:type="dxa"/>
            <w:tcBorders>
              <w:top w:val="nil"/>
              <w:left w:val="nil"/>
              <w:bottom w:val="nil"/>
              <w:right w:val="nil"/>
            </w:tcBorders>
            <w:shd w:val="clear" w:color="auto" w:fill="auto"/>
            <w:noWrap/>
            <w:hideMark/>
          </w:tcPr>
          <w:p w14:paraId="7552BBD8" w14:textId="77777777" w:rsidR="00A46B68" w:rsidRPr="00DD3B0B" w:rsidRDefault="00A46B68" w:rsidP="00A46B68">
            <w:pPr>
              <w:spacing w:line="240" w:lineRule="auto"/>
              <w:ind w:firstLine="0"/>
              <w:jc w:val="center"/>
              <w:rPr>
                <w:color w:val="000000"/>
              </w:rPr>
            </w:pPr>
            <w:r w:rsidRPr="00DD3B0B">
              <w:rPr>
                <w:color w:val="000000"/>
              </w:rPr>
              <w:t>-1.243</w:t>
            </w:r>
          </w:p>
        </w:tc>
        <w:tc>
          <w:tcPr>
            <w:tcW w:w="1152" w:type="dxa"/>
            <w:tcBorders>
              <w:top w:val="nil"/>
              <w:left w:val="nil"/>
              <w:bottom w:val="nil"/>
              <w:right w:val="nil"/>
            </w:tcBorders>
            <w:shd w:val="clear" w:color="auto" w:fill="auto"/>
            <w:noWrap/>
            <w:hideMark/>
          </w:tcPr>
          <w:p w14:paraId="01FD5192" w14:textId="77777777" w:rsidR="00A46B68" w:rsidRPr="00DD3B0B" w:rsidRDefault="00A46B68" w:rsidP="00A46B68">
            <w:pPr>
              <w:spacing w:line="240" w:lineRule="auto"/>
              <w:ind w:firstLine="0"/>
              <w:jc w:val="center"/>
              <w:rPr>
                <w:color w:val="000000"/>
              </w:rPr>
            </w:pPr>
            <w:r w:rsidRPr="00DD3B0B">
              <w:rPr>
                <w:color w:val="000000"/>
              </w:rPr>
              <w:t>5.70E-05</w:t>
            </w:r>
          </w:p>
        </w:tc>
        <w:tc>
          <w:tcPr>
            <w:tcW w:w="1297" w:type="dxa"/>
            <w:tcBorders>
              <w:top w:val="nil"/>
              <w:left w:val="nil"/>
              <w:bottom w:val="nil"/>
              <w:right w:val="nil"/>
            </w:tcBorders>
            <w:shd w:val="clear" w:color="auto" w:fill="auto"/>
            <w:noWrap/>
            <w:hideMark/>
          </w:tcPr>
          <w:p w14:paraId="6E2F0A81"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1DB2E71C" w14:textId="77777777" w:rsidR="00A46B68" w:rsidRPr="00DD3B0B" w:rsidRDefault="00A46B68" w:rsidP="00AB0D75">
            <w:pPr>
              <w:spacing w:line="240" w:lineRule="auto"/>
              <w:ind w:left="288" w:hanging="288"/>
              <w:rPr>
                <w:color w:val="000000"/>
              </w:rPr>
            </w:pPr>
            <w:r w:rsidRPr="00DD3B0B">
              <w:rPr>
                <w:color w:val="000000"/>
              </w:rPr>
              <w:t>Catalase HPII</w:t>
            </w:r>
          </w:p>
        </w:tc>
      </w:tr>
      <w:tr w:rsidR="00A46B68" w:rsidRPr="00502B03" w14:paraId="6648FFC0" w14:textId="77777777" w:rsidTr="002E3F44">
        <w:trPr>
          <w:trHeight w:val="20"/>
        </w:trPr>
        <w:tc>
          <w:tcPr>
            <w:tcW w:w="864" w:type="dxa"/>
            <w:tcBorders>
              <w:top w:val="nil"/>
              <w:left w:val="nil"/>
              <w:bottom w:val="nil"/>
              <w:right w:val="nil"/>
            </w:tcBorders>
            <w:shd w:val="clear" w:color="auto" w:fill="auto"/>
            <w:noWrap/>
            <w:hideMark/>
          </w:tcPr>
          <w:p w14:paraId="354E53AE" w14:textId="77777777" w:rsidR="00A46B68" w:rsidRPr="00DD3B0B" w:rsidRDefault="00A46B68" w:rsidP="00A46B68">
            <w:pPr>
              <w:spacing w:line="240" w:lineRule="auto"/>
              <w:ind w:firstLine="0"/>
              <w:rPr>
                <w:color w:val="000000"/>
              </w:rPr>
            </w:pPr>
            <w:r w:rsidRPr="00DD3B0B">
              <w:rPr>
                <w:color w:val="000000"/>
              </w:rPr>
              <w:t>02152</w:t>
            </w:r>
          </w:p>
        </w:tc>
        <w:tc>
          <w:tcPr>
            <w:tcW w:w="1083" w:type="dxa"/>
            <w:tcBorders>
              <w:top w:val="nil"/>
              <w:left w:val="nil"/>
              <w:bottom w:val="nil"/>
              <w:right w:val="nil"/>
            </w:tcBorders>
            <w:shd w:val="clear" w:color="auto" w:fill="auto"/>
            <w:noWrap/>
            <w:hideMark/>
          </w:tcPr>
          <w:p w14:paraId="18ED0212" w14:textId="77777777" w:rsidR="00A46B68" w:rsidRPr="00DD3B0B" w:rsidRDefault="00A46B68" w:rsidP="00A46B68">
            <w:pPr>
              <w:spacing w:line="240" w:lineRule="auto"/>
              <w:ind w:firstLine="0"/>
              <w:jc w:val="center"/>
              <w:rPr>
                <w:color w:val="000000"/>
              </w:rPr>
            </w:pPr>
            <w:r w:rsidRPr="00DD3B0B">
              <w:rPr>
                <w:color w:val="000000"/>
              </w:rPr>
              <w:t>-1.248</w:t>
            </w:r>
          </w:p>
        </w:tc>
        <w:tc>
          <w:tcPr>
            <w:tcW w:w="1152" w:type="dxa"/>
            <w:tcBorders>
              <w:top w:val="nil"/>
              <w:left w:val="nil"/>
              <w:bottom w:val="nil"/>
              <w:right w:val="nil"/>
            </w:tcBorders>
            <w:shd w:val="clear" w:color="auto" w:fill="auto"/>
            <w:noWrap/>
            <w:hideMark/>
          </w:tcPr>
          <w:p w14:paraId="5775276E" w14:textId="77777777" w:rsidR="00A46B68" w:rsidRPr="00DD3B0B" w:rsidRDefault="00A46B68" w:rsidP="00A46B68">
            <w:pPr>
              <w:spacing w:line="240" w:lineRule="auto"/>
              <w:ind w:firstLine="0"/>
              <w:jc w:val="center"/>
              <w:rPr>
                <w:color w:val="000000"/>
              </w:rPr>
            </w:pPr>
            <w:r w:rsidRPr="00DD3B0B">
              <w:rPr>
                <w:color w:val="000000"/>
              </w:rPr>
              <w:t>2.56E-02</w:t>
            </w:r>
          </w:p>
        </w:tc>
        <w:tc>
          <w:tcPr>
            <w:tcW w:w="1297" w:type="dxa"/>
            <w:tcBorders>
              <w:top w:val="nil"/>
              <w:left w:val="nil"/>
              <w:bottom w:val="nil"/>
              <w:right w:val="nil"/>
            </w:tcBorders>
            <w:shd w:val="clear" w:color="auto" w:fill="auto"/>
            <w:noWrap/>
            <w:hideMark/>
          </w:tcPr>
          <w:p w14:paraId="44769E52"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15A49731" w14:textId="77777777" w:rsidR="00A46B68" w:rsidRPr="00DD3B0B" w:rsidRDefault="00A46B68" w:rsidP="00AB0D75">
            <w:pPr>
              <w:spacing w:line="240" w:lineRule="auto"/>
              <w:ind w:left="288" w:hanging="288"/>
              <w:rPr>
                <w:color w:val="000000"/>
              </w:rPr>
            </w:pPr>
            <w:r w:rsidRPr="00DD3B0B">
              <w:rPr>
                <w:color w:val="000000"/>
              </w:rPr>
              <w:t>Four repeated domains in the Fasciclin I family of proteins, present in many other contexts.</w:t>
            </w:r>
          </w:p>
        </w:tc>
      </w:tr>
      <w:tr w:rsidR="00A46B68" w:rsidRPr="00502B03" w14:paraId="127D69B3" w14:textId="77777777" w:rsidTr="002E3F44">
        <w:trPr>
          <w:trHeight w:val="20"/>
        </w:trPr>
        <w:tc>
          <w:tcPr>
            <w:tcW w:w="864" w:type="dxa"/>
            <w:tcBorders>
              <w:top w:val="nil"/>
              <w:left w:val="nil"/>
              <w:bottom w:val="nil"/>
              <w:right w:val="nil"/>
            </w:tcBorders>
            <w:shd w:val="clear" w:color="auto" w:fill="auto"/>
            <w:noWrap/>
            <w:hideMark/>
          </w:tcPr>
          <w:p w14:paraId="1988577F" w14:textId="77777777" w:rsidR="00A46B68" w:rsidRPr="00DD3B0B" w:rsidRDefault="00A46B68" w:rsidP="00A46B68">
            <w:pPr>
              <w:spacing w:line="240" w:lineRule="auto"/>
              <w:ind w:firstLine="0"/>
              <w:rPr>
                <w:color w:val="000000"/>
              </w:rPr>
            </w:pPr>
            <w:r w:rsidRPr="00DD3B0B">
              <w:rPr>
                <w:color w:val="000000"/>
              </w:rPr>
              <w:t>02404</w:t>
            </w:r>
          </w:p>
        </w:tc>
        <w:tc>
          <w:tcPr>
            <w:tcW w:w="1083" w:type="dxa"/>
            <w:tcBorders>
              <w:top w:val="nil"/>
              <w:left w:val="nil"/>
              <w:bottom w:val="nil"/>
              <w:right w:val="nil"/>
            </w:tcBorders>
            <w:shd w:val="clear" w:color="auto" w:fill="auto"/>
            <w:noWrap/>
            <w:hideMark/>
          </w:tcPr>
          <w:p w14:paraId="1E916873" w14:textId="77777777" w:rsidR="00A46B68" w:rsidRPr="00DD3B0B" w:rsidRDefault="00A46B68" w:rsidP="00A46B68">
            <w:pPr>
              <w:spacing w:line="240" w:lineRule="auto"/>
              <w:ind w:firstLine="0"/>
              <w:jc w:val="center"/>
              <w:rPr>
                <w:color w:val="000000"/>
              </w:rPr>
            </w:pPr>
            <w:r w:rsidRPr="00DD3B0B">
              <w:rPr>
                <w:color w:val="000000"/>
              </w:rPr>
              <w:t>-1.270</w:t>
            </w:r>
          </w:p>
        </w:tc>
        <w:tc>
          <w:tcPr>
            <w:tcW w:w="1152" w:type="dxa"/>
            <w:tcBorders>
              <w:top w:val="nil"/>
              <w:left w:val="nil"/>
              <w:bottom w:val="nil"/>
              <w:right w:val="nil"/>
            </w:tcBorders>
            <w:shd w:val="clear" w:color="auto" w:fill="auto"/>
            <w:noWrap/>
            <w:hideMark/>
          </w:tcPr>
          <w:p w14:paraId="4B60B7ED" w14:textId="77777777" w:rsidR="00A46B68" w:rsidRPr="00DD3B0B" w:rsidRDefault="00A46B68" w:rsidP="00A46B68">
            <w:pPr>
              <w:spacing w:line="240" w:lineRule="auto"/>
              <w:ind w:firstLine="0"/>
              <w:jc w:val="center"/>
              <w:rPr>
                <w:color w:val="000000"/>
              </w:rPr>
            </w:pPr>
            <w:r w:rsidRPr="00DD3B0B">
              <w:rPr>
                <w:color w:val="000000"/>
              </w:rPr>
              <w:t>2.64E-02</w:t>
            </w:r>
          </w:p>
        </w:tc>
        <w:tc>
          <w:tcPr>
            <w:tcW w:w="1297" w:type="dxa"/>
            <w:tcBorders>
              <w:top w:val="nil"/>
              <w:left w:val="nil"/>
              <w:bottom w:val="nil"/>
              <w:right w:val="nil"/>
            </w:tcBorders>
            <w:shd w:val="clear" w:color="auto" w:fill="auto"/>
            <w:noWrap/>
            <w:hideMark/>
          </w:tcPr>
          <w:p w14:paraId="587CE91F"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4B0824ED" w14:textId="77777777" w:rsidR="00A46B68" w:rsidRPr="00DD3B0B" w:rsidRDefault="00A46B68" w:rsidP="00AB0D75">
            <w:pPr>
              <w:spacing w:line="240" w:lineRule="auto"/>
              <w:ind w:left="288" w:hanging="288"/>
              <w:rPr>
                <w:color w:val="000000"/>
              </w:rPr>
            </w:pPr>
            <w:r w:rsidRPr="00DD3B0B">
              <w:rPr>
                <w:color w:val="000000"/>
              </w:rPr>
              <w:t>Polyketide cyclase / dehydrase and lipid transport</w:t>
            </w:r>
          </w:p>
        </w:tc>
      </w:tr>
      <w:tr w:rsidR="00A46B68" w:rsidRPr="00502B03" w14:paraId="78BDA7A2" w14:textId="77777777" w:rsidTr="002E3F44">
        <w:trPr>
          <w:trHeight w:val="20"/>
        </w:trPr>
        <w:tc>
          <w:tcPr>
            <w:tcW w:w="864" w:type="dxa"/>
            <w:tcBorders>
              <w:top w:val="nil"/>
              <w:left w:val="nil"/>
              <w:bottom w:val="nil"/>
              <w:right w:val="nil"/>
            </w:tcBorders>
            <w:shd w:val="clear" w:color="auto" w:fill="auto"/>
            <w:noWrap/>
            <w:hideMark/>
          </w:tcPr>
          <w:p w14:paraId="704CA415" w14:textId="77777777" w:rsidR="00A46B68" w:rsidRPr="00DD3B0B" w:rsidRDefault="00A46B68" w:rsidP="00A46B68">
            <w:pPr>
              <w:spacing w:line="240" w:lineRule="auto"/>
              <w:ind w:firstLine="0"/>
              <w:rPr>
                <w:color w:val="000000"/>
              </w:rPr>
            </w:pPr>
            <w:r w:rsidRPr="00DD3B0B">
              <w:rPr>
                <w:color w:val="000000"/>
              </w:rPr>
              <w:t>02552</w:t>
            </w:r>
          </w:p>
        </w:tc>
        <w:tc>
          <w:tcPr>
            <w:tcW w:w="1083" w:type="dxa"/>
            <w:tcBorders>
              <w:top w:val="nil"/>
              <w:left w:val="nil"/>
              <w:bottom w:val="nil"/>
              <w:right w:val="nil"/>
            </w:tcBorders>
            <w:shd w:val="clear" w:color="auto" w:fill="auto"/>
            <w:noWrap/>
            <w:hideMark/>
          </w:tcPr>
          <w:p w14:paraId="473FB257" w14:textId="77777777" w:rsidR="00A46B68" w:rsidRPr="00DD3B0B" w:rsidRDefault="00A46B68" w:rsidP="00A46B68">
            <w:pPr>
              <w:spacing w:line="240" w:lineRule="auto"/>
              <w:ind w:firstLine="0"/>
              <w:jc w:val="center"/>
              <w:rPr>
                <w:color w:val="000000"/>
              </w:rPr>
            </w:pPr>
            <w:r w:rsidRPr="00DD3B0B">
              <w:rPr>
                <w:color w:val="000000"/>
              </w:rPr>
              <w:t>-1.270</w:t>
            </w:r>
          </w:p>
        </w:tc>
        <w:tc>
          <w:tcPr>
            <w:tcW w:w="1152" w:type="dxa"/>
            <w:tcBorders>
              <w:top w:val="nil"/>
              <w:left w:val="nil"/>
              <w:bottom w:val="nil"/>
              <w:right w:val="nil"/>
            </w:tcBorders>
            <w:shd w:val="clear" w:color="auto" w:fill="auto"/>
            <w:noWrap/>
            <w:hideMark/>
          </w:tcPr>
          <w:p w14:paraId="71A97F0E" w14:textId="77777777" w:rsidR="00A46B68" w:rsidRPr="00DD3B0B" w:rsidRDefault="00A46B68" w:rsidP="00A46B68">
            <w:pPr>
              <w:spacing w:line="240" w:lineRule="auto"/>
              <w:ind w:firstLine="0"/>
              <w:jc w:val="center"/>
              <w:rPr>
                <w:color w:val="000000"/>
              </w:rPr>
            </w:pPr>
            <w:r w:rsidRPr="00DD3B0B">
              <w:rPr>
                <w:color w:val="000000"/>
              </w:rPr>
              <w:t>1.92E-02</w:t>
            </w:r>
          </w:p>
        </w:tc>
        <w:tc>
          <w:tcPr>
            <w:tcW w:w="1297" w:type="dxa"/>
            <w:tcBorders>
              <w:top w:val="nil"/>
              <w:left w:val="nil"/>
              <w:bottom w:val="nil"/>
              <w:right w:val="nil"/>
            </w:tcBorders>
            <w:shd w:val="clear" w:color="auto" w:fill="auto"/>
            <w:noWrap/>
            <w:hideMark/>
          </w:tcPr>
          <w:p w14:paraId="0E7C38EB"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4EA05A86" w14:textId="77777777" w:rsidR="00A46B68" w:rsidRPr="00DD3B0B" w:rsidRDefault="00A46B68" w:rsidP="00AB0D75">
            <w:pPr>
              <w:spacing w:line="240" w:lineRule="auto"/>
              <w:ind w:left="288" w:hanging="288"/>
              <w:rPr>
                <w:color w:val="000000"/>
              </w:rPr>
            </w:pPr>
            <w:r w:rsidRPr="00DD3B0B">
              <w:rPr>
                <w:color w:val="000000"/>
              </w:rPr>
              <w:t>Cytochrome b6-f complex iron-sulfur subunit</w:t>
            </w:r>
          </w:p>
        </w:tc>
      </w:tr>
      <w:tr w:rsidR="00A46B68" w:rsidRPr="00502B03" w14:paraId="1D30EB47" w14:textId="77777777" w:rsidTr="002E3F44">
        <w:trPr>
          <w:trHeight w:val="20"/>
        </w:trPr>
        <w:tc>
          <w:tcPr>
            <w:tcW w:w="864" w:type="dxa"/>
            <w:tcBorders>
              <w:top w:val="nil"/>
              <w:left w:val="nil"/>
              <w:bottom w:val="nil"/>
              <w:right w:val="nil"/>
            </w:tcBorders>
            <w:shd w:val="clear" w:color="auto" w:fill="auto"/>
            <w:noWrap/>
            <w:hideMark/>
          </w:tcPr>
          <w:p w14:paraId="1ED4F3B4" w14:textId="77777777" w:rsidR="00A46B68" w:rsidRPr="00DD3B0B" w:rsidRDefault="00A46B68" w:rsidP="00A46B68">
            <w:pPr>
              <w:spacing w:line="240" w:lineRule="auto"/>
              <w:ind w:firstLine="0"/>
              <w:rPr>
                <w:color w:val="000000"/>
              </w:rPr>
            </w:pPr>
            <w:r w:rsidRPr="00DD3B0B">
              <w:rPr>
                <w:color w:val="000000"/>
              </w:rPr>
              <w:t>02553</w:t>
            </w:r>
          </w:p>
        </w:tc>
        <w:tc>
          <w:tcPr>
            <w:tcW w:w="1083" w:type="dxa"/>
            <w:tcBorders>
              <w:top w:val="nil"/>
              <w:left w:val="nil"/>
              <w:bottom w:val="nil"/>
              <w:right w:val="nil"/>
            </w:tcBorders>
            <w:shd w:val="clear" w:color="auto" w:fill="auto"/>
            <w:noWrap/>
            <w:hideMark/>
          </w:tcPr>
          <w:p w14:paraId="6A9611FC" w14:textId="77777777" w:rsidR="00A46B68" w:rsidRPr="00DD3B0B" w:rsidRDefault="00A46B68" w:rsidP="00A46B68">
            <w:pPr>
              <w:spacing w:line="240" w:lineRule="auto"/>
              <w:ind w:firstLine="0"/>
              <w:jc w:val="center"/>
              <w:rPr>
                <w:color w:val="000000"/>
              </w:rPr>
            </w:pPr>
            <w:r w:rsidRPr="00DD3B0B">
              <w:rPr>
                <w:color w:val="000000"/>
              </w:rPr>
              <w:t>-1.284</w:t>
            </w:r>
          </w:p>
        </w:tc>
        <w:tc>
          <w:tcPr>
            <w:tcW w:w="1152" w:type="dxa"/>
            <w:tcBorders>
              <w:top w:val="nil"/>
              <w:left w:val="nil"/>
              <w:bottom w:val="nil"/>
              <w:right w:val="nil"/>
            </w:tcBorders>
            <w:shd w:val="clear" w:color="auto" w:fill="auto"/>
            <w:noWrap/>
            <w:hideMark/>
          </w:tcPr>
          <w:p w14:paraId="1A3CE955" w14:textId="77777777" w:rsidR="00A46B68" w:rsidRPr="00DD3B0B" w:rsidRDefault="00A46B68" w:rsidP="00A46B68">
            <w:pPr>
              <w:spacing w:line="240" w:lineRule="auto"/>
              <w:ind w:firstLine="0"/>
              <w:jc w:val="center"/>
              <w:rPr>
                <w:color w:val="000000"/>
              </w:rPr>
            </w:pPr>
            <w:r w:rsidRPr="00DD3B0B">
              <w:rPr>
                <w:color w:val="000000"/>
              </w:rPr>
              <w:t>2.37E-02</w:t>
            </w:r>
          </w:p>
        </w:tc>
        <w:tc>
          <w:tcPr>
            <w:tcW w:w="1297" w:type="dxa"/>
            <w:tcBorders>
              <w:top w:val="nil"/>
              <w:left w:val="nil"/>
              <w:bottom w:val="nil"/>
              <w:right w:val="nil"/>
            </w:tcBorders>
            <w:shd w:val="clear" w:color="auto" w:fill="auto"/>
            <w:noWrap/>
            <w:hideMark/>
          </w:tcPr>
          <w:p w14:paraId="2DD0343A"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27706073" w14:textId="77777777" w:rsidR="00A46B68" w:rsidRPr="00DD3B0B" w:rsidRDefault="00A46B68" w:rsidP="00AB0D75">
            <w:pPr>
              <w:spacing w:line="240" w:lineRule="auto"/>
              <w:ind w:left="288" w:hanging="288"/>
              <w:rPr>
                <w:color w:val="000000"/>
              </w:rPr>
            </w:pPr>
          </w:p>
        </w:tc>
      </w:tr>
      <w:tr w:rsidR="00A46B68" w:rsidRPr="00502B03" w14:paraId="7A5E1F8F" w14:textId="77777777" w:rsidTr="002E3F44">
        <w:trPr>
          <w:trHeight w:val="20"/>
        </w:trPr>
        <w:tc>
          <w:tcPr>
            <w:tcW w:w="864" w:type="dxa"/>
            <w:tcBorders>
              <w:top w:val="nil"/>
              <w:left w:val="nil"/>
              <w:bottom w:val="nil"/>
              <w:right w:val="nil"/>
            </w:tcBorders>
            <w:shd w:val="clear" w:color="auto" w:fill="auto"/>
            <w:noWrap/>
            <w:hideMark/>
          </w:tcPr>
          <w:p w14:paraId="78BED1EA" w14:textId="77777777" w:rsidR="00A46B68" w:rsidRPr="00DD3B0B" w:rsidRDefault="00A46B68" w:rsidP="00A46B68">
            <w:pPr>
              <w:spacing w:line="240" w:lineRule="auto"/>
              <w:ind w:firstLine="0"/>
              <w:rPr>
                <w:color w:val="000000"/>
              </w:rPr>
            </w:pPr>
            <w:r w:rsidRPr="00DD3B0B">
              <w:rPr>
                <w:color w:val="000000"/>
              </w:rPr>
              <w:t>03728</w:t>
            </w:r>
          </w:p>
        </w:tc>
        <w:tc>
          <w:tcPr>
            <w:tcW w:w="1083" w:type="dxa"/>
            <w:tcBorders>
              <w:top w:val="nil"/>
              <w:left w:val="nil"/>
              <w:bottom w:val="nil"/>
              <w:right w:val="nil"/>
            </w:tcBorders>
            <w:shd w:val="clear" w:color="auto" w:fill="auto"/>
            <w:noWrap/>
            <w:hideMark/>
          </w:tcPr>
          <w:p w14:paraId="4B87F704" w14:textId="77777777" w:rsidR="00A46B68" w:rsidRPr="00DD3B0B" w:rsidRDefault="00A46B68" w:rsidP="00A46B68">
            <w:pPr>
              <w:spacing w:line="240" w:lineRule="auto"/>
              <w:ind w:firstLine="0"/>
              <w:jc w:val="center"/>
              <w:rPr>
                <w:color w:val="000000"/>
              </w:rPr>
            </w:pPr>
            <w:r w:rsidRPr="00DD3B0B">
              <w:rPr>
                <w:color w:val="000000"/>
              </w:rPr>
              <w:t>-1.297</w:t>
            </w:r>
          </w:p>
        </w:tc>
        <w:tc>
          <w:tcPr>
            <w:tcW w:w="1152" w:type="dxa"/>
            <w:tcBorders>
              <w:top w:val="nil"/>
              <w:left w:val="nil"/>
              <w:bottom w:val="nil"/>
              <w:right w:val="nil"/>
            </w:tcBorders>
            <w:shd w:val="clear" w:color="auto" w:fill="auto"/>
            <w:noWrap/>
            <w:hideMark/>
          </w:tcPr>
          <w:p w14:paraId="3A1C3BC8" w14:textId="77777777" w:rsidR="00A46B68" w:rsidRPr="00DD3B0B" w:rsidRDefault="00A46B68" w:rsidP="00A46B68">
            <w:pPr>
              <w:spacing w:line="240" w:lineRule="auto"/>
              <w:ind w:firstLine="0"/>
              <w:jc w:val="center"/>
              <w:rPr>
                <w:color w:val="000000"/>
              </w:rPr>
            </w:pPr>
            <w:r w:rsidRPr="00DD3B0B">
              <w:rPr>
                <w:color w:val="000000"/>
              </w:rPr>
              <w:t>3.01E-03</w:t>
            </w:r>
          </w:p>
        </w:tc>
        <w:tc>
          <w:tcPr>
            <w:tcW w:w="1297" w:type="dxa"/>
            <w:tcBorders>
              <w:top w:val="nil"/>
              <w:left w:val="nil"/>
              <w:bottom w:val="nil"/>
              <w:right w:val="nil"/>
            </w:tcBorders>
            <w:shd w:val="clear" w:color="auto" w:fill="auto"/>
            <w:noWrap/>
            <w:hideMark/>
          </w:tcPr>
          <w:p w14:paraId="682E2DA3" w14:textId="77777777" w:rsidR="00A46B68" w:rsidRPr="00DD3B0B" w:rsidRDefault="00A46B68" w:rsidP="00A46B68">
            <w:pPr>
              <w:spacing w:line="240" w:lineRule="auto"/>
              <w:ind w:firstLine="0"/>
              <w:jc w:val="center"/>
              <w:rPr>
                <w:color w:val="000000"/>
              </w:rPr>
            </w:pPr>
            <w:r>
              <w:rPr>
                <w:color w:val="000000"/>
              </w:rPr>
              <w:t>K</w:t>
            </w:r>
          </w:p>
        </w:tc>
        <w:tc>
          <w:tcPr>
            <w:tcW w:w="4391" w:type="dxa"/>
            <w:tcBorders>
              <w:top w:val="nil"/>
              <w:left w:val="nil"/>
              <w:bottom w:val="nil"/>
              <w:right w:val="nil"/>
            </w:tcBorders>
            <w:shd w:val="clear" w:color="auto" w:fill="auto"/>
            <w:hideMark/>
          </w:tcPr>
          <w:p w14:paraId="4E99B914" w14:textId="77777777" w:rsidR="00A46B68" w:rsidRPr="00DD3B0B" w:rsidRDefault="00A46B68" w:rsidP="00AB0D75">
            <w:pPr>
              <w:spacing w:line="240" w:lineRule="auto"/>
              <w:ind w:left="288" w:hanging="288"/>
              <w:rPr>
                <w:color w:val="000000"/>
              </w:rPr>
            </w:pPr>
            <w:r w:rsidRPr="00DD3B0B">
              <w:rPr>
                <w:color w:val="000000"/>
              </w:rPr>
              <w:t>K19802 ycjG, ykfB, dgcA; L-Ala-D/L-Glu epimerase / N-acetyl-D-glutamate racemase</w:t>
            </w:r>
          </w:p>
        </w:tc>
      </w:tr>
      <w:tr w:rsidR="00A46B68" w:rsidRPr="00502B03" w14:paraId="6F03143D" w14:textId="77777777" w:rsidTr="002E3F44">
        <w:trPr>
          <w:trHeight w:val="20"/>
        </w:trPr>
        <w:tc>
          <w:tcPr>
            <w:tcW w:w="864" w:type="dxa"/>
            <w:tcBorders>
              <w:top w:val="nil"/>
              <w:left w:val="nil"/>
              <w:bottom w:val="nil"/>
              <w:right w:val="nil"/>
            </w:tcBorders>
            <w:shd w:val="clear" w:color="auto" w:fill="auto"/>
            <w:noWrap/>
            <w:hideMark/>
          </w:tcPr>
          <w:p w14:paraId="07EDB55A" w14:textId="77777777" w:rsidR="00A46B68" w:rsidRPr="00DD3B0B" w:rsidRDefault="00A46B68" w:rsidP="00A46B68">
            <w:pPr>
              <w:spacing w:line="240" w:lineRule="auto"/>
              <w:ind w:firstLine="0"/>
              <w:rPr>
                <w:color w:val="000000"/>
              </w:rPr>
            </w:pPr>
            <w:r w:rsidRPr="00DD3B0B">
              <w:rPr>
                <w:color w:val="000000"/>
              </w:rPr>
              <w:t>02405</w:t>
            </w:r>
          </w:p>
        </w:tc>
        <w:tc>
          <w:tcPr>
            <w:tcW w:w="1083" w:type="dxa"/>
            <w:tcBorders>
              <w:top w:val="nil"/>
              <w:left w:val="nil"/>
              <w:bottom w:val="nil"/>
              <w:right w:val="nil"/>
            </w:tcBorders>
            <w:shd w:val="clear" w:color="auto" w:fill="auto"/>
            <w:noWrap/>
            <w:hideMark/>
          </w:tcPr>
          <w:p w14:paraId="4552EFAC" w14:textId="77777777" w:rsidR="00A46B68" w:rsidRPr="00DD3B0B" w:rsidRDefault="00A46B68" w:rsidP="00A46B68">
            <w:pPr>
              <w:spacing w:line="240" w:lineRule="auto"/>
              <w:ind w:firstLine="0"/>
              <w:jc w:val="center"/>
              <w:rPr>
                <w:color w:val="000000"/>
              </w:rPr>
            </w:pPr>
            <w:r w:rsidRPr="00DD3B0B">
              <w:rPr>
                <w:color w:val="000000"/>
              </w:rPr>
              <w:t>-1.298</w:t>
            </w:r>
          </w:p>
        </w:tc>
        <w:tc>
          <w:tcPr>
            <w:tcW w:w="1152" w:type="dxa"/>
            <w:tcBorders>
              <w:top w:val="nil"/>
              <w:left w:val="nil"/>
              <w:bottom w:val="nil"/>
              <w:right w:val="nil"/>
            </w:tcBorders>
            <w:shd w:val="clear" w:color="auto" w:fill="auto"/>
            <w:noWrap/>
            <w:hideMark/>
          </w:tcPr>
          <w:p w14:paraId="19C1793F" w14:textId="77777777" w:rsidR="00A46B68" w:rsidRPr="00DD3B0B" w:rsidRDefault="00A46B68" w:rsidP="00A46B68">
            <w:pPr>
              <w:spacing w:line="240" w:lineRule="auto"/>
              <w:ind w:firstLine="0"/>
              <w:jc w:val="center"/>
              <w:rPr>
                <w:color w:val="000000"/>
              </w:rPr>
            </w:pPr>
            <w:r w:rsidRPr="00DD3B0B">
              <w:rPr>
                <w:color w:val="000000"/>
              </w:rPr>
              <w:t>1.03E-02</w:t>
            </w:r>
          </w:p>
        </w:tc>
        <w:tc>
          <w:tcPr>
            <w:tcW w:w="1297" w:type="dxa"/>
            <w:tcBorders>
              <w:top w:val="nil"/>
              <w:left w:val="nil"/>
              <w:bottom w:val="nil"/>
              <w:right w:val="nil"/>
            </w:tcBorders>
            <w:shd w:val="clear" w:color="auto" w:fill="auto"/>
            <w:noWrap/>
            <w:hideMark/>
          </w:tcPr>
          <w:p w14:paraId="2E551E9C"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12840D68" w14:textId="77777777" w:rsidR="00A46B68" w:rsidRPr="00DD3B0B" w:rsidRDefault="00A46B68" w:rsidP="00AB0D75">
            <w:pPr>
              <w:spacing w:line="240" w:lineRule="auto"/>
              <w:ind w:left="288" w:hanging="288"/>
              <w:rPr>
                <w:color w:val="000000"/>
              </w:rPr>
            </w:pPr>
            <w:r w:rsidRPr="00DD3B0B">
              <w:rPr>
                <w:color w:val="000000"/>
              </w:rPr>
              <w:t>Polyketide cyclase / dehydrase and lipid transport</w:t>
            </w:r>
          </w:p>
        </w:tc>
      </w:tr>
      <w:tr w:rsidR="00A46B68" w:rsidRPr="00502B03" w14:paraId="29F3B480" w14:textId="77777777" w:rsidTr="002E3F44">
        <w:trPr>
          <w:trHeight w:val="20"/>
        </w:trPr>
        <w:tc>
          <w:tcPr>
            <w:tcW w:w="864" w:type="dxa"/>
            <w:tcBorders>
              <w:top w:val="nil"/>
              <w:left w:val="nil"/>
              <w:bottom w:val="nil"/>
              <w:right w:val="nil"/>
            </w:tcBorders>
            <w:shd w:val="clear" w:color="auto" w:fill="auto"/>
            <w:noWrap/>
            <w:hideMark/>
          </w:tcPr>
          <w:p w14:paraId="642C509C" w14:textId="77777777" w:rsidR="00A46B68" w:rsidRPr="00DD3B0B" w:rsidRDefault="00A46B68" w:rsidP="00A46B68">
            <w:pPr>
              <w:spacing w:line="240" w:lineRule="auto"/>
              <w:ind w:firstLine="0"/>
              <w:rPr>
                <w:color w:val="000000"/>
              </w:rPr>
            </w:pPr>
            <w:r w:rsidRPr="00DD3B0B">
              <w:rPr>
                <w:color w:val="000000"/>
              </w:rPr>
              <w:t>01609</w:t>
            </w:r>
          </w:p>
        </w:tc>
        <w:tc>
          <w:tcPr>
            <w:tcW w:w="1083" w:type="dxa"/>
            <w:tcBorders>
              <w:top w:val="nil"/>
              <w:left w:val="nil"/>
              <w:bottom w:val="nil"/>
              <w:right w:val="nil"/>
            </w:tcBorders>
            <w:shd w:val="clear" w:color="auto" w:fill="auto"/>
            <w:noWrap/>
            <w:hideMark/>
          </w:tcPr>
          <w:p w14:paraId="131D529B" w14:textId="77777777" w:rsidR="00A46B68" w:rsidRPr="00DD3B0B" w:rsidRDefault="00A46B68" w:rsidP="00A46B68">
            <w:pPr>
              <w:spacing w:line="240" w:lineRule="auto"/>
              <w:ind w:firstLine="0"/>
              <w:jc w:val="center"/>
              <w:rPr>
                <w:color w:val="000000"/>
              </w:rPr>
            </w:pPr>
            <w:r w:rsidRPr="00DD3B0B">
              <w:rPr>
                <w:color w:val="000000"/>
              </w:rPr>
              <w:t>-1.300</w:t>
            </w:r>
          </w:p>
        </w:tc>
        <w:tc>
          <w:tcPr>
            <w:tcW w:w="1152" w:type="dxa"/>
            <w:tcBorders>
              <w:top w:val="nil"/>
              <w:left w:val="nil"/>
              <w:bottom w:val="nil"/>
              <w:right w:val="nil"/>
            </w:tcBorders>
            <w:shd w:val="clear" w:color="auto" w:fill="auto"/>
            <w:noWrap/>
            <w:hideMark/>
          </w:tcPr>
          <w:p w14:paraId="66F6C74B" w14:textId="77777777" w:rsidR="00A46B68" w:rsidRPr="00DD3B0B" w:rsidRDefault="00A46B68" w:rsidP="00A46B68">
            <w:pPr>
              <w:spacing w:line="240" w:lineRule="auto"/>
              <w:ind w:firstLine="0"/>
              <w:jc w:val="center"/>
              <w:rPr>
                <w:color w:val="000000"/>
              </w:rPr>
            </w:pPr>
            <w:r w:rsidRPr="00DD3B0B">
              <w:rPr>
                <w:color w:val="000000"/>
              </w:rPr>
              <w:t>1.83E-02</w:t>
            </w:r>
          </w:p>
        </w:tc>
        <w:tc>
          <w:tcPr>
            <w:tcW w:w="1297" w:type="dxa"/>
            <w:tcBorders>
              <w:top w:val="nil"/>
              <w:left w:val="nil"/>
              <w:bottom w:val="nil"/>
              <w:right w:val="nil"/>
            </w:tcBorders>
            <w:shd w:val="clear" w:color="auto" w:fill="auto"/>
            <w:noWrap/>
            <w:hideMark/>
          </w:tcPr>
          <w:p w14:paraId="244870EC"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0A20DE10" w14:textId="77777777" w:rsidR="00A46B68" w:rsidRPr="00DD3B0B" w:rsidRDefault="00A46B68" w:rsidP="00AB0D75">
            <w:pPr>
              <w:spacing w:line="240" w:lineRule="auto"/>
              <w:ind w:left="288" w:hanging="288"/>
              <w:rPr>
                <w:color w:val="000000"/>
              </w:rPr>
            </w:pPr>
            <w:r w:rsidRPr="00DD3B0B">
              <w:rPr>
                <w:color w:val="000000"/>
              </w:rPr>
              <w:t>Chaperone protein ClpB 1</w:t>
            </w:r>
          </w:p>
        </w:tc>
      </w:tr>
      <w:tr w:rsidR="00A46B68" w:rsidRPr="00502B03" w14:paraId="6DD2C03A" w14:textId="77777777" w:rsidTr="002E3F44">
        <w:trPr>
          <w:trHeight w:val="20"/>
        </w:trPr>
        <w:tc>
          <w:tcPr>
            <w:tcW w:w="864" w:type="dxa"/>
            <w:tcBorders>
              <w:top w:val="nil"/>
              <w:left w:val="nil"/>
              <w:bottom w:val="nil"/>
              <w:right w:val="nil"/>
            </w:tcBorders>
            <w:shd w:val="clear" w:color="auto" w:fill="auto"/>
            <w:noWrap/>
            <w:hideMark/>
          </w:tcPr>
          <w:p w14:paraId="05605E2E" w14:textId="77777777" w:rsidR="00A46B68" w:rsidRPr="00DD3B0B" w:rsidRDefault="00A46B68" w:rsidP="00A46B68">
            <w:pPr>
              <w:spacing w:line="240" w:lineRule="auto"/>
              <w:ind w:firstLine="0"/>
              <w:rPr>
                <w:color w:val="000000"/>
              </w:rPr>
            </w:pPr>
            <w:r w:rsidRPr="00DD3B0B">
              <w:rPr>
                <w:color w:val="000000"/>
              </w:rPr>
              <w:t>00324</w:t>
            </w:r>
          </w:p>
        </w:tc>
        <w:tc>
          <w:tcPr>
            <w:tcW w:w="1083" w:type="dxa"/>
            <w:tcBorders>
              <w:top w:val="nil"/>
              <w:left w:val="nil"/>
              <w:bottom w:val="nil"/>
              <w:right w:val="nil"/>
            </w:tcBorders>
            <w:shd w:val="clear" w:color="auto" w:fill="auto"/>
            <w:noWrap/>
            <w:hideMark/>
          </w:tcPr>
          <w:p w14:paraId="5D09CFB8" w14:textId="77777777" w:rsidR="00A46B68" w:rsidRPr="00DD3B0B" w:rsidRDefault="00A46B68" w:rsidP="00A46B68">
            <w:pPr>
              <w:spacing w:line="240" w:lineRule="auto"/>
              <w:ind w:firstLine="0"/>
              <w:jc w:val="center"/>
              <w:rPr>
                <w:color w:val="000000"/>
              </w:rPr>
            </w:pPr>
            <w:r w:rsidRPr="00DD3B0B">
              <w:rPr>
                <w:color w:val="000000"/>
              </w:rPr>
              <w:t>-1.314</w:t>
            </w:r>
          </w:p>
        </w:tc>
        <w:tc>
          <w:tcPr>
            <w:tcW w:w="1152" w:type="dxa"/>
            <w:tcBorders>
              <w:top w:val="nil"/>
              <w:left w:val="nil"/>
              <w:bottom w:val="nil"/>
              <w:right w:val="nil"/>
            </w:tcBorders>
            <w:shd w:val="clear" w:color="auto" w:fill="auto"/>
            <w:noWrap/>
            <w:hideMark/>
          </w:tcPr>
          <w:p w14:paraId="5C72AAD8" w14:textId="77777777" w:rsidR="00A46B68" w:rsidRPr="00DD3B0B" w:rsidRDefault="00A46B68" w:rsidP="00A46B68">
            <w:pPr>
              <w:spacing w:line="240" w:lineRule="auto"/>
              <w:ind w:firstLine="0"/>
              <w:jc w:val="center"/>
              <w:rPr>
                <w:color w:val="000000"/>
              </w:rPr>
            </w:pPr>
            <w:r w:rsidRPr="00DD3B0B">
              <w:rPr>
                <w:color w:val="000000"/>
              </w:rPr>
              <w:t>3.08E-02</w:t>
            </w:r>
          </w:p>
        </w:tc>
        <w:tc>
          <w:tcPr>
            <w:tcW w:w="1297" w:type="dxa"/>
            <w:tcBorders>
              <w:top w:val="nil"/>
              <w:left w:val="nil"/>
              <w:bottom w:val="nil"/>
              <w:right w:val="nil"/>
            </w:tcBorders>
            <w:shd w:val="clear" w:color="auto" w:fill="auto"/>
            <w:noWrap/>
            <w:hideMark/>
          </w:tcPr>
          <w:p w14:paraId="36111AFA"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4944C1FC" w14:textId="77777777" w:rsidR="00A46B68" w:rsidRPr="00DD3B0B" w:rsidRDefault="00A46B68" w:rsidP="00AB0D75">
            <w:pPr>
              <w:spacing w:line="240" w:lineRule="auto"/>
              <w:ind w:left="288" w:hanging="288"/>
              <w:rPr>
                <w:color w:val="000000"/>
              </w:rPr>
            </w:pPr>
            <w:r w:rsidRPr="00DD3B0B">
              <w:rPr>
                <w:color w:val="000000"/>
              </w:rPr>
              <w:t>Leucine dehydrogenase</w:t>
            </w:r>
          </w:p>
        </w:tc>
      </w:tr>
      <w:tr w:rsidR="00A46B68" w:rsidRPr="00502B03" w14:paraId="569937F6" w14:textId="77777777" w:rsidTr="002E3F44">
        <w:trPr>
          <w:trHeight w:val="20"/>
        </w:trPr>
        <w:tc>
          <w:tcPr>
            <w:tcW w:w="864" w:type="dxa"/>
            <w:tcBorders>
              <w:top w:val="nil"/>
              <w:left w:val="nil"/>
              <w:bottom w:val="nil"/>
              <w:right w:val="nil"/>
            </w:tcBorders>
            <w:shd w:val="clear" w:color="auto" w:fill="auto"/>
            <w:noWrap/>
            <w:hideMark/>
          </w:tcPr>
          <w:p w14:paraId="49256F8D" w14:textId="77777777" w:rsidR="00A46B68" w:rsidRPr="00DD3B0B" w:rsidRDefault="00A46B68" w:rsidP="00A46B68">
            <w:pPr>
              <w:spacing w:line="240" w:lineRule="auto"/>
              <w:ind w:firstLine="0"/>
              <w:rPr>
                <w:color w:val="000000"/>
              </w:rPr>
            </w:pPr>
            <w:r w:rsidRPr="00DD3B0B">
              <w:rPr>
                <w:color w:val="000000"/>
              </w:rPr>
              <w:t>03588</w:t>
            </w:r>
          </w:p>
        </w:tc>
        <w:tc>
          <w:tcPr>
            <w:tcW w:w="1083" w:type="dxa"/>
            <w:tcBorders>
              <w:top w:val="nil"/>
              <w:left w:val="nil"/>
              <w:bottom w:val="nil"/>
              <w:right w:val="nil"/>
            </w:tcBorders>
            <w:shd w:val="clear" w:color="auto" w:fill="auto"/>
            <w:noWrap/>
            <w:hideMark/>
          </w:tcPr>
          <w:p w14:paraId="3C353F14" w14:textId="77777777" w:rsidR="00A46B68" w:rsidRPr="00DD3B0B" w:rsidRDefault="00A46B68" w:rsidP="00A46B68">
            <w:pPr>
              <w:spacing w:line="240" w:lineRule="auto"/>
              <w:ind w:firstLine="0"/>
              <w:jc w:val="center"/>
              <w:rPr>
                <w:color w:val="000000"/>
              </w:rPr>
            </w:pPr>
            <w:r w:rsidRPr="00DD3B0B">
              <w:rPr>
                <w:color w:val="000000"/>
              </w:rPr>
              <w:t>-1.325</w:t>
            </w:r>
          </w:p>
        </w:tc>
        <w:tc>
          <w:tcPr>
            <w:tcW w:w="1152" w:type="dxa"/>
            <w:tcBorders>
              <w:top w:val="nil"/>
              <w:left w:val="nil"/>
              <w:bottom w:val="nil"/>
              <w:right w:val="nil"/>
            </w:tcBorders>
            <w:shd w:val="clear" w:color="auto" w:fill="auto"/>
            <w:noWrap/>
            <w:hideMark/>
          </w:tcPr>
          <w:p w14:paraId="61C1A759" w14:textId="77777777" w:rsidR="00A46B68" w:rsidRPr="00DD3B0B" w:rsidRDefault="00A46B68" w:rsidP="00A46B68">
            <w:pPr>
              <w:spacing w:line="240" w:lineRule="auto"/>
              <w:ind w:firstLine="0"/>
              <w:jc w:val="center"/>
              <w:rPr>
                <w:color w:val="000000"/>
              </w:rPr>
            </w:pPr>
            <w:r w:rsidRPr="00DD3B0B">
              <w:rPr>
                <w:color w:val="000000"/>
              </w:rPr>
              <w:t>3.10E-02</w:t>
            </w:r>
          </w:p>
        </w:tc>
        <w:tc>
          <w:tcPr>
            <w:tcW w:w="1297" w:type="dxa"/>
            <w:tcBorders>
              <w:top w:val="nil"/>
              <w:left w:val="nil"/>
              <w:bottom w:val="nil"/>
              <w:right w:val="nil"/>
            </w:tcBorders>
            <w:shd w:val="clear" w:color="auto" w:fill="auto"/>
            <w:noWrap/>
            <w:hideMark/>
          </w:tcPr>
          <w:p w14:paraId="5D3DED4D"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2BC5995C" w14:textId="77777777" w:rsidR="00A46B68" w:rsidRPr="00DD3B0B" w:rsidRDefault="00A46B68" w:rsidP="00AB0D75">
            <w:pPr>
              <w:spacing w:line="240" w:lineRule="auto"/>
              <w:ind w:left="288" w:hanging="288"/>
              <w:rPr>
                <w:color w:val="000000"/>
              </w:rPr>
            </w:pPr>
          </w:p>
        </w:tc>
      </w:tr>
      <w:tr w:rsidR="00A46B68" w:rsidRPr="00502B03" w14:paraId="546E6E77" w14:textId="77777777" w:rsidTr="002E3F44">
        <w:trPr>
          <w:trHeight w:val="20"/>
        </w:trPr>
        <w:tc>
          <w:tcPr>
            <w:tcW w:w="864" w:type="dxa"/>
            <w:tcBorders>
              <w:top w:val="nil"/>
              <w:left w:val="nil"/>
              <w:bottom w:val="nil"/>
              <w:right w:val="nil"/>
            </w:tcBorders>
            <w:shd w:val="clear" w:color="auto" w:fill="auto"/>
            <w:noWrap/>
            <w:hideMark/>
          </w:tcPr>
          <w:p w14:paraId="4F04B487" w14:textId="77777777" w:rsidR="00A46B68" w:rsidRPr="00DD3B0B" w:rsidRDefault="00A46B68" w:rsidP="00A46B68">
            <w:pPr>
              <w:spacing w:line="240" w:lineRule="auto"/>
              <w:ind w:firstLine="0"/>
              <w:rPr>
                <w:color w:val="000000"/>
              </w:rPr>
            </w:pPr>
            <w:r w:rsidRPr="00DD3B0B">
              <w:rPr>
                <w:color w:val="000000"/>
              </w:rPr>
              <w:t>03125</w:t>
            </w:r>
          </w:p>
        </w:tc>
        <w:tc>
          <w:tcPr>
            <w:tcW w:w="1083" w:type="dxa"/>
            <w:tcBorders>
              <w:top w:val="nil"/>
              <w:left w:val="nil"/>
              <w:bottom w:val="nil"/>
              <w:right w:val="nil"/>
            </w:tcBorders>
            <w:shd w:val="clear" w:color="auto" w:fill="auto"/>
            <w:noWrap/>
            <w:hideMark/>
          </w:tcPr>
          <w:p w14:paraId="028E88EC" w14:textId="77777777" w:rsidR="00A46B68" w:rsidRPr="00DD3B0B" w:rsidRDefault="00A46B68" w:rsidP="00A46B68">
            <w:pPr>
              <w:spacing w:line="240" w:lineRule="auto"/>
              <w:ind w:firstLine="0"/>
              <w:jc w:val="center"/>
              <w:rPr>
                <w:color w:val="000000"/>
              </w:rPr>
            </w:pPr>
            <w:r w:rsidRPr="00DD3B0B">
              <w:rPr>
                <w:color w:val="000000"/>
              </w:rPr>
              <w:t>-1.345</w:t>
            </w:r>
          </w:p>
        </w:tc>
        <w:tc>
          <w:tcPr>
            <w:tcW w:w="1152" w:type="dxa"/>
            <w:tcBorders>
              <w:top w:val="nil"/>
              <w:left w:val="nil"/>
              <w:bottom w:val="nil"/>
              <w:right w:val="nil"/>
            </w:tcBorders>
            <w:shd w:val="clear" w:color="auto" w:fill="auto"/>
            <w:noWrap/>
            <w:hideMark/>
          </w:tcPr>
          <w:p w14:paraId="31276C19" w14:textId="77777777" w:rsidR="00A46B68" w:rsidRPr="00DD3B0B" w:rsidRDefault="00A46B68" w:rsidP="00A46B68">
            <w:pPr>
              <w:spacing w:line="240" w:lineRule="auto"/>
              <w:ind w:firstLine="0"/>
              <w:jc w:val="center"/>
              <w:rPr>
                <w:color w:val="000000"/>
              </w:rPr>
            </w:pPr>
            <w:r w:rsidRPr="00DD3B0B">
              <w:rPr>
                <w:color w:val="000000"/>
              </w:rPr>
              <w:t>1.51E-03</w:t>
            </w:r>
          </w:p>
        </w:tc>
        <w:tc>
          <w:tcPr>
            <w:tcW w:w="1297" w:type="dxa"/>
            <w:tcBorders>
              <w:top w:val="nil"/>
              <w:left w:val="nil"/>
              <w:bottom w:val="nil"/>
              <w:right w:val="nil"/>
            </w:tcBorders>
            <w:shd w:val="clear" w:color="auto" w:fill="auto"/>
            <w:noWrap/>
            <w:hideMark/>
          </w:tcPr>
          <w:p w14:paraId="506AD4EC"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2D774A69" w14:textId="77777777" w:rsidR="00A46B68" w:rsidRPr="00DD3B0B" w:rsidRDefault="00A46B68" w:rsidP="00AB0D75">
            <w:pPr>
              <w:spacing w:line="240" w:lineRule="auto"/>
              <w:ind w:left="288" w:hanging="288"/>
              <w:rPr>
                <w:color w:val="000000"/>
              </w:rPr>
            </w:pPr>
            <w:r w:rsidRPr="00DD3B0B">
              <w:rPr>
                <w:color w:val="000000"/>
              </w:rPr>
              <w:t>Tyrosine recombinase XerC</w:t>
            </w:r>
          </w:p>
        </w:tc>
      </w:tr>
      <w:tr w:rsidR="00A46B68" w:rsidRPr="00502B03" w14:paraId="31009621" w14:textId="77777777" w:rsidTr="002E3F44">
        <w:trPr>
          <w:trHeight w:val="20"/>
        </w:trPr>
        <w:tc>
          <w:tcPr>
            <w:tcW w:w="864" w:type="dxa"/>
            <w:tcBorders>
              <w:top w:val="nil"/>
              <w:left w:val="nil"/>
              <w:bottom w:val="nil"/>
              <w:right w:val="nil"/>
            </w:tcBorders>
            <w:shd w:val="clear" w:color="auto" w:fill="auto"/>
            <w:noWrap/>
            <w:hideMark/>
          </w:tcPr>
          <w:p w14:paraId="2B90C0A5" w14:textId="77777777" w:rsidR="00A46B68" w:rsidRPr="00DD3B0B" w:rsidRDefault="00A46B68" w:rsidP="00A46B68">
            <w:pPr>
              <w:spacing w:line="240" w:lineRule="auto"/>
              <w:ind w:firstLine="0"/>
              <w:rPr>
                <w:color w:val="000000"/>
              </w:rPr>
            </w:pPr>
            <w:r w:rsidRPr="00DD3B0B">
              <w:rPr>
                <w:color w:val="000000"/>
              </w:rPr>
              <w:t>01605</w:t>
            </w:r>
          </w:p>
        </w:tc>
        <w:tc>
          <w:tcPr>
            <w:tcW w:w="1083" w:type="dxa"/>
            <w:tcBorders>
              <w:top w:val="nil"/>
              <w:left w:val="nil"/>
              <w:bottom w:val="nil"/>
              <w:right w:val="nil"/>
            </w:tcBorders>
            <w:shd w:val="clear" w:color="auto" w:fill="auto"/>
            <w:noWrap/>
            <w:hideMark/>
          </w:tcPr>
          <w:p w14:paraId="6B3B459E" w14:textId="77777777" w:rsidR="00A46B68" w:rsidRPr="00DD3B0B" w:rsidRDefault="00A46B68" w:rsidP="00A46B68">
            <w:pPr>
              <w:spacing w:line="240" w:lineRule="auto"/>
              <w:ind w:firstLine="0"/>
              <w:jc w:val="center"/>
              <w:rPr>
                <w:color w:val="000000"/>
              </w:rPr>
            </w:pPr>
            <w:r w:rsidRPr="00DD3B0B">
              <w:rPr>
                <w:color w:val="000000"/>
              </w:rPr>
              <w:t>-1.347</w:t>
            </w:r>
          </w:p>
        </w:tc>
        <w:tc>
          <w:tcPr>
            <w:tcW w:w="1152" w:type="dxa"/>
            <w:tcBorders>
              <w:top w:val="nil"/>
              <w:left w:val="nil"/>
              <w:bottom w:val="nil"/>
              <w:right w:val="nil"/>
            </w:tcBorders>
            <w:shd w:val="clear" w:color="auto" w:fill="auto"/>
            <w:noWrap/>
            <w:hideMark/>
          </w:tcPr>
          <w:p w14:paraId="5BEAA9C5" w14:textId="77777777" w:rsidR="00A46B68" w:rsidRPr="00DD3B0B" w:rsidRDefault="00A46B68" w:rsidP="00A46B68">
            <w:pPr>
              <w:spacing w:line="240" w:lineRule="auto"/>
              <w:ind w:firstLine="0"/>
              <w:jc w:val="center"/>
              <w:rPr>
                <w:color w:val="000000"/>
              </w:rPr>
            </w:pPr>
            <w:r w:rsidRPr="00DD3B0B">
              <w:rPr>
                <w:color w:val="000000"/>
              </w:rPr>
              <w:t>1.17E-03</w:t>
            </w:r>
          </w:p>
        </w:tc>
        <w:tc>
          <w:tcPr>
            <w:tcW w:w="1297" w:type="dxa"/>
            <w:tcBorders>
              <w:top w:val="nil"/>
              <w:left w:val="nil"/>
              <w:bottom w:val="nil"/>
              <w:right w:val="nil"/>
            </w:tcBorders>
            <w:shd w:val="clear" w:color="auto" w:fill="auto"/>
            <w:noWrap/>
            <w:hideMark/>
          </w:tcPr>
          <w:p w14:paraId="547FCFA5"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464DC80E" w14:textId="77777777" w:rsidR="00A46B68" w:rsidRPr="00DD3B0B" w:rsidRDefault="00A46B68" w:rsidP="00AB0D75">
            <w:pPr>
              <w:spacing w:line="240" w:lineRule="auto"/>
              <w:ind w:left="288" w:hanging="288"/>
              <w:rPr>
                <w:color w:val="000000"/>
              </w:rPr>
            </w:pPr>
            <w:r w:rsidRPr="00DD3B0B">
              <w:rPr>
                <w:color w:val="000000"/>
              </w:rPr>
              <w:t>Tat (Twin-arginine translocation) pathway signal sequence containing protein</w:t>
            </w:r>
          </w:p>
        </w:tc>
      </w:tr>
      <w:tr w:rsidR="00A46B68" w:rsidRPr="00502B03" w14:paraId="09FFFFB6" w14:textId="77777777" w:rsidTr="002E3F44">
        <w:trPr>
          <w:trHeight w:val="20"/>
        </w:trPr>
        <w:tc>
          <w:tcPr>
            <w:tcW w:w="864" w:type="dxa"/>
            <w:tcBorders>
              <w:top w:val="nil"/>
              <w:left w:val="nil"/>
              <w:bottom w:val="nil"/>
              <w:right w:val="nil"/>
            </w:tcBorders>
            <w:shd w:val="clear" w:color="auto" w:fill="auto"/>
            <w:noWrap/>
            <w:hideMark/>
          </w:tcPr>
          <w:p w14:paraId="7E8C500B" w14:textId="77777777" w:rsidR="00A46B68" w:rsidRPr="00DD3B0B" w:rsidRDefault="00A46B68" w:rsidP="00A46B68">
            <w:pPr>
              <w:spacing w:line="240" w:lineRule="auto"/>
              <w:ind w:firstLine="0"/>
              <w:rPr>
                <w:color w:val="000000"/>
              </w:rPr>
            </w:pPr>
            <w:r w:rsidRPr="00DD3B0B">
              <w:rPr>
                <w:color w:val="000000"/>
              </w:rPr>
              <w:t>00861</w:t>
            </w:r>
          </w:p>
        </w:tc>
        <w:tc>
          <w:tcPr>
            <w:tcW w:w="1083" w:type="dxa"/>
            <w:tcBorders>
              <w:top w:val="nil"/>
              <w:left w:val="nil"/>
              <w:bottom w:val="nil"/>
              <w:right w:val="nil"/>
            </w:tcBorders>
            <w:shd w:val="clear" w:color="auto" w:fill="auto"/>
            <w:noWrap/>
            <w:hideMark/>
          </w:tcPr>
          <w:p w14:paraId="67E7B0F4" w14:textId="77777777" w:rsidR="00A46B68" w:rsidRPr="00DD3B0B" w:rsidRDefault="00A46B68" w:rsidP="00A46B68">
            <w:pPr>
              <w:spacing w:line="240" w:lineRule="auto"/>
              <w:ind w:firstLine="0"/>
              <w:jc w:val="center"/>
              <w:rPr>
                <w:color w:val="000000"/>
              </w:rPr>
            </w:pPr>
            <w:r w:rsidRPr="00DD3B0B">
              <w:rPr>
                <w:color w:val="000000"/>
              </w:rPr>
              <w:t>-1.358</w:t>
            </w:r>
          </w:p>
        </w:tc>
        <w:tc>
          <w:tcPr>
            <w:tcW w:w="1152" w:type="dxa"/>
            <w:tcBorders>
              <w:top w:val="nil"/>
              <w:left w:val="nil"/>
              <w:bottom w:val="nil"/>
              <w:right w:val="nil"/>
            </w:tcBorders>
            <w:shd w:val="clear" w:color="auto" w:fill="auto"/>
            <w:noWrap/>
            <w:hideMark/>
          </w:tcPr>
          <w:p w14:paraId="3E7C5D54" w14:textId="77777777" w:rsidR="00A46B68" w:rsidRPr="00DD3B0B" w:rsidRDefault="00A46B68" w:rsidP="00A46B68">
            <w:pPr>
              <w:spacing w:line="240" w:lineRule="auto"/>
              <w:ind w:firstLine="0"/>
              <w:jc w:val="center"/>
              <w:rPr>
                <w:color w:val="000000"/>
              </w:rPr>
            </w:pPr>
            <w:r w:rsidRPr="00DD3B0B">
              <w:rPr>
                <w:color w:val="000000"/>
              </w:rPr>
              <w:t>1.03E-02</w:t>
            </w:r>
          </w:p>
        </w:tc>
        <w:tc>
          <w:tcPr>
            <w:tcW w:w="1297" w:type="dxa"/>
            <w:tcBorders>
              <w:top w:val="nil"/>
              <w:left w:val="nil"/>
              <w:bottom w:val="nil"/>
              <w:right w:val="nil"/>
            </w:tcBorders>
            <w:shd w:val="clear" w:color="auto" w:fill="auto"/>
            <w:noWrap/>
          </w:tcPr>
          <w:p w14:paraId="44152D71"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7B7D1E4A" w14:textId="77777777" w:rsidR="00A46B68" w:rsidRPr="00DD3B0B" w:rsidRDefault="00A46B68" w:rsidP="00AB0D75">
            <w:pPr>
              <w:spacing w:line="240" w:lineRule="auto"/>
              <w:ind w:left="288" w:hanging="288"/>
              <w:rPr>
                <w:color w:val="000000"/>
              </w:rPr>
            </w:pPr>
          </w:p>
        </w:tc>
      </w:tr>
      <w:tr w:rsidR="00A46B68" w:rsidRPr="00502B03" w14:paraId="0FFAC2DC" w14:textId="77777777" w:rsidTr="002E3F44">
        <w:trPr>
          <w:trHeight w:val="20"/>
        </w:trPr>
        <w:tc>
          <w:tcPr>
            <w:tcW w:w="864" w:type="dxa"/>
            <w:tcBorders>
              <w:top w:val="nil"/>
              <w:left w:val="nil"/>
              <w:bottom w:val="nil"/>
              <w:right w:val="nil"/>
            </w:tcBorders>
            <w:shd w:val="clear" w:color="auto" w:fill="auto"/>
            <w:noWrap/>
            <w:hideMark/>
          </w:tcPr>
          <w:p w14:paraId="3D01A24A" w14:textId="77777777" w:rsidR="00A46B68" w:rsidRPr="00DD3B0B" w:rsidRDefault="00A46B68" w:rsidP="00A46B68">
            <w:pPr>
              <w:spacing w:line="240" w:lineRule="auto"/>
              <w:ind w:firstLine="0"/>
              <w:rPr>
                <w:color w:val="000000"/>
              </w:rPr>
            </w:pPr>
            <w:r w:rsidRPr="00DD3B0B">
              <w:rPr>
                <w:color w:val="000000"/>
              </w:rPr>
              <w:t>00092</w:t>
            </w:r>
          </w:p>
        </w:tc>
        <w:tc>
          <w:tcPr>
            <w:tcW w:w="1083" w:type="dxa"/>
            <w:tcBorders>
              <w:top w:val="nil"/>
              <w:left w:val="nil"/>
              <w:bottom w:val="nil"/>
              <w:right w:val="nil"/>
            </w:tcBorders>
            <w:shd w:val="clear" w:color="auto" w:fill="auto"/>
            <w:noWrap/>
            <w:hideMark/>
          </w:tcPr>
          <w:p w14:paraId="02BBBB11" w14:textId="77777777" w:rsidR="00A46B68" w:rsidRPr="00DD3B0B" w:rsidRDefault="00A46B68" w:rsidP="00A46B68">
            <w:pPr>
              <w:spacing w:line="240" w:lineRule="auto"/>
              <w:ind w:firstLine="0"/>
              <w:jc w:val="center"/>
              <w:rPr>
                <w:color w:val="000000"/>
              </w:rPr>
            </w:pPr>
            <w:r w:rsidRPr="00DD3B0B">
              <w:rPr>
                <w:color w:val="000000"/>
              </w:rPr>
              <w:t>-1.397</w:t>
            </w:r>
          </w:p>
        </w:tc>
        <w:tc>
          <w:tcPr>
            <w:tcW w:w="1152" w:type="dxa"/>
            <w:tcBorders>
              <w:top w:val="nil"/>
              <w:left w:val="nil"/>
              <w:bottom w:val="nil"/>
              <w:right w:val="nil"/>
            </w:tcBorders>
            <w:shd w:val="clear" w:color="auto" w:fill="auto"/>
            <w:noWrap/>
            <w:hideMark/>
          </w:tcPr>
          <w:p w14:paraId="770427E8" w14:textId="77777777" w:rsidR="00A46B68" w:rsidRPr="00DD3B0B" w:rsidRDefault="00A46B68" w:rsidP="00A46B68">
            <w:pPr>
              <w:spacing w:line="240" w:lineRule="auto"/>
              <w:ind w:firstLine="0"/>
              <w:jc w:val="center"/>
              <w:rPr>
                <w:color w:val="000000"/>
              </w:rPr>
            </w:pPr>
            <w:r w:rsidRPr="00DD3B0B">
              <w:rPr>
                <w:color w:val="000000"/>
              </w:rPr>
              <w:t>1.54E-08</w:t>
            </w:r>
          </w:p>
        </w:tc>
        <w:tc>
          <w:tcPr>
            <w:tcW w:w="1297" w:type="dxa"/>
            <w:tcBorders>
              <w:top w:val="nil"/>
              <w:left w:val="nil"/>
              <w:bottom w:val="nil"/>
              <w:right w:val="nil"/>
            </w:tcBorders>
            <w:shd w:val="clear" w:color="auto" w:fill="auto"/>
            <w:noWrap/>
          </w:tcPr>
          <w:p w14:paraId="757BD9FB"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2B6655EA" w14:textId="77777777" w:rsidR="00A46B68" w:rsidRPr="00DD3B0B" w:rsidRDefault="00A46B68" w:rsidP="00AB0D75">
            <w:pPr>
              <w:spacing w:line="240" w:lineRule="auto"/>
              <w:ind w:left="288" w:hanging="288"/>
              <w:rPr>
                <w:color w:val="000000"/>
              </w:rPr>
            </w:pPr>
          </w:p>
        </w:tc>
      </w:tr>
      <w:tr w:rsidR="00A46B68" w:rsidRPr="00502B03" w14:paraId="22F42DE7" w14:textId="77777777" w:rsidTr="002E3F44">
        <w:trPr>
          <w:trHeight w:val="20"/>
        </w:trPr>
        <w:tc>
          <w:tcPr>
            <w:tcW w:w="864" w:type="dxa"/>
            <w:tcBorders>
              <w:top w:val="nil"/>
              <w:left w:val="nil"/>
              <w:bottom w:val="nil"/>
              <w:right w:val="nil"/>
            </w:tcBorders>
            <w:shd w:val="clear" w:color="auto" w:fill="auto"/>
            <w:noWrap/>
            <w:hideMark/>
          </w:tcPr>
          <w:p w14:paraId="22122506" w14:textId="77777777" w:rsidR="00A46B68" w:rsidRPr="00DD3B0B" w:rsidRDefault="00A46B68" w:rsidP="00A46B68">
            <w:pPr>
              <w:spacing w:line="240" w:lineRule="auto"/>
              <w:ind w:firstLine="0"/>
              <w:rPr>
                <w:color w:val="000000"/>
              </w:rPr>
            </w:pPr>
            <w:r w:rsidRPr="00DD3B0B">
              <w:rPr>
                <w:color w:val="000000"/>
              </w:rPr>
              <w:t>03188</w:t>
            </w:r>
          </w:p>
        </w:tc>
        <w:tc>
          <w:tcPr>
            <w:tcW w:w="1083" w:type="dxa"/>
            <w:tcBorders>
              <w:top w:val="nil"/>
              <w:left w:val="nil"/>
              <w:bottom w:val="nil"/>
              <w:right w:val="nil"/>
            </w:tcBorders>
            <w:shd w:val="clear" w:color="auto" w:fill="auto"/>
            <w:noWrap/>
            <w:hideMark/>
          </w:tcPr>
          <w:p w14:paraId="2D232C60" w14:textId="77777777" w:rsidR="00A46B68" w:rsidRPr="00DD3B0B" w:rsidRDefault="00A46B68" w:rsidP="00A46B68">
            <w:pPr>
              <w:spacing w:line="240" w:lineRule="auto"/>
              <w:ind w:firstLine="0"/>
              <w:jc w:val="center"/>
              <w:rPr>
                <w:color w:val="000000"/>
              </w:rPr>
            </w:pPr>
            <w:r w:rsidRPr="00DD3B0B">
              <w:rPr>
                <w:color w:val="000000"/>
              </w:rPr>
              <w:t>-1.406</w:t>
            </w:r>
          </w:p>
        </w:tc>
        <w:tc>
          <w:tcPr>
            <w:tcW w:w="1152" w:type="dxa"/>
            <w:tcBorders>
              <w:top w:val="nil"/>
              <w:left w:val="nil"/>
              <w:bottom w:val="nil"/>
              <w:right w:val="nil"/>
            </w:tcBorders>
            <w:shd w:val="clear" w:color="auto" w:fill="auto"/>
            <w:noWrap/>
            <w:hideMark/>
          </w:tcPr>
          <w:p w14:paraId="396A2682" w14:textId="77777777" w:rsidR="00A46B68" w:rsidRPr="00DD3B0B" w:rsidRDefault="00A46B68" w:rsidP="00A46B68">
            <w:pPr>
              <w:spacing w:line="240" w:lineRule="auto"/>
              <w:ind w:firstLine="0"/>
              <w:jc w:val="center"/>
              <w:rPr>
                <w:color w:val="000000"/>
              </w:rPr>
            </w:pPr>
            <w:r w:rsidRPr="00DD3B0B">
              <w:rPr>
                <w:color w:val="000000"/>
              </w:rPr>
              <w:t>2.79E-04</w:t>
            </w:r>
          </w:p>
        </w:tc>
        <w:tc>
          <w:tcPr>
            <w:tcW w:w="1297" w:type="dxa"/>
            <w:tcBorders>
              <w:top w:val="nil"/>
              <w:left w:val="nil"/>
              <w:bottom w:val="nil"/>
              <w:right w:val="nil"/>
            </w:tcBorders>
            <w:shd w:val="clear" w:color="auto" w:fill="auto"/>
            <w:noWrap/>
            <w:hideMark/>
          </w:tcPr>
          <w:p w14:paraId="38541594"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0CCCAC21" w14:textId="77777777" w:rsidR="00A46B68" w:rsidRPr="00DD3B0B" w:rsidRDefault="00A46B68" w:rsidP="00AB0D75">
            <w:pPr>
              <w:spacing w:line="240" w:lineRule="auto"/>
              <w:ind w:left="288" w:hanging="288"/>
              <w:rPr>
                <w:color w:val="000000"/>
              </w:rPr>
            </w:pPr>
            <w:r w:rsidRPr="00DD3B0B">
              <w:rPr>
                <w:color w:val="000000"/>
              </w:rPr>
              <w:t>Las17-binding protein actin regulator</w:t>
            </w:r>
          </w:p>
        </w:tc>
      </w:tr>
      <w:tr w:rsidR="00A46B68" w:rsidRPr="00502B03" w14:paraId="77229681" w14:textId="77777777" w:rsidTr="002E3F44">
        <w:trPr>
          <w:trHeight w:val="20"/>
        </w:trPr>
        <w:tc>
          <w:tcPr>
            <w:tcW w:w="864" w:type="dxa"/>
            <w:tcBorders>
              <w:top w:val="nil"/>
              <w:left w:val="nil"/>
              <w:bottom w:val="nil"/>
              <w:right w:val="nil"/>
            </w:tcBorders>
            <w:shd w:val="clear" w:color="auto" w:fill="auto"/>
            <w:noWrap/>
            <w:hideMark/>
          </w:tcPr>
          <w:p w14:paraId="0C91CE70" w14:textId="77777777" w:rsidR="00A46B68" w:rsidRPr="00DD3B0B" w:rsidRDefault="00A46B68" w:rsidP="00A46B68">
            <w:pPr>
              <w:spacing w:line="240" w:lineRule="auto"/>
              <w:ind w:firstLine="0"/>
              <w:rPr>
                <w:color w:val="000000"/>
              </w:rPr>
            </w:pPr>
            <w:r w:rsidRPr="00DD3B0B">
              <w:rPr>
                <w:color w:val="000000"/>
              </w:rPr>
              <w:t>01859</w:t>
            </w:r>
          </w:p>
        </w:tc>
        <w:tc>
          <w:tcPr>
            <w:tcW w:w="1083" w:type="dxa"/>
            <w:tcBorders>
              <w:top w:val="nil"/>
              <w:left w:val="nil"/>
              <w:bottom w:val="nil"/>
              <w:right w:val="nil"/>
            </w:tcBorders>
            <w:shd w:val="clear" w:color="auto" w:fill="auto"/>
            <w:noWrap/>
            <w:hideMark/>
          </w:tcPr>
          <w:p w14:paraId="50A95828" w14:textId="77777777" w:rsidR="00A46B68" w:rsidRPr="00DD3B0B" w:rsidRDefault="00A46B68" w:rsidP="00A46B68">
            <w:pPr>
              <w:spacing w:line="240" w:lineRule="auto"/>
              <w:ind w:firstLine="0"/>
              <w:jc w:val="center"/>
              <w:rPr>
                <w:color w:val="000000"/>
              </w:rPr>
            </w:pPr>
            <w:r w:rsidRPr="00DD3B0B">
              <w:rPr>
                <w:color w:val="000000"/>
              </w:rPr>
              <w:t>-1.416</w:t>
            </w:r>
          </w:p>
        </w:tc>
        <w:tc>
          <w:tcPr>
            <w:tcW w:w="1152" w:type="dxa"/>
            <w:tcBorders>
              <w:top w:val="nil"/>
              <w:left w:val="nil"/>
              <w:bottom w:val="nil"/>
              <w:right w:val="nil"/>
            </w:tcBorders>
            <w:shd w:val="clear" w:color="auto" w:fill="auto"/>
            <w:noWrap/>
            <w:hideMark/>
          </w:tcPr>
          <w:p w14:paraId="0BA7DC96" w14:textId="77777777" w:rsidR="00A46B68" w:rsidRPr="00DD3B0B" w:rsidRDefault="00A46B68" w:rsidP="00A46B68">
            <w:pPr>
              <w:spacing w:line="240" w:lineRule="auto"/>
              <w:ind w:firstLine="0"/>
              <w:jc w:val="center"/>
              <w:rPr>
                <w:color w:val="000000"/>
              </w:rPr>
            </w:pPr>
            <w:r w:rsidRPr="00DD3B0B">
              <w:rPr>
                <w:color w:val="000000"/>
              </w:rPr>
              <w:t>1.25E-04</w:t>
            </w:r>
          </w:p>
        </w:tc>
        <w:tc>
          <w:tcPr>
            <w:tcW w:w="1297" w:type="dxa"/>
            <w:tcBorders>
              <w:top w:val="nil"/>
              <w:left w:val="nil"/>
              <w:bottom w:val="nil"/>
              <w:right w:val="nil"/>
            </w:tcBorders>
            <w:shd w:val="clear" w:color="auto" w:fill="auto"/>
            <w:noWrap/>
            <w:hideMark/>
          </w:tcPr>
          <w:p w14:paraId="41C6291B"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6A23B6A4" w14:textId="77777777" w:rsidR="00A46B68" w:rsidRPr="00DD3B0B" w:rsidRDefault="00A46B68" w:rsidP="00AB0D75">
            <w:pPr>
              <w:spacing w:line="240" w:lineRule="auto"/>
              <w:ind w:left="288" w:hanging="288"/>
              <w:rPr>
                <w:color w:val="000000"/>
              </w:rPr>
            </w:pPr>
            <w:r>
              <w:rPr>
                <w:color w:val="000000"/>
              </w:rPr>
              <w:t>P</w:t>
            </w:r>
            <w:r w:rsidRPr="00DD3B0B">
              <w:rPr>
                <w:color w:val="000000"/>
              </w:rPr>
              <w:t>yrroloquinoline quinone binding</w:t>
            </w:r>
          </w:p>
        </w:tc>
      </w:tr>
      <w:tr w:rsidR="00A46B68" w:rsidRPr="00502B03" w14:paraId="47543B2A" w14:textId="77777777" w:rsidTr="002E3F44">
        <w:trPr>
          <w:trHeight w:val="20"/>
        </w:trPr>
        <w:tc>
          <w:tcPr>
            <w:tcW w:w="864" w:type="dxa"/>
            <w:tcBorders>
              <w:top w:val="nil"/>
              <w:left w:val="nil"/>
              <w:bottom w:val="nil"/>
              <w:right w:val="nil"/>
            </w:tcBorders>
            <w:shd w:val="clear" w:color="auto" w:fill="auto"/>
            <w:noWrap/>
            <w:hideMark/>
          </w:tcPr>
          <w:p w14:paraId="04F4C668" w14:textId="77777777" w:rsidR="00A46B68" w:rsidRPr="00DD3B0B" w:rsidRDefault="00A46B68" w:rsidP="00A46B68">
            <w:pPr>
              <w:spacing w:line="240" w:lineRule="auto"/>
              <w:ind w:firstLine="0"/>
              <w:rPr>
                <w:color w:val="000000"/>
              </w:rPr>
            </w:pPr>
            <w:r w:rsidRPr="00DD3B0B">
              <w:rPr>
                <w:color w:val="000000"/>
              </w:rPr>
              <w:t>03131</w:t>
            </w:r>
          </w:p>
        </w:tc>
        <w:tc>
          <w:tcPr>
            <w:tcW w:w="1083" w:type="dxa"/>
            <w:tcBorders>
              <w:top w:val="nil"/>
              <w:left w:val="nil"/>
              <w:bottom w:val="nil"/>
              <w:right w:val="nil"/>
            </w:tcBorders>
            <w:shd w:val="clear" w:color="auto" w:fill="auto"/>
            <w:noWrap/>
            <w:hideMark/>
          </w:tcPr>
          <w:p w14:paraId="3D6C3ADB" w14:textId="77777777" w:rsidR="00A46B68" w:rsidRPr="00DD3B0B" w:rsidRDefault="00A46B68" w:rsidP="00A46B68">
            <w:pPr>
              <w:spacing w:line="240" w:lineRule="auto"/>
              <w:ind w:firstLine="0"/>
              <w:jc w:val="center"/>
              <w:rPr>
                <w:color w:val="000000"/>
              </w:rPr>
            </w:pPr>
            <w:r w:rsidRPr="00DD3B0B">
              <w:rPr>
                <w:color w:val="000000"/>
              </w:rPr>
              <w:t>-1.446</w:t>
            </w:r>
          </w:p>
        </w:tc>
        <w:tc>
          <w:tcPr>
            <w:tcW w:w="1152" w:type="dxa"/>
            <w:tcBorders>
              <w:top w:val="nil"/>
              <w:left w:val="nil"/>
              <w:bottom w:val="nil"/>
              <w:right w:val="nil"/>
            </w:tcBorders>
            <w:shd w:val="clear" w:color="auto" w:fill="auto"/>
            <w:noWrap/>
            <w:hideMark/>
          </w:tcPr>
          <w:p w14:paraId="7C1AAA70" w14:textId="77777777" w:rsidR="00A46B68" w:rsidRPr="00DD3B0B" w:rsidRDefault="00A46B68" w:rsidP="00A46B68">
            <w:pPr>
              <w:spacing w:line="240" w:lineRule="auto"/>
              <w:ind w:firstLine="0"/>
              <w:jc w:val="center"/>
              <w:rPr>
                <w:color w:val="000000"/>
              </w:rPr>
            </w:pPr>
            <w:r w:rsidRPr="00DD3B0B">
              <w:rPr>
                <w:color w:val="000000"/>
              </w:rPr>
              <w:t>1.92E-02</w:t>
            </w:r>
          </w:p>
        </w:tc>
        <w:tc>
          <w:tcPr>
            <w:tcW w:w="1297" w:type="dxa"/>
            <w:tcBorders>
              <w:top w:val="nil"/>
              <w:left w:val="nil"/>
              <w:bottom w:val="nil"/>
              <w:right w:val="nil"/>
            </w:tcBorders>
            <w:shd w:val="clear" w:color="auto" w:fill="auto"/>
            <w:noWrap/>
          </w:tcPr>
          <w:p w14:paraId="26098473"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562AE9B2" w14:textId="77777777" w:rsidR="00A46B68" w:rsidRPr="00DD3B0B" w:rsidRDefault="00A46B68" w:rsidP="00AB0D75">
            <w:pPr>
              <w:spacing w:line="240" w:lineRule="auto"/>
              <w:ind w:left="288" w:hanging="288"/>
              <w:rPr>
                <w:color w:val="000000"/>
              </w:rPr>
            </w:pPr>
          </w:p>
        </w:tc>
      </w:tr>
      <w:tr w:rsidR="00A46B68" w:rsidRPr="00502B03" w14:paraId="56A06204" w14:textId="77777777" w:rsidTr="002E3F44">
        <w:trPr>
          <w:trHeight w:val="20"/>
        </w:trPr>
        <w:tc>
          <w:tcPr>
            <w:tcW w:w="864" w:type="dxa"/>
            <w:tcBorders>
              <w:top w:val="nil"/>
              <w:left w:val="nil"/>
              <w:bottom w:val="nil"/>
              <w:right w:val="nil"/>
            </w:tcBorders>
            <w:shd w:val="clear" w:color="auto" w:fill="auto"/>
            <w:noWrap/>
            <w:hideMark/>
          </w:tcPr>
          <w:p w14:paraId="056E8A83" w14:textId="77777777" w:rsidR="00A46B68" w:rsidRPr="00DD3B0B" w:rsidRDefault="00A46B68" w:rsidP="00A46B68">
            <w:pPr>
              <w:spacing w:line="240" w:lineRule="auto"/>
              <w:ind w:firstLine="0"/>
              <w:rPr>
                <w:color w:val="000000"/>
              </w:rPr>
            </w:pPr>
            <w:r w:rsidRPr="00DD3B0B">
              <w:rPr>
                <w:color w:val="000000"/>
              </w:rPr>
              <w:t>03630</w:t>
            </w:r>
          </w:p>
        </w:tc>
        <w:tc>
          <w:tcPr>
            <w:tcW w:w="1083" w:type="dxa"/>
            <w:tcBorders>
              <w:top w:val="nil"/>
              <w:left w:val="nil"/>
              <w:bottom w:val="nil"/>
              <w:right w:val="nil"/>
            </w:tcBorders>
            <w:shd w:val="clear" w:color="auto" w:fill="auto"/>
            <w:noWrap/>
            <w:hideMark/>
          </w:tcPr>
          <w:p w14:paraId="7CC4654E" w14:textId="77777777" w:rsidR="00A46B68" w:rsidRPr="00DD3B0B" w:rsidRDefault="00A46B68" w:rsidP="00A46B68">
            <w:pPr>
              <w:spacing w:line="240" w:lineRule="auto"/>
              <w:ind w:firstLine="0"/>
              <w:jc w:val="center"/>
              <w:rPr>
                <w:color w:val="000000"/>
              </w:rPr>
            </w:pPr>
            <w:r w:rsidRPr="00DD3B0B">
              <w:rPr>
                <w:color w:val="000000"/>
              </w:rPr>
              <w:t>-1.464</w:t>
            </w:r>
          </w:p>
        </w:tc>
        <w:tc>
          <w:tcPr>
            <w:tcW w:w="1152" w:type="dxa"/>
            <w:tcBorders>
              <w:top w:val="nil"/>
              <w:left w:val="nil"/>
              <w:bottom w:val="nil"/>
              <w:right w:val="nil"/>
            </w:tcBorders>
            <w:shd w:val="clear" w:color="auto" w:fill="auto"/>
            <w:noWrap/>
            <w:hideMark/>
          </w:tcPr>
          <w:p w14:paraId="156F5780" w14:textId="77777777" w:rsidR="00A46B68" w:rsidRPr="00DD3B0B" w:rsidRDefault="00A46B68" w:rsidP="00A46B68">
            <w:pPr>
              <w:spacing w:line="240" w:lineRule="auto"/>
              <w:ind w:firstLine="0"/>
              <w:jc w:val="center"/>
              <w:rPr>
                <w:color w:val="000000"/>
              </w:rPr>
            </w:pPr>
            <w:r w:rsidRPr="00DD3B0B">
              <w:rPr>
                <w:color w:val="000000"/>
              </w:rPr>
              <w:t>8.91E-04</w:t>
            </w:r>
          </w:p>
        </w:tc>
        <w:tc>
          <w:tcPr>
            <w:tcW w:w="1297" w:type="dxa"/>
            <w:tcBorders>
              <w:top w:val="nil"/>
              <w:left w:val="nil"/>
              <w:bottom w:val="nil"/>
              <w:right w:val="nil"/>
            </w:tcBorders>
            <w:shd w:val="clear" w:color="auto" w:fill="auto"/>
            <w:noWrap/>
          </w:tcPr>
          <w:p w14:paraId="6B7C8E35"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246876C0" w14:textId="77777777" w:rsidR="00A46B68" w:rsidRPr="00DD3B0B" w:rsidRDefault="00A46B68" w:rsidP="00AB0D75">
            <w:pPr>
              <w:spacing w:line="240" w:lineRule="auto"/>
              <w:ind w:left="288" w:hanging="288"/>
              <w:rPr>
                <w:color w:val="000000"/>
              </w:rPr>
            </w:pPr>
          </w:p>
        </w:tc>
      </w:tr>
      <w:tr w:rsidR="00A46B68" w:rsidRPr="00502B03" w14:paraId="2D28C327" w14:textId="77777777" w:rsidTr="002E3F44">
        <w:trPr>
          <w:trHeight w:val="20"/>
        </w:trPr>
        <w:tc>
          <w:tcPr>
            <w:tcW w:w="864" w:type="dxa"/>
            <w:tcBorders>
              <w:top w:val="nil"/>
              <w:left w:val="nil"/>
              <w:bottom w:val="nil"/>
              <w:right w:val="nil"/>
            </w:tcBorders>
            <w:shd w:val="clear" w:color="auto" w:fill="auto"/>
            <w:noWrap/>
            <w:hideMark/>
          </w:tcPr>
          <w:p w14:paraId="61DD0B1E" w14:textId="77777777" w:rsidR="00A46B68" w:rsidRPr="00DD3B0B" w:rsidRDefault="00A46B68" w:rsidP="00A46B68">
            <w:pPr>
              <w:spacing w:line="240" w:lineRule="auto"/>
              <w:ind w:firstLine="0"/>
              <w:rPr>
                <w:color w:val="000000"/>
              </w:rPr>
            </w:pPr>
            <w:r w:rsidRPr="00DD3B0B">
              <w:rPr>
                <w:color w:val="000000"/>
              </w:rPr>
              <w:t>02571</w:t>
            </w:r>
          </w:p>
        </w:tc>
        <w:tc>
          <w:tcPr>
            <w:tcW w:w="1083" w:type="dxa"/>
            <w:tcBorders>
              <w:top w:val="nil"/>
              <w:left w:val="nil"/>
              <w:bottom w:val="nil"/>
              <w:right w:val="nil"/>
            </w:tcBorders>
            <w:shd w:val="clear" w:color="auto" w:fill="auto"/>
            <w:noWrap/>
            <w:hideMark/>
          </w:tcPr>
          <w:p w14:paraId="78006BAA" w14:textId="77777777" w:rsidR="00A46B68" w:rsidRPr="00DD3B0B" w:rsidRDefault="00A46B68" w:rsidP="00A46B68">
            <w:pPr>
              <w:spacing w:line="240" w:lineRule="auto"/>
              <w:ind w:firstLine="0"/>
              <w:jc w:val="center"/>
              <w:rPr>
                <w:color w:val="000000"/>
              </w:rPr>
            </w:pPr>
            <w:r w:rsidRPr="00DD3B0B">
              <w:rPr>
                <w:color w:val="000000"/>
              </w:rPr>
              <w:t>-1.476</w:t>
            </w:r>
          </w:p>
        </w:tc>
        <w:tc>
          <w:tcPr>
            <w:tcW w:w="1152" w:type="dxa"/>
            <w:tcBorders>
              <w:top w:val="nil"/>
              <w:left w:val="nil"/>
              <w:bottom w:val="nil"/>
              <w:right w:val="nil"/>
            </w:tcBorders>
            <w:shd w:val="clear" w:color="auto" w:fill="auto"/>
            <w:noWrap/>
            <w:hideMark/>
          </w:tcPr>
          <w:p w14:paraId="432F5CEE" w14:textId="77777777" w:rsidR="00A46B68" w:rsidRPr="00DD3B0B" w:rsidRDefault="00A46B68" w:rsidP="00A46B68">
            <w:pPr>
              <w:spacing w:line="240" w:lineRule="auto"/>
              <w:ind w:firstLine="0"/>
              <w:jc w:val="center"/>
              <w:rPr>
                <w:color w:val="000000"/>
              </w:rPr>
            </w:pPr>
            <w:r w:rsidRPr="00DD3B0B">
              <w:rPr>
                <w:color w:val="000000"/>
              </w:rPr>
              <w:t>4.76E-02</w:t>
            </w:r>
          </w:p>
        </w:tc>
        <w:tc>
          <w:tcPr>
            <w:tcW w:w="1297" w:type="dxa"/>
            <w:tcBorders>
              <w:top w:val="nil"/>
              <w:left w:val="nil"/>
              <w:bottom w:val="nil"/>
              <w:right w:val="nil"/>
            </w:tcBorders>
            <w:shd w:val="clear" w:color="auto" w:fill="auto"/>
            <w:noWrap/>
            <w:hideMark/>
          </w:tcPr>
          <w:p w14:paraId="0B0D0030"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0CCCF03B" w14:textId="77777777" w:rsidR="00A46B68" w:rsidRPr="00DD3B0B" w:rsidRDefault="00A46B68" w:rsidP="00AB0D75">
            <w:pPr>
              <w:spacing w:line="240" w:lineRule="auto"/>
              <w:ind w:left="288" w:hanging="288"/>
              <w:rPr>
                <w:color w:val="000000"/>
              </w:rPr>
            </w:pPr>
            <w:r w:rsidRPr="00DD3B0B">
              <w:rPr>
                <w:color w:val="000000"/>
              </w:rPr>
              <w:t>Sensors of blue-light using FAD</w:t>
            </w:r>
          </w:p>
        </w:tc>
      </w:tr>
      <w:tr w:rsidR="00A46B68" w:rsidRPr="00502B03" w14:paraId="56A509DC" w14:textId="77777777" w:rsidTr="002E3F44">
        <w:trPr>
          <w:trHeight w:val="20"/>
        </w:trPr>
        <w:tc>
          <w:tcPr>
            <w:tcW w:w="864" w:type="dxa"/>
            <w:tcBorders>
              <w:top w:val="nil"/>
              <w:left w:val="nil"/>
              <w:bottom w:val="nil"/>
              <w:right w:val="nil"/>
            </w:tcBorders>
            <w:shd w:val="clear" w:color="auto" w:fill="auto"/>
            <w:noWrap/>
            <w:hideMark/>
          </w:tcPr>
          <w:p w14:paraId="0FD38018" w14:textId="77777777" w:rsidR="00A46B68" w:rsidRPr="00DD3B0B" w:rsidRDefault="00A46B68" w:rsidP="00A46B68">
            <w:pPr>
              <w:spacing w:line="240" w:lineRule="auto"/>
              <w:ind w:firstLine="0"/>
              <w:rPr>
                <w:color w:val="000000"/>
              </w:rPr>
            </w:pPr>
            <w:r w:rsidRPr="00DD3B0B">
              <w:rPr>
                <w:color w:val="000000"/>
              </w:rPr>
              <w:lastRenderedPageBreak/>
              <w:t>00199</w:t>
            </w:r>
          </w:p>
        </w:tc>
        <w:tc>
          <w:tcPr>
            <w:tcW w:w="1083" w:type="dxa"/>
            <w:tcBorders>
              <w:top w:val="nil"/>
              <w:left w:val="nil"/>
              <w:bottom w:val="nil"/>
              <w:right w:val="nil"/>
            </w:tcBorders>
            <w:shd w:val="clear" w:color="auto" w:fill="auto"/>
            <w:noWrap/>
            <w:hideMark/>
          </w:tcPr>
          <w:p w14:paraId="3FE5D2CA" w14:textId="77777777" w:rsidR="00A46B68" w:rsidRPr="00DD3B0B" w:rsidRDefault="00A46B68" w:rsidP="00A46B68">
            <w:pPr>
              <w:spacing w:line="240" w:lineRule="auto"/>
              <w:ind w:firstLine="0"/>
              <w:jc w:val="center"/>
              <w:rPr>
                <w:color w:val="000000"/>
              </w:rPr>
            </w:pPr>
            <w:r w:rsidRPr="00DD3B0B">
              <w:rPr>
                <w:color w:val="000000"/>
              </w:rPr>
              <w:t>-1.485</w:t>
            </w:r>
          </w:p>
        </w:tc>
        <w:tc>
          <w:tcPr>
            <w:tcW w:w="1152" w:type="dxa"/>
            <w:tcBorders>
              <w:top w:val="nil"/>
              <w:left w:val="nil"/>
              <w:bottom w:val="nil"/>
              <w:right w:val="nil"/>
            </w:tcBorders>
            <w:shd w:val="clear" w:color="auto" w:fill="auto"/>
            <w:noWrap/>
            <w:hideMark/>
          </w:tcPr>
          <w:p w14:paraId="6ED46074" w14:textId="77777777" w:rsidR="00A46B68" w:rsidRPr="00DD3B0B" w:rsidRDefault="00A46B68" w:rsidP="00A46B68">
            <w:pPr>
              <w:spacing w:line="240" w:lineRule="auto"/>
              <w:ind w:firstLine="0"/>
              <w:jc w:val="center"/>
              <w:rPr>
                <w:color w:val="000000"/>
              </w:rPr>
            </w:pPr>
            <w:r w:rsidRPr="00DD3B0B">
              <w:rPr>
                <w:color w:val="000000"/>
              </w:rPr>
              <w:t>3.53E-02</w:t>
            </w:r>
          </w:p>
        </w:tc>
        <w:tc>
          <w:tcPr>
            <w:tcW w:w="1297" w:type="dxa"/>
            <w:tcBorders>
              <w:top w:val="nil"/>
              <w:left w:val="nil"/>
              <w:bottom w:val="nil"/>
              <w:right w:val="nil"/>
            </w:tcBorders>
            <w:shd w:val="clear" w:color="auto" w:fill="auto"/>
            <w:noWrap/>
            <w:hideMark/>
          </w:tcPr>
          <w:p w14:paraId="64853082" w14:textId="77777777" w:rsidR="00A46B68" w:rsidRPr="00DD3B0B" w:rsidRDefault="00A46B68" w:rsidP="00A46B68">
            <w:pPr>
              <w:spacing w:line="240" w:lineRule="auto"/>
              <w:ind w:firstLine="0"/>
              <w:jc w:val="center"/>
              <w:rPr>
                <w:color w:val="000000"/>
              </w:rPr>
            </w:pP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64A2DA7E" w14:textId="77777777" w:rsidR="00A46B68" w:rsidRPr="00DD3B0B" w:rsidRDefault="00A46B68" w:rsidP="00AB0D75">
            <w:pPr>
              <w:spacing w:line="240" w:lineRule="auto"/>
              <w:ind w:left="288" w:hanging="288"/>
              <w:rPr>
                <w:color w:val="000000"/>
              </w:rPr>
            </w:pPr>
            <w:r w:rsidRPr="00DD3B0B">
              <w:rPr>
                <w:i/>
                <w:iCs/>
                <w:color w:val="000000"/>
              </w:rPr>
              <w:t>ydbD</w:t>
            </w:r>
            <w:r w:rsidRPr="00DD3B0B">
              <w:rPr>
                <w:color w:val="000000"/>
              </w:rPr>
              <w:t>; manganese catalase</w:t>
            </w:r>
          </w:p>
        </w:tc>
      </w:tr>
      <w:tr w:rsidR="00A46B68" w:rsidRPr="00502B03" w14:paraId="731DC6CE" w14:textId="77777777" w:rsidTr="002E3F44">
        <w:trPr>
          <w:trHeight w:val="20"/>
        </w:trPr>
        <w:tc>
          <w:tcPr>
            <w:tcW w:w="864" w:type="dxa"/>
            <w:tcBorders>
              <w:top w:val="nil"/>
              <w:left w:val="nil"/>
              <w:bottom w:val="nil"/>
              <w:right w:val="nil"/>
            </w:tcBorders>
            <w:shd w:val="clear" w:color="auto" w:fill="auto"/>
            <w:noWrap/>
            <w:hideMark/>
          </w:tcPr>
          <w:p w14:paraId="147820F4" w14:textId="77777777" w:rsidR="00A46B68" w:rsidRPr="00DD3B0B" w:rsidRDefault="00A46B68" w:rsidP="00A46B68">
            <w:pPr>
              <w:spacing w:line="240" w:lineRule="auto"/>
              <w:ind w:firstLine="0"/>
              <w:rPr>
                <w:color w:val="000000"/>
              </w:rPr>
            </w:pPr>
            <w:r w:rsidRPr="00DD3B0B">
              <w:rPr>
                <w:color w:val="000000"/>
              </w:rPr>
              <w:t>01701</w:t>
            </w:r>
          </w:p>
        </w:tc>
        <w:tc>
          <w:tcPr>
            <w:tcW w:w="1083" w:type="dxa"/>
            <w:tcBorders>
              <w:top w:val="nil"/>
              <w:left w:val="nil"/>
              <w:bottom w:val="nil"/>
              <w:right w:val="nil"/>
            </w:tcBorders>
            <w:shd w:val="clear" w:color="auto" w:fill="auto"/>
            <w:noWrap/>
            <w:hideMark/>
          </w:tcPr>
          <w:p w14:paraId="5F94F6EC" w14:textId="77777777" w:rsidR="00A46B68" w:rsidRPr="00DD3B0B" w:rsidRDefault="00A46B68" w:rsidP="00A46B68">
            <w:pPr>
              <w:spacing w:line="240" w:lineRule="auto"/>
              <w:ind w:firstLine="0"/>
              <w:jc w:val="center"/>
              <w:rPr>
                <w:color w:val="000000"/>
              </w:rPr>
            </w:pPr>
            <w:r w:rsidRPr="00DD3B0B">
              <w:rPr>
                <w:color w:val="000000"/>
              </w:rPr>
              <w:t>-1.500</w:t>
            </w:r>
          </w:p>
        </w:tc>
        <w:tc>
          <w:tcPr>
            <w:tcW w:w="1152" w:type="dxa"/>
            <w:tcBorders>
              <w:top w:val="nil"/>
              <w:left w:val="nil"/>
              <w:bottom w:val="nil"/>
              <w:right w:val="nil"/>
            </w:tcBorders>
            <w:shd w:val="clear" w:color="auto" w:fill="auto"/>
            <w:noWrap/>
            <w:hideMark/>
          </w:tcPr>
          <w:p w14:paraId="70D1A41B" w14:textId="77777777" w:rsidR="00A46B68" w:rsidRPr="00DD3B0B" w:rsidRDefault="00A46B68" w:rsidP="00A46B68">
            <w:pPr>
              <w:spacing w:line="240" w:lineRule="auto"/>
              <w:ind w:firstLine="0"/>
              <w:jc w:val="center"/>
              <w:rPr>
                <w:color w:val="000000"/>
              </w:rPr>
            </w:pPr>
            <w:r w:rsidRPr="00DD3B0B">
              <w:rPr>
                <w:color w:val="000000"/>
              </w:rPr>
              <w:t>5.99E-03</w:t>
            </w:r>
          </w:p>
        </w:tc>
        <w:tc>
          <w:tcPr>
            <w:tcW w:w="1297" w:type="dxa"/>
            <w:tcBorders>
              <w:top w:val="nil"/>
              <w:left w:val="nil"/>
              <w:bottom w:val="nil"/>
              <w:right w:val="nil"/>
            </w:tcBorders>
            <w:shd w:val="clear" w:color="auto" w:fill="auto"/>
            <w:noWrap/>
            <w:hideMark/>
          </w:tcPr>
          <w:p w14:paraId="3591A0FC"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2ED9C315" w14:textId="77777777" w:rsidR="00A46B68" w:rsidRPr="00DD3B0B" w:rsidRDefault="00A46B68" w:rsidP="00AB0D75">
            <w:pPr>
              <w:spacing w:line="240" w:lineRule="auto"/>
              <w:ind w:left="288" w:hanging="288"/>
              <w:rPr>
                <w:color w:val="000000"/>
              </w:rPr>
            </w:pPr>
          </w:p>
        </w:tc>
      </w:tr>
      <w:tr w:rsidR="00A46B68" w:rsidRPr="00502B03" w14:paraId="3F067134" w14:textId="77777777" w:rsidTr="002E3F44">
        <w:trPr>
          <w:trHeight w:val="20"/>
        </w:trPr>
        <w:tc>
          <w:tcPr>
            <w:tcW w:w="864" w:type="dxa"/>
            <w:tcBorders>
              <w:top w:val="nil"/>
              <w:left w:val="nil"/>
              <w:bottom w:val="nil"/>
              <w:right w:val="nil"/>
            </w:tcBorders>
            <w:shd w:val="clear" w:color="auto" w:fill="auto"/>
            <w:noWrap/>
            <w:hideMark/>
          </w:tcPr>
          <w:p w14:paraId="5860C64B" w14:textId="77777777" w:rsidR="00A46B68" w:rsidRPr="00DD3B0B" w:rsidRDefault="00A46B68" w:rsidP="00A46B68">
            <w:pPr>
              <w:spacing w:line="240" w:lineRule="auto"/>
              <w:ind w:firstLine="0"/>
              <w:rPr>
                <w:color w:val="000000"/>
              </w:rPr>
            </w:pPr>
            <w:r w:rsidRPr="00DD3B0B">
              <w:rPr>
                <w:color w:val="000000"/>
              </w:rPr>
              <w:t>00198</w:t>
            </w:r>
          </w:p>
        </w:tc>
        <w:tc>
          <w:tcPr>
            <w:tcW w:w="1083" w:type="dxa"/>
            <w:tcBorders>
              <w:top w:val="nil"/>
              <w:left w:val="nil"/>
              <w:bottom w:val="nil"/>
              <w:right w:val="nil"/>
            </w:tcBorders>
            <w:shd w:val="clear" w:color="auto" w:fill="auto"/>
            <w:noWrap/>
            <w:hideMark/>
          </w:tcPr>
          <w:p w14:paraId="13A41606" w14:textId="77777777" w:rsidR="00A46B68" w:rsidRPr="00DD3B0B" w:rsidRDefault="00A46B68" w:rsidP="00A46B68">
            <w:pPr>
              <w:spacing w:line="240" w:lineRule="auto"/>
              <w:ind w:firstLine="0"/>
              <w:jc w:val="center"/>
              <w:rPr>
                <w:color w:val="000000"/>
              </w:rPr>
            </w:pPr>
            <w:r w:rsidRPr="00DD3B0B">
              <w:rPr>
                <w:color w:val="000000"/>
              </w:rPr>
              <w:t>-1.508</w:t>
            </w:r>
          </w:p>
        </w:tc>
        <w:tc>
          <w:tcPr>
            <w:tcW w:w="1152" w:type="dxa"/>
            <w:tcBorders>
              <w:top w:val="nil"/>
              <w:left w:val="nil"/>
              <w:bottom w:val="nil"/>
              <w:right w:val="nil"/>
            </w:tcBorders>
            <w:shd w:val="clear" w:color="auto" w:fill="auto"/>
            <w:noWrap/>
            <w:hideMark/>
          </w:tcPr>
          <w:p w14:paraId="18ED9170" w14:textId="77777777" w:rsidR="00A46B68" w:rsidRPr="00DD3B0B" w:rsidRDefault="00A46B68" w:rsidP="00A46B68">
            <w:pPr>
              <w:spacing w:line="240" w:lineRule="auto"/>
              <w:ind w:firstLine="0"/>
              <w:jc w:val="center"/>
              <w:rPr>
                <w:color w:val="000000"/>
              </w:rPr>
            </w:pPr>
            <w:r w:rsidRPr="00DD3B0B">
              <w:rPr>
                <w:color w:val="000000"/>
              </w:rPr>
              <w:t>2.64E-02</w:t>
            </w:r>
          </w:p>
        </w:tc>
        <w:tc>
          <w:tcPr>
            <w:tcW w:w="1297" w:type="dxa"/>
            <w:tcBorders>
              <w:top w:val="nil"/>
              <w:left w:val="nil"/>
              <w:bottom w:val="nil"/>
              <w:right w:val="nil"/>
            </w:tcBorders>
            <w:shd w:val="clear" w:color="auto" w:fill="auto"/>
            <w:noWrap/>
            <w:hideMark/>
          </w:tcPr>
          <w:p w14:paraId="6CF1446F" w14:textId="77777777" w:rsidR="00A46B68" w:rsidRPr="00DD3B0B" w:rsidRDefault="00A46B68" w:rsidP="00A46B68">
            <w:pPr>
              <w:spacing w:line="240" w:lineRule="auto"/>
              <w:ind w:firstLine="0"/>
              <w:jc w:val="center"/>
              <w:rPr>
                <w:color w:val="000000"/>
              </w:rPr>
            </w:pP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7EDB52DA" w14:textId="77777777" w:rsidR="00A46B68" w:rsidRPr="00DD3B0B" w:rsidRDefault="00A46B68" w:rsidP="00AB0D75">
            <w:pPr>
              <w:spacing w:line="240" w:lineRule="auto"/>
              <w:ind w:left="288" w:hanging="288"/>
              <w:rPr>
                <w:color w:val="000000"/>
              </w:rPr>
            </w:pPr>
            <w:r w:rsidRPr="00DD3B0B">
              <w:rPr>
                <w:i/>
                <w:iCs/>
                <w:color w:val="000000"/>
              </w:rPr>
              <w:t>ydbD</w:t>
            </w:r>
            <w:r w:rsidRPr="00DD3B0B">
              <w:rPr>
                <w:color w:val="000000"/>
              </w:rPr>
              <w:t>; manganese catalase</w:t>
            </w:r>
          </w:p>
        </w:tc>
      </w:tr>
      <w:tr w:rsidR="00A46B68" w:rsidRPr="00502B03" w14:paraId="3B4A39DF" w14:textId="77777777" w:rsidTr="002E3F44">
        <w:trPr>
          <w:trHeight w:val="20"/>
        </w:trPr>
        <w:tc>
          <w:tcPr>
            <w:tcW w:w="864" w:type="dxa"/>
            <w:tcBorders>
              <w:top w:val="nil"/>
              <w:left w:val="nil"/>
              <w:bottom w:val="nil"/>
              <w:right w:val="nil"/>
            </w:tcBorders>
            <w:shd w:val="clear" w:color="auto" w:fill="auto"/>
            <w:noWrap/>
            <w:hideMark/>
          </w:tcPr>
          <w:p w14:paraId="7531A30A" w14:textId="77777777" w:rsidR="00A46B68" w:rsidRPr="00DD3B0B" w:rsidRDefault="00A46B68" w:rsidP="00A46B68">
            <w:pPr>
              <w:spacing w:line="240" w:lineRule="auto"/>
              <w:ind w:firstLine="0"/>
              <w:rPr>
                <w:color w:val="000000"/>
              </w:rPr>
            </w:pPr>
            <w:r w:rsidRPr="00DD3B0B">
              <w:rPr>
                <w:color w:val="000000"/>
              </w:rPr>
              <w:t>00196</w:t>
            </w:r>
          </w:p>
        </w:tc>
        <w:tc>
          <w:tcPr>
            <w:tcW w:w="1083" w:type="dxa"/>
            <w:tcBorders>
              <w:top w:val="nil"/>
              <w:left w:val="nil"/>
              <w:bottom w:val="nil"/>
              <w:right w:val="nil"/>
            </w:tcBorders>
            <w:shd w:val="clear" w:color="auto" w:fill="auto"/>
            <w:noWrap/>
            <w:hideMark/>
          </w:tcPr>
          <w:p w14:paraId="0C48BDF5" w14:textId="77777777" w:rsidR="00A46B68" w:rsidRPr="00DD3B0B" w:rsidRDefault="00A46B68" w:rsidP="00A46B68">
            <w:pPr>
              <w:spacing w:line="240" w:lineRule="auto"/>
              <w:ind w:firstLine="0"/>
              <w:jc w:val="center"/>
              <w:rPr>
                <w:color w:val="000000"/>
              </w:rPr>
            </w:pPr>
            <w:r w:rsidRPr="00DD3B0B">
              <w:rPr>
                <w:color w:val="000000"/>
              </w:rPr>
              <w:t>-1.526</w:t>
            </w:r>
          </w:p>
        </w:tc>
        <w:tc>
          <w:tcPr>
            <w:tcW w:w="1152" w:type="dxa"/>
            <w:tcBorders>
              <w:top w:val="nil"/>
              <w:left w:val="nil"/>
              <w:bottom w:val="nil"/>
              <w:right w:val="nil"/>
            </w:tcBorders>
            <w:shd w:val="clear" w:color="auto" w:fill="auto"/>
            <w:noWrap/>
            <w:hideMark/>
          </w:tcPr>
          <w:p w14:paraId="5DAC1547" w14:textId="77777777" w:rsidR="00A46B68" w:rsidRPr="00DD3B0B" w:rsidRDefault="00A46B68" w:rsidP="00A46B68">
            <w:pPr>
              <w:spacing w:line="240" w:lineRule="auto"/>
              <w:ind w:firstLine="0"/>
              <w:jc w:val="center"/>
              <w:rPr>
                <w:color w:val="000000"/>
              </w:rPr>
            </w:pPr>
            <w:r w:rsidRPr="00DD3B0B">
              <w:rPr>
                <w:color w:val="000000"/>
              </w:rPr>
              <w:t>3.17E-02</w:t>
            </w:r>
          </w:p>
        </w:tc>
        <w:tc>
          <w:tcPr>
            <w:tcW w:w="1297" w:type="dxa"/>
            <w:tcBorders>
              <w:top w:val="nil"/>
              <w:left w:val="nil"/>
              <w:bottom w:val="nil"/>
              <w:right w:val="nil"/>
            </w:tcBorders>
            <w:shd w:val="clear" w:color="auto" w:fill="auto"/>
            <w:noWrap/>
            <w:hideMark/>
          </w:tcPr>
          <w:p w14:paraId="2DB92441"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32B094D3" w14:textId="77777777" w:rsidR="00A46B68" w:rsidRPr="00DD3B0B" w:rsidRDefault="00A46B68" w:rsidP="00AB0D75">
            <w:pPr>
              <w:spacing w:line="240" w:lineRule="auto"/>
              <w:ind w:left="288" w:hanging="288"/>
              <w:rPr>
                <w:color w:val="000000"/>
              </w:rPr>
            </w:pPr>
            <w:r w:rsidRPr="00DD3B0B">
              <w:rPr>
                <w:i/>
                <w:iCs/>
                <w:color w:val="000000"/>
              </w:rPr>
              <w:t>groEL</w:t>
            </w:r>
            <w:r w:rsidRPr="00DD3B0B">
              <w:rPr>
                <w:color w:val="000000"/>
              </w:rPr>
              <w:t>, HSPD1, HSP60, CPN60; chaperonin</w:t>
            </w:r>
          </w:p>
        </w:tc>
      </w:tr>
      <w:tr w:rsidR="00A46B68" w:rsidRPr="00502B03" w14:paraId="48D90B25" w14:textId="77777777" w:rsidTr="002E3F44">
        <w:trPr>
          <w:trHeight w:val="20"/>
        </w:trPr>
        <w:tc>
          <w:tcPr>
            <w:tcW w:w="864" w:type="dxa"/>
            <w:tcBorders>
              <w:top w:val="nil"/>
              <w:left w:val="nil"/>
              <w:bottom w:val="nil"/>
              <w:right w:val="nil"/>
            </w:tcBorders>
            <w:shd w:val="clear" w:color="auto" w:fill="auto"/>
            <w:noWrap/>
            <w:hideMark/>
          </w:tcPr>
          <w:p w14:paraId="299AE3F9" w14:textId="77777777" w:rsidR="00A46B68" w:rsidRPr="00DD3B0B" w:rsidRDefault="00A46B68" w:rsidP="00A46B68">
            <w:pPr>
              <w:spacing w:line="240" w:lineRule="auto"/>
              <w:ind w:firstLine="0"/>
              <w:rPr>
                <w:color w:val="000000"/>
              </w:rPr>
            </w:pPr>
            <w:r w:rsidRPr="00DD3B0B">
              <w:rPr>
                <w:color w:val="000000"/>
              </w:rPr>
              <w:t>03631</w:t>
            </w:r>
          </w:p>
        </w:tc>
        <w:tc>
          <w:tcPr>
            <w:tcW w:w="1083" w:type="dxa"/>
            <w:tcBorders>
              <w:top w:val="nil"/>
              <w:left w:val="nil"/>
              <w:bottom w:val="nil"/>
              <w:right w:val="nil"/>
            </w:tcBorders>
            <w:shd w:val="clear" w:color="auto" w:fill="auto"/>
            <w:noWrap/>
            <w:hideMark/>
          </w:tcPr>
          <w:p w14:paraId="362897A2" w14:textId="77777777" w:rsidR="00A46B68" w:rsidRPr="00DD3B0B" w:rsidRDefault="00A46B68" w:rsidP="00A46B68">
            <w:pPr>
              <w:spacing w:line="240" w:lineRule="auto"/>
              <w:ind w:firstLine="0"/>
              <w:jc w:val="center"/>
              <w:rPr>
                <w:color w:val="000000"/>
              </w:rPr>
            </w:pPr>
            <w:r w:rsidRPr="00DD3B0B">
              <w:rPr>
                <w:color w:val="000000"/>
              </w:rPr>
              <w:t>-1.561</w:t>
            </w:r>
          </w:p>
        </w:tc>
        <w:tc>
          <w:tcPr>
            <w:tcW w:w="1152" w:type="dxa"/>
            <w:tcBorders>
              <w:top w:val="nil"/>
              <w:left w:val="nil"/>
              <w:bottom w:val="nil"/>
              <w:right w:val="nil"/>
            </w:tcBorders>
            <w:shd w:val="clear" w:color="auto" w:fill="auto"/>
            <w:noWrap/>
            <w:hideMark/>
          </w:tcPr>
          <w:p w14:paraId="4E4DE2F7" w14:textId="77777777" w:rsidR="00A46B68" w:rsidRPr="00DD3B0B" w:rsidRDefault="00A46B68" w:rsidP="00A46B68">
            <w:pPr>
              <w:spacing w:line="240" w:lineRule="auto"/>
              <w:ind w:firstLine="0"/>
              <w:jc w:val="center"/>
              <w:rPr>
                <w:color w:val="000000"/>
              </w:rPr>
            </w:pPr>
            <w:r w:rsidRPr="00DD3B0B">
              <w:rPr>
                <w:color w:val="000000"/>
              </w:rPr>
              <w:t>2.16E-03</w:t>
            </w:r>
          </w:p>
        </w:tc>
        <w:tc>
          <w:tcPr>
            <w:tcW w:w="1297" w:type="dxa"/>
            <w:tcBorders>
              <w:top w:val="nil"/>
              <w:left w:val="nil"/>
              <w:bottom w:val="nil"/>
              <w:right w:val="nil"/>
            </w:tcBorders>
            <w:shd w:val="clear" w:color="auto" w:fill="auto"/>
            <w:noWrap/>
            <w:hideMark/>
          </w:tcPr>
          <w:p w14:paraId="1D08F1A7"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7B2B57ED" w14:textId="77777777" w:rsidR="00A46B68" w:rsidRPr="00DD3B0B" w:rsidRDefault="00A46B68" w:rsidP="00AB0D75">
            <w:pPr>
              <w:spacing w:line="240" w:lineRule="auto"/>
              <w:ind w:left="288" w:hanging="288"/>
              <w:rPr>
                <w:color w:val="000000"/>
              </w:rPr>
            </w:pPr>
            <w:r>
              <w:rPr>
                <w:color w:val="000000"/>
              </w:rPr>
              <w:t>M</w:t>
            </w:r>
            <w:r w:rsidRPr="00DD3B0B">
              <w:rPr>
                <w:color w:val="000000"/>
              </w:rPr>
              <w:t>embrane</w:t>
            </w:r>
            <w:r>
              <w:rPr>
                <w:color w:val="000000"/>
              </w:rPr>
              <w:t xml:space="preserve"> protein</w:t>
            </w:r>
          </w:p>
        </w:tc>
      </w:tr>
      <w:tr w:rsidR="00A46B68" w:rsidRPr="00502B03" w14:paraId="0D754308" w14:textId="77777777" w:rsidTr="002E3F44">
        <w:trPr>
          <w:trHeight w:val="20"/>
        </w:trPr>
        <w:tc>
          <w:tcPr>
            <w:tcW w:w="864" w:type="dxa"/>
            <w:tcBorders>
              <w:top w:val="nil"/>
              <w:left w:val="nil"/>
              <w:bottom w:val="nil"/>
              <w:right w:val="nil"/>
            </w:tcBorders>
            <w:shd w:val="clear" w:color="auto" w:fill="auto"/>
            <w:noWrap/>
            <w:hideMark/>
          </w:tcPr>
          <w:p w14:paraId="498D6195" w14:textId="77777777" w:rsidR="00A46B68" w:rsidRPr="00DD3B0B" w:rsidRDefault="00A46B68" w:rsidP="00A46B68">
            <w:pPr>
              <w:spacing w:line="240" w:lineRule="auto"/>
              <w:ind w:firstLine="0"/>
              <w:rPr>
                <w:color w:val="000000"/>
              </w:rPr>
            </w:pPr>
            <w:r w:rsidRPr="00DD3B0B">
              <w:rPr>
                <w:color w:val="000000"/>
              </w:rPr>
              <w:t>01782</w:t>
            </w:r>
          </w:p>
        </w:tc>
        <w:tc>
          <w:tcPr>
            <w:tcW w:w="1083" w:type="dxa"/>
            <w:tcBorders>
              <w:top w:val="nil"/>
              <w:left w:val="nil"/>
              <w:bottom w:val="nil"/>
              <w:right w:val="nil"/>
            </w:tcBorders>
            <w:shd w:val="clear" w:color="auto" w:fill="auto"/>
            <w:noWrap/>
            <w:hideMark/>
          </w:tcPr>
          <w:p w14:paraId="4FE5747C" w14:textId="77777777" w:rsidR="00A46B68" w:rsidRPr="00DD3B0B" w:rsidRDefault="00A46B68" w:rsidP="00A46B68">
            <w:pPr>
              <w:spacing w:line="240" w:lineRule="auto"/>
              <w:ind w:firstLine="0"/>
              <w:jc w:val="center"/>
              <w:rPr>
                <w:color w:val="000000"/>
              </w:rPr>
            </w:pPr>
            <w:r w:rsidRPr="00DD3B0B">
              <w:rPr>
                <w:color w:val="000000"/>
              </w:rPr>
              <w:t>-1.582</w:t>
            </w:r>
          </w:p>
        </w:tc>
        <w:tc>
          <w:tcPr>
            <w:tcW w:w="1152" w:type="dxa"/>
            <w:tcBorders>
              <w:top w:val="nil"/>
              <w:left w:val="nil"/>
              <w:bottom w:val="nil"/>
              <w:right w:val="nil"/>
            </w:tcBorders>
            <w:shd w:val="clear" w:color="auto" w:fill="auto"/>
            <w:noWrap/>
            <w:hideMark/>
          </w:tcPr>
          <w:p w14:paraId="30B28D58" w14:textId="77777777" w:rsidR="00A46B68" w:rsidRPr="00DD3B0B" w:rsidRDefault="00A46B68" w:rsidP="00A46B68">
            <w:pPr>
              <w:spacing w:line="240" w:lineRule="auto"/>
              <w:ind w:firstLine="0"/>
              <w:jc w:val="center"/>
              <w:rPr>
                <w:color w:val="000000"/>
              </w:rPr>
            </w:pPr>
            <w:r w:rsidRPr="00DD3B0B">
              <w:rPr>
                <w:color w:val="000000"/>
              </w:rPr>
              <w:t>3.39E-03</w:t>
            </w:r>
          </w:p>
        </w:tc>
        <w:tc>
          <w:tcPr>
            <w:tcW w:w="1297" w:type="dxa"/>
            <w:tcBorders>
              <w:top w:val="nil"/>
              <w:left w:val="nil"/>
              <w:bottom w:val="nil"/>
              <w:right w:val="nil"/>
            </w:tcBorders>
            <w:shd w:val="clear" w:color="auto" w:fill="auto"/>
            <w:noWrap/>
            <w:hideMark/>
          </w:tcPr>
          <w:p w14:paraId="4CE529B5"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0E7DDC33" w14:textId="77777777" w:rsidR="00A46B68" w:rsidRPr="00DD3B0B" w:rsidRDefault="00A46B68" w:rsidP="00AB0D75">
            <w:pPr>
              <w:spacing w:line="240" w:lineRule="auto"/>
              <w:ind w:left="288" w:hanging="288"/>
              <w:rPr>
                <w:color w:val="000000"/>
              </w:rPr>
            </w:pPr>
            <w:r w:rsidRPr="00DD3B0B">
              <w:rPr>
                <w:color w:val="000000"/>
              </w:rPr>
              <w:t>IS256 family transposase ISAba42</w:t>
            </w:r>
          </w:p>
        </w:tc>
      </w:tr>
      <w:tr w:rsidR="00A46B68" w:rsidRPr="00502B03" w14:paraId="23FEBA56" w14:textId="77777777" w:rsidTr="002E3F44">
        <w:trPr>
          <w:trHeight w:val="20"/>
        </w:trPr>
        <w:tc>
          <w:tcPr>
            <w:tcW w:w="864" w:type="dxa"/>
            <w:tcBorders>
              <w:top w:val="nil"/>
              <w:left w:val="nil"/>
              <w:bottom w:val="nil"/>
              <w:right w:val="nil"/>
            </w:tcBorders>
            <w:shd w:val="clear" w:color="auto" w:fill="auto"/>
            <w:noWrap/>
            <w:hideMark/>
          </w:tcPr>
          <w:p w14:paraId="66994DB7" w14:textId="77777777" w:rsidR="00A46B68" w:rsidRPr="00DD3B0B" w:rsidRDefault="00A46B68" w:rsidP="00A46B68">
            <w:pPr>
              <w:spacing w:line="240" w:lineRule="auto"/>
              <w:ind w:firstLine="0"/>
              <w:rPr>
                <w:color w:val="000000"/>
              </w:rPr>
            </w:pPr>
            <w:r w:rsidRPr="00DD3B0B">
              <w:rPr>
                <w:color w:val="000000"/>
              </w:rPr>
              <w:t>02243</w:t>
            </w:r>
          </w:p>
        </w:tc>
        <w:tc>
          <w:tcPr>
            <w:tcW w:w="1083" w:type="dxa"/>
            <w:tcBorders>
              <w:top w:val="nil"/>
              <w:left w:val="nil"/>
              <w:bottom w:val="nil"/>
              <w:right w:val="nil"/>
            </w:tcBorders>
            <w:shd w:val="clear" w:color="auto" w:fill="auto"/>
            <w:noWrap/>
            <w:hideMark/>
          </w:tcPr>
          <w:p w14:paraId="22474E15" w14:textId="77777777" w:rsidR="00A46B68" w:rsidRPr="00DD3B0B" w:rsidRDefault="00A46B68" w:rsidP="00A46B68">
            <w:pPr>
              <w:spacing w:line="240" w:lineRule="auto"/>
              <w:ind w:firstLine="0"/>
              <w:jc w:val="center"/>
              <w:rPr>
                <w:color w:val="000000"/>
              </w:rPr>
            </w:pPr>
            <w:r w:rsidRPr="00DD3B0B">
              <w:rPr>
                <w:color w:val="000000"/>
              </w:rPr>
              <w:t>-1.603</w:t>
            </w:r>
          </w:p>
        </w:tc>
        <w:tc>
          <w:tcPr>
            <w:tcW w:w="1152" w:type="dxa"/>
            <w:tcBorders>
              <w:top w:val="nil"/>
              <w:left w:val="nil"/>
              <w:bottom w:val="nil"/>
              <w:right w:val="nil"/>
            </w:tcBorders>
            <w:shd w:val="clear" w:color="auto" w:fill="auto"/>
            <w:noWrap/>
            <w:hideMark/>
          </w:tcPr>
          <w:p w14:paraId="248B44FC" w14:textId="77777777" w:rsidR="00A46B68" w:rsidRPr="00DD3B0B" w:rsidRDefault="00A46B68" w:rsidP="00A46B68">
            <w:pPr>
              <w:spacing w:line="240" w:lineRule="auto"/>
              <w:ind w:firstLine="0"/>
              <w:jc w:val="center"/>
              <w:rPr>
                <w:color w:val="000000"/>
              </w:rPr>
            </w:pPr>
            <w:r w:rsidRPr="00DD3B0B">
              <w:rPr>
                <w:color w:val="000000"/>
              </w:rPr>
              <w:t>2.28E-02</w:t>
            </w:r>
          </w:p>
        </w:tc>
        <w:tc>
          <w:tcPr>
            <w:tcW w:w="1297" w:type="dxa"/>
            <w:tcBorders>
              <w:top w:val="nil"/>
              <w:left w:val="nil"/>
              <w:bottom w:val="nil"/>
              <w:right w:val="nil"/>
            </w:tcBorders>
            <w:shd w:val="clear" w:color="auto" w:fill="auto"/>
            <w:noWrap/>
            <w:hideMark/>
          </w:tcPr>
          <w:p w14:paraId="0DE24AB8"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3D594026" w14:textId="77777777" w:rsidR="00A46B68" w:rsidRPr="00DD3B0B" w:rsidRDefault="00A46B68" w:rsidP="00AB0D75">
            <w:pPr>
              <w:spacing w:line="240" w:lineRule="auto"/>
              <w:ind w:left="288" w:hanging="288"/>
              <w:rPr>
                <w:color w:val="000000"/>
              </w:rPr>
            </w:pPr>
            <w:r w:rsidRPr="00DD3B0B">
              <w:rPr>
                <w:color w:val="000000"/>
              </w:rPr>
              <w:t>Chaperone protein DnaK</w:t>
            </w:r>
          </w:p>
        </w:tc>
      </w:tr>
      <w:tr w:rsidR="00A46B68" w:rsidRPr="00502B03" w14:paraId="74C33815" w14:textId="77777777" w:rsidTr="002E3F44">
        <w:trPr>
          <w:trHeight w:val="20"/>
        </w:trPr>
        <w:tc>
          <w:tcPr>
            <w:tcW w:w="864" w:type="dxa"/>
            <w:tcBorders>
              <w:top w:val="nil"/>
              <w:left w:val="nil"/>
              <w:bottom w:val="nil"/>
              <w:right w:val="nil"/>
            </w:tcBorders>
            <w:shd w:val="clear" w:color="auto" w:fill="auto"/>
            <w:noWrap/>
            <w:hideMark/>
          </w:tcPr>
          <w:p w14:paraId="7E3F487C" w14:textId="77777777" w:rsidR="00A46B68" w:rsidRPr="00DD3B0B" w:rsidRDefault="00A46B68" w:rsidP="00A46B68">
            <w:pPr>
              <w:spacing w:line="240" w:lineRule="auto"/>
              <w:ind w:firstLine="0"/>
              <w:rPr>
                <w:color w:val="000000"/>
              </w:rPr>
            </w:pPr>
            <w:r w:rsidRPr="00DD3B0B">
              <w:rPr>
                <w:color w:val="000000"/>
              </w:rPr>
              <w:t>00200</w:t>
            </w:r>
          </w:p>
        </w:tc>
        <w:tc>
          <w:tcPr>
            <w:tcW w:w="1083" w:type="dxa"/>
            <w:tcBorders>
              <w:top w:val="nil"/>
              <w:left w:val="nil"/>
              <w:bottom w:val="nil"/>
              <w:right w:val="nil"/>
            </w:tcBorders>
            <w:shd w:val="clear" w:color="auto" w:fill="auto"/>
            <w:noWrap/>
            <w:hideMark/>
          </w:tcPr>
          <w:p w14:paraId="5CCCB5AE" w14:textId="77777777" w:rsidR="00A46B68" w:rsidRPr="00DD3B0B" w:rsidRDefault="00A46B68" w:rsidP="00A46B68">
            <w:pPr>
              <w:spacing w:line="240" w:lineRule="auto"/>
              <w:ind w:firstLine="0"/>
              <w:jc w:val="center"/>
              <w:rPr>
                <w:color w:val="000000"/>
              </w:rPr>
            </w:pPr>
            <w:r w:rsidRPr="00DD3B0B">
              <w:rPr>
                <w:color w:val="000000"/>
              </w:rPr>
              <w:t>-1.609</w:t>
            </w:r>
          </w:p>
        </w:tc>
        <w:tc>
          <w:tcPr>
            <w:tcW w:w="1152" w:type="dxa"/>
            <w:tcBorders>
              <w:top w:val="nil"/>
              <w:left w:val="nil"/>
              <w:bottom w:val="nil"/>
              <w:right w:val="nil"/>
            </w:tcBorders>
            <w:shd w:val="clear" w:color="auto" w:fill="auto"/>
            <w:noWrap/>
            <w:hideMark/>
          </w:tcPr>
          <w:p w14:paraId="3462BF22" w14:textId="77777777" w:rsidR="00A46B68" w:rsidRPr="00DD3B0B" w:rsidRDefault="00A46B68" w:rsidP="00A46B68">
            <w:pPr>
              <w:spacing w:line="240" w:lineRule="auto"/>
              <w:ind w:firstLine="0"/>
              <w:jc w:val="center"/>
              <w:rPr>
                <w:color w:val="000000"/>
              </w:rPr>
            </w:pPr>
            <w:r w:rsidRPr="00DD3B0B">
              <w:rPr>
                <w:color w:val="000000"/>
              </w:rPr>
              <w:t>4.73E-02</w:t>
            </w:r>
          </w:p>
        </w:tc>
        <w:tc>
          <w:tcPr>
            <w:tcW w:w="1297" w:type="dxa"/>
            <w:tcBorders>
              <w:top w:val="nil"/>
              <w:left w:val="nil"/>
              <w:bottom w:val="nil"/>
              <w:right w:val="nil"/>
            </w:tcBorders>
            <w:shd w:val="clear" w:color="auto" w:fill="auto"/>
            <w:noWrap/>
            <w:hideMark/>
          </w:tcPr>
          <w:p w14:paraId="4B4B5CE8"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25381D27" w14:textId="77777777" w:rsidR="00A46B68" w:rsidRPr="00DD3B0B" w:rsidRDefault="00A46B68" w:rsidP="00AB0D75">
            <w:pPr>
              <w:spacing w:line="240" w:lineRule="auto"/>
              <w:ind w:left="288" w:hanging="288"/>
              <w:rPr>
                <w:color w:val="000000"/>
              </w:rPr>
            </w:pPr>
            <w:r w:rsidRPr="00DD3B0B">
              <w:rPr>
                <w:color w:val="000000"/>
              </w:rPr>
              <w:t>Dithiol-disulfide isomerase</w:t>
            </w:r>
          </w:p>
        </w:tc>
      </w:tr>
      <w:tr w:rsidR="00A46B68" w:rsidRPr="00502B03" w14:paraId="6E2667CA" w14:textId="77777777" w:rsidTr="002E3F44">
        <w:trPr>
          <w:trHeight w:val="20"/>
        </w:trPr>
        <w:tc>
          <w:tcPr>
            <w:tcW w:w="864" w:type="dxa"/>
            <w:tcBorders>
              <w:top w:val="nil"/>
              <w:left w:val="nil"/>
              <w:bottom w:val="nil"/>
              <w:right w:val="nil"/>
            </w:tcBorders>
            <w:shd w:val="clear" w:color="auto" w:fill="auto"/>
            <w:noWrap/>
            <w:hideMark/>
          </w:tcPr>
          <w:p w14:paraId="004B7272" w14:textId="77777777" w:rsidR="00A46B68" w:rsidRPr="00DD3B0B" w:rsidRDefault="00A46B68" w:rsidP="00A46B68">
            <w:pPr>
              <w:spacing w:line="240" w:lineRule="auto"/>
              <w:ind w:firstLine="0"/>
              <w:rPr>
                <w:color w:val="000000"/>
              </w:rPr>
            </w:pPr>
            <w:r w:rsidRPr="00DD3B0B">
              <w:rPr>
                <w:color w:val="000000"/>
              </w:rPr>
              <w:t>02469</w:t>
            </w:r>
          </w:p>
        </w:tc>
        <w:tc>
          <w:tcPr>
            <w:tcW w:w="1083" w:type="dxa"/>
            <w:tcBorders>
              <w:top w:val="nil"/>
              <w:left w:val="nil"/>
              <w:bottom w:val="nil"/>
              <w:right w:val="nil"/>
            </w:tcBorders>
            <w:shd w:val="clear" w:color="auto" w:fill="auto"/>
            <w:noWrap/>
            <w:hideMark/>
          </w:tcPr>
          <w:p w14:paraId="697239C8" w14:textId="77777777" w:rsidR="00A46B68" w:rsidRPr="00DD3B0B" w:rsidRDefault="00A46B68" w:rsidP="00A46B68">
            <w:pPr>
              <w:spacing w:line="240" w:lineRule="auto"/>
              <w:ind w:firstLine="0"/>
              <w:jc w:val="center"/>
              <w:rPr>
                <w:color w:val="000000"/>
              </w:rPr>
            </w:pPr>
            <w:r w:rsidRPr="00DD3B0B">
              <w:rPr>
                <w:color w:val="000000"/>
              </w:rPr>
              <w:t>-1.621</w:t>
            </w:r>
          </w:p>
        </w:tc>
        <w:tc>
          <w:tcPr>
            <w:tcW w:w="1152" w:type="dxa"/>
            <w:tcBorders>
              <w:top w:val="nil"/>
              <w:left w:val="nil"/>
              <w:bottom w:val="nil"/>
              <w:right w:val="nil"/>
            </w:tcBorders>
            <w:shd w:val="clear" w:color="auto" w:fill="auto"/>
            <w:noWrap/>
            <w:hideMark/>
          </w:tcPr>
          <w:p w14:paraId="5E1F9A9A" w14:textId="77777777" w:rsidR="00A46B68" w:rsidRPr="00DD3B0B" w:rsidRDefault="00A46B68" w:rsidP="00A46B68">
            <w:pPr>
              <w:spacing w:line="240" w:lineRule="auto"/>
              <w:ind w:firstLine="0"/>
              <w:jc w:val="center"/>
              <w:rPr>
                <w:color w:val="000000"/>
              </w:rPr>
            </w:pPr>
            <w:r w:rsidRPr="00DD3B0B">
              <w:rPr>
                <w:color w:val="000000"/>
              </w:rPr>
              <w:t>4.75E-02</w:t>
            </w:r>
          </w:p>
        </w:tc>
        <w:tc>
          <w:tcPr>
            <w:tcW w:w="1297" w:type="dxa"/>
            <w:tcBorders>
              <w:top w:val="nil"/>
              <w:left w:val="nil"/>
              <w:bottom w:val="nil"/>
              <w:right w:val="nil"/>
            </w:tcBorders>
            <w:shd w:val="clear" w:color="auto" w:fill="auto"/>
            <w:noWrap/>
            <w:hideMark/>
          </w:tcPr>
          <w:p w14:paraId="7D7AF237"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70AB13E0" w14:textId="77777777" w:rsidR="00A46B68" w:rsidRPr="00DD3B0B" w:rsidRDefault="00A46B68" w:rsidP="00AB0D75">
            <w:pPr>
              <w:spacing w:line="240" w:lineRule="auto"/>
              <w:ind w:left="288" w:hanging="288"/>
              <w:rPr>
                <w:color w:val="000000"/>
              </w:rPr>
            </w:pPr>
            <w:r w:rsidRPr="00DD3B0B">
              <w:rPr>
                <w:color w:val="000000"/>
              </w:rPr>
              <w:t>small multidrug export protein</w:t>
            </w:r>
          </w:p>
        </w:tc>
      </w:tr>
      <w:tr w:rsidR="00A46B68" w:rsidRPr="00502B03" w14:paraId="61500660" w14:textId="77777777" w:rsidTr="002E3F44">
        <w:trPr>
          <w:trHeight w:val="20"/>
        </w:trPr>
        <w:tc>
          <w:tcPr>
            <w:tcW w:w="864" w:type="dxa"/>
            <w:tcBorders>
              <w:top w:val="nil"/>
              <w:left w:val="nil"/>
              <w:bottom w:val="nil"/>
              <w:right w:val="nil"/>
            </w:tcBorders>
            <w:shd w:val="clear" w:color="auto" w:fill="auto"/>
            <w:noWrap/>
            <w:hideMark/>
          </w:tcPr>
          <w:p w14:paraId="5268B47B" w14:textId="77777777" w:rsidR="00A46B68" w:rsidRPr="00DD3B0B" w:rsidRDefault="00A46B68" w:rsidP="00A46B68">
            <w:pPr>
              <w:spacing w:line="240" w:lineRule="auto"/>
              <w:ind w:firstLine="0"/>
              <w:rPr>
                <w:color w:val="000000"/>
              </w:rPr>
            </w:pPr>
            <w:r w:rsidRPr="00DD3B0B">
              <w:rPr>
                <w:color w:val="000000"/>
              </w:rPr>
              <w:t>00723</w:t>
            </w:r>
          </w:p>
        </w:tc>
        <w:tc>
          <w:tcPr>
            <w:tcW w:w="1083" w:type="dxa"/>
            <w:tcBorders>
              <w:top w:val="nil"/>
              <w:left w:val="nil"/>
              <w:bottom w:val="nil"/>
              <w:right w:val="nil"/>
            </w:tcBorders>
            <w:shd w:val="clear" w:color="auto" w:fill="auto"/>
            <w:noWrap/>
            <w:hideMark/>
          </w:tcPr>
          <w:p w14:paraId="15E0B584" w14:textId="77777777" w:rsidR="00A46B68" w:rsidRPr="00DD3B0B" w:rsidRDefault="00A46B68" w:rsidP="00A46B68">
            <w:pPr>
              <w:spacing w:line="240" w:lineRule="auto"/>
              <w:ind w:firstLine="0"/>
              <w:jc w:val="center"/>
              <w:rPr>
                <w:color w:val="000000"/>
              </w:rPr>
            </w:pPr>
            <w:r w:rsidRPr="00DD3B0B">
              <w:rPr>
                <w:color w:val="000000"/>
              </w:rPr>
              <w:t>-1.632</w:t>
            </w:r>
          </w:p>
        </w:tc>
        <w:tc>
          <w:tcPr>
            <w:tcW w:w="1152" w:type="dxa"/>
            <w:tcBorders>
              <w:top w:val="nil"/>
              <w:left w:val="nil"/>
              <w:bottom w:val="nil"/>
              <w:right w:val="nil"/>
            </w:tcBorders>
            <w:shd w:val="clear" w:color="auto" w:fill="auto"/>
            <w:noWrap/>
            <w:hideMark/>
          </w:tcPr>
          <w:p w14:paraId="68A052D5" w14:textId="77777777" w:rsidR="00A46B68" w:rsidRPr="00DD3B0B" w:rsidRDefault="00A46B68" w:rsidP="00A46B68">
            <w:pPr>
              <w:spacing w:line="240" w:lineRule="auto"/>
              <w:ind w:firstLine="0"/>
              <w:jc w:val="center"/>
              <w:rPr>
                <w:color w:val="000000"/>
              </w:rPr>
            </w:pPr>
            <w:r w:rsidRPr="00DD3B0B">
              <w:rPr>
                <w:color w:val="000000"/>
              </w:rPr>
              <w:t>3.53E-04</w:t>
            </w:r>
          </w:p>
        </w:tc>
        <w:tc>
          <w:tcPr>
            <w:tcW w:w="1297" w:type="dxa"/>
            <w:tcBorders>
              <w:top w:val="nil"/>
              <w:left w:val="nil"/>
              <w:bottom w:val="nil"/>
              <w:right w:val="nil"/>
            </w:tcBorders>
            <w:shd w:val="clear" w:color="auto" w:fill="auto"/>
            <w:noWrap/>
            <w:hideMark/>
          </w:tcPr>
          <w:p w14:paraId="699692F6"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5090E28C" w14:textId="77777777" w:rsidR="00A46B68" w:rsidRPr="00DD3B0B" w:rsidRDefault="00A46B68" w:rsidP="00AB0D75">
            <w:pPr>
              <w:spacing w:line="240" w:lineRule="auto"/>
              <w:ind w:left="288" w:hanging="288"/>
              <w:rPr>
                <w:color w:val="000000"/>
              </w:rPr>
            </w:pPr>
            <w:r w:rsidRPr="00DD3B0B">
              <w:rPr>
                <w:color w:val="000000"/>
              </w:rPr>
              <w:t>D ligase</w:t>
            </w:r>
          </w:p>
        </w:tc>
      </w:tr>
      <w:tr w:rsidR="00A46B68" w:rsidRPr="00502B03" w14:paraId="332EF889" w14:textId="77777777" w:rsidTr="002E3F44">
        <w:trPr>
          <w:trHeight w:val="20"/>
        </w:trPr>
        <w:tc>
          <w:tcPr>
            <w:tcW w:w="864" w:type="dxa"/>
            <w:tcBorders>
              <w:top w:val="nil"/>
              <w:left w:val="nil"/>
              <w:bottom w:val="nil"/>
              <w:right w:val="nil"/>
            </w:tcBorders>
            <w:shd w:val="clear" w:color="auto" w:fill="auto"/>
            <w:noWrap/>
            <w:hideMark/>
          </w:tcPr>
          <w:p w14:paraId="561171D5" w14:textId="77777777" w:rsidR="00A46B68" w:rsidRPr="00DD3B0B" w:rsidRDefault="00A46B68" w:rsidP="00A46B68">
            <w:pPr>
              <w:spacing w:line="240" w:lineRule="auto"/>
              <w:ind w:firstLine="0"/>
              <w:rPr>
                <w:color w:val="000000"/>
              </w:rPr>
            </w:pPr>
            <w:r w:rsidRPr="00DD3B0B">
              <w:rPr>
                <w:color w:val="000000"/>
              </w:rPr>
              <w:t>00669</w:t>
            </w:r>
          </w:p>
        </w:tc>
        <w:tc>
          <w:tcPr>
            <w:tcW w:w="1083" w:type="dxa"/>
            <w:tcBorders>
              <w:top w:val="nil"/>
              <w:left w:val="nil"/>
              <w:bottom w:val="nil"/>
              <w:right w:val="nil"/>
            </w:tcBorders>
            <w:shd w:val="clear" w:color="auto" w:fill="auto"/>
            <w:noWrap/>
            <w:hideMark/>
          </w:tcPr>
          <w:p w14:paraId="7648D3DD" w14:textId="77777777" w:rsidR="00A46B68" w:rsidRPr="00DD3B0B" w:rsidRDefault="00A46B68" w:rsidP="00A46B68">
            <w:pPr>
              <w:spacing w:line="240" w:lineRule="auto"/>
              <w:ind w:firstLine="0"/>
              <w:jc w:val="center"/>
              <w:rPr>
                <w:color w:val="000000"/>
              </w:rPr>
            </w:pPr>
            <w:r w:rsidRPr="00DD3B0B">
              <w:rPr>
                <w:color w:val="000000"/>
              </w:rPr>
              <w:t>-1.646</w:t>
            </w:r>
          </w:p>
        </w:tc>
        <w:tc>
          <w:tcPr>
            <w:tcW w:w="1152" w:type="dxa"/>
            <w:tcBorders>
              <w:top w:val="nil"/>
              <w:left w:val="nil"/>
              <w:bottom w:val="nil"/>
              <w:right w:val="nil"/>
            </w:tcBorders>
            <w:shd w:val="clear" w:color="auto" w:fill="auto"/>
            <w:noWrap/>
            <w:hideMark/>
          </w:tcPr>
          <w:p w14:paraId="62F4BD2B" w14:textId="77777777" w:rsidR="00A46B68" w:rsidRPr="00DD3B0B" w:rsidRDefault="00A46B68" w:rsidP="00A46B68">
            <w:pPr>
              <w:spacing w:line="240" w:lineRule="auto"/>
              <w:ind w:firstLine="0"/>
              <w:jc w:val="center"/>
              <w:rPr>
                <w:color w:val="000000"/>
              </w:rPr>
            </w:pPr>
            <w:r w:rsidRPr="00DD3B0B">
              <w:rPr>
                <w:color w:val="000000"/>
              </w:rPr>
              <w:t>1.15E-02</w:t>
            </w:r>
          </w:p>
        </w:tc>
        <w:tc>
          <w:tcPr>
            <w:tcW w:w="1297" w:type="dxa"/>
            <w:tcBorders>
              <w:top w:val="nil"/>
              <w:left w:val="nil"/>
              <w:bottom w:val="nil"/>
              <w:right w:val="nil"/>
            </w:tcBorders>
            <w:shd w:val="clear" w:color="auto" w:fill="auto"/>
            <w:noWrap/>
            <w:hideMark/>
          </w:tcPr>
          <w:p w14:paraId="620A0C6F"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368BFB28" w14:textId="77777777" w:rsidR="00A46B68" w:rsidRPr="00DD3B0B" w:rsidRDefault="00A46B68" w:rsidP="00AB0D75">
            <w:pPr>
              <w:spacing w:line="240" w:lineRule="auto"/>
              <w:ind w:left="288" w:hanging="288"/>
              <w:rPr>
                <w:color w:val="000000"/>
              </w:rPr>
            </w:pPr>
            <w:r>
              <w:rPr>
                <w:color w:val="000000"/>
              </w:rPr>
              <w:t>A</w:t>
            </w:r>
            <w:r w:rsidRPr="00DD3B0B">
              <w:rPr>
                <w:color w:val="000000"/>
              </w:rPr>
              <w:t>mine oxidase</w:t>
            </w:r>
          </w:p>
        </w:tc>
      </w:tr>
      <w:tr w:rsidR="00A46B68" w:rsidRPr="00502B03" w14:paraId="37B651F1" w14:textId="77777777" w:rsidTr="002E3F44">
        <w:trPr>
          <w:trHeight w:val="20"/>
        </w:trPr>
        <w:tc>
          <w:tcPr>
            <w:tcW w:w="864" w:type="dxa"/>
            <w:tcBorders>
              <w:top w:val="nil"/>
              <w:left w:val="nil"/>
              <w:bottom w:val="nil"/>
              <w:right w:val="nil"/>
            </w:tcBorders>
            <w:shd w:val="clear" w:color="auto" w:fill="auto"/>
            <w:noWrap/>
            <w:hideMark/>
          </w:tcPr>
          <w:p w14:paraId="2C0172CB" w14:textId="77777777" w:rsidR="00A46B68" w:rsidRPr="00DD3B0B" w:rsidRDefault="00A46B68" w:rsidP="00A46B68">
            <w:pPr>
              <w:spacing w:line="240" w:lineRule="auto"/>
              <w:ind w:firstLine="0"/>
              <w:rPr>
                <w:color w:val="000000"/>
              </w:rPr>
            </w:pPr>
            <w:r w:rsidRPr="00DD3B0B">
              <w:rPr>
                <w:color w:val="000000"/>
              </w:rPr>
              <w:t>00289</w:t>
            </w:r>
          </w:p>
        </w:tc>
        <w:tc>
          <w:tcPr>
            <w:tcW w:w="1083" w:type="dxa"/>
            <w:tcBorders>
              <w:top w:val="nil"/>
              <w:left w:val="nil"/>
              <w:bottom w:val="nil"/>
              <w:right w:val="nil"/>
            </w:tcBorders>
            <w:shd w:val="clear" w:color="auto" w:fill="auto"/>
            <w:noWrap/>
            <w:hideMark/>
          </w:tcPr>
          <w:p w14:paraId="4E9D931D" w14:textId="77777777" w:rsidR="00A46B68" w:rsidRPr="00DD3B0B" w:rsidRDefault="00A46B68" w:rsidP="00A46B68">
            <w:pPr>
              <w:spacing w:line="240" w:lineRule="auto"/>
              <w:ind w:firstLine="0"/>
              <w:jc w:val="center"/>
              <w:rPr>
                <w:color w:val="000000"/>
              </w:rPr>
            </w:pPr>
            <w:r w:rsidRPr="00DD3B0B">
              <w:rPr>
                <w:color w:val="000000"/>
              </w:rPr>
              <w:t>-1.648</w:t>
            </w:r>
          </w:p>
        </w:tc>
        <w:tc>
          <w:tcPr>
            <w:tcW w:w="1152" w:type="dxa"/>
            <w:tcBorders>
              <w:top w:val="nil"/>
              <w:left w:val="nil"/>
              <w:bottom w:val="nil"/>
              <w:right w:val="nil"/>
            </w:tcBorders>
            <w:shd w:val="clear" w:color="auto" w:fill="auto"/>
            <w:noWrap/>
            <w:hideMark/>
          </w:tcPr>
          <w:p w14:paraId="0E219050" w14:textId="77777777" w:rsidR="00A46B68" w:rsidRPr="00DD3B0B" w:rsidRDefault="00A46B68" w:rsidP="00A46B68">
            <w:pPr>
              <w:spacing w:line="240" w:lineRule="auto"/>
              <w:ind w:firstLine="0"/>
              <w:jc w:val="center"/>
              <w:rPr>
                <w:color w:val="000000"/>
              </w:rPr>
            </w:pPr>
            <w:r w:rsidRPr="00DD3B0B">
              <w:rPr>
                <w:color w:val="000000"/>
              </w:rPr>
              <w:t>3.16E-05</w:t>
            </w:r>
          </w:p>
        </w:tc>
        <w:tc>
          <w:tcPr>
            <w:tcW w:w="1297" w:type="dxa"/>
            <w:tcBorders>
              <w:top w:val="nil"/>
              <w:left w:val="nil"/>
              <w:bottom w:val="nil"/>
              <w:right w:val="nil"/>
            </w:tcBorders>
            <w:shd w:val="clear" w:color="auto" w:fill="auto"/>
            <w:noWrap/>
            <w:hideMark/>
          </w:tcPr>
          <w:p w14:paraId="38A9F932"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6BC9CC7A" w14:textId="77777777" w:rsidR="00A46B68" w:rsidRPr="00DD3B0B" w:rsidRDefault="00A46B68" w:rsidP="00AB0D75">
            <w:pPr>
              <w:spacing w:line="240" w:lineRule="auto"/>
              <w:ind w:left="288" w:hanging="288"/>
              <w:rPr>
                <w:color w:val="000000"/>
              </w:rPr>
            </w:pPr>
          </w:p>
        </w:tc>
      </w:tr>
      <w:tr w:rsidR="00A46B68" w:rsidRPr="00502B03" w14:paraId="5C39D602" w14:textId="77777777" w:rsidTr="002E3F44">
        <w:trPr>
          <w:trHeight w:val="20"/>
        </w:trPr>
        <w:tc>
          <w:tcPr>
            <w:tcW w:w="864" w:type="dxa"/>
            <w:tcBorders>
              <w:top w:val="nil"/>
              <w:left w:val="nil"/>
              <w:bottom w:val="nil"/>
              <w:right w:val="nil"/>
            </w:tcBorders>
            <w:shd w:val="clear" w:color="auto" w:fill="auto"/>
            <w:noWrap/>
            <w:hideMark/>
          </w:tcPr>
          <w:p w14:paraId="68725A7F" w14:textId="77777777" w:rsidR="00A46B68" w:rsidRPr="00DD3B0B" w:rsidRDefault="00A46B68" w:rsidP="00A46B68">
            <w:pPr>
              <w:spacing w:line="240" w:lineRule="auto"/>
              <w:ind w:firstLine="0"/>
              <w:rPr>
                <w:color w:val="000000"/>
              </w:rPr>
            </w:pPr>
            <w:r w:rsidRPr="00DD3B0B">
              <w:rPr>
                <w:color w:val="000000"/>
              </w:rPr>
              <w:t>02780</w:t>
            </w:r>
          </w:p>
        </w:tc>
        <w:tc>
          <w:tcPr>
            <w:tcW w:w="1083" w:type="dxa"/>
            <w:tcBorders>
              <w:top w:val="nil"/>
              <w:left w:val="nil"/>
              <w:bottom w:val="nil"/>
              <w:right w:val="nil"/>
            </w:tcBorders>
            <w:shd w:val="clear" w:color="auto" w:fill="auto"/>
            <w:noWrap/>
            <w:hideMark/>
          </w:tcPr>
          <w:p w14:paraId="0606B313" w14:textId="77777777" w:rsidR="00A46B68" w:rsidRPr="00DD3B0B" w:rsidRDefault="00A46B68" w:rsidP="00A46B68">
            <w:pPr>
              <w:spacing w:line="240" w:lineRule="auto"/>
              <w:ind w:firstLine="0"/>
              <w:jc w:val="center"/>
              <w:rPr>
                <w:color w:val="000000"/>
              </w:rPr>
            </w:pPr>
            <w:r w:rsidRPr="00DD3B0B">
              <w:rPr>
                <w:color w:val="000000"/>
              </w:rPr>
              <w:t>-1.680</w:t>
            </w:r>
          </w:p>
        </w:tc>
        <w:tc>
          <w:tcPr>
            <w:tcW w:w="1152" w:type="dxa"/>
            <w:tcBorders>
              <w:top w:val="nil"/>
              <w:left w:val="nil"/>
              <w:bottom w:val="nil"/>
              <w:right w:val="nil"/>
            </w:tcBorders>
            <w:shd w:val="clear" w:color="auto" w:fill="auto"/>
            <w:noWrap/>
            <w:hideMark/>
          </w:tcPr>
          <w:p w14:paraId="4A1099D2" w14:textId="77777777" w:rsidR="00A46B68" w:rsidRPr="00DD3B0B" w:rsidRDefault="00A46B68" w:rsidP="00A46B68">
            <w:pPr>
              <w:spacing w:line="240" w:lineRule="auto"/>
              <w:ind w:firstLine="0"/>
              <w:jc w:val="center"/>
              <w:rPr>
                <w:color w:val="000000"/>
              </w:rPr>
            </w:pPr>
            <w:r w:rsidRPr="00DD3B0B">
              <w:rPr>
                <w:color w:val="000000"/>
              </w:rPr>
              <w:t>9.21E-08</w:t>
            </w:r>
          </w:p>
        </w:tc>
        <w:tc>
          <w:tcPr>
            <w:tcW w:w="1297" w:type="dxa"/>
            <w:tcBorders>
              <w:top w:val="nil"/>
              <w:left w:val="nil"/>
              <w:bottom w:val="nil"/>
              <w:right w:val="nil"/>
            </w:tcBorders>
            <w:shd w:val="clear" w:color="auto" w:fill="auto"/>
            <w:noWrap/>
            <w:hideMark/>
          </w:tcPr>
          <w:p w14:paraId="79E9F6C9"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1FAD73A2" w14:textId="77777777" w:rsidR="00A46B68" w:rsidRPr="00DD3B0B" w:rsidRDefault="00A46B68" w:rsidP="00AB0D75">
            <w:pPr>
              <w:spacing w:line="240" w:lineRule="auto"/>
              <w:ind w:left="288" w:hanging="288"/>
              <w:rPr>
                <w:color w:val="000000"/>
              </w:rPr>
            </w:pPr>
            <w:r>
              <w:rPr>
                <w:color w:val="000000"/>
              </w:rPr>
              <w:t>P</w:t>
            </w:r>
            <w:r w:rsidRPr="00DD3B0B">
              <w:rPr>
                <w:color w:val="000000"/>
              </w:rPr>
              <w:t>yrroloquinoline quinone binding</w:t>
            </w:r>
          </w:p>
        </w:tc>
      </w:tr>
      <w:tr w:rsidR="00A46B68" w:rsidRPr="00502B03" w14:paraId="2D8E5415" w14:textId="77777777" w:rsidTr="002E3F44">
        <w:trPr>
          <w:trHeight w:val="20"/>
        </w:trPr>
        <w:tc>
          <w:tcPr>
            <w:tcW w:w="864" w:type="dxa"/>
            <w:tcBorders>
              <w:top w:val="nil"/>
              <w:left w:val="nil"/>
              <w:bottom w:val="nil"/>
              <w:right w:val="nil"/>
            </w:tcBorders>
            <w:shd w:val="clear" w:color="auto" w:fill="auto"/>
            <w:noWrap/>
            <w:hideMark/>
          </w:tcPr>
          <w:p w14:paraId="31D3E17F" w14:textId="77777777" w:rsidR="00A46B68" w:rsidRPr="00DD3B0B" w:rsidRDefault="00A46B68" w:rsidP="00A46B68">
            <w:pPr>
              <w:spacing w:line="240" w:lineRule="auto"/>
              <w:ind w:firstLine="0"/>
              <w:rPr>
                <w:color w:val="000000"/>
              </w:rPr>
            </w:pPr>
            <w:r w:rsidRPr="00DD3B0B">
              <w:rPr>
                <w:color w:val="000000"/>
              </w:rPr>
              <w:t>00859</w:t>
            </w:r>
          </w:p>
        </w:tc>
        <w:tc>
          <w:tcPr>
            <w:tcW w:w="1083" w:type="dxa"/>
            <w:tcBorders>
              <w:top w:val="nil"/>
              <w:left w:val="nil"/>
              <w:bottom w:val="nil"/>
              <w:right w:val="nil"/>
            </w:tcBorders>
            <w:shd w:val="clear" w:color="auto" w:fill="auto"/>
            <w:noWrap/>
            <w:hideMark/>
          </w:tcPr>
          <w:p w14:paraId="287E85A7" w14:textId="77777777" w:rsidR="00A46B68" w:rsidRPr="00DD3B0B" w:rsidRDefault="00A46B68" w:rsidP="00A46B68">
            <w:pPr>
              <w:spacing w:line="240" w:lineRule="auto"/>
              <w:ind w:firstLine="0"/>
              <w:jc w:val="center"/>
              <w:rPr>
                <w:color w:val="000000"/>
              </w:rPr>
            </w:pPr>
            <w:r w:rsidRPr="00DD3B0B">
              <w:rPr>
                <w:color w:val="000000"/>
              </w:rPr>
              <w:t>-1.697</w:t>
            </w:r>
          </w:p>
        </w:tc>
        <w:tc>
          <w:tcPr>
            <w:tcW w:w="1152" w:type="dxa"/>
            <w:tcBorders>
              <w:top w:val="nil"/>
              <w:left w:val="nil"/>
              <w:bottom w:val="nil"/>
              <w:right w:val="nil"/>
            </w:tcBorders>
            <w:shd w:val="clear" w:color="auto" w:fill="auto"/>
            <w:noWrap/>
            <w:hideMark/>
          </w:tcPr>
          <w:p w14:paraId="18DA1A35" w14:textId="77777777" w:rsidR="00A46B68" w:rsidRPr="00DD3B0B" w:rsidRDefault="00A46B68" w:rsidP="00A46B68">
            <w:pPr>
              <w:spacing w:line="240" w:lineRule="auto"/>
              <w:ind w:firstLine="0"/>
              <w:jc w:val="center"/>
              <w:rPr>
                <w:color w:val="000000"/>
              </w:rPr>
            </w:pPr>
            <w:r w:rsidRPr="00DD3B0B">
              <w:rPr>
                <w:color w:val="000000"/>
              </w:rPr>
              <w:t>1.14E-04</w:t>
            </w:r>
          </w:p>
        </w:tc>
        <w:tc>
          <w:tcPr>
            <w:tcW w:w="1297" w:type="dxa"/>
            <w:tcBorders>
              <w:top w:val="nil"/>
              <w:left w:val="nil"/>
              <w:bottom w:val="nil"/>
              <w:right w:val="nil"/>
            </w:tcBorders>
            <w:shd w:val="clear" w:color="auto" w:fill="auto"/>
            <w:noWrap/>
            <w:hideMark/>
          </w:tcPr>
          <w:p w14:paraId="022C221F"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7225C1F2" w14:textId="77777777" w:rsidR="00A46B68" w:rsidRPr="00DD3B0B" w:rsidRDefault="00A46B68" w:rsidP="00AB0D75">
            <w:pPr>
              <w:spacing w:line="240" w:lineRule="auto"/>
              <w:ind w:left="288" w:hanging="288"/>
              <w:rPr>
                <w:color w:val="000000"/>
              </w:rPr>
            </w:pPr>
            <w:r w:rsidRPr="00DD3B0B">
              <w:rPr>
                <w:color w:val="000000"/>
              </w:rPr>
              <w:t>Multifunctional non-homologous end joining protein LigD</w:t>
            </w:r>
          </w:p>
        </w:tc>
      </w:tr>
      <w:tr w:rsidR="00A46B68" w:rsidRPr="00502B03" w14:paraId="54C08593" w14:textId="77777777" w:rsidTr="002E3F44">
        <w:trPr>
          <w:trHeight w:val="20"/>
        </w:trPr>
        <w:tc>
          <w:tcPr>
            <w:tcW w:w="864" w:type="dxa"/>
            <w:tcBorders>
              <w:top w:val="nil"/>
              <w:left w:val="nil"/>
              <w:bottom w:val="nil"/>
              <w:right w:val="nil"/>
            </w:tcBorders>
            <w:shd w:val="clear" w:color="auto" w:fill="auto"/>
            <w:noWrap/>
            <w:hideMark/>
          </w:tcPr>
          <w:p w14:paraId="483C7B13" w14:textId="77777777" w:rsidR="00A46B68" w:rsidRPr="00DD3B0B" w:rsidRDefault="00A46B68" w:rsidP="00A46B68">
            <w:pPr>
              <w:spacing w:line="240" w:lineRule="auto"/>
              <w:ind w:firstLine="0"/>
              <w:rPr>
                <w:color w:val="000000"/>
              </w:rPr>
            </w:pPr>
            <w:r w:rsidRPr="00DD3B0B">
              <w:rPr>
                <w:color w:val="000000"/>
              </w:rPr>
              <w:t>02896</w:t>
            </w:r>
          </w:p>
        </w:tc>
        <w:tc>
          <w:tcPr>
            <w:tcW w:w="1083" w:type="dxa"/>
            <w:tcBorders>
              <w:top w:val="nil"/>
              <w:left w:val="nil"/>
              <w:bottom w:val="nil"/>
              <w:right w:val="nil"/>
            </w:tcBorders>
            <w:shd w:val="clear" w:color="auto" w:fill="auto"/>
            <w:noWrap/>
            <w:hideMark/>
          </w:tcPr>
          <w:p w14:paraId="534A72C0" w14:textId="77777777" w:rsidR="00A46B68" w:rsidRPr="00DD3B0B" w:rsidRDefault="00A46B68" w:rsidP="00A46B68">
            <w:pPr>
              <w:spacing w:line="240" w:lineRule="auto"/>
              <w:ind w:firstLine="0"/>
              <w:jc w:val="center"/>
              <w:rPr>
                <w:color w:val="000000"/>
              </w:rPr>
            </w:pPr>
            <w:r w:rsidRPr="00DD3B0B">
              <w:rPr>
                <w:color w:val="000000"/>
              </w:rPr>
              <w:t>-1.805</w:t>
            </w:r>
          </w:p>
        </w:tc>
        <w:tc>
          <w:tcPr>
            <w:tcW w:w="1152" w:type="dxa"/>
            <w:tcBorders>
              <w:top w:val="nil"/>
              <w:left w:val="nil"/>
              <w:bottom w:val="nil"/>
              <w:right w:val="nil"/>
            </w:tcBorders>
            <w:shd w:val="clear" w:color="auto" w:fill="auto"/>
            <w:noWrap/>
            <w:hideMark/>
          </w:tcPr>
          <w:p w14:paraId="6A210A56" w14:textId="77777777" w:rsidR="00A46B68" w:rsidRPr="00DD3B0B" w:rsidRDefault="00A46B68" w:rsidP="00A46B68">
            <w:pPr>
              <w:spacing w:line="240" w:lineRule="auto"/>
              <w:ind w:firstLine="0"/>
              <w:jc w:val="center"/>
              <w:rPr>
                <w:color w:val="000000"/>
              </w:rPr>
            </w:pPr>
            <w:r w:rsidRPr="00DD3B0B">
              <w:rPr>
                <w:color w:val="000000"/>
              </w:rPr>
              <w:t>6.59E-03</w:t>
            </w:r>
          </w:p>
        </w:tc>
        <w:tc>
          <w:tcPr>
            <w:tcW w:w="1297" w:type="dxa"/>
            <w:tcBorders>
              <w:top w:val="nil"/>
              <w:left w:val="nil"/>
              <w:bottom w:val="nil"/>
              <w:right w:val="nil"/>
            </w:tcBorders>
            <w:shd w:val="clear" w:color="auto" w:fill="auto"/>
            <w:noWrap/>
            <w:hideMark/>
          </w:tcPr>
          <w:p w14:paraId="1096763D"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7742B256" w14:textId="77777777" w:rsidR="00A46B68" w:rsidRPr="00DD3B0B" w:rsidRDefault="00A46B68" w:rsidP="00AB0D75">
            <w:pPr>
              <w:spacing w:line="240" w:lineRule="auto"/>
              <w:ind w:left="288" w:hanging="288"/>
              <w:rPr>
                <w:color w:val="000000"/>
              </w:rPr>
            </w:pPr>
            <w:r w:rsidRPr="00DD3B0B">
              <w:rPr>
                <w:color w:val="000000"/>
              </w:rPr>
              <w:t>Chaperone protein HtpG</w:t>
            </w:r>
          </w:p>
        </w:tc>
      </w:tr>
      <w:tr w:rsidR="00A46B68" w:rsidRPr="00502B03" w14:paraId="55A9CE61" w14:textId="77777777" w:rsidTr="002E3F44">
        <w:trPr>
          <w:trHeight w:val="20"/>
        </w:trPr>
        <w:tc>
          <w:tcPr>
            <w:tcW w:w="864" w:type="dxa"/>
            <w:tcBorders>
              <w:top w:val="nil"/>
              <w:left w:val="nil"/>
              <w:bottom w:val="nil"/>
              <w:right w:val="nil"/>
            </w:tcBorders>
            <w:shd w:val="clear" w:color="auto" w:fill="auto"/>
            <w:noWrap/>
            <w:hideMark/>
          </w:tcPr>
          <w:p w14:paraId="78D14DD0" w14:textId="77777777" w:rsidR="00A46B68" w:rsidRPr="00DD3B0B" w:rsidRDefault="00A46B68" w:rsidP="00A46B68">
            <w:pPr>
              <w:spacing w:line="240" w:lineRule="auto"/>
              <w:ind w:firstLine="0"/>
              <w:rPr>
                <w:color w:val="000000"/>
              </w:rPr>
            </w:pPr>
            <w:r w:rsidRPr="00DD3B0B">
              <w:rPr>
                <w:color w:val="000000"/>
              </w:rPr>
              <w:t>00290</w:t>
            </w:r>
          </w:p>
        </w:tc>
        <w:tc>
          <w:tcPr>
            <w:tcW w:w="1083" w:type="dxa"/>
            <w:tcBorders>
              <w:top w:val="nil"/>
              <w:left w:val="nil"/>
              <w:bottom w:val="nil"/>
              <w:right w:val="nil"/>
            </w:tcBorders>
            <w:shd w:val="clear" w:color="auto" w:fill="auto"/>
            <w:noWrap/>
            <w:hideMark/>
          </w:tcPr>
          <w:p w14:paraId="10A3169B" w14:textId="77777777" w:rsidR="00A46B68" w:rsidRPr="00DD3B0B" w:rsidRDefault="00A46B68" w:rsidP="00A46B68">
            <w:pPr>
              <w:spacing w:line="240" w:lineRule="auto"/>
              <w:ind w:firstLine="0"/>
              <w:jc w:val="center"/>
              <w:rPr>
                <w:color w:val="000000"/>
              </w:rPr>
            </w:pPr>
            <w:r w:rsidRPr="00DD3B0B">
              <w:rPr>
                <w:color w:val="000000"/>
              </w:rPr>
              <w:t>-1.918</w:t>
            </w:r>
          </w:p>
        </w:tc>
        <w:tc>
          <w:tcPr>
            <w:tcW w:w="1152" w:type="dxa"/>
            <w:tcBorders>
              <w:top w:val="nil"/>
              <w:left w:val="nil"/>
              <w:bottom w:val="nil"/>
              <w:right w:val="nil"/>
            </w:tcBorders>
            <w:shd w:val="clear" w:color="auto" w:fill="auto"/>
            <w:noWrap/>
            <w:hideMark/>
          </w:tcPr>
          <w:p w14:paraId="5BA6FD77" w14:textId="77777777" w:rsidR="00A46B68" w:rsidRPr="00DD3B0B" w:rsidRDefault="00A46B68" w:rsidP="00A46B68">
            <w:pPr>
              <w:spacing w:line="240" w:lineRule="auto"/>
              <w:ind w:firstLine="0"/>
              <w:jc w:val="center"/>
              <w:rPr>
                <w:color w:val="000000"/>
              </w:rPr>
            </w:pPr>
            <w:r w:rsidRPr="00DD3B0B">
              <w:rPr>
                <w:color w:val="000000"/>
              </w:rPr>
              <w:t>4.50E-12</w:t>
            </w:r>
          </w:p>
        </w:tc>
        <w:tc>
          <w:tcPr>
            <w:tcW w:w="1297" w:type="dxa"/>
            <w:tcBorders>
              <w:top w:val="nil"/>
              <w:left w:val="nil"/>
              <w:bottom w:val="nil"/>
              <w:right w:val="nil"/>
            </w:tcBorders>
            <w:shd w:val="clear" w:color="auto" w:fill="auto"/>
            <w:noWrap/>
            <w:hideMark/>
          </w:tcPr>
          <w:p w14:paraId="3056B12C" w14:textId="77777777" w:rsidR="00A46B68" w:rsidRPr="00DD3B0B" w:rsidRDefault="00A46B68" w:rsidP="00A46B68">
            <w:pPr>
              <w:spacing w:line="240" w:lineRule="auto"/>
              <w:ind w:firstLine="0"/>
              <w:jc w:val="center"/>
              <w:rPr>
                <w:color w:val="000000"/>
              </w:rPr>
            </w:pPr>
            <w:r>
              <w:rPr>
                <w:color w:val="000000"/>
              </w:rPr>
              <w:t>C</w:t>
            </w:r>
          </w:p>
        </w:tc>
        <w:tc>
          <w:tcPr>
            <w:tcW w:w="4391" w:type="dxa"/>
            <w:tcBorders>
              <w:top w:val="nil"/>
              <w:left w:val="nil"/>
              <w:bottom w:val="nil"/>
              <w:right w:val="nil"/>
            </w:tcBorders>
            <w:shd w:val="clear" w:color="auto" w:fill="auto"/>
            <w:hideMark/>
          </w:tcPr>
          <w:p w14:paraId="08D7B0E4" w14:textId="77777777" w:rsidR="00A46B68" w:rsidRPr="00DD3B0B" w:rsidRDefault="00A46B68" w:rsidP="00AB0D75">
            <w:pPr>
              <w:spacing w:line="240" w:lineRule="auto"/>
              <w:ind w:left="288" w:hanging="288"/>
              <w:rPr>
                <w:color w:val="000000"/>
              </w:rPr>
            </w:pPr>
            <w:r w:rsidRPr="00DD3B0B">
              <w:rPr>
                <w:color w:val="000000"/>
              </w:rPr>
              <w:t>Glucose / Sorbosone dehydrogenase</w:t>
            </w:r>
          </w:p>
        </w:tc>
      </w:tr>
      <w:tr w:rsidR="00A46B68" w:rsidRPr="00502B03" w14:paraId="593AEE6C" w14:textId="77777777" w:rsidTr="002E3F44">
        <w:trPr>
          <w:trHeight w:val="20"/>
        </w:trPr>
        <w:tc>
          <w:tcPr>
            <w:tcW w:w="864" w:type="dxa"/>
            <w:tcBorders>
              <w:top w:val="nil"/>
              <w:left w:val="nil"/>
              <w:bottom w:val="nil"/>
              <w:right w:val="nil"/>
            </w:tcBorders>
            <w:shd w:val="clear" w:color="auto" w:fill="auto"/>
            <w:noWrap/>
            <w:hideMark/>
          </w:tcPr>
          <w:p w14:paraId="6E5F37E0" w14:textId="77777777" w:rsidR="00A46B68" w:rsidRPr="00DD3B0B" w:rsidRDefault="00A46B68" w:rsidP="00A46B68">
            <w:pPr>
              <w:spacing w:line="240" w:lineRule="auto"/>
              <w:ind w:firstLine="0"/>
              <w:rPr>
                <w:color w:val="000000"/>
              </w:rPr>
            </w:pPr>
            <w:r w:rsidRPr="00DD3B0B">
              <w:rPr>
                <w:color w:val="000000"/>
              </w:rPr>
              <w:t>02301</w:t>
            </w:r>
          </w:p>
        </w:tc>
        <w:tc>
          <w:tcPr>
            <w:tcW w:w="1083" w:type="dxa"/>
            <w:tcBorders>
              <w:top w:val="nil"/>
              <w:left w:val="nil"/>
              <w:bottom w:val="nil"/>
              <w:right w:val="nil"/>
            </w:tcBorders>
            <w:shd w:val="clear" w:color="auto" w:fill="auto"/>
            <w:noWrap/>
            <w:hideMark/>
          </w:tcPr>
          <w:p w14:paraId="55EF8801" w14:textId="77777777" w:rsidR="00A46B68" w:rsidRPr="00DD3B0B" w:rsidRDefault="00A46B68" w:rsidP="00A46B68">
            <w:pPr>
              <w:spacing w:line="240" w:lineRule="auto"/>
              <w:ind w:firstLine="0"/>
              <w:jc w:val="center"/>
              <w:rPr>
                <w:color w:val="000000"/>
              </w:rPr>
            </w:pPr>
            <w:r w:rsidRPr="00DD3B0B">
              <w:rPr>
                <w:color w:val="000000"/>
              </w:rPr>
              <w:t>-1.920</w:t>
            </w:r>
          </w:p>
        </w:tc>
        <w:tc>
          <w:tcPr>
            <w:tcW w:w="1152" w:type="dxa"/>
            <w:tcBorders>
              <w:top w:val="nil"/>
              <w:left w:val="nil"/>
              <w:bottom w:val="nil"/>
              <w:right w:val="nil"/>
            </w:tcBorders>
            <w:shd w:val="clear" w:color="auto" w:fill="auto"/>
            <w:noWrap/>
            <w:hideMark/>
          </w:tcPr>
          <w:p w14:paraId="61418379" w14:textId="77777777" w:rsidR="00A46B68" w:rsidRPr="00DD3B0B" w:rsidRDefault="00A46B68" w:rsidP="00A46B68">
            <w:pPr>
              <w:spacing w:line="240" w:lineRule="auto"/>
              <w:ind w:firstLine="0"/>
              <w:jc w:val="center"/>
              <w:rPr>
                <w:color w:val="000000"/>
              </w:rPr>
            </w:pPr>
            <w:r w:rsidRPr="00DD3B0B">
              <w:rPr>
                <w:color w:val="000000"/>
              </w:rPr>
              <w:t>6.59E-03</w:t>
            </w:r>
          </w:p>
        </w:tc>
        <w:tc>
          <w:tcPr>
            <w:tcW w:w="1297" w:type="dxa"/>
            <w:tcBorders>
              <w:top w:val="nil"/>
              <w:left w:val="nil"/>
              <w:bottom w:val="nil"/>
              <w:right w:val="nil"/>
            </w:tcBorders>
            <w:shd w:val="clear" w:color="auto" w:fill="auto"/>
            <w:noWrap/>
            <w:hideMark/>
          </w:tcPr>
          <w:p w14:paraId="295DB57D"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C</w:t>
            </w:r>
          </w:p>
        </w:tc>
        <w:tc>
          <w:tcPr>
            <w:tcW w:w="4391" w:type="dxa"/>
            <w:tcBorders>
              <w:top w:val="nil"/>
              <w:left w:val="nil"/>
              <w:bottom w:val="nil"/>
              <w:right w:val="nil"/>
            </w:tcBorders>
            <w:shd w:val="clear" w:color="auto" w:fill="auto"/>
            <w:hideMark/>
          </w:tcPr>
          <w:p w14:paraId="0B0851E8" w14:textId="77777777" w:rsidR="00A46B68" w:rsidRPr="00DD3B0B" w:rsidRDefault="00A46B68" w:rsidP="00AB0D75">
            <w:pPr>
              <w:spacing w:line="240" w:lineRule="auto"/>
              <w:ind w:left="288" w:hanging="288"/>
              <w:rPr>
                <w:color w:val="000000"/>
              </w:rPr>
            </w:pPr>
            <w:r>
              <w:rPr>
                <w:color w:val="000000"/>
              </w:rPr>
              <w:t>P</w:t>
            </w:r>
            <w:r w:rsidRPr="00DD3B0B">
              <w:rPr>
                <w:color w:val="000000"/>
              </w:rPr>
              <w:t>utative zinc-binding alcohol dehydrogenase</w:t>
            </w:r>
          </w:p>
        </w:tc>
      </w:tr>
      <w:tr w:rsidR="00A46B68" w:rsidRPr="00502B03" w14:paraId="32AFD31E" w14:textId="77777777" w:rsidTr="002E3F44">
        <w:trPr>
          <w:trHeight w:val="20"/>
        </w:trPr>
        <w:tc>
          <w:tcPr>
            <w:tcW w:w="864" w:type="dxa"/>
            <w:tcBorders>
              <w:top w:val="nil"/>
              <w:left w:val="nil"/>
              <w:bottom w:val="nil"/>
              <w:right w:val="nil"/>
            </w:tcBorders>
            <w:shd w:val="clear" w:color="auto" w:fill="auto"/>
            <w:noWrap/>
            <w:hideMark/>
          </w:tcPr>
          <w:p w14:paraId="44D98777" w14:textId="77777777" w:rsidR="00A46B68" w:rsidRPr="00DD3B0B" w:rsidRDefault="00A46B68" w:rsidP="00A46B68">
            <w:pPr>
              <w:spacing w:line="240" w:lineRule="auto"/>
              <w:ind w:firstLine="0"/>
              <w:rPr>
                <w:color w:val="000000"/>
              </w:rPr>
            </w:pPr>
            <w:r w:rsidRPr="00DD3B0B">
              <w:rPr>
                <w:color w:val="000000"/>
              </w:rPr>
              <w:t>00278</w:t>
            </w:r>
          </w:p>
        </w:tc>
        <w:tc>
          <w:tcPr>
            <w:tcW w:w="1083" w:type="dxa"/>
            <w:tcBorders>
              <w:top w:val="nil"/>
              <w:left w:val="nil"/>
              <w:bottom w:val="nil"/>
              <w:right w:val="nil"/>
            </w:tcBorders>
            <w:shd w:val="clear" w:color="auto" w:fill="auto"/>
            <w:noWrap/>
            <w:hideMark/>
          </w:tcPr>
          <w:p w14:paraId="682EBF16" w14:textId="77777777" w:rsidR="00A46B68" w:rsidRPr="00DD3B0B" w:rsidRDefault="00A46B68" w:rsidP="00A46B68">
            <w:pPr>
              <w:spacing w:line="240" w:lineRule="auto"/>
              <w:ind w:firstLine="0"/>
              <w:jc w:val="center"/>
              <w:rPr>
                <w:color w:val="000000"/>
              </w:rPr>
            </w:pPr>
            <w:r w:rsidRPr="00DD3B0B">
              <w:rPr>
                <w:color w:val="000000"/>
              </w:rPr>
              <w:t>-2.204</w:t>
            </w:r>
          </w:p>
        </w:tc>
        <w:tc>
          <w:tcPr>
            <w:tcW w:w="1152" w:type="dxa"/>
            <w:tcBorders>
              <w:top w:val="nil"/>
              <w:left w:val="nil"/>
              <w:bottom w:val="nil"/>
              <w:right w:val="nil"/>
            </w:tcBorders>
            <w:shd w:val="clear" w:color="auto" w:fill="auto"/>
            <w:noWrap/>
            <w:hideMark/>
          </w:tcPr>
          <w:p w14:paraId="6465AD8B" w14:textId="77777777" w:rsidR="00A46B68" w:rsidRPr="00DD3B0B" w:rsidRDefault="00A46B68" w:rsidP="00A46B68">
            <w:pPr>
              <w:spacing w:line="240" w:lineRule="auto"/>
              <w:ind w:firstLine="0"/>
              <w:jc w:val="center"/>
              <w:rPr>
                <w:color w:val="000000"/>
              </w:rPr>
            </w:pPr>
            <w:r w:rsidRPr="00DD3B0B">
              <w:rPr>
                <w:color w:val="000000"/>
              </w:rPr>
              <w:t>1.02E-03</w:t>
            </w:r>
          </w:p>
        </w:tc>
        <w:tc>
          <w:tcPr>
            <w:tcW w:w="1297" w:type="dxa"/>
            <w:tcBorders>
              <w:top w:val="nil"/>
              <w:left w:val="nil"/>
              <w:bottom w:val="nil"/>
              <w:right w:val="nil"/>
            </w:tcBorders>
            <w:shd w:val="clear" w:color="auto" w:fill="auto"/>
            <w:noWrap/>
            <w:hideMark/>
          </w:tcPr>
          <w:p w14:paraId="2BBFA5AF" w14:textId="77777777" w:rsidR="00A46B68" w:rsidRPr="00DD3B0B" w:rsidRDefault="00A46B68" w:rsidP="00A46B68">
            <w:pPr>
              <w:spacing w:line="240" w:lineRule="auto"/>
              <w:ind w:firstLine="0"/>
              <w:jc w:val="center"/>
              <w:rPr>
                <w:color w:val="000000"/>
              </w:rPr>
            </w:pPr>
          </w:p>
        </w:tc>
        <w:tc>
          <w:tcPr>
            <w:tcW w:w="4391" w:type="dxa"/>
            <w:tcBorders>
              <w:top w:val="nil"/>
              <w:left w:val="nil"/>
              <w:bottom w:val="nil"/>
              <w:right w:val="nil"/>
            </w:tcBorders>
            <w:shd w:val="clear" w:color="auto" w:fill="auto"/>
            <w:noWrap/>
            <w:hideMark/>
          </w:tcPr>
          <w:p w14:paraId="7243EB89" w14:textId="77777777" w:rsidR="00A46B68" w:rsidRPr="00DD3B0B" w:rsidRDefault="00A46B68" w:rsidP="00AB0D75">
            <w:pPr>
              <w:spacing w:line="240" w:lineRule="auto"/>
              <w:ind w:left="288" w:hanging="288"/>
              <w:rPr>
                <w:color w:val="000000"/>
              </w:rPr>
            </w:pPr>
          </w:p>
        </w:tc>
      </w:tr>
      <w:tr w:rsidR="00A46B68" w:rsidRPr="00502B03" w14:paraId="1E598372" w14:textId="77777777" w:rsidTr="002E3F44">
        <w:trPr>
          <w:trHeight w:val="20"/>
        </w:trPr>
        <w:tc>
          <w:tcPr>
            <w:tcW w:w="864" w:type="dxa"/>
            <w:tcBorders>
              <w:top w:val="nil"/>
              <w:left w:val="nil"/>
              <w:bottom w:val="single" w:sz="4" w:space="0" w:color="auto"/>
              <w:right w:val="nil"/>
            </w:tcBorders>
            <w:shd w:val="clear" w:color="auto" w:fill="auto"/>
            <w:noWrap/>
            <w:hideMark/>
          </w:tcPr>
          <w:p w14:paraId="1E42F28D" w14:textId="77777777" w:rsidR="00A46B68" w:rsidRPr="00DD3B0B" w:rsidRDefault="00A46B68" w:rsidP="00A46B68">
            <w:pPr>
              <w:spacing w:line="240" w:lineRule="auto"/>
              <w:ind w:firstLine="0"/>
              <w:rPr>
                <w:color w:val="000000"/>
              </w:rPr>
            </w:pPr>
            <w:r w:rsidRPr="00DD3B0B">
              <w:rPr>
                <w:color w:val="000000"/>
              </w:rPr>
              <w:t>03013</w:t>
            </w:r>
          </w:p>
        </w:tc>
        <w:tc>
          <w:tcPr>
            <w:tcW w:w="1083" w:type="dxa"/>
            <w:tcBorders>
              <w:top w:val="nil"/>
              <w:left w:val="nil"/>
              <w:bottom w:val="single" w:sz="4" w:space="0" w:color="auto"/>
              <w:right w:val="nil"/>
            </w:tcBorders>
            <w:shd w:val="clear" w:color="auto" w:fill="auto"/>
            <w:noWrap/>
            <w:hideMark/>
          </w:tcPr>
          <w:p w14:paraId="095FDE19" w14:textId="77777777" w:rsidR="00A46B68" w:rsidRPr="00DD3B0B" w:rsidRDefault="00A46B68" w:rsidP="00A46B68">
            <w:pPr>
              <w:spacing w:line="240" w:lineRule="auto"/>
              <w:ind w:firstLine="0"/>
              <w:jc w:val="center"/>
              <w:rPr>
                <w:color w:val="000000"/>
              </w:rPr>
            </w:pPr>
            <w:r w:rsidRPr="00DD3B0B">
              <w:rPr>
                <w:color w:val="000000"/>
              </w:rPr>
              <w:t>-2.300</w:t>
            </w:r>
          </w:p>
        </w:tc>
        <w:tc>
          <w:tcPr>
            <w:tcW w:w="1152" w:type="dxa"/>
            <w:tcBorders>
              <w:top w:val="nil"/>
              <w:left w:val="nil"/>
              <w:bottom w:val="single" w:sz="4" w:space="0" w:color="auto"/>
              <w:right w:val="nil"/>
            </w:tcBorders>
            <w:shd w:val="clear" w:color="auto" w:fill="auto"/>
            <w:noWrap/>
            <w:hideMark/>
          </w:tcPr>
          <w:p w14:paraId="3DD81483" w14:textId="77777777" w:rsidR="00A46B68" w:rsidRPr="00DD3B0B" w:rsidRDefault="00A46B68" w:rsidP="00A46B68">
            <w:pPr>
              <w:spacing w:line="240" w:lineRule="auto"/>
              <w:ind w:firstLine="0"/>
              <w:jc w:val="center"/>
              <w:rPr>
                <w:color w:val="000000"/>
              </w:rPr>
            </w:pPr>
            <w:r w:rsidRPr="00DD3B0B">
              <w:rPr>
                <w:color w:val="000000"/>
              </w:rPr>
              <w:t>2.07E-15</w:t>
            </w:r>
          </w:p>
        </w:tc>
        <w:tc>
          <w:tcPr>
            <w:tcW w:w="1297" w:type="dxa"/>
            <w:tcBorders>
              <w:top w:val="nil"/>
              <w:left w:val="nil"/>
              <w:bottom w:val="single" w:sz="4" w:space="0" w:color="auto"/>
              <w:right w:val="nil"/>
            </w:tcBorders>
            <w:shd w:val="clear" w:color="auto" w:fill="auto"/>
            <w:noWrap/>
            <w:hideMark/>
          </w:tcPr>
          <w:p w14:paraId="2597BE9B" w14:textId="77777777" w:rsidR="00A46B68" w:rsidRPr="00DD3B0B" w:rsidRDefault="00A46B68" w:rsidP="00A46B68">
            <w:pPr>
              <w:spacing w:line="240" w:lineRule="auto"/>
              <w:ind w:firstLine="0"/>
              <w:jc w:val="center"/>
              <w:rPr>
                <w:color w:val="000000"/>
              </w:rPr>
            </w:pPr>
            <w:r>
              <w:rPr>
                <w:color w:val="000000"/>
              </w:rPr>
              <w:t>P</w:t>
            </w:r>
            <w:r w:rsidRPr="00DD3B0B">
              <w:rPr>
                <w:color w:val="000000"/>
              </w:rPr>
              <w:t xml:space="preserve">, </w:t>
            </w:r>
            <w:r>
              <w:rPr>
                <w:color w:val="000000"/>
              </w:rPr>
              <w:t>K</w:t>
            </w:r>
            <w:r w:rsidRPr="00DD3B0B">
              <w:rPr>
                <w:color w:val="000000"/>
              </w:rPr>
              <w:t xml:space="preserve">, </w:t>
            </w:r>
            <w:r>
              <w:rPr>
                <w:color w:val="000000"/>
              </w:rPr>
              <w:t>C</w:t>
            </w:r>
          </w:p>
        </w:tc>
        <w:tc>
          <w:tcPr>
            <w:tcW w:w="4391" w:type="dxa"/>
            <w:tcBorders>
              <w:top w:val="nil"/>
              <w:left w:val="nil"/>
              <w:bottom w:val="single" w:sz="4" w:space="0" w:color="auto"/>
              <w:right w:val="nil"/>
            </w:tcBorders>
            <w:shd w:val="clear" w:color="auto" w:fill="auto"/>
            <w:hideMark/>
          </w:tcPr>
          <w:p w14:paraId="4978120E" w14:textId="77777777" w:rsidR="00A46B68" w:rsidRPr="00DD3B0B" w:rsidRDefault="00A46B68" w:rsidP="00AB0D75">
            <w:pPr>
              <w:spacing w:line="240" w:lineRule="auto"/>
              <w:ind w:left="288" w:hanging="288"/>
              <w:rPr>
                <w:color w:val="000000"/>
              </w:rPr>
            </w:pPr>
            <w:r w:rsidRPr="00DD3B0B">
              <w:rPr>
                <w:color w:val="000000"/>
              </w:rPr>
              <w:t>1,4-alpha-glucan branching enzyme GlgB</w:t>
            </w:r>
          </w:p>
        </w:tc>
      </w:tr>
    </w:tbl>
    <w:p w14:paraId="6B147684" w14:textId="77777777" w:rsidR="00A46B68" w:rsidRDefault="00A46B68" w:rsidP="00A46B68">
      <w:r>
        <w:br w:type="page"/>
      </w:r>
    </w:p>
    <w:p w14:paraId="0B139872" w14:textId="01420AF0" w:rsidR="00A46B68" w:rsidRPr="00562BA2" w:rsidRDefault="003C1B83" w:rsidP="00AB0D75">
      <w:pPr>
        <w:ind w:firstLine="0"/>
      </w:pPr>
      <w:r w:rsidRPr="00562BA2">
        <w:rPr>
          <w:noProof/>
        </w:rPr>
        <w:lastRenderedPageBreak/>
        <w:drawing>
          <wp:inline distT="0" distB="0" distL="0" distR="0" wp14:anchorId="353D9B6E" wp14:editId="2E4EDE52">
            <wp:extent cx="5491339" cy="3912175"/>
            <wp:effectExtent l="0" t="0" r="0" b="0"/>
            <wp:docPr id="102251223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512235" name="Picture 23"/>
                    <pic:cNvPicPr>
                      <a:picLocks noChangeAspect="1" noChangeArrowheads="1"/>
                    </pic:cNvPicPr>
                  </pic:nvPicPr>
                  <pic:blipFill>
                    <a:blip r:embed="rId386" cstate="print">
                      <a:extLst>
                        <a:ext uri="{28A0092B-C50C-407E-A947-70E740481C1C}">
                          <a14:useLocalDpi xmlns:a14="http://schemas.microsoft.com/office/drawing/2010/main" val="0"/>
                        </a:ext>
                      </a:extLst>
                    </a:blip>
                    <a:stretch>
                      <a:fillRect/>
                    </a:stretch>
                  </pic:blipFill>
                  <pic:spPr bwMode="auto">
                    <a:xfrm>
                      <a:off x="0" y="0"/>
                      <a:ext cx="5491339" cy="3912175"/>
                    </a:xfrm>
                    <a:prstGeom prst="rect">
                      <a:avLst/>
                    </a:prstGeom>
                    <a:noFill/>
                  </pic:spPr>
                </pic:pic>
              </a:graphicData>
            </a:graphic>
          </wp:inline>
        </w:drawing>
      </w:r>
    </w:p>
    <w:p w14:paraId="09CC15E0" w14:textId="2D2FB10C" w:rsidR="00A46B68" w:rsidRPr="00F13F6D" w:rsidRDefault="00F13F6D" w:rsidP="00562BA2">
      <w:pPr>
        <w:pStyle w:val="Caption"/>
        <w:rPr>
          <w:b w:val="0"/>
          <w:bCs w:val="0"/>
        </w:rPr>
      </w:pPr>
      <w:bookmarkStart w:id="186" w:name="_Toc193695167"/>
      <w:r>
        <w:t xml:space="preserve">Figure </w:t>
      </w:r>
      <w:fldSimple w:instr=" STYLEREF 1 \s ">
        <w:r w:rsidR="00971287">
          <w:rPr>
            <w:noProof/>
          </w:rPr>
          <w:t>3</w:t>
        </w:r>
      </w:fldSimple>
      <w:r>
        <w:t>.</w:t>
      </w:r>
      <w:fldSimple w:instr=" SEQ Figure \* ARABIC \s 1 ">
        <w:r w:rsidR="00971287">
          <w:rPr>
            <w:noProof/>
          </w:rPr>
          <w:t>1</w:t>
        </w:r>
      </w:fldSimple>
      <w:r>
        <w:t xml:space="preserve">. </w:t>
      </w:r>
      <w:bookmarkStart w:id="187" w:name="_Hlk195687217"/>
      <w:r>
        <w:t>Location and geochemistry of Fryxell basin meltwater seeps</w:t>
      </w:r>
      <w:r w:rsidRPr="00F13F6D">
        <w:rPr>
          <w:b w:val="0"/>
          <w:bCs w:val="0"/>
        </w:rPr>
        <w:t>. (</w:t>
      </w:r>
      <w:r w:rsidRPr="00F13F6D">
        <w:rPr>
          <w:b w:val="0"/>
          <w:bCs w:val="0"/>
          <w:iCs w:val="0"/>
        </w:rPr>
        <w:t>a</w:t>
      </w:r>
      <w:r w:rsidRPr="00F13F6D">
        <w:rPr>
          <w:b w:val="0"/>
          <w:bCs w:val="0"/>
        </w:rPr>
        <w:t>) Geographic of Fryxell basin within Taylor Valley, Antarctica. Satellite image by NASA. (</w:t>
      </w:r>
      <w:r w:rsidRPr="00F13F6D">
        <w:rPr>
          <w:b w:val="0"/>
          <w:bCs w:val="0"/>
          <w:iCs w:val="0"/>
        </w:rPr>
        <w:t>b</w:t>
      </w:r>
      <w:r w:rsidRPr="00F13F6D">
        <w:rPr>
          <w:b w:val="0"/>
          <w:bCs w:val="0"/>
        </w:rPr>
        <w:t>) Image of seep used in this study. Darker sediments are higher in moisture than surrounding areas, and surficial salts are visible as a white precipitate at the edges of the seep. (</w:t>
      </w:r>
      <w:r w:rsidRPr="00F13F6D">
        <w:rPr>
          <w:b w:val="0"/>
          <w:bCs w:val="0"/>
          <w:iCs w:val="0"/>
        </w:rPr>
        <w:t>c)</w:t>
      </w:r>
      <w:r w:rsidRPr="00F13F6D">
        <w:rPr>
          <w:b w:val="0"/>
          <w:bCs w:val="0"/>
        </w:rPr>
        <w:t xml:space="preserve"> Measurements of soil moisture (as gravimetric water content), </w:t>
      </w:r>
      <w:r w:rsidR="00112877">
        <w:rPr>
          <w:b w:val="0"/>
          <w:bCs w:val="0"/>
        </w:rPr>
        <w:t xml:space="preserve">(d) </w:t>
      </w:r>
      <w:r w:rsidRPr="00F13F6D">
        <w:rPr>
          <w:b w:val="0"/>
          <w:bCs w:val="0"/>
        </w:rPr>
        <w:t xml:space="preserve">electrical conductivity (proxy for salinity), </w:t>
      </w:r>
      <w:r w:rsidR="00112877">
        <w:rPr>
          <w:b w:val="0"/>
          <w:bCs w:val="0"/>
        </w:rPr>
        <w:t xml:space="preserve">(e) </w:t>
      </w:r>
      <w:r w:rsidRPr="00F13F6D">
        <w:rPr>
          <w:b w:val="0"/>
          <w:bCs w:val="0"/>
        </w:rPr>
        <w:t xml:space="preserve">pH, and </w:t>
      </w:r>
      <w:r w:rsidR="00112877">
        <w:rPr>
          <w:b w:val="0"/>
          <w:bCs w:val="0"/>
        </w:rPr>
        <w:t xml:space="preserve">(f) </w:t>
      </w:r>
      <w:r w:rsidRPr="00F13F6D">
        <w:rPr>
          <w:b w:val="0"/>
          <w:bCs w:val="0"/>
        </w:rPr>
        <w:t>microscopic counts of DNA containing cells in both wet and dry soils, by sample depth.</w:t>
      </w:r>
      <w:bookmarkEnd w:id="186"/>
      <w:bookmarkEnd w:id="187"/>
    </w:p>
    <w:p w14:paraId="756FD849" w14:textId="77777777" w:rsidR="00A46B68" w:rsidRDefault="00A46B68" w:rsidP="00562BA2">
      <w:pPr>
        <w:spacing w:line="240" w:lineRule="auto"/>
        <w:ind w:firstLine="0"/>
        <w:rPr>
          <w:bCs/>
          <w:iCs/>
          <w:color w:val="000000" w:themeColor="text1"/>
          <w:szCs w:val="18"/>
        </w:rPr>
      </w:pPr>
      <w:r>
        <w:rPr>
          <w:b/>
          <w:bCs/>
        </w:rPr>
        <w:br w:type="page"/>
      </w:r>
    </w:p>
    <w:p w14:paraId="5EC96546" w14:textId="77777777" w:rsidR="00A46B68" w:rsidRPr="00C25D76" w:rsidRDefault="00A46B68" w:rsidP="00F13F6D">
      <w:pPr>
        <w:pStyle w:val="Caption"/>
      </w:pPr>
    </w:p>
    <w:p w14:paraId="6F3F18E6" w14:textId="77777777" w:rsidR="00A46B68" w:rsidRDefault="00A46B68" w:rsidP="00AB0D75">
      <w:pPr>
        <w:keepNext/>
        <w:ind w:firstLine="0"/>
      </w:pPr>
      <w:r>
        <w:rPr>
          <w:noProof/>
        </w:rPr>
        <w:drawing>
          <wp:inline distT="0" distB="0" distL="0" distR="0" wp14:anchorId="27166614" wp14:editId="5677002F">
            <wp:extent cx="5461121" cy="2601447"/>
            <wp:effectExtent l="0" t="0" r="6350" b="8890"/>
            <wp:docPr id="20403335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33554" name="Picture 3"/>
                    <pic:cNvPicPr>
                      <a:picLocks noChangeAspect="1" noChangeArrowheads="1"/>
                    </pic:cNvPicPr>
                  </pic:nvPicPr>
                  <pic:blipFill>
                    <a:blip r:embed="rId387" cstate="print">
                      <a:extLst>
                        <a:ext uri="{28A0092B-C50C-407E-A947-70E740481C1C}">
                          <a14:useLocalDpi xmlns:a14="http://schemas.microsoft.com/office/drawing/2010/main" val="0"/>
                        </a:ext>
                      </a:extLst>
                    </a:blip>
                    <a:stretch>
                      <a:fillRect/>
                    </a:stretch>
                  </pic:blipFill>
                  <pic:spPr bwMode="auto">
                    <a:xfrm>
                      <a:off x="0" y="0"/>
                      <a:ext cx="5470418" cy="2605876"/>
                    </a:xfrm>
                    <a:prstGeom prst="rect">
                      <a:avLst/>
                    </a:prstGeom>
                    <a:noFill/>
                  </pic:spPr>
                </pic:pic>
              </a:graphicData>
            </a:graphic>
          </wp:inline>
        </w:drawing>
      </w:r>
    </w:p>
    <w:p w14:paraId="62AB3407" w14:textId="204C6F0E" w:rsidR="00A46B68" w:rsidRPr="00F13F6D" w:rsidRDefault="00A46B68" w:rsidP="00F13F6D">
      <w:pPr>
        <w:pStyle w:val="Caption"/>
        <w:rPr>
          <w:b w:val="0"/>
          <w:bCs w:val="0"/>
        </w:rPr>
      </w:pPr>
      <w:bookmarkStart w:id="188" w:name="_Toc193695168"/>
      <w:r>
        <w:t xml:space="preserve">Figure </w:t>
      </w:r>
      <w:fldSimple w:instr=" STYLEREF 1 \s ">
        <w:r w:rsidR="00971287">
          <w:rPr>
            <w:noProof/>
          </w:rPr>
          <w:t>3</w:t>
        </w:r>
      </w:fldSimple>
      <w:r w:rsidR="00F13F6D">
        <w:t>.</w:t>
      </w:r>
      <w:fldSimple w:instr=" SEQ Figure \* ARABIC \s 1 ">
        <w:r w:rsidR="00971287">
          <w:rPr>
            <w:noProof/>
          </w:rPr>
          <w:t>2</w:t>
        </w:r>
      </w:fldSimple>
      <w:r>
        <w:t xml:space="preserve">. Community composition of wet and dry soil profiles. </w:t>
      </w:r>
      <w:r w:rsidRPr="00F13F6D">
        <w:rPr>
          <w:b w:val="0"/>
          <w:bCs w:val="0"/>
        </w:rPr>
        <w:t>Composition of based on 16S rRNA gene amplicon sequencing and comparison of OTUs (97% similarity) to the silva database v138.2. (</w:t>
      </w:r>
      <w:r w:rsidR="00F13F6D" w:rsidRPr="00F13F6D">
        <w:rPr>
          <w:b w:val="0"/>
          <w:bCs w:val="0"/>
        </w:rPr>
        <w:t>a</w:t>
      </w:r>
      <w:r w:rsidRPr="00F13F6D">
        <w:rPr>
          <w:b w:val="0"/>
          <w:bCs w:val="0"/>
        </w:rPr>
        <w:t xml:space="preserve">) Composition of all sequences at the Phylum level. (b) Composition of phylum Bacteroidota at the Order level. Reads matching </w:t>
      </w:r>
      <w:r w:rsidRPr="00F13F6D">
        <w:rPr>
          <w:b w:val="0"/>
          <w:bCs w:val="0"/>
          <w:i/>
        </w:rPr>
        <w:t xml:space="preserve">Gillisia </w:t>
      </w:r>
      <w:r w:rsidRPr="00F13F6D">
        <w:rPr>
          <w:b w:val="0"/>
          <w:bCs w:val="0"/>
        </w:rPr>
        <w:t>sp. FRX26 correspond to between 76.5 – 100% of Flavobacteriales OTUs.</w:t>
      </w:r>
      <w:bookmarkEnd w:id="188"/>
    </w:p>
    <w:p w14:paraId="5CF7CFC6" w14:textId="77777777" w:rsidR="00A46B68" w:rsidRPr="00F13F6D" w:rsidRDefault="00A46B68" w:rsidP="00AB0D75">
      <w:pPr>
        <w:ind w:firstLine="0"/>
        <w:rPr>
          <w:noProof/>
        </w:rPr>
      </w:pPr>
      <w:r w:rsidRPr="00F13F6D">
        <w:rPr>
          <w:noProof/>
        </w:rPr>
        <w:br w:type="page"/>
      </w:r>
    </w:p>
    <w:p w14:paraId="29EAD9F7" w14:textId="5DAA4B8A" w:rsidR="00A46B68" w:rsidRDefault="00112877" w:rsidP="00AB0D75">
      <w:pPr>
        <w:keepNext/>
        <w:ind w:firstLine="0"/>
      </w:pPr>
      <w:r>
        <w:rPr>
          <w:noProof/>
        </w:rPr>
        <w:lastRenderedPageBreak/>
        <w:drawing>
          <wp:inline distT="0" distB="0" distL="0" distR="0" wp14:anchorId="06C43C2E" wp14:editId="1D796DD3">
            <wp:extent cx="5472679" cy="5640150"/>
            <wp:effectExtent l="0" t="0" r="0" b="0"/>
            <wp:docPr id="134908950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089500" name="Picture 24"/>
                    <pic:cNvPicPr>
                      <a:picLocks noChangeAspect="1" noChangeArrowheads="1"/>
                    </pic:cNvPicPr>
                  </pic:nvPicPr>
                  <pic:blipFill>
                    <a:blip r:embed="rId388" cstate="print">
                      <a:extLst>
                        <a:ext uri="{28A0092B-C50C-407E-A947-70E740481C1C}">
                          <a14:useLocalDpi xmlns:a14="http://schemas.microsoft.com/office/drawing/2010/main" val="0"/>
                        </a:ext>
                      </a:extLst>
                    </a:blip>
                    <a:stretch>
                      <a:fillRect/>
                    </a:stretch>
                  </pic:blipFill>
                  <pic:spPr bwMode="auto">
                    <a:xfrm>
                      <a:off x="0" y="0"/>
                      <a:ext cx="5472679" cy="5640150"/>
                    </a:xfrm>
                    <a:prstGeom prst="rect">
                      <a:avLst/>
                    </a:prstGeom>
                    <a:noFill/>
                  </pic:spPr>
                </pic:pic>
              </a:graphicData>
            </a:graphic>
          </wp:inline>
        </w:drawing>
      </w:r>
    </w:p>
    <w:p w14:paraId="31B895F3" w14:textId="29DA1775" w:rsidR="00A46B68" w:rsidRPr="00F13F6D" w:rsidRDefault="00A46B68" w:rsidP="00F13F6D">
      <w:pPr>
        <w:pStyle w:val="Caption"/>
        <w:rPr>
          <w:b w:val="0"/>
          <w:bCs w:val="0"/>
        </w:rPr>
      </w:pPr>
      <w:bookmarkStart w:id="189" w:name="_Toc193695169"/>
      <w:r>
        <w:t xml:space="preserve">Figure </w:t>
      </w:r>
      <w:fldSimple w:instr=" STYLEREF 1 \s ">
        <w:r w:rsidR="00971287">
          <w:rPr>
            <w:noProof/>
          </w:rPr>
          <w:t>3</w:t>
        </w:r>
      </w:fldSimple>
      <w:r w:rsidR="00F13F6D">
        <w:t>.</w:t>
      </w:r>
      <w:fldSimple w:instr=" SEQ Figure \* ARABIC \s 1 ">
        <w:r w:rsidR="00971287">
          <w:rPr>
            <w:noProof/>
          </w:rPr>
          <w:t>3</w:t>
        </w:r>
      </w:fldSimple>
      <w:r>
        <w:t xml:space="preserve">. </w:t>
      </w:r>
      <w:bookmarkStart w:id="190" w:name="_Hlk195687201"/>
      <w:r>
        <w:t xml:space="preserve">Diversity metrics of wet and dry soil profiles. </w:t>
      </w:r>
      <w:r w:rsidRPr="00F13F6D">
        <w:rPr>
          <w:b w:val="0"/>
          <w:bCs w:val="0"/>
        </w:rPr>
        <w:t xml:space="preserve">Diversity assessments were performed on both </w:t>
      </w:r>
      <w:r w:rsidR="00112877">
        <w:rPr>
          <w:b w:val="0"/>
          <w:bCs w:val="0"/>
        </w:rPr>
        <w:t xml:space="preserve">operational taxonomic units </w:t>
      </w:r>
      <w:r w:rsidRPr="00F13F6D">
        <w:rPr>
          <w:b w:val="0"/>
          <w:bCs w:val="0"/>
        </w:rPr>
        <w:t xml:space="preserve">grouped at 97% similarity </w:t>
      </w:r>
      <w:r w:rsidR="00112877">
        <w:rPr>
          <w:b w:val="0"/>
          <w:bCs w:val="0"/>
        </w:rPr>
        <w:t xml:space="preserve">(OTU97) </w:t>
      </w:r>
      <w:r w:rsidRPr="00F13F6D">
        <w:rPr>
          <w:b w:val="0"/>
          <w:bCs w:val="0"/>
        </w:rPr>
        <w:t>and on</w:t>
      </w:r>
      <w:r w:rsidR="00112877">
        <w:rPr>
          <w:b w:val="0"/>
          <w:bCs w:val="0"/>
        </w:rPr>
        <w:t xml:space="preserve"> amplicon sequence variants (ASV)</w:t>
      </w:r>
      <w:r w:rsidRPr="00F13F6D">
        <w:rPr>
          <w:b w:val="0"/>
          <w:bCs w:val="0"/>
        </w:rPr>
        <w:t>.</w:t>
      </w:r>
      <w:bookmarkEnd w:id="189"/>
      <w:bookmarkEnd w:id="190"/>
    </w:p>
    <w:p w14:paraId="115D4E1E" w14:textId="77777777" w:rsidR="00A46B68" w:rsidRPr="00F13F6D" w:rsidRDefault="00A46B68" w:rsidP="00AB0D75">
      <w:pPr>
        <w:ind w:firstLine="0"/>
        <w:rPr>
          <w:iCs/>
          <w:color w:val="000000" w:themeColor="text1"/>
          <w:szCs w:val="18"/>
        </w:rPr>
      </w:pPr>
      <w:r w:rsidRPr="00F13F6D">
        <w:br w:type="page"/>
      </w:r>
    </w:p>
    <w:p w14:paraId="438A8946" w14:textId="18B93495" w:rsidR="00A46B68" w:rsidRDefault="001620AC" w:rsidP="00F13F6D">
      <w:pPr>
        <w:pStyle w:val="Caption"/>
      </w:pPr>
      <w:r>
        <w:rPr>
          <w:noProof/>
        </w:rPr>
        <w:lastRenderedPageBreak/>
        <w:drawing>
          <wp:inline distT="0" distB="0" distL="0" distR="0" wp14:anchorId="142309A7" wp14:editId="10295A49">
            <wp:extent cx="5486400" cy="6439895"/>
            <wp:effectExtent l="0" t="0" r="0" b="0"/>
            <wp:docPr id="193291706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17064" name="Picture 25"/>
                    <pic:cNvPicPr>
                      <a:picLocks noChangeAspect="1" noChangeArrowheads="1"/>
                    </pic:cNvPicPr>
                  </pic:nvPicPr>
                  <pic:blipFill>
                    <a:blip r:embed="rId389" cstate="print">
                      <a:extLst>
                        <a:ext uri="{28A0092B-C50C-407E-A947-70E740481C1C}">
                          <a14:useLocalDpi xmlns:a14="http://schemas.microsoft.com/office/drawing/2010/main" val="0"/>
                        </a:ext>
                      </a:extLst>
                    </a:blip>
                    <a:stretch>
                      <a:fillRect/>
                    </a:stretch>
                  </pic:blipFill>
                  <pic:spPr bwMode="auto">
                    <a:xfrm>
                      <a:off x="0" y="0"/>
                      <a:ext cx="5486400" cy="6439895"/>
                    </a:xfrm>
                    <a:prstGeom prst="rect">
                      <a:avLst/>
                    </a:prstGeom>
                    <a:noFill/>
                  </pic:spPr>
                </pic:pic>
              </a:graphicData>
            </a:graphic>
          </wp:inline>
        </w:drawing>
      </w:r>
    </w:p>
    <w:p w14:paraId="6F3576EF" w14:textId="64BC84A6" w:rsidR="00A46B68" w:rsidRPr="00F13F6D" w:rsidRDefault="00A46B68" w:rsidP="00F13F6D">
      <w:pPr>
        <w:pStyle w:val="Caption"/>
        <w:rPr>
          <w:b w:val="0"/>
          <w:bCs w:val="0"/>
        </w:rPr>
      </w:pPr>
      <w:bookmarkStart w:id="191" w:name="_Toc193695170"/>
      <w:r>
        <w:t xml:space="preserve">Figure </w:t>
      </w:r>
      <w:fldSimple w:instr=" STYLEREF 1 \s ">
        <w:r w:rsidR="00971287">
          <w:rPr>
            <w:noProof/>
          </w:rPr>
          <w:t>3</w:t>
        </w:r>
      </w:fldSimple>
      <w:r w:rsidR="00F13F6D">
        <w:t>.</w:t>
      </w:r>
      <w:fldSimple w:instr=" SEQ Figure \* ARABIC \s 1 ">
        <w:r w:rsidR="00971287">
          <w:rPr>
            <w:noProof/>
          </w:rPr>
          <w:t>4</w:t>
        </w:r>
      </w:fldSimple>
      <w:r>
        <w:t xml:space="preserve">. </w:t>
      </w:r>
      <w:bookmarkStart w:id="192" w:name="_Hlk195687167"/>
      <w:r>
        <w:t xml:space="preserve">Predicted genes associated with salt tolerance in Fryxell seep metagenomes. </w:t>
      </w:r>
      <w:r w:rsidRPr="00F13F6D">
        <w:rPr>
          <w:b w:val="0"/>
          <w:bCs w:val="0"/>
        </w:rPr>
        <w:t>Values represent number of annotations present per 100000 genes. Rows are shaded by the abundance z-score for each gene, with orange indicating more abundant and blue indicating less abundant compared to the average of all metagenomes.</w:t>
      </w:r>
      <w:bookmarkEnd w:id="191"/>
      <w:r w:rsidR="00553962">
        <w:rPr>
          <w:b w:val="0"/>
          <w:bCs w:val="0"/>
        </w:rPr>
        <w:t xml:space="preserve"> Gene names, KEGG Orthology (KO) numbers, and putative description were determined via GhostKOALA annotation. </w:t>
      </w:r>
      <w:bookmarkEnd w:id="192"/>
    </w:p>
    <w:p w14:paraId="7120A7E8" w14:textId="77777777" w:rsidR="00A46B68" w:rsidRPr="00F13F6D" w:rsidRDefault="00A46B68" w:rsidP="00AB0D75">
      <w:pPr>
        <w:ind w:firstLine="0"/>
        <w:rPr>
          <w:iCs/>
          <w:color w:val="000000" w:themeColor="text1"/>
          <w:szCs w:val="18"/>
        </w:rPr>
      </w:pPr>
      <w:r w:rsidRPr="00F13F6D">
        <w:br w:type="page"/>
      </w:r>
    </w:p>
    <w:p w14:paraId="0CD65D81" w14:textId="77777777" w:rsidR="00A46B68" w:rsidRDefault="00A46B68" w:rsidP="00F13F6D">
      <w:pPr>
        <w:pStyle w:val="Caption"/>
      </w:pPr>
      <w:r>
        <w:lastRenderedPageBreak/>
        <w:t xml:space="preserve"> </w:t>
      </w:r>
      <w:r>
        <w:rPr>
          <w:noProof/>
        </w:rPr>
        <w:drawing>
          <wp:inline distT="0" distB="0" distL="0" distR="0" wp14:anchorId="4CC471C8" wp14:editId="5C6E57C0">
            <wp:extent cx="5437709" cy="4686300"/>
            <wp:effectExtent l="0" t="0" r="0" b="0"/>
            <wp:docPr id="1106671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671769" name="Picture 1"/>
                    <pic:cNvPicPr>
                      <a:picLocks noChangeAspect="1" noChangeArrowheads="1"/>
                    </pic:cNvPicPr>
                  </pic:nvPicPr>
                  <pic:blipFill rotWithShape="1">
                    <a:blip r:embed="rId390" cstate="print">
                      <a:extLst>
                        <a:ext uri="{28A0092B-C50C-407E-A947-70E740481C1C}">
                          <a14:useLocalDpi xmlns:a14="http://schemas.microsoft.com/office/drawing/2010/main" val="0"/>
                        </a:ext>
                      </a:extLst>
                    </a:blip>
                    <a:srcRect l="3924"/>
                    <a:stretch/>
                  </pic:blipFill>
                  <pic:spPr bwMode="auto">
                    <a:xfrm>
                      <a:off x="0" y="0"/>
                      <a:ext cx="5440278" cy="4688514"/>
                    </a:xfrm>
                    <a:prstGeom prst="rect">
                      <a:avLst/>
                    </a:prstGeom>
                    <a:noFill/>
                    <a:ln>
                      <a:noFill/>
                    </a:ln>
                    <a:extLst>
                      <a:ext uri="{53640926-AAD7-44D8-BBD7-CCE9431645EC}">
                        <a14:shadowObscured xmlns:a14="http://schemas.microsoft.com/office/drawing/2010/main"/>
                      </a:ext>
                    </a:extLst>
                  </pic:spPr>
                </pic:pic>
              </a:graphicData>
            </a:graphic>
          </wp:inline>
        </w:drawing>
      </w:r>
    </w:p>
    <w:p w14:paraId="16CDD8D6" w14:textId="7C1DF638" w:rsidR="00A46B68" w:rsidRDefault="00A46B68" w:rsidP="00F13F6D">
      <w:pPr>
        <w:pStyle w:val="Caption"/>
      </w:pPr>
      <w:bookmarkStart w:id="193" w:name="_Toc193695171"/>
      <w:r>
        <w:t xml:space="preserve">Figure </w:t>
      </w:r>
      <w:fldSimple w:instr=" STYLEREF 1 \s ">
        <w:r w:rsidR="00971287">
          <w:rPr>
            <w:noProof/>
          </w:rPr>
          <w:t>3</w:t>
        </w:r>
      </w:fldSimple>
      <w:r w:rsidR="00F13F6D">
        <w:t>.</w:t>
      </w:r>
      <w:fldSimple w:instr=" SEQ Figure \* ARABIC \s 1 ">
        <w:r w:rsidR="00971287">
          <w:rPr>
            <w:noProof/>
          </w:rPr>
          <w:t>5</w:t>
        </w:r>
      </w:fldSimple>
      <w:r>
        <w:rPr>
          <w:noProof/>
        </w:rPr>
        <w:t>.</w:t>
      </w:r>
      <w:r w:rsidRPr="00611BBB">
        <w:t xml:space="preserve"> </w:t>
      </w:r>
      <w:r>
        <w:t xml:space="preserve">Taxonomic placement of strain FRX26 within the </w:t>
      </w:r>
      <w:r>
        <w:rPr>
          <w:i/>
        </w:rPr>
        <w:t xml:space="preserve">Gillisia </w:t>
      </w:r>
      <w:r>
        <w:t xml:space="preserve">genus. </w:t>
      </w:r>
      <w:r w:rsidRPr="00F13F6D">
        <w:rPr>
          <w:b w:val="0"/>
          <w:bCs w:val="0"/>
        </w:rPr>
        <w:t xml:space="preserve">Phylogeny is based on whole-genome comparison of translated coding sequences </w:t>
      </w:r>
      <w:r w:rsidR="0015605F">
        <w:rPr>
          <w:b w:val="0"/>
          <w:bCs w:val="0"/>
        </w:rPr>
        <w:t>from</w:t>
      </w:r>
      <w:r w:rsidR="0015605F" w:rsidRPr="00F13F6D">
        <w:rPr>
          <w:b w:val="0"/>
          <w:bCs w:val="0"/>
        </w:rPr>
        <w:t xml:space="preserve"> </w:t>
      </w:r>
      <w:r w:rsidRPr="00F13F6D">
        <w:rPr>
          <w:b w:val="0"/>
          <w:bCs w:val="0"/>
        </w:rPr>
        <w:t>genomes within the TYGS</w:t>
      </w:r>
      <w:r w:rsidR="0015605F">
        <w:rPr>
          <w:b w:val="0"/>
          <w:bCs w:val="0"/>
        </w:rPr>
        <w:t xml:space="preserve"> database,</w:t>
      </w:r>
      <w:r w:rsidRPr="00F13F6D">
        <w:rPr>
          <w:b w:val="0"/>
          <w:bCs w:val="0"/>
        </w:rPr>
        <w:t xml:space="preserve"> as well as all </w:t>
      </w:r>
      <w:r w:rsidRPr="00F13F6D">
        <w:rPr>
          <w:b w:val="0"/>
          <w:bCs w:val="0"/>
          <w:i/>
        </w:rPr>
        <w:t xml:space="preserve">Gillisia </w:t>
      </w:r>
      <w:r w:rsidRPr="00F13F6D">
        <w:rPr>
          <w:b w:val="0"/>
          <w:bCs w:val="0"/>
        </w:rPr>
        <w:t>genomes present in the NCBI RefSeq database. Accession numbers, sequence similarity, and isolation material information are available in Table 5. Node numbers represent bootstrap values.</w:t>
      </w:r>
      <w:bookmarkEnd w:id="193"/>
      <w:r w:rsidR="0015605F">
        <w:rPr>
          <w:b w:val="0"/>
          <w:bCs w:val="0"/>
        </w:rPr>
        <w:t xml:space="preserve"> Tree was generated by TYGS.</w:t>
      </w:r>
    </w:p>
    <w:p w14:paraId="72043B58" w14:textId="77777777" w:rsidR="00A46B68" w:rsidRDefault="00A46B68" w:rsidP="00AB0D75">
      <w:pPr>
        <w:keepNext/>
        <w:ind w:firstLine="0"/>
      </w:pPr>
      <w:r>
        <w:br w:type="page"/>
      </w:r>
      <w:r>
        <w:rPr>
          <w:noProof/>
        </w:rPr>
        <w:lastRenderedPageBreak/>
        <w:drawing>
          <wp:inline distT="0" distB="0" distL="0" distR="0" wp14:anchorId="7435BDC4" wp14:editId="03F1559F">
            <wp:extent cx="5459222" cy="3148071"/>
            <wp:effectExtent l="0" t="0" r="8255" b="0"/>
            <wp:docPr id="54340857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408574" name="Picture 15"/>
                    <pic:cNvPicPr>
                      <a:picLocks noChangeAspect="1" noChangeArrowheads="1"/>
                    </pic:cNvPicPr>
                  </pic:nvPicPr>
                  <pic:blipFill rotWithShape="1">
                    <a:blip r:embed="rId391" cstate="print">
                      <a:extLst>
                        <a:ext uri="{28A0092B-C50C-407E-A947-70E740481C1C}">
                          <a14:useLocalDpi xmlns:a14="http://schemas.microsoft.com/office/drawing/2010/main" val="0"/>
                        </a:ext>
                      </a:extLst>
                    </a:blip>
                    <a:srcRect l="2199" r="3604"/>
                    <a:stretch/>
                  </pic:blipFill>
                  <pic:spPr bwMode="auto">
                    <a:xfrm>
                      <a:off x="0" y="0"/>
                      <a:ext cx="5462441" cy="3149927"/>
                    </a:xfrm>
                    <a:prstGeom prst="rect">
                      <a:avLst/>
                    </a:prstGeom>
                    <a:noFill/>
                    <a:ln>
                      <a:noFill/>
                    </a:ln>
                    <a:extLst>
                      <a:ext uri="{53640926-AAD7-44D8-BBD7-CCE9431645EC}">
                        <a14:shadowObscured xmlns:a14="http://schemas.microsoft.com/office/drawing/2010/main"/>
                      </a:ext>
                    </a:extLst>
                  </pic:spPr>
                </pic:pic>
              </a:graphicData>
            </a:graphic>
          </wp:inline>
        </w:drawing>
      </w:r>
    </w:p>
    <w:p w14:paraId="27658240" w14:textId="3BFA19FD" w:rsidR="00A46B68" w:rsidRPr="00F13F6D" w:rsidRDefault="00A46B68" w:rsidP="00F13F6D">
      <w:pPr>
        <w:pStyle w:val="Caption"/>
        <w:rPr>
          <w:b w:val="0"/>
          <w:bCs w:val="0"/>
        </w:rPr>
      </w:pPr>
      <w:bookmarkStart w:id="194" w:name="_Toc193695172"/>
      <w:r>
        <w:t xml:space="preserve">Figure </w:t>
      </w:r>
      <w:fldSimple w:instr=" STYLEREF 1 \s ">
        <w:r w:rsidR="00971287">
          <w:rPr>
            <w:noProof/>
          </w:rPr>
          <w:t>3</w:t>
        </w:r>
      </w:fldSimple>
      <w:r w:rsidR="00F13F6D">
        <w:t>.</w:t>
      </w:r>
      <w:fldSimple w:instr=" SEQ Figure \* ARABIC \s 1 ">
        <w:r w:rsidR="00971287">
          <w:rPr>
            <w:noProof/>
          </w:rPr>
          <w:t>6</w:t>
        </w:r>
      </w:fldSimple>
      <w:r>
        <w:rPr>
          <w:noProof/>
        </w:rPr>
        <w:t>.</w:t>
      </w:r>
      <w:r w:rsidRPr="00611BBB">
        <w:t xml:space="preserve"> </w:t>
      </w:r>
      <w:bookmarkStart w:id="195" w:name="_Hlk195687151"/>
      <w:r w:rsidRPr="00974303">
        <w:t xml:space="preserve">Relative abundance of </w:t>
      </w:r>
      <w:r w:rsidRPr="009B3E2D">
        <w:rPr>
          <w:i/>
        </w:rPr>
        <w:t>Gillisia</w:t>
      </w:r>
      <w:r w:rsidRPr="00974303">
        <w:t xml:space="preserve"> sp. matching FRX26 in Wright and Taylor Valley </w:t>
      </w:r>
      <w:r>
        <w:t xml:space="preserve">16S rRNA gene </w:t>
      </w:r>
      <w:r w:rsidRPr="00974303">
        <w:t>amplicon libraries</w:t>
      </w:r>
      <w:r w:rsidRPr="00F13F6D">
        <w:rPr>
          <w:b w:val="0"/>
          <w:bCs w:val="0"/>
        </w:rPr>
        <w:t xml:space="preserve">. Sequences were assigned to the same species as </w:t>
      </w:r>
      <w:r w:rsidRPr="00F13F6D">
        <w:rPr>
          <w:b w:val="0"/>
          <w:bCs w:val="0"/>
          <w:i/>
        </w:rPr>
        <w:t xml:space="preserve">Gillisia </w:t>
      </w:r>
      <w:r w:rsidRPr="00F13F6D">
        <w:rPr>
          <w:b w:val="0"/>
          <w:bCs w:val="0"/>
        </w:rPr>
        <w:t xml:space="preserve">sp. FRX26 based on 97% similarity between amplicon sequence and the FRX26 16S rRNA gene. </w:t>
      </w:r>
      <w:r w:rsidR="00553962">
        <w:rPr>
          <w:b w:val="0"/>
          <w:bCs w:val="0"/>
        </w:rPr>
        <w:t>Each circle represents an individual amplicon library (</w:t>
      </w:r>
      <w:r w:rsidRPr="00F13F6D">
        <w:t xml:space="preserve">Table </w:t>
      </w:r>
      <w:r w:rsidR="00FA0ACD">
        <w:t>3.7</w:t>
      </w:r>
      <w:r w:rsidR="00553962" w:rsidRPr="00173169">
        <w:rPr>
          <w:b w:val="0"/>
          <w:bCs w:val="0"/>
        </w:rPr>
        <w:t>)</w:t>
      </w:r>
      <w:r w:rsidR="00553962">
        <w:rPr>
          <w:b w:val="0"/>
          <w:bCs w:val="0"/>
        </w:rPr>
        <w:t xml:space="preserve"> and is colored based on the relative abundance of similar sequences within that library</w:t>
      </w:r>
      <w:r w:rsidRPr="00173169">
        <w:rPr>
          <w:b w:val="0"/>
          <w:bCs w:val="0"/>
        </w:rPr>
        <w:t>.</w:t>
      </w:r>
      <w:bookmarkEnd w:id="194"/>
      <w:bookmarkEnd w:id="195"/>
      <w:r w:rsidRPr="00F13F6D">
        <w:rPr>
          <w:b w:val="0"/>
          <w:bCs w:val="0"/>
          <w:noProof/>
        </w:rPr>
        <w:br w:type="page"/>
      </w:r>
    </w:p>
    <w:p w14:paraId="7C429EA6" w14:textId="77777777" w:rsidR="00A46B68" w:rsidRDefault="00A46B68" w:rsidP="00AB0D75">
      <w:pPr>
        <w:keepNext/>
        <w:ind w:firstLine="0"/>
      </w:pPr>
      <w:r>
        <w:rPr>
          <w:noProof/>
        </w:rPr>
        <w:lastRenderedPageBreak/>
        <w:drawing>
          <wp:inline distT="0" distB="0" distL="0" distR="0" wp14:anchorId="328601D2" wp14:editId="6AE8E6F6">
            <wp:extent cx="5424872" cy="3270795"/>
            <wp:effectExtent l="0" t="0" r="4445" b="0"/>
            <wp:docPr id="15488796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879612" name="Picture 8"/>
                    <pic:cNvPicPr>
                      <a:picLocks noChangeAspect="1" noChangeArrowheads="1"/>
                    </pic:cNvPicPr>
                  </pic:nvPicPr>
                  <pic:blipFill>
                    <a:blip r:embed="rId392" cstate="print">
                      <a:extLst>
                        <a:ext uri="{28A0092B-C50C-407E-A947-70E740481C1C}">
                          <a14:useLocalDpi xmlns:a14="http://schemas.microsoft.com/office/drawing/2010/main" val="0"/>
                        </a:ext>
                      </a:extLst>
                    </a:blip>
                    <a:srcRect l="4937" r="4937"/>
                    <a:stretch>
                      <a:fillRect/>
                    </a:stretch>
                  </pic:blipFill>
                  <pic:spPr bwMode="auto">
                    <a:xfrm>
                      <a:off x="0" y="0"/>
                      <a:ext cx="5424872" cy="3270795"/>
                    </a:xfrm>
                    <a:prstGeom prst="rect">
                      <a:avLst/>
                    </a:prstGeom>
                    <a:noFill/>
                    <a:ln>
                      <a:noFill/>
                    </a:ln>
                    <a:extLst>
                      <a:ext uri="{53640926-AAD7-44D8-BBD7-CCE9431645EC}">
                        <a14:shadowObscured xmlns:a14="http://schemas.microsoft.com/office/drawing/2010/main"/>
                      </a:ext>
                    </a:extLst>
                  </pic:spPr>
                </pic:pic>
              </a:graphicData>
            </a:graphic>
          </wp:inline>
        </w:drawing>
      </w:r>
    </w:p>
    <w:p w14:paraId="22CD387F" w14:textId="27DA6B7C" w:rsidR="00A46B68" w:rsidRDefault="00A46B68" w:rsidP="00F13F6D">
      <w:pPr>
        <w:pStyle w:val="Caption"/>
      </w:pPr>
      <w:bookmarkStart w:id="196" w:name="_Toc193695173"/>
      <w:r>
        <w:t xml:space="preserve">Figure </w:t>
      </w:r>
      <w:fldSimple w:instr=" STYLEREF 1 \s ">
        <w:r w:rsidR="00971287">
          <w:rPr>
            <w:noProof/>
          </w:rPr>
          <w:t>3</w:t>
        </w:r>
      </w:fldSimple>
      <w:r w:rsidR="00F13F6D">
        <w:t>.</w:t>
      </w:r>
      <w:fldSimple w:instr=" SEQ Figure \* ARABIC \s 1 ">
        <w:r w:rsidR="00971287">
          <w:rPr>
            <w:noProof/>
          </w:rPr>
          <w:t>7</w:t>
        </w:r>
      </w:fldSimple>
      <w:r>
        <w:t xml:space="preserve"> Functional categories of annotated genes in the</w:t>
      </w:r>
      <w:r>
        <w:rPr>
          <w:i/>
        </w:rPr>
        <w:t xml:space="preserve"> Gillisia </w:t>
      </w:r>
      <w:r>
        <w:t>sp. FRX26 genome associated with either KEGG (left) or COG (right) databases.</w:t>
      </w:r>
      <w:bookmarkEnd w:id="196"/>
    </w:p>
    <w:p w14:paraId="35FD3315" w14:textId="77777777" w:rsidR="00A46B68" w:rsidRDefault="00A46B68" w:rsidP="00AB0D75">
      <w:pPr>
        <w:ind w:firstLine="0"/>
      </w:pPr>
      <w:r>
        <w:br w:type="page"/>
      </w:r>
    </w:p>
    <w:p w14:paraId="4D9D8964" w14:textId="77777777" w:rsidR="00A46B68" w:rsidRDefault="00A46B68" w:rsidP="00A46B68">
      <w:pPr>
        <w:keepNext/>
        <w:jc w:val="center"/>
      </w:pPr>
      <w:r w:rsidRPr="00F16A7F">
        <w:rPr>
          <w:noProof/>
        </w:rPr>
        <w:lastRenderedPageBreak/>
        <w:drawing>
          <wp:inline distT="0" distB="0" distL="0" distR="0" wp14:anchorId="660C4503" wp14:editId="7E572A22">
            <wp:extent cx="3972199" cy="6982381"/>
            <wp:effectExtent l="0" t="0" r="0" b="9525"/>
            <wp:docPr id="8" name="Picture 7">
              <a:extLst xmlns:a="http://schemas.openxmlformats.org/drawingml/2006/main">
                <a:ext uri="{FF2B5EF4-FFF2-40B4-BE49-F238E27FC236}">
                  <a16:creationId xmlns:a16="http://schemas.microsoft.com/office/drawing/2014/main" id="{BEA4ECC6-3090-FEC5-7B0F-BCA87DA0A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BEA4ECC6-3090-FEC5-7B0F-BCA87DA0ADAE}"/>
                        </a:ext>
                      </a:extLst>
                    </pic:cNvPr>
                    <pic:cNvPicPr>
                      <a:picLocks noChangeAspect="1"/>
                    </pic:cNvPicPr>
                  </pic:nvPicPr>
                  <pic:blipFill>
                    <a:blip r:embed="rId393">
                      <a:extLst>
                        <a:ext uri="{28A0092B-C50C-407E-A947-70E740481C1C}">
                          <a14:useLocalDpi xmlns:a14="http://schemas.microsoft.com/office/drawing/2010/main" val="0"/>
                        </a:ext>
                      </a:extLst>
                    </a:blip>
                    <a:stretch>
                      <a:fillRect/>
                    </a:stretch>
                  </pic:blipFill>
                  <pic:spPr>
                    <a:xfrm>
                      <a:off x="0" y="0"/>
                      <a:ext cx="3976162" cy="6989348"/>
                    </a:xfrm>
                    <a:prstGeom prst="rect">
                      <a:avLst/>
                    </a:prstGeom>
                  </pic:spPr>
                </pic:pic>
              </a:graphicData>
            </a:graphic>
          </wp:inline>
        </w:drawing>
      </w:r>
    </w:p>
    <w:p w14:paraId="2FAC9639" w14:textId="04C3C832" w:rsidR="00A46B68" w:rsidRPr="00DD3B0B" w:rsidRDefault="00A46B68" w:rsidP="00F13F6D">
      <w:pPr>
        <w:pStyle w:val="Caption"/>
      </w:pPr>
      <w:bookmarkStart w:id="197" w:name="_Toc193695174"/>
      <w:r>
        <w:t xml:space="preserve">Figure </w:t>
      </w:r>
      <w:fldSimple w:instr=" STYLEREF 1 \s ">
        <w:r w:rsidR="00971287">
          <w:rPr>
            <w:noProof/>
          </w:rPr>
          <w:t>3</w:t>
        </w:r>
      </w:fldSimple>
      <w:r w:rsidR="00F13F6D">
        <w:t>.</w:t>
      </w:r>
      <w:fldSimple w:instr=" SEQ Figure \* ARABIC \s 1 ">
        <w:r w:rsidR="00971287">
          <w:rPr>
            <w:noProof/>
          </w:rPr>
          <w:t>8</w:t>
        </w:r>
      </w:fldSimple>
      <w:r>
        <w:t xml:space="preserve">. </w:t>
      </w:r>
      <w:bookmarkStart w:id="198" w:name="_Hlk195687137"/>
      <w:r>
        <w:t xml:space="preserve">Presence of annotated genes related to salt response in </w:t>
      </w:r>
      <w:r>
        <w:rPr>
          <w:i/>
        </w:rPr>
        <w:t xml:space="preserve">Gillisia </w:t>
      </w:r>
      <w:r>
        <w:t xml:space="preserve">genomes. </w:t>
      </w:r>
      <w:r w:rsidR="00553962">
        <w:rPr>
          <w:b w:val="0"/>
          <w:bCs w:val="0"/>
        </w:rPr>
        <w:t>Gene names, KEGG Orthology (KO) numbers, and putative description were determined via GhostKOALA annotation.</w:t>
      </w:r>
      <w:r w:rsidRPr="00F13F6D">
        <w:rPr>
          <w:b w:val="0"/>
          <w:bCs w:val="0"/>
        </w:rPr>
        <w:t xml:space="preserve"> Green boxes represent genes with at least one copy.</w:t>
      </w:r>
      <w:bookmarkEnd w:id="197"/>
      <w:bookmarkEnd w:id="198"/>
    </w:p>
    <w:p w14:paraId="0B0BDAD5" w14:textId="77777777" w:rsidR="00A46B68" w:rsidRDefault="00A46B68" w:rsidP="00A46B68">
      <w:pPr>
        <w:keepNext/>
        <w:jc w:val="center"/>
      </w:pPr>
    </w:p>
    <w:p w14:paraId="4C15C373" w14:textId="77777777" w:rsidR="00A46B68" w:rsidRDefault="00A46B68" w:rsidP="00AB0D75">
      <w:pPr>
        <w:ind w:firstLine="0"/>
        <w:jc w:val="center"/>
      </w:pPr>
    </w:p>
    <w:p w14:paraId="79F7EFFC" w14:textId="77777777" w:rsidR="00A46B68" w:rsidRDefault="00A46B68" w:rsidP="00AB0D75">
      <w:pPr>
        <w:keepNext/>
        <w:ind w:firstLine="0"/>
      </w:pPr>
      <w:r>
        <w:rPr>
          <w:noProof/>
        </w:rPr>
        <w:drawing>
          <wp:inline distT="0" distB="0" distL="0" distR="0" wp14:anchorId="171EA8BE" wp14:editId="07E803DD">
            <wp:extent cx="5459222" cy="2752618"/>
            <wp:effectExtent l="0" t="0" r="8255" b="0"/>
            <wp:docPr id="781269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69006" name="Picture 1"/>
                    <pic:cNvPicPr>
                      <a:picLocks noChangeAspect="1" noChangeArrowheads="1"/>
                    </pic:cNvPicPr>
                  </pic:nvPicPr>
                  <pic:blipFill rotWithShape="1">
                    <a:blip r:embed="rId394" cstate="print">
                      <a:extLst>
                        <a:ext uri="{28A0092B-C50C-407E-A947-70E740481C1C}">
                          <a14:useLocalDpi xmlns:a14="http://schemas.microsoft.com/office/drawing/2010/main" val="0"/>
                        </a:ext>
                      </a:extLst>
                    </a:blip>
                    <a:srcRect l="5698"/>
                    <a:stretch/>
                  </pic:blipFill>
                  <pic:spPr bwMode="auto">
                    <a:xfrm>
                      <a:off x="0" y="0"/>
                      <a:ext cx="5461388" cy="2753710"/>
                    </a:xfrm>
                    <a:prstGeom prst="rect">
                      <a:avLst/>
                    </a:prstGeom>
                    <a:noFill/>
                    <a:ln>
                      <a:noFill/>
                    </a:ln>
                    <a:extLst>
                      <a:ext uri="{53640926-AAD7-44D8-BBD7-CCE9431645EC}">
                        <a14:shadowObscured xmlns:a14="http://schemas.microsoft.com/office/drawing/2010/main"/>
                      </a:ext>
                    </a:extLst>
                  </pic:spPr>
                </pic:pic>
              </a:graphicData>
            </a:graphic>
          </wp:inline>
        </w:drawing>
      </w:r>
    </w:p>
    <w:p w14:paraId="37BE9540" w14:textId="0C2BBAC1" w:rsidR="00A46B68" w:rsidRPr="00F13F6D" w:rsidRDefault="00A46B68" w:rsidP="00F13F6D">
      <w:pPr>
        <w:pStyle w:val="Caption"/>
        <w:rPr>
          <w:b w:val="0"/>
          <w:bCs w:val="0"/>
          <w:highlight w:val="yellow"/>
        </w:rPr>
      </w:pPr>
      <w:bookmarkStart w:id="199" w:name="_Toc193695175"/>
      <w:r>
        <w:t xml:space="preserve">Figure </w:t>
      </w:r>
      <w:fldSimple w:instr=" STYLEREF 1 \s ">
        <w:r w:rsidR="00971287">
          <w:rPr>
            <w:noProof/>
          </w:rPr>
          <w:t>3</w:t>
        </w:r>
      </w:fldSimple>
      <w:r w:rsidR="00F13F6D">
        <w:t>.</w:t>
      </w:r>
      <w:fldSimple w:instr=" SEQ Figure \* ARABIC \s 1 ">
        <w:r w:rsidR="00971287">
          <w:rPr>
            <w:noProof/>
          </w:rPr>
          <w:t>9</w:t>
        </w:r>
      </w:fldSimple>
      <w:r>
        <w:t>.</w:t>
      </w:r>
      <w:r w:rsidRPr="00BA2906">
        <w:t xml:space="preserve"> </w:t>
      </w:r>
      <w:r>
        <w:t xml:space="preserve">Comparison of type III PKS gene cluster between </w:t>
      </w:r>
      <w:r w:rsidR="00D36762">
        <w:t xml:space="preserve">FRX26 and other </w:t>
      </w:r>
      <w:r>
        <w:rPr>
          <w:i/>
        </w:rPr>
        <w:t xml:space="preserve">Gillisia </w:t>
      </w:r>
      <w:r w:rsidR="00D36762">
        <w:rPr>
          <w:iCs w:val="0"/>
        </w:rPr>
        <w:t>spp.</w:t>
      </w:r>
      <w:r>
        <w:t xml:space="preserve"> </w:t>
      </w:r>
      <w:r w:rsidRPr="00F13F6D">
        <w:rPr>
          <w:b w:val="0"/>
          <w:bCs w:val="0"/>
        </w:rPr>
        <w:t xml:space="preserve">Genes associated with biosynthesis of the unknown PKS product appear highly conserved between all sequenced members of the genus, as well to </w:t>
      </w:r>
      <w:r w:rsidR="00D36762">
        <w:rPr>
          <w:b w:val="0"/>
          <w:bCs w:val="0"/>
        </w:rPr>
        <w:t xml:space="preserve">another </w:t>
      </w:r>
      <w:r w:rsidRPr="00F13F6D">
        <w:rPr>
          <w:b w:val="0"/>
          <w:bCs w:val="0"/>
        </w:rPr>
        <w:t>closely-related</w:t>
      </w:r>
      <w:r w:rsidR="00D36762">
        <w:rPr>
          <w:b w:val="0"/>
          <w:bCs w:val="0"/>
        </w:rPr>
        <w:t xml:space="preserve"> genus (</w:t>
      </w:r>
      <w:r w:rsidR="00D36762">
        <w:rPr>
          <w:b w:val="0"/>
          <w:bCs w:val="0"/>
          <w:i/>
          <w:iCs w:val="0"/>
        </w:rPr>
        <w:t>Antarcticibacterium</w:t>
      </w:r>
      <w:r w:rsidR="00D36762">
        <w:rPr>
          <w:b w:val="0"/>
          <w:bCs w:val="0"/>
        </w:rPr>
        <w:t>)</w:t>
      </w:r>
      <w:r w:rsidRPr="00F13F6D">
        <w:rPr>
          <w:b w:val="0"/>
          <w:bCs w:val="0"/>
        </w:rPr>
        <w:t>.</w:t>
      </w:r>
      <w:bookmarkEnd w:id="199"/>
    </w:p>
    <w:p w14:paraId="25709816" w14:textId="77777777" w:rsidR="00A46B68" w:rsidRDefault="00A46B68" w:rsidP="00F13F6D">
      <w:pPr>
        <w:pStyle w:val="Caption"/>
      </w:pPr>
    </w:p>
    <w:p w14:paraId="6B8743AE" w14:textId="77777777" w:rsidR="00A46B68" w:rsidRDefault="00A46B68" w:rsidP="00F13F6D">
      <w:pPr>
        <w:pStyle w:val="Caption"/>
        <w:rPr>
          <w:highlight w:val="yellow"/>
        </w:rPr>
      </w:pPr>
    </w:p>
    <w:p w14:paraId="3F3C5330" w14:textId="77777777" w:rsidR="00A46B68" w:rsidRDefault="00A46B68" w:rsidP="00AB0D75">
      <w:pPr>
        <w:ind w:firstLine="0"/>
        <w:rPr>
          <w:bCs/>
          <w:iCs/>
          <w:color w:val="000000" w:themeColor="text1"/>
          <w:szCs w:val="18"/>
          <w:highlight w:val="yellow"/>
        </w:rPr>
      </w:pPr>
      <w:r>
        <w:rPr>
          <w:b/>
          <w:bCs/>
          <w:highlight w:val="yellow"/>
        </w:rPr>
        <w:br w:type="page"/>
      </w:r>
    </w:p>
    <w:p w14:paraId="08501E59" w14:textId="77777777" w:rsidR="00A46B68" w:rsidRPr="003A2662" w:rsidRDefault="00A46B68" w:rsidP="00F13F6D">
      <w:pPr>
        <w:pStyle w:val="Caption"/>
      </w:pPr>
    </w:p>
    <w:p w14:paraId="04A901DF" w14:textId="04A83D5B" w:rsidR="00A46B68" w:rsidRDefault="00553962" w:rsidP="00AB0D75">
      <w:pPr>
        <w:keepNext/>
        <w:ind w:firstLine="0"/>
      </w:pPr>
      <w:r>
        <w:rPr>
          <w:noProof/>
        </w:rPr>
        <w:drawing>
          <wp:inline distT="0" distB="0" distL="0" distR="0" wp14:anchorId="727AE125" wp14:editId="782D9632">
            <wp:extent cx="5431536" cy="2759710"/>
            <wp:effectExtent l="0" t="0" r="0" b="2540"/>
            <wp:docPr id="140917579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175797" name="Picture 26"/>
                    <pic:cNvPicPr>
                      <a:picLocks noChangeAspect="1" noChangeArrowheads="1"/>
                    </pic:cNvPicPr>
                  </pic:nvPicPr>
                  <pic:blipFill rotWithShape="1">
                    <a:blip r:embed="rId395" cstate="print">
                      <a:extLst>
                        <a:ext uri="{28A0092B-C50C-407E-A947-70E740481C1C}">
                          <a14:useLocalDpi xmlns:a14="http://schemas.microsoft.com/office/drawing/2010/main" val="0"/>
                        </a:ext>
                      </a:extLst>
                    </a:blip>
                    <a:srcRect r="1078"/>
                    <a:stretch/>
                  </pic:blipFill>
                  <pic:spPr bwMode="auto">
                    <a:xfrm>
                      <a:off x="0" y="0"/>
                      <a:ext cx="5432676" cy="2760289"/>
                    </a:xfrm>
                    <a:prstGeom prst="rect">
                      <a:avLst/>
                    </a:prstGeom>
                    <a:noFill/>
                    <a:ln>
                      <a:noFill/>
                    </a:ln>
                    <a:extLst>
                      <a:ext uri="{53640926-AAD7-44D8-BBD7-CCE9431645EC}">
                        <a14:shadowObscured xmlns:a14="http://schemas.microsoft.com/office/drawing/2010/main"/>
                      </a:ext>
                    </a:extLst>
                  </pic:spPr>
                </pic:pic>
              </a:graphicData>
            </a:graphic>
          </wp:inline>
        </w:drawing>
      </w:r>
    </w:p>
    <w:p w14:paraId="62B96AB4" w14:textId="5D3D7286" w:rsidR="00A46B68" w:rsidRPr="00F13F6D" w:rsidRDefault="00A46B68" w:rsidP="00F13F6D">
      <w:pPr>
        <w:pStyle w:val="Caption"/>
        <w:rPr>
          <w:b w:val="0"/>
          <w:bCs w:val="0"/>
        </w:rPr>
      </w:pPr>
      <w:bookmarkStart w:id="200" w:name="_Toc193695176"/>
      <w:r>
        <w:t xml:space="preserve">Figure </w:t>
      </w:r>
      <w:fldSimple w:instr=" STYLEREF 1 \s ">
        <w:r w:rsidR="00971287">
          <w:rPr>
            <w:noProof/>
          </w:rPr>
          <w:t>3</w:t>
        </w:r>
      </w:fldSimple>
      <w:r w:rsidR="00F13F6D">
        <w:t>.</w:t>
      </w:r>
      <w:fldSimple w:instr=" SEQ Figure \* ARABIC \s 1 ">
        <w:r w:rsidR="00971287">
          <w:rPr>
            <w:noProof/>
          </w:rPr>
          <w:t>10</w:t>
        </w:r>
      </w:fldSimple>
      <w:r>
        <w:t xml:space="preserve">. Growth of </w:t>
      </w:r>
      <w:r>
        <w:rPr>
          <w:i/>
        </w:rPr>
        <w:t xml:space="preserve">Gillisia </w:t>
      </w:r>
      <w:r>
        <w:t>sp. FRX26 in either 0.2 M or 0.5 M NaCl. (</w:t>
      </w:r>
      <w:r w:rsidRPr="00F13F6D">
        <w:rPr>
          <w:b w:val="0"/>
          <w:bCs w:val="0"/>
          <w:iCs w:val="0"/>
        </w:rPr>
        <w:t>a</w:t>
      </w:r>
      <w:r w:rsidRPr="00F13F6D">
        <w:rPr>
          <w:b w:val="0"/>
          <w:bCs w:val="0"/>
        </w:rPr>
        <w:t>) Optical density measurements taken via spectrophotometer. (</w:t>
      </w:r>
      <w:r w:rsidRPr="00F13F6D">
        <w:rPr>
          <w:b w:val="0"/>
          <w:bCs w:val="0"/>
          <w:iCs w:val="0"/>
        </w:rPr>
        <w:t>b</w:t>
      </w:r>
      <w:r w:rsidRPr="00F13F6D">
        <w:rPr>
          <w:b w:val="0"/>
          <w:bCs w:val="0"/>
        </w:rPr>
        <w:t>) Number of colony forming units present following one and two weeks of incubation. Plate counts were performed on the hybrid medium at 0.2 M NaCl.</w:t>
      </w:r>
      <w:bookmarkEnd w:id="200"/>
    </w:p>
    <w:p w14:paraId="7E3F590C" w14:textId="77777777" w:rsidR="00A46B68" w:rsidRDefault="00A46B68" w:rsidP="00AB0D75">
      <w:pPr>
        <w:keepNext/>
        <w:ind w:firstLine="0"/>
        <w:jc w:val="center"/>
      </w:pPr>
      <w:r>
        <w:rPr>
          <w:noProof/>
        </w:rPr>
        <w:br w:type="page"/>
      </w:r>
      <w:r>
        <w:rPr>
          <w:noProof/>
        </w:rPr>
        <w:lastRenderedPageBreak/>
        <w:drawing>
          <wp:inline distT="0" distB="0" distL="0" distR="0" wp14:anchorId="430A0FDA" wp14:editId="79096326">
            <wp:extent cx="5379484" cy="5379484"/>
            <wp:effectExtent l="0" t="0" r="0" b="0"/>
            <wp:docPr id="18423319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331901" name="Picture 14"/>
                    <pic:cNvPicPr>
                      <a:picLocks noChangeAspect="1" noChangeArrowheads="1"/>
                    </pic:cNvPicPr>
                  </pic:nvPicPr>
                  <pic:blipFill>
                    <a:blip r:embed="rId396" cstate="print">
                      <a:extLst>
                        <a:ext uri="{28A0092B-C50C-407E-A947-70E740481C1C}">
                          <a14:useLocalDpi xmlns:a14="http://schemas.microsoft.com/office/drawing/2010/main" val="0"/>
                        </a:ext>
                      </a:extLst>
                    </a:blip>
                    <a:stretch>
                      <a:fillRect/>
                    </a:stretch>
                  </pic:blipFill>
                  <pic:spPr bwMode="auto">
                    <a:xfrm>
                      <a:off x="0" y="0"/>
                      <a:ext cx="5379484" cy="5379484"/>
                    </a:xfrm>
                    <a:prstGeom prst="rect">
                      <a:avLst/>
                    </a:prstGeom>
                    <a:noFill/>
                  </pic:spPr>
                </pic:pic>
              </a:graphicData>
            </a:graphic>
          </wp:inline>
        </w:drawing>
      </w:r>
    </w:p>
    <w:p w14:paraId="5F482382" w14:textId="3741705A" w:rsidR="00A46B68" w:rsidRPr="00173169" w:rsidRDefault="00A46B68" w:rsidP="00F13F6D">
      <w:pPr>
        <w:pStyle w:val="Caption"/>
        <w:rPr>
          <w:b w:val="0"/>
          <w:bCs w:val="0"/>
        </w:rPr>
      </w:pPr>
      <w:bookmarkStart w:id="201" w:name="_Toc193695177"/>
      <w:r>
        <w:t xml:space="preserve">Figure </w:t>
      </w:r>
      <w:fldSimple w:instr=" STYLEREF 1 \s ">
        <w:r w:rsidR="00971287">
          <w:rPr>
            <w:noProof/>
          </w:rPr>
          <w:t>3</w:t>
        </w:r>
      </w:fldSimple>
      <w:r w:rsidR="00F13F6D">
        <w:t>.</w:t>
      </w:r>
      <w:fldSimple w:instr=" SEQ Figure \* ARABIC \s 1 ">
        <w:r w:rsidR="00971287">
          <w:rPr>
            <w:noProof/>
          </w:rPr>
          <w:t>11</w:t>
        </w:r>
      </w:fldSimple>
      <w:r>
        <w:t xml:space="preserve">. </w:t>
      </w:r>
      <w:bookmarkStart w:id="202" w:name="_Hlk195687096"/>
      <w:r>
        <w:t>Heatmap of</w:t>
      </w:r>
      <w:r w:rsidR="00553962">
        <w:t xml:space="preserve"> metabolite</w:t>
      </w:r>
      <w:r>
        <w:t xml:space="preserve"> features passing all filters in FRX26 cultures. </w:t>
      </w:r>
      <w:r w:rsidRPr="00F13F6D">
        <w:rPr>
          <w:b w:val="0"/>
          <w:bCs w:val="0"/>
        </w:rPr>
        <w:t xml:space="preserve">Columns correspond to biological and instrument injection replicates sorted by hierarchical clustering analysis based on similarity of normalized metabolite profile. Rows represent </w:t>
      </w:r>
      <w:r w:rsidR="00553962">
        <w:rPr>
          <w:b w:val="0"/>
          <w:bCs w:val="0"/>
        </w:rPr>
        <w:t xml:space="preserve">individual </w:t>
      </w:r>
      <w:r w:rsidRPr="00F13F6D">
        <w:rPr>
          <w:b w:val="0"/>
          <w:bCs w:val="0"/>
        </w:rPr>
        <w:t xml:space="preserve">metabolite features </w:t>
      </w:r>
      <w:r w:rsidR="00553962">
        <w:rPr>
          <w:b w:val="0"/>
          <w:bCs w:val="0"/>
        </w:rPr>
        <w:t xml:space="preserve">passing all filters, </w:t>
      </w:r>
      <w:r w:rsidRPr="00F13F6D">
        <w:rPr>
          <w:b w:val="0"/>
          <w:bCs w:val="0"/>
        </w:rPr>
        <w:t>sorted by similarity of normalized abundance profile</w:t>
      </w:r>
      <w:r>
        <w:t>.</w:t>
      </w:r>
      <w:bookmarkEnd w:id="201"/>
      <w:r w:rsidR="0053677E">
        <w:t xml:space="preserve"> </w:t>
      </w:r>
      <w:r w:rsidR="0053677E">
        <w:rPr>
          <w:b w:val="0"/>
          <w:bCs w:val="0"/>
        </w:rPr>
        <w:t>Each cell is colored by normalized abundance of a given metabolite signature in a given injection replicate.</w:t>
      </w:r>
      <w:bookmarkEnd w:id="202"/>
    </w:p>
    <w:p w14:paraId="6D871FB2" w14:textId="77777777" w:rsidR="00A46B68" w:rsidRDefault="00A46B68" w:rsidP="00AB0D75">
      <w:pPr>
        <w:ind w:firstLine="0"/>
        <w:rPr>
          <w:noProof/>
        </w:rPr>
      </w:pPr>
    </w:p>
    <w:p w14:paraId="159F0720" w14:textId="77777777" w:rsidR="00B42F87" w:rsidRDefault="00B42F87">
      <w:pPr>
        <w:spacing w:line="240" w:lineRule="auto"/>
        <w:ind w:firstLine="0"/>
      </w:pPr>
      <w:r>
        <w:br w:type="page"/>
      </w:r>
    </w:p>
    <w:p w14:paraId="73D7D7F6" w14:textId="45468B39" w:rsidR="00A46B68" w:rsidRDefault="00B42F87" w:rsidP="00AB0D75">
      <w:pPr>
        <w:keepNext/>
        <w:ind w:firstLine="0"/>
        <w:jc w:val="center"/>
      </w:pPr>
      <w:r>
        <w:rPr>
          <w:noProof/>
        </w:rPr>
        <w:lastRenderedPageBreak/>
        <w:drawing>
          <wp:inline distT="0" distB="0" distL="0" distR="0" wp14:anchorId="3509C9DD" wp14:editId="1345D502">
            <wp:extent cx="5371088" cy="4806973"/>
            <wp:effectExtent l="0" t="0" r="1270" b="0"/>
            <wp:docPr id="179883538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835381" name="Picture 27"/>
                    <pic:cNvPicPr>
                      <a:picLocks noChangeAspect="1" noChangeArrowheads="1"/>
                    </pic:cNvPicPr>
                  </pic:nvPicPr>
                  <pic:blipFill>
                    <a:blip r:embed="rId397" cstate="print">
                      <a:extLst>
                        <a:ext uri="{28A0092B-C50C-407E-A947-70E740481C1C}">
                          <a14:useLocalDpi xmlns:a14="http://schemas.microsoft.com/office/drawing/2010/main" val="0"/>
                        </a:ext>
                      </a:extLst>
                    </a:blip>
                    <a:stretch>
                      <a:fillRect/>
                    </a:stretch>
                  </pic:blipFill>
                  <pic:spPr bwMode="auto">
                    <a:xfrm>
                      <a:off x="0" y="0"/>
                      <a:ext cx="5371088" cy="4806973"/>
                    </a:xfrm>
                    <a:prstGeom prst="rect">
                      <a:avLst/>
                    </a:prstGeom>
                    <a:noFill/>
                  </pic:spPr>
                </pic:pic>
              </a:graphicData>
            </a:graphic>
          </wp:inline>
        </w:drawing>
      </w:r>
    </w:p>
    <w:p w14:paraId="3A84F293" w14:textId="332B3CC0" w:rsidR="00F13F6D" w:rsidRPr="00173169" w:rsidRDefault="00A46B68" w:rsidP="00F13F6D">
      <w:pPr>
        <w:pStyle w:val="Caption"/>
        <w:rPr>
          <w:b w:val="0"/>
          <w:bCs w:val="0"/>
        </w:rPr>
      </w:pPr>
      <w:bookmarkStart w:id="203" w:name="_Toc193695178"/>
      <w:r>
        <w:t xml:space="preserve">Figure </w:t>
      </w:r>
      <w:fldSimple w:instr=" STYLEREF 1 \s ">
        <w:r w:rsidR="00971287">
          <w:rPr>
            <w:noProof/>
          </w:rPr>
          <w:t>3</w:t>
        </w:r>
      </w:fldSimple>
      <w:r w:rsidR="00F13F6D">
        <w:t>.</w:t>
      </w:r>
      <w:fldSimple w:instr=" SEQ Figure \* ARABIC \s 1 ">
        <w:r w:rsidR="00971287">
          <w:rPr>
            <w:noProof/>
          </w:rPr>
          <w:t>12</w:t>
        </w:r>
      </w:fldSimple>
      <w:r>
        <w:t>.</w:t>
      </w:r>
      <w:bookmarkStart w:id="204" w:name="_Hlk195687715"/>
      <w:r>
        <w:t xml:space="preserve"> </w:t>
      </w:r>
      <w:r w:rsidRPr="00530E43">
        <w:t xml:space="preserve">NMDS plot of </w:t>
      </w:r>
      <w:r w:rsidRPr="00F13F6D">
        <w:rPr>
          <w:i/>
          <w:iCs w:val="0"/>
        </w:rPr>
        <w:t>Gillisia</w:t>
      </w:r>
      <w:r w:rsidRPr="00530E43">
        <w:t xml:space="preserve"> sp. FRX26 metabolite profiles grown under 0.2 M or 0.5 M NaCl.</w:t>
      </w:r>
      <w:bookmarkEnd w:id="203"/>
      <w:r w:rsidR="00B42F87">
        <w:t xml:space="preserve"> </w:t>
      </w:r>
      <w:r w:rsidR="00B42F87" w:rsidRPr="00173169">
        <w:rPr>
          <w:b w:val="0"/>
          <w:bCs w:val="0"/>
        </w:rPr>
        <w:t>Each</w:t>
      </w:r>
      <w:r w:rsidR="00B42F87">
        <w:t xml:space="preserve"> </w:t>
      </w:r>
      <w:r w:rsidR="00B42F87">
        <w:rPr>
          <w:b w:val="0"/>
          <w:bCs w:val="0"/>
        </w:rPr>
        <w:t>point corresponds to a single biological replicate, grouped by treatment. Overlap of 95% confidence intervals indicates that metabolite profiles for salt treatments are not significantly different from each other.</w:t>
      </w:r>
    </w:p>
    <w:p w14:paraId="7E07BC12" w14:textId="77777777" w:rsidR="00F13F6D" w:rsidRDefault="00F13F6D">
      <w:pPr>
        <w:spacing w:line="240" w:lineRule="auto"/>
        <w:ind w:firstLine="0"/>
        <w:rPr>
          <w:b/>
          <w:bCs/>
          <w:iCs/>
          <w:color w:val="000000" w:themeColor="text1"/>
          <w:szCs w:val="22"/>
        </w:rPr>
      </w:pPr>
      <w:r>
        <w:br w:type="page"/>
      </w:r>
    </w:p>
    <w:bookmarkEnd w:id="204"/>
    <w:p w14:paraId="3A6FBBA8" w14:textId="77777777" w:rsidR="00A46B68" w:rsidRDefault="00A46B68" w:rsidP="00F13F6D">
      <w:pPr>
        <w:pStyle w:val="Caption"/>
      </w:pPr>
    </w:p>
    <w:p w14:paraId="195AD522" w14:textId="77777777" w:rsidR="00A46B68" w:rsidRDefault="00A46B68" w:rsidP="00AB0D75">
      <w:pPr>
        <w:keepNext/>
        <w:ind w:firstLine="0"/>
        <w:jc w:val="center"/>
      </w:pPr>
      <w:r>
        <w:rPr>
          <w:noProof/>
        </w:rPr>
        <w:drawing>
          <wp:inline distT="0" distB="0" distL="0" distR="0" wp14:anchorId="759130E6" wp14:editId="2863AF39">
            <wp:extent cx="5374887" cy="4164771"/>
            <wp:effectExtent l="0" t="0" r="0" b="0"/>
            <wp:docPr id="95085839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858391" name="Picture 13"/>
                    <pic:cNvPicPr>
                      <a:picLocks noChangeAspect="1" noChangeArrowheads="1"/>
                    </pic:cNvPicPr>
                  </pic:nvPicPr>
                  <pic:blipFill rotWithShape="1">
                    <a:blip r:embed="rId398" cstate="print">
                      <a:extLst>
                        <a:ext uri="{28A0092B-C50C-407E-A947-70E740481C1C}">
                          <a14:useLocalDpi xmlns:a14="http://schemas.microsoft.com/office/drawing/2010/main" val="0"/>
                        </a:ext>
                      </a:extLst>
                    </a:blip>
                    <a:srcRect r="1930"/>
                    <a:stretch/>
                  </pic:blipFill>
                  <pic:spPr bwMode="auto">
                    <a:xfrm>
                      <a:off x="0" y="0"/>
                      <a:ext cx="5378803" cy="4167805"/>
                    </a:xfrm>
                    <a:prstGeom prst="rect">
                      <a:avLst/>
                    </a:prstGeom>
                    <a:noFill/>
                    <a:ln>
                      <a:noFill/>
                    </a:ln>
                    <a:extLst>
                      <a:ext uri="{53640926-AAD7-44D8-BBD7-CCE9431645EC}">
                        <a14:shadowObscured xmlns:a14="http://schemas.microsoft.com/office/drawing/2010/main"/>
                      </a:ext>
                    </a:extLst>
                  </pic:spPr>
                </pic:pic>
              </a:graphicData>
            </a:graphic>
          </wp:inline>
        </w:drawing>
      </w:r>
    </w:p>
    <w:p w14:paraId="4CAF4A20" w14:textId="4D765B62" w:rsidR="00A46B68" w:rsidRPr="00F13F6D" w:rsidRDefault="00A46B68" w:rsidP="00F13F6D">
      <w:pPr>
        <w:pStyle w:val="Caption"/>
        <w:rPr>
          <w:b w:val="0"/>
          <w:bCs w:val="0"/>
        </w:rPr>
      </w:pPr>
      <w:bookmarkStart w:id="205" w:name="_Toc193695179"/>
      <w:r>
        <w:t xml:space="preserve">Figure </w:t>
      </w:r>
      <w:fldSimple w:instr=" STYLEREF 1 \s ">
        <w:r w:rsidR="00971287">
          <w:rPr>
            <w:noProof/>
          </w:rPr>
          <w:t>3</w:t>
        </w:r>
      </w:fldSimple>
      <w:r w:rsidR="00F13F6D">
        <w:t>.</w:t>
      </w:r>
      <w:fldSimple w:instr=" SEQ Figure \* ARABIC \s 1 ">
        <w:r w:rsidR="00971287">
          <w:rPr>
            <w:noProof/>
          </w:rPr>
          <w:t>13</w:t>
        </w:r>
      </w:fldSimple>
      <w:r>
        <w:t>.</w:t>
      </w:r>
      <w:r w:rsidRPr="00BA2906">
        <w:t xml:space="preserve"> </w:t>
      </w:r>
      <w:bookmarkStart w:id="206" w:name="_Hlk195687768"/>
      <w:r>
        <w:t xml:space="preserve">Volcano plot of differentially abundant metabolite features between FRX26 salt treatments. </w:t>
      </w:r>
      <w:r w:rsidRPr="00F13F6D">
        <w:rPr>
          <w:b w:val="0"/>
          <w:bCs w:val="0"/>
        </w:rPr>
        <w:t xml:space="preserve">Blue points represent </w:t>
      </w:r>
      <w:r w:rsidR="00B42F87">
        <w:rPr>
          <w:b w:val="0"/>
          <w:bCs w:val="0"/>
        </w:rPr>
        <w:t>metabolites</w:t>
      </w:r>
      <w:r w:rsidR="00B42F87" w:rsidRPr="00F13F6D">
        <w:rPr>
          <w:b w:val="0"/>
          <w:bCs w:val="0"/>
        </w:rPr>
        <w:t xml:space="preserve"> </w:t>
      </w:r>
      <w:r w:rsidRPr="00F13F6D">
        <w:rPr>
          <w:b w:val="0"/>
          <w:bCs w:val="0"/>
        </w:rPr>
        <w:t xml:space="preserve">significantly more abundant in 0.2 M cultures, and orange points represent </w:t>
      </w:r>
      <w:r w:rsidR="00B42F87">
        <w:rPr>
          <w:b w:val="0"/>
          <w:bCs w:val="0"/>
        </w:rPr>
        <w:t>metabolites</w:t>
      </w:r>
      <w:r w:rsidR="00B42F87" w:rsidRPr="00F13F6D" w:rsidDel="00B42F87">
        <w:rPr>
          <w:b w:val="0"/>
          <w:bCs w:val="0"/>
        </w:rPr>
        <w:t xml:space="preserve"> </w:t>
      </w:r>
      <w:r w:rsidRPr="00F13F6D">
        <w:rPr>
          <w:b w:val="0"/>
          <w:bCs w:val="0"/>
        </w:rPr>
        <w:t>significantly more abundant in 0.5 M treatments</w:t>
      </w:r>
      <w:bookmarkEnd w:id="205"/>
      <w:r w:rsidR="0043666D">
        <w:rPr>
          <w:b w:val="0"/>
          <w:bCs w:val="0"/>
        </w:rPr>
        <w:t>.</w:t>
      </w:r>
      <w:bookmarkEnd w:id="206"/>
    </w:p>
    <w:p w14:paraId="7BBB801E" w14:textId="77777777" w:rsidR="00A46B68" w:rsidRDefault="00A46B68" w:rsidP="00AB0D75">
      <w:pPr>
        <w:ind w:firstLine="0"/>
        <w:rPr>
          <w:bCs/>
          <w:iCs/>
          <w:color w:val="000000" w:themeColor="text1"/>
          <w:szCs w:val="18"/>
        </w:rPr>
      </w:pPr>
      <w:r>
        <w:rPr>
          <w:b/>
          <w:bCs/>
        </w:rPr>
        <w:br w:type="page"/>
      </w:r>
    </w:p>
    <w:p w14:paraId="632EFE93" w14:textId="77777777" w:rsidR="00A46B68" w:rsidRDefault="00A46B68" w:rsidP="00AB0D75">
      <w:pPr>
        <w:keepNext/>
        <w:ind w:firstLine="0"/>
        <w:jc w:val="center"/>
      </w:pPr>
      <w:r>
        <w:rPr>
          <w:noProof/>
        </w:rPr>
        <w:lastRenderedPageBreak/>
        <w:drawing>
          <wp:inline distT="0" distB="0" distL="0" distR="0" wp14:anchorId="55335E39" wp14:editId="31C68832">
            <wp:extent cx="5450109" cy="3999941"/>
            <wp:effectExtent l="0" t="0" r="0" b="635"/>
            <wp:docPr id="9616350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635022" name="Picture 2"/>
                    <pic:cNvPicPr>
                      <a:picLocks noChangeAspect="1" noChangeArrowheads="1"/>
                    </pic:cNvPicPr>
                  </pic:nvPicPr>
                  <pic:blipFill>
                    <a:blip r:embed="rId399" cstate="print">
                      <a:extLst>
                        <a:ext uri="{28A0092B-C50C-407E-A947-70E740481C1C}">
                          <a14:useLocalDpi xmlns:a14="http://schemas.microsoft.com/office/drawing/2010/main" val="0"/>
                        </a:ext>
                      </a:extLst>
                    </a:blip>
                    <a:stretch>
                      <a:fillRect/>
                    </a:stretch>
                  </pic:blipFill>
                  <pic:spPr bwMode="auto">
                    <a:xfrm>
                      <a:off x="0" y="0"/>
                      <a:ext cx="5450109" cy="3999941"/>
                    </a:xfrm>
                    <a:prstGeom prst="rect">
                      <a:avLst/>
                    </a:prstGeom>
                    <a:noFill/>
                  </pic:spPr>
                </pic:pic>
              </a:graphicData>
            </a:graphic>
          </wp:inline>
        </w:drawing>
      </w:r>
    </w:p>
    <w:p w14:paraId="1CE93B06" w14:textId="4A37E60F" w:rsidR="00A46B68" w:rsidRPr="00E9347B" w:rsidRDefault="00A46B68" w:rsidP="00F13F6D">
      <w:pPr>
        <w:pStyle w:val="Caption"/>
      </w:pPr>
      <w:bookmarkStart w:id="207" w:name="_Toc193695180"/>
      <w:r>
        <w:t xml:space="preserve">Figure </w:t>
      </w:r>
      <w:fldSimple w:instr=" STYLEREF 1 \s ">
        <w:r w:rsidR="00971287">
          <w:rPr>
            <w:noProof/>
          </w:rPr>
          <w:t>3</w:t>
        </w:r>
      </w:fldSimple>
      <w:r w:rsidR="00F13F6D">
        <w:t>.</w:t>
      </w:r>
      <w:fldSimple w:instr=" SEQ Figure \* ARABIC \s 1 ">
        <w:r w:rsidR="00971287">
          <w:rPr>
            <w:noProof/>
          </w:rPr>
          <w:t>14</w:t>
        </w:r>
      </w:fldSimple>
      <w:r>
        <w:t xml:space="preserve">. </w:t>
      </w:r>
      <w:bookmarkStart w:id="208" w:name="_Hlk195687776"/>
      <w:r>
        <w:t xml:space="preserve">Example fragmentation patterns for </w:t>
      </w:r>
      <w:r w:rsidR="00B42F87">
        <w:t xml:space="preserve">metabolite </w:t>
      </w:r>
      <w:r>
        <w:t>features consistent with (a) peptidic or (b) lipid-based metabolites.</w:t>
      </w:r>
      <w:bookmarkEnd w:id="207"/>
    </w:p>
    <w:bookmarkEnd w:id="208"/>
    <w:p w14:paraId="3A8A250E" w14:textId="77777777" w:rsidR="00A46B68" w:rsidRDefault="00A46B68" w:rsidP="00A46B68">
      <w:pPr>
        <w:jc w:val="center"/>
        <w:rPr>
          <w:b/>
          <w:iCs/>
          <w:color w:val="000000" w:themeColor="text1"/>
          <w:szCs w:val="18"/>
        </w:rPr>
      </w:pPr>
      <w:r>
        <w:br w:type="page"/>
      </w:r>
    </w:p>
    <w:p w14:paraId="60BC55B0" w14:textId="77777777" w:rsidR="00A46B68" w:rsidRDefault="00A46B68" w:rsidP="00F13F6D">
      <w:pPr>
        <w:pStyle w:val="Caption"/>
      </w:pPr>
      <w:r w:rsidRPr="00611BBB">
        <w:rPr>
          <w:noProof/>
        </w:rPr>
        <w:lastRenderedPageBreak/>
        <w:drawing>
          <wp:inline distT="0" distB="0" distL="0" distR="0" wp14:anchorId="161A64C3" wp14:editId="7E5C30BC">
            <wp:extent cx="5341666" cy="5036656"/>
            <wp:effectExtent l="0" t="0" r="0" b="0"/>
            <wp:docPr id="3" name="Graphic 2">
              <a:extLst xmlns:a="http://schemas.openxmlformats.org/drawingml/2006/main">
                <a:ext uri="{FF2B5EF4-FFF2-40B4-BE49-F238E27FC236}">
                  <a16:creationId xmlns:a16="http://schemas.microsoft.com/office/drawing/2014/main" id="{EC91393E-41A1-7C38-4D9D-CB083011EB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EC91393E-41A1-7C38-4D9D-CB083011EB60}"/>
                        </a:ext>
                      </a:extLst>
                    </pic:cNvPr>
                    <pic:cNvPicPr>
                      <a:picLocks noChangeAspect="1"/>
                    </pic:cNvPicPr>
                  </pic:nvPicPr>
                  <pic:blipFill>
                    <a:blip r:embed="rId400" cstate="print">
                      <a:extLst>
                        <a:ext uri="{28A0092B-C50C-407E-A947-70E740481C1C}">
                          <a14:useLocalDpi xmlns:a14="http://schemas.microsoft.com/office/drawing/2010/main" val="0"/>
                        </a:ext>
                      </a:extLst>
                    </a:blip>
                    <a:stretch>
                      <a:fillRect/>
                    </a:stretch>
                  </pic:blipFill>
                  <pic:spPr>
                    <a:xfrm>
                      <a:off x="0" y="0"/>
                      <a:ext cx="5347372" cy="5042037"/>
                    </a:xfrm>
                    <a:prstGeom prst="rect">
                      <a:avLst/>
                    </a:prstGeom>
                  </pic:spPr>
                </pic:pic>
              </a:graphicData>
            </a:graphic>
          </wp:inline>
        </w:drawing>
      </w:r>
    </w:p>
    <w:p w14:paraId="34302558" w14:textId="7154598E" w:rsidR="00A46B68" w:rsidRPr="00F13F6D" w:rsidRDefault="00A46B68" w:rsidP="00F13F6D">
      <w:pPr>
        <w:pStyle w:val="Caption"/>
        <w:rPr>
          <w:b w:val="0"/>
          <w:bCs w:val="0"/>
        </w:rPr>
      </w:pPr>
      <w:bookmarkStart w:id="209" w:name="_Toc193695181"/>
      <w:r>
        <w:t xml:space="preserve">Figure </w:t>
      </w:r>
      <w:fldSimple w:instr=" STYLEREF 1 \s ">
        <w:r w:rsidR="00971287">
          <w:rPr>
            <w:noProof/>
          </w:rPr>
          <w:t>3</w:t>
        </w:r>
      </w:fldSimple>
      <w:r w:rsidR="00F13F6D">
        <w:t>.</w:t>
      </w:r>
      <w:fldSimple w:instr=" SEQ Figure \* ARABIC \s 1 ">
        <w:r w:rsidR="00971287">
          <w:rPr>
            <w:noProof/>
          </w:rPr>
          <w:t>15</w:t>
        </w:r>
      </w:fldSimple>
      <w:r>
        <w:t xml:space="preserve">. Volcano plot of differentially abundant </w:t>
      </w:r>
      <w:r>
        <w:rPr>
          <w:i/>
        </w:rPr>
        <w:t xml:space="preserve">Gillisia </w:t>
      </w:r>
      <w:r>
        <w:t xml:space="preserve">sp. FRX26 transcripts. </w:t>
      </w:r>
      <w:r w:rsidRPr="00F13F6D">
        <w:rPr>
          <w:b w:val="0"/>
          <w:bCs w:val="0"/>
        </w:rPr>
        <w:t>Orange points are significantly more abundant in 0.5 M treatments, and blue points are significantly less abundant in 0.5 M treatments.</w:t>
      </w:r>
      <w:bookmarkEnd w:id="209"/>
    </w:p>
    <w:p w14:paraId="649AE624" w14:textId="291833B2" w:rsidR="00E2534C" w:rsidRPr="00E2534C" w:rsidRDefault="00E2534C" w:rsidP="00E2534C">
      <w:pPr>
        <w:sectPr w:rsidR="00E2534C" w:rsidRPr="00E2534C" w:rsidSect="00A23FDC">
          <w:pgSz w:w="12240" w:h="15840" w:code="1"/>
          <w:pgMar w:top="1440" w:right="1800" w:bottom="1872" w:left="1800" w:header="720" w:footer="1440" w:gutter="0"/>
          <w:cols w:space="720"/>
          <w:noEndnote/>
          <w:docGrid w:linePitch="360"/>
        </w:sectPr>
      </w:pPr>
    </w:p>
    <w:p w14:paraId="41A1D57F" w14:textId="2A7EE35B" w:rsidR="004C434D" w:rsidRPr="00B82C17" w:rsidRDefault="001A14AF" w:rsidP="008420A0">
      <w:pPr>
        <w:pStyle w:val="Heading1"/>
      </w:pPr>
      <w:bookmarkStart w:id="210" w:name="_Toc196256919"/>
      <w:r>
        <w:lastRenderedPageBreak/>
        <w:t xml:space="preserve">CHAPTER FOUR </w:t>
      </w:r>
      <w:r w:rsidR="002D12B0" w:rsidRPr="00B82C17">
        <w:t xml:space="preserve">MULTI-TECHNIQUE CHARACTERIZATION OF IRON REDUCTION BY AN ANTARCTIC </w:t>
      </w:r>
      <w:r w:rsidR="002D12B0" w:rsidRPr="00A7788C">
        <w:rPr>
          <w:i/>
          <w:iCs/>
        </w:rPr>
        <w:t>SHEWANELLA</w:t>
      </w:r>
      <w:r w:rsidR="002D12B0" w:rsidRPr="00B82C17">
        <w:t>: AN ANALOG SYSTEM FOR PUTATIVE MARTIAN BIOSIGNATURE IDENTIFICATION</w:t>
      </w:r>
      <w:bookmarkEnd w:id="210"/>
    </w:p>
    <w:p w14:paraId="5773F739" w14:textId="60E4E07D" w:rsidR="00743645" w:rsidRPr="001A14AF" w:rsidRDefault="00B82C17" w:rsidP="001A14AF">
      <w:pPr>
        <w:ind w:firstLine="0"/>
        <w:jc w:val="center"/>
      </w:pPr>
      <w:r>
        <w:br w:type="page"/>
      </w:r>
    </w:p>
    <w:p w14:paraId="5E57E1D0" w14:textId="77777777" w:rsidR="00743645" w:rsidRPr="00041162" w:rsidRDefault="00743645" w:rsidP="001A14AF">
      <w:pPr>
        <w:pStyle w:val="Heading2"/>
        <w:spacing w:before="0" w:after="0"/>
      </w:pPr>
      <w:bookmarkStart w:id="211" w:name="_Toc196256920"/>
      <w:r w:rsidRPr="00041162">
        <w:lastRenderedPageBreak/>
        <w:t>Publication Note</w:t>
      </w:r>
      <w:bookmarkEnd w:id="211"/>
    </w:p>
    <w:p w14:paraId="6C7EC852" w14:textId="77777777" w:rsidR="00743645" w:rsidRPr="00041162" w:rsidRDefault="00743645" w:rsidP="001A14AF">
      <w:pPr>
        <w:ind w:firstLine="0"/>
        <w:rPr>
          <w:bCs/>
        </w:rPr>
      </w:pPr>
      <w:r w:rsidRPr="00041162">
        <w:rPr>
          <w:bCs/>
        </w:rPr>
        <w:t xml:space="preserve">This chapter is currently in revision for publication in </w:t>
      </w:r>
      <w:r w:rsidRPr="00041162">
        <w:rPr>
          <w:bCs/>
          <w:i/>
          <w:iCs/>
        </w:rPr>
        <w:t>Applied and Environmental Microbiology</w:t>
      </w:r>
      <w:r w:rsidRPr="00041162">
        <w:rPr>
          <w:bCs/>
        </w:rPr>
        <w:t>.</w:t>
      </w:r>
    </w:p>
    <w:p w14:paraId="56D7D0DF" w14:textId="77777777" w:rsidR="00743645" w:rsidRPr="00041162" w:rsidRDefault="00743645" w:rsidP="001A14AF">
      <w:pPr>
        <w:ind w:firstLine="0"/>
        <w:rPr>
          <w:bCs/>
        </w:rPr>
      </w:pPr>
    </w:p>
    <w:p w14:paraId="3074E82F" w14:textId="77777777" w:rsidR="00743645" w:rsidRPr="00041162" w:rsidRDefault="00743645" w:rsidP="001A14AF">
      <w:pPr>
        <w:ind w:firstLine="0"/>
        <w:rPr>
          <w:bCs/>
        </w:rPr>
      </w:pPr>
      <w:r w:rsidRPr="00041162">
        <w:rPr>
          <w:bCs/>
        </w:rPr>
        <w:t xml:space="preserve">Jacob M.C. Shaffer, Elizabeth C. Sklute, Robert M. Samples, Lesley-Ann Giddings, Abigail Jarratt, Katherine Mateos, M. Darby Dyar, Peter A. Lee, Ken J.T. Livi, Jill A. Mikucki. “Multi-technique characterization of iron reduction by an Antarctic </w:t>
      </w:r>
      <w:r w:rsidRPr="00041162">
        <w:rPr>
          <w:bCs/>
          <w:i/>
          <w:iCs/>
        </w:rPr>
        <w:t>Shewanella</w:t>
      </w:r>
      <w:r w:rsidRPr="00041162">
        <w:rPr>
          <w:bCs/>
        </w:rPr>
        <w:t xml:space="preserve">: an analog system for putative Martian biosignature identification.” </w:t>
      </w:r>
      <w:r w:rsidRPr="00041162">
        <w:rPr>
          <w:bCs/>
          <w:i/>
          <w:iCs/>
        </w:rPr>
        <w:t>In revision</w:t>
      </w:r>
      <w:r w:rsidRPr="00041162">
        <w:rPr>
          <w:bCs/>
        </w:rPr>
        <w:t>.</w:t>
      </w:r>
    </w:p>
    <w:p w14:paraId="0FFC1F81" w14:textId="77777777" w:rsidR="00743645" w:rsidRPr="00041162" w:rsidRDefault="00743645" w:rsidP="001A14AF">
      <w:pPr>
        <w:rPr>
          <w:bCs/>
        </w:rPr>
      </w:pPr>
    </w:p>
    <w:p w14:paraId="565155D4" w14:textId="77777777" w:rsidR="00743645" w:rsidRDefault="00743645" w:rsidP="001A14AF">
      <w:pPr>
        <w:ind w:firstLine="0"/>
        <w:rPr>
          <w:bCs/>
        </w:rPr>
      </w:pPr>
      <w:r w:rsidRPr="00041162">
        <w:rPr>
          <w:bCs/>
        </w:rPr>
        <w:t>Biological materials for all experiments were prepared by Jacob Shaffer, along with Abigail Jarratt, Bruce Boles, Sarina Mitchell, and Ellen Taylor. Growth measurements and ferrozine assays were conducted by Jacob Shaffer. Mineral analyses were performed by Eli Sklute and Darby Dyar. VOC analyses were performed by Katherine Mateos and Peter Lee. LC-MS analyses were performed by Lesley-Ann Giddings and Robert Samples. RNA extractions and analyses were performed by Jacob Shaffer. Data compilation and interpretation were performed by Jacob Shaffer and Jill Mikucki. The manuscript was written by Jacob Shaffer and Jill Mikucki, with input from all authors.</w:t>
      </w:r>
    </w:p>
    <w:p w14:paraId="57B2D7E0" w14:textId="4A92C188" w:rsidR="00743645" w:rsidRPr="00870799" w:rsidRDefault="00743645" w:rsidP="001A14AF">
      <w:pPr>
        <w:pStyle w:val="Heading2"/>
        <w:spacing w:before="0" w:after="0"/>
      </w:pPr>
      <w:bookmarkStart w:id="212" w:name="_Toc196256921"/>
      <w:r w:rsidRPr="00870799">
        <w:t>Abstract</w:t>
      </w:r>
      <w:bookmarkEnd w:id="212"/>
    </w:p>
    <w:p w14:paraId="031088B1" w14:textId="77777777" w:rsidR="00743645" w:rsidRPr="009E5A09" w:rsidRDefault="00743645" w:rsidP="001A14AF">
      <w:r w:rsidRPr="009E5A09">
        <w:t>Microbes from terrestrial extreme environments offer an opportunity to test biosignature production in conditions relevant to astrobiological targets, such as Mars</w:t>
      </w:r>
      <w:r>
        <w:t>, which was likely more conducive to life during early warmer and wetter epochs</w:t>
      </w:r>
      <w:r w:rsidRPr="009E5A09">
        <w:t xml:space="preserve">. </w:t>
      </w:r>
      <w:r>
        <w:t>M</w:t>
      </w:r>
      <w:r w:rsidRPr="009E5A09" w:rsidDel="00B40E83">
        <w:t xml:space="preserve">issions to Mars search for signs of early life in the </w:t>
      </w:r>
      <w:r w:rsidDel="00B40E83">
        <w:t xml:space="preserve">surficial </w:t>
      </w:r>
      <w:r w:rsidRPr="009E5A09" w:rsidDel="00B40E83">
        <w:t>rock record</w:t>
      </w:r>
      <w:r>
        <w:t xml:space="preserve">, including </w:t>
      </w:r>
      <w:r w:rsidRPr="009E5A09" w:rsidDel="00B40E83">
        <w:t>mineral or organic biosignatures</w:t>
      </w:r>
      <w:r w:rsidRPr="009E5A09">
        <w:t>.</w:t>
      </w:r>
      <w:r>
        <w:t xml:space="preserve"> On Earth, microbial iron reduction is a common and ancient metabolism that may have also operated on other rocky celestial bodies.</w:t>
      </w:r>
      <w:r w:rsidDel="00B40E83">
        <w:t xml:space="preserve"> </w:t>
      </w:r>
      <w:r w:rsidRPr="009E5A09">
        <w:t xml:space="preserve">To investigate the production of biosignatures </w:t>
      </w:r>
      <w:r>
        <w:t>during iron reduction</w:t>
      </w:r>
      <w:r w:rsidRPr="009E5A09">
        <w:t xml:space="preserve">, a </w:t>
      </w:r>
      <w:r w:rsidRPr="009E5A09">
        <w:rPr>
          <w:i/>
        </w:rPr>
        <w:t>Shewanella</w:t>
      </w:r>
      <w:r w:rsidRPr="009E5A09">
        <w:t xml:space="preserve"> sp. (strain BF02_Schw) isolated from </w:t>
      </w:r>
      <w:r>
        <w:t xml:space="preserve">a subglacial discharge known as </w:t>
      </w:r>
      <w:r w:rsidRPr="009E5A09">
        <w:t>Blood Falls, Antarctica, was incubated with ferrihydrite (Fh) as an electron acceptor. Biosignatures</w:t>
      </w:r>
      <w:r>
        <w:t xml:space="preserve"> </w:t>
      </w:r>
      <w:r w:rsidRPr="009E5A09">
        <w:t xml:space="preserve">associated with Fh reduction were identified using a suite of instrumentation currently utilized or proposed for </w:t>
      </w:r>
      <w:r>
        <w:t xml:space="preserve">Mars </w:t>
      </w:r>
      <w:r w:rsidRPr="009E5A09">
        <w:t xml:space="preserve">missions. The biotic origin of identified features was validated by comparison to </w:t>
      </w:r>
      <w:r w:rsidRPr="009E5A09">
        <w:lastRenderedPageBreak/>
        <w:t xml:space="preserve">killed controls and transcriptional changes between treatments with and without Fh. In live treatments, Fh was reduced to magnetite and goethite, both of which have been detected in </w:t>
      </w:r>
      <w:r>
        <w:t>Martian</w:t>
      </w:r>
      <w:r w:rsidRPr="009E5A09">
        <w:t xml:space="preserve"> lacustrine basins. Several soluble and volatile metabolites were also detected, including riboflavin and dimethyl sulfide (DMS), which</w:t>
      </w:r>
      <w:r>
        <w:t xml:space="preserve"> could be astrobiological </w:t>
      </w:r>
      <w:r w:rsidRPr="009E5A09">
        <w:t>indicat</w:t>
      </w:r>
      <w:r>
        <w:t>ors of</w:t>
      </w:r>
      <w:r w:rsidRPr="009E5A09">
        <w:t xml:space="preserve"> active microbial processes. While none of these biosignatures individually would serve as definitive proof of life (past or present), detection of concomitant features associated with </w:t>
      </w:r>
      <w:r>
        <w:t xml:space="preserve">known terrestrial </w:t>
      </w:r>
      <w:r w:rsidRPr="009E5A09">
        <w:t xml:space="preserve">biotic processes would provide compelling rationale for more targeted life detection missions. </w:t>
      </w:r>
      <w:r>
        <w:t>T</w:t>
      </w:r>
      <w:r w:rsidRPr="009E5A09">
        <w:t xml:space="preserve">errestrial extremophiles </w:t>
      </w:r>
      <w:r>
        <w:t xml:space="preserve">can support the exploration of </w:t>
      </w:r>
      <w:r w:rsidRPr="009E5A09">
        <w:t>astrobiologically relevant microbial processes</w:t>
      </w:r>
      <w:r>
        <w:t>, validation of life detection instrumentation, and potentially the discovery of new biomarkers.</w:t>
      </w:r>
    </w:p>
    <w:p w14:paraId="2C589963" w14:textId="77777777" w:rsidR="00743645" w:rsidRDefault="00743645" w:rsidP="001A14AF">
      <w:pPr>
        <w:pStyle w:val="Heading3"/>
        <w:spacing w:before="0" w:after="0"/>
      </w:pPr>
      <w:bookmarkStart w:id="213" w:name="_Toc196256922"/>
      <w:r>
        <w:t>Importance</w:t>
      </w:r>
      <w:bookmarkEnd w:id="213"/>
    </w:p>
    <w:p w14:paraId="5E012F73" w14:textId="509CA0E8" w:rsidR="00743645" w:rsidRPr="00DA1910" w:rsidRDefault="00743645" w:rsidP="001A14AF">
      <w:r>
        <w:t xml:space="preserve">Culture-based experiments with terrestrial extremophiles can elucidate biosignatures that may be analogous to those produced under extraterrestrial conditions, and thus inform sampling and technology strategies for future missions. Here we demonstrate the production of several biosignatures under iron-reducing conditions by </w:t>
      </w:r>
      <w:r>
        <w:rPr>
          <w:i/>
          <w:iCs/>
        </w:rPr>
        <w:t xml:space="preserve">Shewanella </w:t>
      </w:r>
      <w:r>
        <w:t>sp. BF02_Schw, originally isolated from an Antarctic analog feature. These biosignatures could be detectable using flight-ready instrumentation. Growth experiments with terrestrial extremophiles can identify biosignatures measurable by current methodologies and inform the development and optimization of techniques for the detection of extant or extinct life on other worlds.</w:t>
      </w:r>
    </w:p>
    <w:p w14:paraId="6E86405E" w14:textId="14CAA4B7" w:rsidR="00743645" w:rsidRPr="00870799" w:rsidRDefault="00743645" w:rsidP="001A14AF">
      <w:pPr>
        <w:pStyle w:val="Heading2"/>
        <w:spacing w:before="0" w:after="0"/>
      </w:pPr>
      <w:bookmarkStart w:id="214" w:name="_Toc196256923"/>
      <w:r w:rsidRPr="00870799">
        <w:t>Introduction</w:t>
      </w:r>
      <w:bookmarkEnd w:id="214"/>
    </w:p>
    <w:p w14:paraId="2F603E13" w14:textId="77777777" w:rsidR="00743645" w:rsidRPr="009E5A09" w:rsidRDefault="00743645" w:rsidP="001A14AF">
      <w:r w:rsidRPr="00041162">
        <w:t>Any life that emerged on Mars was likely during the warmer, wetter climates of its early history (i.e., the Noachian or Hesperian eons; Clark et al., 2021). Decades of Martian orbital and surface missions revealed evidence of historic liquid water at the</w:t>
      </w:r>
      <w:r w:rsidRPr="009E5A09">
        <w:t xml:space="preserve"> surface </w:t>
      </w:r>
      <w:r w:rsidRPr="00041162">
        <w:t>(Wordsworth, 2016; Ramirez and Craddock, 2018; Clark et al., 2021)</w:t>
      </w:r>
      <w:r w:rsidRPr="009E5A09">
        <w:t xml:space="preserve"> associated with possible redox gradients</w:t>
      </w:r>
      <w:r w:rsidRPr="00C564B7">
        <w:t xml:space="preserve"> </w:t>
      </w:r>
      <w:r>
        <w:t>which would be</w:t>
      </w:r>
      <w:r w:rsidRPr="009E5A09">
        <w:t xml:space="preserve"> available for biological exploitation </w:t>
      </w:r>
      <w:r w:rsidRPr="00041162">
        <w:t>(Rampe et al., 2020)</w:t>
      </w:r>
      <w:r w:rsidRPr="009E5A09">
        <w:t xml:space="preserve">. While habitability on Mars may have only been transient </w:t>
      </w:r>
      <w:r w:rsidRPr="00041162">
        <w:t>(Cockell, 2014)</w:t>
      </w:r>
      <w:r w:rsidRPr="009E5A09">
        <w:t xml:space="preserve">, it is possible that life emerged independently of that on Earth, or </w:t>
      </w:r>
      <w:r>
        <w:t>that life emerged</w:t>
      </w:r>
      <w:r w:rsidRPr="009E5A09">
        <w:t xml:space="preserve"> </w:t>
      </w:r>
      <w:r w:rsidRPr="009E5A09">
        <w:lastRenderedPageBreak/>
        <w:t xml:space="preserve">first on Mars </w:t>
      </w:r>
      <w:r>
        <w:t>and</w:t>
      </w:r>
      <w:r w:rsidRPr="009E5A09">
        <w:t xml:space="preserve"> then seeded early Earth in a panspermia event </w:t>
      </w:r>
      <w:r w:rsidRPr="00041162">
        <w:t>(Clark et al., 2021)</w:t>
      </w:r>
      <w:r w:rsidRPr="009E5A09">
        <w:t xml:space="preserve"> or vice versa. However, the Martian surface today is cold, dry, and likely uninhabitable </w:t>
      </w:r>
      <w:r>
        <w:t>with the possible exception of</w:t>
      </w:r>
      <w:r w:rsidRPr="009E5A09">
        <w:t xml:space="preserve"> localized Special Regions</w:t>
      </w:r>
      <w:r>
        <w:t xml:space="preserve"> </w:t>
      </w:r>
      <w:r w:rsidRPr="00041162">
        <w:t>(Rummel et al., 2014)</w:t>
      </w:r>
      <w:r w:rsidRPr="009E5A09">
        <w:t>.</w:t>
      </w:r>
    </w:p>
    <w:p w14:paraId="1A3A3659" w14:textId="77777777" w:rsidR="00743645" w:rsidRPr="009E5A09" w:rsidRDefault="00743645" w:rsidP="001A14AF">
      <w:r>
        <w:t>R</w:t>
      </w:r>
      <w:r w:rsidRPr="009E5A09">
        <w:t>ecent missions to Mars have sought to identify evidence of ancient habitability</w:t>
      </w:r>
      <w:r>
        <w:t xml:space="preserve"> </w:t>
      </w:r>
      <w:r w:rsidRPr="00041162">
        <w:t>(Mellon et al., 2024)</w:t>
      </w:r>
      <w:r w:rsidRPr="009E5A09">
        <w:t xml:space="preserve">. Because water is crucial to life as we know it, both the </w:t>
      </w:r>
      <w:r w:rsidRPr="009E5A09">
        <w:rPr>
          <w:i/>
        </w:rPr>
        <w:t xml:space="preserve">Curiosity </w:t>
      </w:r>
      <w:r w:rsidRPr="009E5A09">
        <w:t xml:space="preserve">and </w:t>
      </w:r>
      <w:r w:rsidRPr="009E5A09">
        <w:rPr>
          <w:i/>
        </w:rPr>
        <w:t>Perseverance</w:t>
      </w:r>
      <w:r w:rsidRPr="009E5A09">
        <w:t xml:space="preserve"> rovers landed at sites </w:t>
      </w:r>
      <w:r>
        <w:t>with</w:t>
      </w:r>
      <w:r w:rsidRPr="009E5A09">
        <w:t xml:space="preserve"> evidence of ancient fluvial </w:t>
      </w:r>
      <w:r>
        <w:t>and</w:t>
      </w:r>
      <w:r w:rsidRPr="009E5A09">
        <w:t xml:space="preserve"> lacustrine </w:t>
      </w:r>
      <w:r>
        <w:t>settings</w:t>
      </w:r>
      <w:r w:rsidRPr="009E5A09">
        <w:t xml:space="preserve"> </w:t>
      </w:r>
      <w:r w:rsidRPr="00041162">
        <w:t>(Grotzinger et al., 2012; Farley et al., 2020)</w:t>
      </w:r>
      <w:r>
        <w:t>.</w:t>
      </w:r>
      <w:r w:rsidRPr="009E5A09">
        <w:t xml:space="preserve"> </w:t>
      </w:r>
      <w:r>
        <w:t>On Earth, depositional environments also supported t</w:t>
      </w:r>
      <w:r w:rsidRPr="009E5A09">
        <w:t>he oldest generally accepted microbial fossils</w:t>
      </w:r>
      <w:r>
        <w:t xml:space="preserve">, </w:t>
      </w:r>
      <w:r w:rsidRPr="009E5A09">
        <w:t xml:space="preserve">stromatolites, layered sedimentary features originating from the interactions between sedimentary particles and biofilm communities </w:t>
      </w:r>
      <w:r w:rsidRPr="00041162">
        <w:t>(Djokic et al., 2017; Rodriguez et al., 2024)</w:t>
      </w:r>
      <w:r w:rsidRPr="009E5A09">
        <w:t xml:space="preserve">. </w:t>
      </w:r>
      <w:r>
        <w:t xml:space="preserve">Such </w:t>
      </w:r>
      <w:r w:rsidRPr="009E5A09">
        <w:t xml:space="preserve">environments may also lead to preservation of diverse biosignatures, </w:t>
      </w:r>
      <w:r>
        <w:t>including</w:t>
      </w:r>
      <w:r w:rsidRPr="009E5A09">
        <w:t xml:space="preserve"> microbially produced secondary minerals</w:t>
      </w:r>
      <w:r>
        <w:t>,</w:t>
      </w:r>
      <w:r w:rsidRPr="009E5A09">
        <w:t xml:space="preserve"> micro- or macro-scale textures</w:t>
      </w:r>
      <w:r>
        <w:t xml:space="preserve">, and </w:t>
      </w:r>
      <w:r w:rsidRPr="009E5A09">
        <w:t>preserved structural components of biomolecules such as lipids</w:t>
      </w:r>
      <w:r>
        <w:t xml:space="preserve"> </w:t>
      </w:r>
      <w:r w:rsidRPr="00041162">
        <w:t>(McMahon et al., 2018)</w:t>
      </w:r>
      <w:r w:rsidRPr="009E5A09">
        <w:t xml:space="preserve">. While the identification of a singular biosignature within regions hypothesized to have been habitable would be intriguing, concomitant biosignatures would be </w:t>
      </w:r>
      <w:r>
        <w:t xml:space="preserve">significantly </w:t>
      </w:r>
      <w:r w:rsidRPr="009E5A09">
        <w:t>more compelling.</w:t>
      </w:r>
    </w:p>
    <w:p w14:paraId="4643A6D5" w14:textId="77777777" w:rsidR="00743645" w:rsidRPr="009E5A09" w:rsidRDefault="00743645" w:rsidP="001A14AF">
      <w:r w:rsidRPr="009E5A09">
        <w:t>Attempts to detect evidence of life from Noachian or Hesperian Mars can be informed by investigations of early terrestrial life. Evidence for life in Earth’s Precambrian oceans exists largely as chemical (e.g., complex organics, isotopic composition) or morphological biosignatures within sedimentary basins</w:t>
      </w:r>
      <w:r>
        <w:t xml:space="preserve"> </w:t>
      </w:r>
      <w:r w:rsidRPr="00041162">
        <w:t>(Holland, 2016; Javaux, 2019)</w:t>
      </w:r>
      <w:r w:rsidRPr="009E5A09">
        <w:t>. Accurate interpretation of these records is challenging due to the rare and incomplete nature of fossilization, abiotic mineral alterations, and the inherent ambiguity of mineral biosignatures, which often have both biotic and abiotic routes of formation. As such, claims of evidence of early Earth life rely on the use of multiple observations to rule out abiotic formation</w:t>
      </w:r>
      <w:r>
        <w:t xml:space="preserve">, leaving </w:t>
      </w:r>
      <w:r w:rsidRPr="009E5A09">
        <w:t xml:space="preserve">biogenesis as the most probable origin </w:t>
      </w:r>
      <w:r w:rsidRPr="00041162">
        <w:t>(Javaux, 2019)</w:t>
      </w:r>
      <w:r w:rsidRPr="009E5A09">
        <w:t xml:space="preserve">. These lines of evidence take many forms, including both macro- and microscale morphological characteristics </w:t>
      </w:r>
      <w:r w:rsidRPr="00041162">
        <w:t>(Djokic et al., 2017)</w:t>
      </w:r>
      <w:r w:rsidRPr="009E5A09">
        <w:t xml:space="preserve">, isotopic composition </w:t>
      </w:r>
      <w:r w:rsidRPr="00041162">
        <w:t>(Homann et al., 2018)</w:t>
      </w:r>
      <w:r w:rsidRPr="009E5A09">
        <w:t xml:space="preserve">, the presence of microfossils </w:t>
      </w:r>
      <w:r w:rsidRPr="00041162">
        <w:t>(Javaux et al., 2010)</w:t>
      </w:r>
      <w:r w:rsidRPr="009E5A09">
        <w:t xml:space="preserve">, and secondary mineral abundance and composition </w:t>
      </w:r>
      <w:r w:rsidRPr="00041162">
        <w:t>(Li et al., 2011)</w:t>
      </w:r>
      <w:r w:rsidRPr="009E5A09">
        <w:t>. Similar concerns are applicable to the search for ancient life on Mars</w:t>
      </w:r>
      <w:r>
        <w:t xml:space="preserve"> </w:t>
      </w:r>
      <w:r w:rsidRPr="00041162">
        <w:t>(McMahon and Cosmidis, 2022)</w:t>
      </w:r>
      <w:r w:rsidRPr="009E5A09">
        <w:t xml:space="preserve">; regional morphology, </w:t>
      </w:r>
      <w:r w:rsidRPr="009E5A09">
        <w:lastRenderedPageBreak/>
        <w:t xml:space="preserve">possible microfossils, and mineral structures have been proposed as lines of evidence for, albeit controversial, claims of Martian </w:t>
      </w:r>
      <w:r w:rsidRPr="00041162">
        <w:t>life (e.g., McKay et al., 1996; Noffke, 2015).</w:t>
      </w:r>
      <w:r>
        <w:t xml:space="preserve"> M</w:t>
      </w:r>
      <w:r w:rsidRPr="009E5A09">
        <w:t>ethods t</w:t>
      </w:r>
      <w:r>
        <w:t>hat can better</w:t>
      </w:r>
      <w:r w:rsidRPr="009E5A09">
        <w:t xml:space="preserve"> elucidate </w:t>
      </w:r>
      <w:r>
        <w:t xml:space="preserve">complex </w:t>
      </w:r>
      <w:r w:rsidRPr="009E5A09">
        <w:t xml:space="preserve">biosignatures </w:t>
      </w:r>
      <w:r>
        <w:t xml:space="preserve">or more clearly confirm their biogenic origin would </w:t>
      </w:r>
      <w:r w:rsidRPr="009E5A09">
        <w:t xml:space="preserve">strengthen </w:t>
      </w:r>
      <w:r>
        <w:t>claims</w:t>
      </w:r>
      <w:r w:rsidRPr="009E5A09">
        <w:t xml:space="preserve"> of both ancient and extant life, especially those associated with the production of biogenic mineral biosignatures.</w:t>
      </w:r>
    </w:p>
    <w:p w14:paraId="2C64238E" w14:textId="77777777" w:rsidR="00743645" w:rsidRPr="009E5A09" w:rsidRDefault="00743645" w:rsidP="001A14AF">
      <w:r w:rsidRPr="009E5A09">
        <w:t xml:space="preserve">Planetary science missions to Mars utilize payloads with a wide array of instruments to assess present and past habitability. The earliest attempts at measuring life </w:t>
      </w:r>
      <w:r w:rsidRPr="009E5A09">
        <w:rPr>
          <w:i/>
        </w:rPr>
        <w:t>in situ</w:t>
      </w:r>
      <w:r w:rsidRPr="009E5A09">
        <w:t xml:space="preserve"> were conducted by the </w:t>
      </w:r>
      <w:r w:rsidRPr="009E5A09">
        <w:rPr>
          <w:i/>
        </w:rPr>
        <w:t xml:space="preserve">Viking </w:t>
      </w:r>
      <w:r w:rsidRPr="009E5A09">
        <w:t xml:space="preserve">missions, which included experiments designed to </w:t>
      </w:r>
      <w:r>
        <w:t xml:space="preserve">detect </w:t>
      </w:r>
      <w:r w:rsidRPr="009E5A09">
        <w:t>active metabolic processes in Martian soils through respirat</w:t>
      </w:r>
      <w:r>
        <w:t>ion</w:t>
      </w:r>
      <w:r w:rsidRPr="009E5A09">
        <w:t xml:space="preserve"> or pyrolytic release of labeled and unlabeled compounds </w:t>
      </w:r>
      <w:r w:rsidRPr="00041162">
        <w:t>(Klein, 1979)</w:t>
      </w:r>
      <w:r w:rsidRPr="009E5A09">
        <w:t xml:space="preserve">. Of the three deployed biological experiments, only the Labeled Release experiments, in which soils were enriched with </w:t>
      </w:r>
      <w:r w:rsidRPr="009E5A09">
        <w:rPr>
          <w:vertAlign w:val="superscript"/>
        </w:rPr>
        <w:t>14</w:t>
      </w:r>
      <w:r w:rsidRPr="009E5A09">
        <w:t>C-</w:t>
      </w:r>
      <w:r w:rsidRPr="00041162">
        <w:t>labeled organics and monitored for radioactive gas production, presented a possible positive result (i.e., gas evolution following injection that was quenched by sample heating; Levin and Straat, 1976b, 1976a),</w:t>
      </w:r>
      <w:r w:rsidRPr="009E5A09">
        <w:t xml:space="preserve"> though interpretation of these results remains highly controversial </w:t>
      </w:r>
      <w:r w:rsidRPr="00041162">
        <w:t>(Klein, 1999; Levin and Straat, 2016)</w:t>
      </w:r>
      <w:r w:rsidRPr="009E5A09">
        <w:t xml:space="preserve">. </w:t>
      </w:r>
      <w:r>
        <w:t>Since</w:t>
      </w:r>
      <w:r w:rsidRPr="009E5A09">
        <w:t xml:space="preserve"> the </w:t>
      </w:r>
      <w:r w:rsidRPr="009E5A09">
        <w:rPr>
          <w:i/>
        </w:rPr>
        <w:t xml:space="preserve">Viking </w:t>
      </w:r>
      <w:r w:rsidRPr="009E5A09">
        <w:t xml:space="preserve">missions, surface landers and rovers have focused on morphological and geochemical characterization, with an emphasis on determining if </w:t>
      </w:r>
      <w:r>
        <w:t>Mars was previously</w:t>
      </w:r>
      <w:r w:rsidRPr="009E5A09">
        <w:t xml:space="preserve"> habitable. To this end, several instruments have been deployed to describe mineral and organic features, including possible biosignatures such as chemistry or morphology indicative of ancient metabolic processes. Infrared spectrometers, </w:t>
      </w:r>
      <w:r>
        <w:t>spanning vi</w:t>
      </w:r>
      <w:r w:rsidRPr="009E5A09">
        <w:t xml:space="preserve">sible and near-infrared (VNIR) </w:t>
      </w:r>
      <w:r>
        <w:t xml:space="preserve">to </w:t>
      </w:r>
      <w:r w:rsidRPr="009E5A09">
        <w:t xml:space="preserve">mid-far infrared ranges, have been deployed on orbital and surficial missions, including on the Mars Exploration Rovers (MERs) </w:t>
      </w:r>
      <w:r w:rsidRPr="009E5A09">
        <w:rPr>
          <w:i/>
        </w:rPr>
        <w:t xml:space="preserve">Spirit </w:t>
      </w:r>
      <w:r w:rsidRPr="009E5A09">
        <w:t xml:space="preserve">and </w:t>
      </w:r>
      <w:r w:rsidRPr="009E5A09">
        <w:rPr>
          <w:i/>
        </w:rPr>
        <w:t>Opportunity</w:t>
      </w:r>
      <w:r w:rsidRPr="009E5A09">
        <w:t xml:space="preserve"> </w:t>
      </w:r>
      <w:r w:rsidRPr="00041162">
        <w:t>(Christensen et al., 2003; Squyres et al., 2003)</w:t>
      </w:r>
      <w:r w:rsidRPr="009E5A09">
        <w:t xml:space="preserve">. The MERs were also equipped with Mössbauer spectrometers specifically for identification of Fe-bearing minerals </w:t>
      </w:r>
      <w:r w:rsidRPr="00041162">
        <w:t>(Klingelhöfer et al., 2003)</w:t>
      </w:r>
      <w:r w:rsidRPr="009E5A09">
        <w:t xml:space="preserve">. The Mars Science Laboratory (MSL) rover </w:t>
      </w:r>
      <w:r w:rsidRPr="009E5A09">
        <w:rPr>
          <w:i/>
        </w:rPr>
        <w:t>Curiosity</w:t>
      </w:r>
      <w:r w:rsidRPr="009E5A09">
        <w:t xml:space="preserve"> features both X-ray diffraction (XRD) and limited fluorescence (XRF) capabilities as a part of the ChemMin instrument </w:t>
      </w:r>
      <w:r w:rsidRPr="00041162">
        <w:t>(Blake et al., 2012)</w:t>
      </w:r>
      <w:r w:rsidRPr="009E5A09">
        <w:t xml:space="preserve">, and XRF was also deployed on the Mars 2020 PIXL (Planetary Instrument for X-ray Lithochemistry) instrument </w:t>
      </w:r>
      <w:r w:rsidRPr="00041162">
        <w:t>(Allwood et al., 2020)</w:t>
      </w:r>
      <w:r w:rsidRPr="009E5A09">
        <w:t xml:space="preserve">. Both the ChemMin and PIXL instruments are designed for identification of </w:t>
      </w:r>
      <w:r>
        <w:t xml:space="preserve">surface mineral </w:t>
      </w:r>
      <w:r w:rsidRPr="009E5A09">
        <w:lastRenderedPageBreak/>
        <w:t xml:space="preserve">elemental chemistry. </w:t>
      </w:r>
      <w:r w:rsidRPr="009E5A09">
        <w:rPr>
          <w:i/>
        </w:rPr>
        <w:t xml:space="preserve">Curiosity </w:t>
      </w:r>
      <w:r w:rsidRPr="009E5A09">
        <w:t xml:space="preserve">also features the SAM (Sample Analysis at Mars) instrument suite for characterization of organic components and isotopic states of surface materials </w:t>
      </w:r>
      <w:r>
        <w:t>including</w:t>
      </w:r>
      <w:r w:rsidRPr="009E5A09">
        <w:t xml:space="preserve"> a gas chromatograph, laser spectrometer, and quadrupole mass spectrometer </w:t>
      </w:r>
      <w:r w:rsidRPr="00041162">
        <w:t>(Mahaffy et al., 2012)</w:t>
      </w:r>
      <w:r w:rsidRPr="009E5A09">
        <w:t xml:space="preserve">, in addition to the SHERLOC (Scanning Habitable Environments with Raman &amp; Luminescence for Organics and Chemicals) Raman and fluorescence spectrometer </w:t>
      </w:r>
      <w:r w:rsidRPr="00041162">
        <w:t>(Bhartia et al., 2021)</w:t>
      </w:r>
      <w:r w:rsidRPr="009E5A09">
        <w:t>. While none of the recently deployed instruments alone are likely to detect biosignatures that preclude an abiotic origin, when utilized in conjunction, the possibility remains that concomitant chemical complexities and morphological features may provide compelling, though likely not definitive, evidence of ancient life.</w:t>
      </w:r>
    </w:p>
    <w:p w14:paraId="18B4C0D3" w14:textId="77777777" w:rsidR="00743645" w:rsidRPr="009E5A09" w:rsidRDefault="00743645" w:rsidP="001A14AF">
      <w:r w:rsidRPr="009E5A09">
        <w:t>Similar to how terrestrial analog features are utilized to test astrobiological instrumentation and hypotheses, terrestrial microorganisms isolated from analog environments are beneficial for exploring possible adaptations and metabolic processes associated with early Earth and Mars.</w:t>
      </w:r>
      <w:r>
        <w:rPr>
          <w:i/>
          <w:iCs/>
        </w:rPr>
        <w:t xml:space="preserve"> Shewanella </w:t>
      </w:r>
      <w:r>
        <w:t xml:space="preserve">spp. have long been utilized as model organisms for studying bacterial Fe transformation </w:t>
      </w:r>
      <w:r w:rsidRPr="00041162">
        <w:t>(Fredrickson et al., 2008)</w:t>
      </w:r>
      <w:r w:rsidRPr="009E5A09">
        <w:t xml:space="preserve">. Under anaerobic conditions, </w:t>
      </w:r>
      <w:r w:rsidRPr="009E5A09">
        <w:rPr>
          <w:i/>
        </w:rPr>
        <w:t xml:space="preserve">Shewanella </w:t>
      </w:r>
      <w:r w:rsidRPr="009E5A09">
        <w:t xml:space="preserve">spp. can utilize a wide variety of </w:t>
      </w:r>
      <w:r w:rsidRPr="00041162">
        <w:t>terminal electron acceptors, including a number of Fe(III) species like amorphous ferrihydrite (Fh; Fredrickson et al., 2008). Dissimilatory</w:t>
      </w:r>
      <w:r w:rsidRPr="009E5A09">
        <w:t xml:space="preserve"> iron reduction (DIR) is believed to be an ancient metabolic pathway on Earth </w:t>
      </w:r>
      <w:r w:rsidRPr="00041162">
        <w:t>(Vargas et al., 1998)</w:t>
      </w:r>
      <w:r w:rsidRPr="009E5A09">
        <w:t xml:space="preserve"> </w:t>
      </w:r>
      <w:r>
        <w:t>that mediates</w:t>
      </w:r>
      <w:r w:rsidRPr="009E5A09">
        <w:t xml:space="preserve"> the reduction of Fe(III) to Fe(II) via external electron transfer </w:t>
      </w:r>
      <w:r w:rsidRPr="00041162">
        <w:t>(Myers and Nealson, 1990)</w:t>
      </w:r>
      <w:r w:rsidRPr="009E5A09">
        <w:t>. Because Fh and other Fe(III) (hydr)oxides are unable to diffuse or be transported through cellular membrane</w:t>
      </w:r>
      <w:r>
        <w:t>s</w:t>
      </w:r>
      <w:r w:rsidRPr="009E5A09">
        <w:t xml:space="preserve">, DIR by </w:t>
      </w:r>
      <w:r w:rsidRPr="009E5A09">
        <w:rPr>
          <w:i/>
        </w:rPr>
        <w:t>Shewanella</w:t>
      </w:r>
      <w:r w:rsidRPr="009E5A09">
        <w:t xml:space="preserve"> spp. relies on membrane-bound redox machinery and soluble electron carriers </w:t>
      </w:r>
      <w:r w:rsidRPr="00041162">
        <w:t>(Shi et al., 2012)</w:t>
      </w:r>
      <w:r w:rsidRPr="009E5A09">
        <w:t xml:space="preserve">. Electrons are transferred from the inner membrane electron transport chain to insoluble Fe(III) oxides through the Mtr complex, a series of heme-bearing proteins localized in the inner and outer membrane. Electrons may also be passed to soluble electron shuttles, including flavins, that discharge electrons to external sources </w:t>
      </w:r>
      <w:r w:rsidRPr="00041162">
        <w:t>(Marsili et al., 2008)</w:t>
      </w:r>
      <w:r w:rsidRPr="009E5A09">
        <w:t xml:space="preserve">. </w:t>
      </w:r>
      <w:r w:rsidRPr="009E5A09">
        <w:rPr>
          <w:i/>
        </w:rPr>
        <w:t xml:space="preserve">Shewanella </w:t>
      </w:r>
      <w:r w:rsidRPr="009E5A09">
        <w:t>spp. have also been employed as model organisms for astrobiology</w:t>
      </w:r>
      <w:r>
        <w:t xml:space="preserve">; </w:t>
      </w:r>
      <w:r w:rsidRPr="009E5A09">
        <w:t xml:space="preserve">Malas et al. </w:t>
      </w:r>
      <w:r w:rsidRPr="00041162">
        <w:t>(Malas et al., 2024)</w:t>
      </w:r>
      <w:r>
        <w:t xml:space="preserve"> </w:t>
      </w:r>
      <w:r w:rsidRPr="009E5A09">
        <w:t xml:space="preserve">investigated transcriptional changes </w:t>
      </w:r>
      <w:r>
        <w:t xml:space="preserve">in </w:t>
      </w:r>
      <w:r w:rsidRPr="009E5A09">
        <w:rPr>
          <w:i/>
        </w:rPr>
        <w:t>S</w:t>
      </w:r>
      <w:r>
        <w:rPr>
          <w:i/>
        </w:rPr>
        <w:t>hewanella</w:t>
      </w:r>
      <w:r w:rsidRPr="009E5A09">
        <w:rPr>
          <w:i/>
        </w:rPr>
        <w:t xml:space="preserve"> oneidensis </w:t>
      </w:r>
      <w:r w:rsidRPr="009E5A09">
        <w:t>MR-1 when exposed to Titan-relevant pressure</w:t>
      </w:r>
      <w:r>
        <w:t xml:space="preserve"> </w:t>
      </w:r>
      <w:r w:rsidRPr="009E5A09">
        <w:t xml:space="preserve">to understand </w:t>
      </w:r>
      <w:r w:rsidRPr="009E5A09">
        <w:lastRenderedPageBreak/>
        <w:t xml:space="preserve">survivability and possible adaptations for living in sub-ice oceans. </w:t>
      </w:r>
      <w:r w:rsidRPr="009E5A09">
        <w:rPr>
          <w:i/>
        </w:rPr>
        <w:t>S. oneidensis</w:t>
      </w:r>
      <w:r w:rsidRPr="009E5A09">
        <w:t xml:space="preserve"> MR-1 was also shown to reduce Fe(III) present in a simulated Martian regolith </w:t>
      </w:r>
      <w:r w:rsidRPr="00041162">
        <w:t>(Castelein et al., 2021)</w:t>
      </w:r>
      <w:r w:rsidRPr="009E5A09">
        <w:t xml:space="preserve">, supporting the hypothesis that DIR is a plausible metabolic strategy for Martian life </w:t>
      </w:r>
      <w:r w:rsidRPr="00041162">
        <w:t>(Nixon et al., 2012)</w:t>
      </w:r>
      <w:r w:rsidRPr="009E5A09">
        <w:t>.</w:t>
      </w:r>
    </w:p>
    <w:p w14:paraId="69562801" w14:textId="77777777" w:rsidR="00743645" w:rsidRDefault="00743645" w:rsidP="001A14AF">
      <w:r w:rsidRPr="009E5A09">
        <w:t>To</w:t>
      </w:r>
      <w:r>
        <w:t xml:space="preserve"> further</w:t>
      </w:r>
      <w:r w:rsidRPr="009E5A09">
        <w:t xml:space="preserve"> investigate the production of mineral and chemical biosignatures during bacterial DIR, </w:t>
      </w:r>
      <w:r>
        <w:t>we</w:t>
      </w:r>
      <w:r w:rsidRPr="009E5A09">
        <w:t xml:space="preserve"> utilize</w:t>
      </w:r>
      <w:r>
        <w:t>d</w:t>
      </w:r>
      <w:r w:rsidRPr="009E5A09">
        <w:t xml:space="preserve"> a psychro- and halotolerant </w:t>
      </w:r>
      <w:r w:rsidRPr="009E5A09">
        <w:rPr>
          <w:i/>
        </w:rPr>
        <w:t>Shewanella</w:t>
      </w:r>
      <w:r w:rsidRPr="009E5A09">
        <w:t xml:space="preserve"> strain </w:t>
      </w:r>
      <w:r>
        <w:t>(</w:t>
      </w:r>
      <w:r w:rsidRPr="009E5A09">
        <w:t>BF02_Schw</w:t>
      </w:r>
      <w:r>
        <w:t>)</w:t>
      </w:r>
      <w:r w:rsidRPr="009E5A09">
        <w:t xml:space="preserve">, isolated from </w:t>
      </w:r>
      <w:r>
        <w:t xml:space="preserve">an Fe-rich subglacial brine feature in Antarctica known as </w:t>
      </w:r>
      <w:r w:rsidRPr="009E5A09">
        <w:t xml:space="preserve">Blood Falls </w:t>
      </w:r>
      <w:r w:rsidRPr="00041162">
        <w:t>(Mikucki and Priscu, 2007; Boles et al., 2021)</w:t>
      </w:r>
      <w:r w:rsidRPr="009E5A09">
        <w:t>. Biogenic mineral transformations and the production of associated soluble and volatile organic compounds (VOCs)</w:t>
      </w:r>
      <w:r>
        <w:t xml:space="preserve"> were measured using</w:t>
      </w:r>
      <w:r w:rsidRPr="009E5A09">
        <w:t xml:space="preserve"> </w:t>
      </w:r>
      <w:r>
        <w:t>mission-relevant</w:t>
      </w:r>
      <w:r w:rsidRPr="009E5A09">
        <w:t xml:space="preserve"> techniques </w:t>
      </w:r>
      <w:r w:rsidRPr="00041162">
        <w:t>(Sklute et al., 2022)</w:t>
      </w:r>
      <w:r w:rsidRPr="009E5A09">
        <w:t>. To link observed “biosignatures” to biotic processes, the transcriptome of BF02_Schw grown with and without Fh was sequenced to identify genes associated with the production of observed mineral and chemical features.</w:t>
      </w:r>
    </w:p>
    <w:p w14:paraId="2949A7E6" w14:textId="19F7BA68" w:rsidR="00743645" w:rsidRPr="00870799" w:rsidRDefault="00743645" w:rsidP="001A14AF">
      <w:pPr>
        <w:pStyle w:val="Heading2"/>
        <w:spacing w:before="0" w:after="0"/>
      </w:pPr>
      <w:bookmarkStart w:id="215" w:name="_Toc196256924"/>
      <w:r>
        <w:t>Materials and methods</w:t>
      </w:r>
      <w:bookmarkEnd w:id="215"/>
    </w:p>
    <w:p w14:paraId="09BAEDDC" w14:textId="77777777" w:rsidR="00743645" w:rsidRPr="00075256" w:rsidRDefault="00743645" w:rsidP="001A14AF">
      <w:pPr>
        <w:pStyle w:val="Heading3"/>
        <w:spacing w:before="0" w:after="0"/>
      </w:pPr>
      <w:bookmarkStart w:id="216" w:name="_Toc196256925"/>
      <w:r w:rsidRPr="00075256">
        <w:t>Culture Conditions.</w:t>
      </w:r>
      <w:bookmarkEnd w:id="216"/>
    </w:p>
    <w:p w14:paraId="6343D973" w14:textId="73BF6E37" w:rsidR="00743645" w:rsidRPr="009E5A09" w:rsidRDefault="00743645" w:rsidP="001A14AF">
      <w:r w:rsidRPr="00041162">
        <w:rPr>
          <w:i/>
        </w:rPr>
        <w:t xml:space="preserve">Shewanella </w:t>
      </w:r>
      <w:r w:rsidRPr="00041162">
        <w:t>sp. strain BF02_Schw was isolated from Blood Falls, Antarctica in 2002 (described by Mikucki and Priscu, 2007). For all experiments, strain BF02_Schw was first grown in Difco Marine Broth 2216 (BD) at</w:t>
      </w:r>
      <w:r w:rsidRPr="009E5A09">
        <w:t xml:space="preserve"> 15 °C to stationary phase before transfer to a marine minimal medium. </w:t>
      </w:r>
      <w:r>
        <w:t>M</w:t>
      </w:r>
      <w:r w:rsidRPr="009E5A09">
        <w:t>arine minimal medium broth</w:t>
      </w:r>
      <w:r>
        <w:t xml:space="preserve"> contained the </w:t>
      </w:r>
      <w:r w:rsidRPr="009E5A09">
        <w:t xml:space="preserve">following chemicals </w:t>
      </w:r>
      <w:r>
        <w:t xml:space="preserve">per </w:t>
      </w:r>
      <w:r w:rsidRPr="009E5A09">
        <w:t>1 L of Milli-Q water: sodium chloride (333.0 mM), magnesium chloride (92.43 mM), sodium sulfate (22.81 mM), calcium chloride</w:t>
      </w:r>
      <w:r w:rsidRPr="009E5A09">
        <w:rPr>
          <w:vertAlign w:val="subscript"/>
        </w:rPr>
        <w:t xml:space="preserve"> </w:t>
      </w:r>
      <w:r w:rsidRPr="009E5A09">
        <w:t>(16.22 mM), potassium chloride (7.377 mM), sodium bicarbonate</w:t>
      </w:r>
      <w:r w:rsidRPr="009E5A09">
        <w:rPr>
          <w:vertAlign w:val="subscript"/>
        </w:rPr>
        <w:t xml:space="preserve"> </w:t>
      </w:r>
      <w:r w:rsidRPr="009E5A09">
        <w:t>(1.905 mM) potassium bromide (672.3 μM), strontium chloride (127.5 μM), boric acid</w:t>
      </w:r>
      <w:r w:rsidRPr="009E5A09">
        <w:rPr>
          <w:vertAlign w:val="subscript"/>
        </w:rPr>
        <w:t xml:space="preserve"> </w:t>
      </w:r>
      <w:r w:rsidRPr="009E5A09">
        <w:t>(355.8 μM), sodium metasilicate (14.1 μM), sodium fluoride (57.2 μM), and ammonium chloride (20.0 μM). The medium was supplemented with 1 mL L</w:t>
      </w:r>
      <w:r w:rsidRPr="009E5A09">
        <w:rPr>
          <w:vertAlign w:val="superscript"/>
        </w:rPr>
        <w:t>-1</w:t>
      </w:r>
      <w:r w:rsidRPr="009E5A09">
        <w:t xml:space="preserve"> of MD-TMS Trace Minerals Supplement (ATCC) and 2 g L</w:t>
      </w:r>
      <w:r w:rsidRPr="009E5A09">
        <w:rPr>
          <w:vertAlign w:val="superscript"/>
        </w:rPr>
        <w:t>-1</w:t>
      </w:r>
      <w:r w:rsidRPr="009E5A09">
        <w:t xml:space="preserve"> of SC Amino Acids Mixture (MP Biomedicals) and dispensed into serum vials. Vials were thoroughly flushed with nitrogen gas (Ultra High Purity Grade; Airgas), capped with butyl stoppers, and crimp-sealed before autoclaving at 121 °C for 20 minutes. Following autoclaving, each container was supplemented with a filter-sterilized </w:t>
      </w:r>
      <w:r w:rsidRPr="009E5A09">
        <w:lastRenderedPageBreak/>
        <w:t>disodium phosphate solution (29.8 μM).</w:t>
      </w:r>
      <w:r>
        <w:t>S</w:t>
      </w:r>
      <w:r w:rsidRPr="009E5A09">
        <w:t>terile solutions of sodium lactate (5 M)</w:t>
      </w:r>
      <w:r>
        <w:t xml:space="preserve"> and</w:t>
      </w:r>
      <w:r w:rsidRPr="009E5A09">
        <w:t xml:space="preserve"> sodium thiosulfate (2.5 M) prepared using Milli-Q water and autoclaved for </w:t>
      </w:r>
      <w:r>
        <w:t>20</w:t>
      </w:r>
      <w:r w:rsidRPr="009E5A09">
        <w:t xml:space="preserve"> min at 121 °C. Fh </w:t>
      </w:r>
      <w:r>
        <w:t xml:space="preserve">(1M) </w:t>
      </w:r>
      <w:r w:rsidRPr="009E5A09">
        <w:t>were prepared after</w:t>
      </w:r>
      <w:r w:rsidR="00C20B57">
        <w:t xml:space="preserve"> </w:t>
      </w:r>
      <w:r w:rsidRPr="0054634E">
        <w:t xml:space="preserve">Lovley and Phillips </w:t>
      </w:r>
      <w:r>
        <w:t>(</w:t>
      </w:r>
      <w:r w:rsidRPr="0054634E">
        <w:t>1986)</w:t>
      </w:r>
      <w:r>
        <w:t xml:space="preserve"> </w:t>
      </w:r>
      <w:r w:rsidRPr="009E5A09">
        <w:t xml:space="preserve">and sterilized by heating to 90 °C for 20 minutes and cooling to 4 °C twice. Fh sterility was confirmed via plating on </w:t>
      </w:r>
      <w:r>
        <w:t xml:space="preserve">Difco </w:t>
      </w:r>
      <w:r w:rsidRPr="009E5A09">
        <w:t>Marine Agar</w:t>
      </w:r>
      <w:r>
        <w:t xml:space="preserve"> 2216 (BD)</w:t>
      </w:r>
      <w:r w:rsidRPr="009E5A09">
        <w:t>.</w:t>
      </w:r>
    </w:p>
    <w:p w14:paraId="3CFA0A63" w14:textId="18BC3506" w:rsidR="00743645" w:rsidRPr="009E5A09" w:rsidRDefault="00743645" w:rsidP="001A14AF">
      <w:r>
        <w:t xml:space="preserve">Media contained </w:t>
      </w:r>
      <w:r w:rsidRPr="009E5A09">
        <w:t>combination</w:t>
      </w:r>
      <w:r>
        <w:t>s</w:t>
      </w:r>
      <w:r w:rsidRPr="009E5A09">
        <w:t xml:space="preserve"> of Fh</w:t>
      </w:r>
      <w:r>
        <w:t xml:space="preserve"> (100 mM)</w:t>
      </w:r>
      <w:r w:rsidRPr="009E5A09">
        <w:t>, lactate</w:t>
      </w:r>
      <w:r>
        <w:t xml:space="preserve"> (30 mM)</w:t>
      </w:r>
      <w:r w:rsidRPr="009E5A09">
        <w:t>, and thiosulfate</w:t>
      </w:r>
      <w:r>
        <w:t xml:space="preserve"> (10mM; </w:t>
      </w:r>
      <w:r w:rsidRPr="009E5A09">
        <w:t>e.g., Fh + lactate</w:t>
      </w:r>
      <w:r>
        <w:t xml:space="preserve"> + thiosulfate</w:t>
      </w:r>
      <w:r w:rsidRPr="009E5A09">
        <w:t>, Fh + lactate, Fh only</w:t>
      </w:r>
      <w:r>
        <w:t xml:space="preserve">; </w:t>
      </w:r>
      <w:r w:rsidRPr="00FA0ACD">
        <w:rPr>
          <w:b/>
          <w:bCs/>
        </w:rPr>
        <w:t xml:space="preserve">Table </w:t>
      </w:r>
      <w:r w:rsidR="00FA0ACD" w:rsidRPr="00FA0ACD">
        <w:rPr>
          <w:b/>
          <w:bCs/>
        </w:rPr>
        <w:t>4.</w:t>
      </w:r>
      <w:r w:rsidRPr="00FA0ACD">
        <w:rPr>
          <w:b/>
          <w:bCs/>
        </w:rPr>
        <w:t>1</w:t>
      </w:r>
      <w:r w:rsidR="008420A0">
        <w:t xml:space="preserve">; </w:t>
      </w:r>
      <w:r w:rsidR="008420A0" w:rsidRPr="00954AAF">
        <w:t xml:space="preserve">tables and figures in this chapter can be found </w:t>
      </w:r>
      <w:r w:rsidR="008420A0">
        <w:t xml:space="preserve">in the </w:t>
      </w:r>
      <w:r w:rsidR="008420A0" w:rsidRPr="008420A0">
        <w:rPr>
          <w:b/>
          <w:bCs/>
        </w:rPr>
        <w:t>Chapter Four Appendix</w:t>
      </w:r>
      <w:r w:rsidRPr="009E5A09">
        <w:t xml:space="preserve">). Unless otherwise noted, marine minimal medium + lactate + thiosulfate was considered the “No Fh” medium, and marine minimal medium + lactate + thiosulfate + Fh is designated as the “+Fh” treatment. </w:t>
      </w:r>
    </w:p>
    <w:p w14:paraId="5F6D4A3C" w14:textId="77777777" w:rsidR="00743645" w:rsidRPr="009E5A09" w:rsidRDefault="00743645" w:rsidP="001A14AF">
      <w:r w:rsidRPr="009E5A09">
        <w:t>BF02_Schw cultures were pelleted and washed three times with the basal salt solution (i.e., no Fh, thiosulfate, lactate, or amino acids) before inoculation in serum vials with at a 1:50 dilution. “Dead” inocul</w:t>
      </w:r>
      <w:r>
        <w:t>a</w:t>
      </w:r>
      <w:r w:rsidRPr="009E5A09">
        <w:t xml:space="preserve"> w</w:t>
      </w:r>
      <w:r>
        <w:t xml:space="preserve">ere </w:t>
      </w:r>
      <w:r w:rsidRPr="009E5A09">
        <w:t xml:space="preserve">prepared by autoclaving an aliquot of washed cells for 20 minutes at 121 °C. All vials were wrapped in aluminum foil to prevent photodegradation of </w:t>
      </w:r>
      <w:r>
        <w:t>Fh</w:t>
      </w:r>
      <w:r w:rsidRPr="009E5A09">
        <w:t xml:space="preserve"> and incubated at 4 °C. For each time point, cultures were thoroughly mixed before 2 mL aliquots were drawn via syringe, with 1 mL aliquoted for plate counts and insoluble </w:t>
      </w:r>
      <w:r>
        <w:t>Fe</w:t>
      </w:r>
      <w:r w:rsidRPr="009E5A09">
        <w:t xml:space="preserve"> concentration, and 1 mL passed through a 0.2 μm syringe filter for soluble </w:t>
      </w:r>
      <w:r>
        <w:t>Fe</w:t>
      </w:r>
      <w:r w:rsidRPr="009E5A09">
        <w:t xml:space="preserve"> concentration, as described below. Unfiltered aliquots were diluted using marine minimal medium basal salts, plated on Difco Marine Agar 2216</w:t>
      </w:r>
      <w:r>
        <w:t xml:space="preserve"> (BD)</w:t>
      </w:r>
      <w:r w:rsidRPr="009E5A09">
        <w:t xml:space="preserve">, and incubated at 15 °C for one week </w:t>
      </w:r>
      <w:r>
        <w:t xml:space="preserve">for </w:t>
      </w:r>
      <w:r w:rsidRPr="009E5A09">
        <w:t xml:space="preserve">CFU counts. Both filtered and unfiltered aliquots designated for </w:t>
      </w:r>
      <w:r>
        <w:t>Fe</w:t>
      </w:r>
      <w:r w:rsidRPr="009E5A09">
        <w:t xml:space="preserve"> were diluted 10-fold in 0.5 N HCl in acid-washed glass vials and stored at 4 °C until analysis.</w:t>
      </w:r>
    </w:p>
    <w:p w14:paraId="7EC5CA91" w14:textId="77777777" w:rsidR="00743645" w:rsidRPr="00075256" w:rsidRDefault="00743645" w:rsidP="001A14AF">
      <w:pPr>
        <w:pStyle w:val="Heading3"/>
        <w:spacing w:before="0" w:after="0"/>
      </w:pPr>
      <w:bookmarkStart w:id="217" w:name="_Toc196256926"/>
      <w:r w:rsidRPr="00075256">
        <w:t>Colorimetric Iron Concentration</w:t>
      </w:r>
      <w:bookmarkEnd w:id="217"/>
    </w:p>
    <w:p w14:paraId="04F916AA" w14:textId="77777777" w:rsidR="00743645" w:rsidRPr="009E5A09" w:rsidRDefault="00743645" w:rsidP="001A14AF">
      <w:r>
        <w:t>Fe</w:t>
      </w:r>
      <w:r w:rsidRPr="009E5A09">
        <w:t xml:space="preserve"> concentration was determined via colorimetric assay using FerroZine</w:t>
      </w:r>
      <w:r w:rsidRPr="009E5A09">
        <w:rPr>
          <w:vertAlign w:val="superscript"/>
        </w:rPr>
        <w:t>TM</w:t>
      </w:r>
      <w:r w:rsidRPr="009E5A09">
        <w:t xml:space="preserve"> Iron Reagent (Thermo Scientific). Briefly, a 0.02% FerroZine</w:t>
      </w:r>
      <w:r w:rsidRPr="009E5A09">
        <w:rPr>
          <w:vertAlign w:val="superscript"/>
        </w:rPr>
        <w:t>TM</w:t>
      </w:r>
      <w:r w:rsidRPr="009E5A09">
        <w:t xml:space="preserve"> solution was prepared in 1.2% HEPES buffer. A reducing buffer was prepared by adding hydroxylamine to FerroZine</w:t>
      </w:r>
      <w:r w:rsidRPr="009E5A09">
        <w:rPr>
          <w:vertAlign w:val="superscript"/>
        </w:rPr>
        <w:t>TM</w:t>
      </w:r>
      <w:r w:rsidRPr="009E5A09">
        <w:t xml:space="preserve"> solution </w:t>
      </w:r>
      <w:r>
        <w:t>(</w:t>
      </w:r>
      <w:r w:rsidRPr="009E5A09">
        <w:t>final concentration 1%</w:t>
      </w:r>
      <w:r>
        <w:t>)</w:t>
      </w:r>
      <w:r w:rsidRPr="009E5A09">
        <w:t xml:space="preserve">. Unfiltered samples </w:t>
      </w:r>
      <w:r>
        <w:t xml:space="preserve">were diluted </w:t>
      </w:r>
      <w:r w:rsidRPr="009E5A09">
        <w:t xml:space="preserve">1:10 and aliquoted into two 96-well plates in triplicate, followed by the addition of either </w:t>
      </w:r>
      <w:r w:rsidRPr="009E5A09">
        <w:lastRenderedPageBreak/>
        <w:t>FerroZine</w:t>
      </w:r>
      <w:r w:rsidRPr="009E5A09">
        <w:rPr>
          <w:vertAlign w:val="superscript"/>
        </w:rPr>
        <w:t xml:space="preserve">TM </w:t>
      </w:r>
      <w:r w:rsidRPr="009E5A09">
        <w:t>solution or the reducing buffer, and incubated for 15 minutes</w:t>
      </w:r>
      <w:r>
        <w:t xml:space="preserve">, then </w:t>
      </w:r>
      <w:r w:rsidRPr="009E5A09">
        <w:t xml:space="preserve">absorbance was measured at 562 nm using a Synergy HT plate reader (BioTek) and compared to a standard curve of ferrous ammonium sulfate and statistically compared in R v4.3.2 </w:t>
      </w:r>
      <w:r w:rsidRPr="00041162">
        <w:t>(R Core Team, 2023)</w:t>
      </w:r>
      <w:r w:rsidRPr="009E5A09">
        <w:t xml:space="preserve"> using linear </w:t>
      </w:r>
      <w:r w:rsidRPr="009E5A09">
        <w:rPr>
          <w:rFonts w:eastAsia="Gungsuh"/>
        </w:rPr>
        <w:t xml:space="preserve">mixed-effect models to account for biological and technical replicates through the lmerTest package v3.1-3 </w:t>
      </w:r>
      <w:r w:rsidRPr="00041162">
        <w:t>(Kuznetsova et al., 2017)</w:t>
      </w:r>
      <w:r w:rsidRPr="009E5A09">
        <w:rPr>
          <w:rFonts w:eastAsia="Gungsuh"/>
        </w:rPr>
        <w:t xml:space="preserve">. Models were assessed via ANOVA and Tukey’s all-pair comparison using the car v3.1-2 </w:t>
      </w:r>
      <w:r w:rsidRPr="00041162">
        <w:t>(Fox and Weisburg, 2019)</w:t>
      </w:r>
      <w:r w:rsidRPr="009E5A09">
        <w:rPr>
          <w:rFonts w:eastAsia="Gungsuh"/>
        </w:rPr>
        <w:t xml:space="preserve"> and multcomp v1.4-25 </w:t>
      </w:r>
      <w:r w:rsidRPr="00041162">
        <w:t>(Hothorn et al., 2008)</w:t>
      </w:r>
      <w:r w:rsidRPr="009E5A09">
        <w:rPr>
          <w:rFonts w:eastAsia="Gungsuh"/>
        </w:rPr>
        <w:t xml:space="preserve"> packages, respectively. Features were considered statistically significant if p ≤ 0.05.</w:t>
      </w:r>
    </w:p>
    <w:p w14:paraId="62E72024" w14:textId="77777777" w:rsidR="00743645" w:rsidRPr="00075256" w:rsidRDefault="00743645" w:rsidP="001A14AF">
      <w:pPr>
        <w:pStyle w:val="Heading3"/>
        <w:spacing w:before="0" w:after="0"/>
      </w:pPr>
      <w:bookmarkStart w:id="218" w:name="_Toc196256927"/>
      <w:r w:rsidRPr="00075256">
        <w:t>Mineralogy</w:t>
      </w:r>
      <w:bookmarkEnd w:id="218"/>
    </w:p>
    <w:p w14:paraId="57C9019C" w14:textId="0348133E" w:rsidR="00743645" w:rsidRPr="009E5A09" w:rsidRDefault="00743645" w:rsidP="001A14AF">
      <w:r w:rsidRPr="009E5A09">
        <w:t>Incubations designated for mineral analyses were performed in 50 mL volumes as described above for Fh containing treatments (Fh + lactate + thiosulfate, Fh + lactate</w:t>
      </w:r>
      <w:r>
        <w:t xml:space="preserve">; </w:t>
      </w:r>
      <w:r w:rsidRPr="00FA0ACD">
        <w:rPr>
          <w:b/>
        </w:rPr>
        <w:t xml:space="preserve">Table </w:t>
      </w:r>
      <w:r w:rsidR="00FA0ACD" w:rsidRPr="00FA0ACD">
        <w:rPr>
          <w:b/>
        </w:rPr>
        <w:t>4.</w:t>
      </w:r>
      <w:r w:rsidRPr="00FA0ACD">
        <w:rPr>
          <w:b/>
        </w:rPr>
        <w:t>1</w:t>
      </w:r>
      <w:r w:rsidRPr="009E5A09">
        <w:t xml:space="preserve">). </w:t>
      </w:r>
      <w:r>
        <w:t>At</w:t>
      </w:r>
      <w:r w:rsidRPr="009E5A09">
        <w:t xml:space="preserve"> each time point, cultures were heat-killed at 40 °C for three hours to avoid abiotic transformation of Fe species and shipped </w:t>
      </w:r>
      <w:r>
        <w:t xml:space="preserve">at 4 °C </w:t>
      </w:r>
      <w:r w:rsidRPr="009E5A09">
        <w:t>for analysis.</w:t>
      </w:r>
    </w:p>
    <w:p w14:paraId="554F932A" w14:textId="77777777" w:rsidR="00743645" w:rsidRPr="009E5A09" w:rsidRDefault="00743645" w:rsidP="001A14AF">
      <w:r w:rsidRPr="009E5A09">
        <w:rPr>
          <w:i/>
        </w:rPr>
        <w:t xml:space="preserve">X-ray diffraction (XRD). </w:t>
      </w:r>
      <w:r w:rsidRPr="009E5A09">
        <w:t>XRD analyses used a Rigaku Smartlab II SE XRD with Cu Kα radiation in Bragg-Brentano geometry. Scans were performed as 5-80° (0.01° step size) or 2-80° (0.02° step size) 2θ scans at a rate of 2° min</w:t>
      </w:r>
      <w:r w:rsidRPr="009E5A09">
        <w:rPr>
          <w:vertAlign w:val="superscript"/>
        </w:rPr>
        <w:t>-1</w:t>
      </w:r>
      <w:r w:rsidRPr="009E5A09">
        <w:t>. Both baseline correction and mineral identification were performed using Smartlab Studio II software (Rigaku) with a licensed International Centre for Diffraction Data PDF 2 database (2019 version; Fawcett et al., 2017). Both profile and peak data were used to identify and quantify mineral phases via the Smartlab Studio II XRD plugin. Each pattern was adjusted to a tight B-spline baseline as well as an adjusted baseline to account for amorphous baseline swell.</w:t>
      </w:r>
    </w:p>
    <w:p w14:paraId="68CD95C3" w14:textId="77777777" w:rsidR="00743645" w:rsidRPr="009E5A09" w:rsidRDefault="00743645" w:rsidP="001A14AF">
      <w:r w:rsidRPr="009E5A09">
        <w:rPr>
          <w:i/>
        </w:rPr>
        <w:t xml:space="preserve">Fourier transform infrared (FTIR) spectroscopy. </w:t>
      </w:r>
      <w:r w:rsidRPr="009E5A09">
        <w:t>FTIR spectra were collected using a Bruker ALPHA FTIR spectrometer with a platinum diamond ATR attachment. Spectra were collected at a 4 or 8 cm</w:t>
      </w:r>
      <w:r w:rsidRPr="009E5A09">
        <w:rPr>
          <w:vertAlign w:val="superscript"/>
        </w:rPr>
        <w:t>-1</w:t>
      </w:r>
      <w:r w:rsidRPr="009E5A09">
        <w:t xml:space="preserve"> resolution from 360-400 cm</w:t>
      </w:r>
      <w:r w:rsidRPr="009E5A09">
        <w:rPr>
          <w:vertAlign w:val="superscript"/>
        </w:rPr>
        <w:t>-1</w:t>
      </w:r>
      <w:r w:rsidRPr="009E5A09">
        <w:t xml:space="preserve"> and final spectra were the result of averaging 128 scans per sample. Bruker’s OPUS </w:t>
      </w:r>
      <w:r w:rsidRPr="002D472C">
        <w:t>softwar</w:t>
      </w:r>
      <w:r w:rsidRPr="002D472C">
        <w:rPr>
          <w:highlight w:val="white"/>
        </w:rPr>
        <w:t>e 7.3 w</w:t>
      </w:r>
      <w:r w:rsidRPr="002D472C">
        <w:t>as</w:t>
      </w:r>
      <w:r w:rsidRPr="009E5A09">
        <w:t xml:space="preserve"> utilized for continuum removal via concave rubberband correction.</w:t>
      </w:r>
      <w:r>
        <w:t xml:space="preserve"> Reference spectra include previously collected spectra </w:t>
      </w:r>
      <w:r w:rsidRPr="00041162">
        <w:t>(Sklute et al., 2018)</w:t>
      </w:r>
      <w:r>
        <w:t xml:space="preserve"> and spectra from the USGS Spectral Library </w:t>
      </w:r>
      <w:r w:rsidRPr="00041162">
        <w:t>(Kokaly et al., 2017)</w:t>
      </w:r>
      <w:r>
        <w:t>.</w:t>
      </w:r>
    </w:p>
    <w:p w14:paraId="31F73C12" w14:textId="77777777" w:rsidR="00743645" w:rsidRPr="009E5A09" w:rsidRDefault="00743645" w:rsidP="001A14AF">
      <w:r w:rsidRPr="009E5A09">
        <w:rPr>
          <w:i/>
        </w:rPr>
        <w:lastRenderedPageBreak/>
        <w:t xml:space="preserve">Visual and near-infrared (VNIR) spectroscopy. </w:t>
      </w:r>
      <w:r w:rsidRPr="009E5A09">
        <w:t>VNIR spectra were obtained on an ASD Fieldspec 4 Max spectrometer in bidirectional geometry. The spectrometer was equipped with an Oceans Optics HL-2000 light source directed down a 1000 μm Si optical fiber at 30° and an 8° foreoptic for perpendicular collection. Prior to measurement, samples were leveled without packing in matt</w:t>
      </w:r>
      <w:r>
        <w:t>e</w:t>
      </w:r>
      <w:r w:rsidRPr="009E5A09">
        <w:t>-black painted samples cups and spectra were collected without ambient illumination. Spectra were obtained as 3 × 240 136 ms integrations and referred against Spectralon standards</w:t>
      </w:r>
      <w:r>
        <w:t xml:space="preserve">, USGS references </w:t>
      </w:r>
      <w:r w:rsidRPr="00041162">
        <w:t>(Kokaly et al., 2017)</w:t>
      </w:r>
      <w:r>
        <w:t xml:space="preserve">, and previously collected spectra </w:t>
      </w:r>
      <w:r w:rsidRPr="00041162">
        <w:t>(Sklute et al., 2018)</w:t>
      </w:r>
      <w:r>
        <w:t>.</w:t>
      </w:r>
    </w:p>
    <w:p w14:paraId="74C85D65" w14:textId="77777777" w:rsidR="00743645" w:rsidRPr="009E5A09" w:rsidRDefault="00743645" w:rsidP="001A14AF">
      <w:r w:rsidRPr="009E5A09">
        <w:rPr>
          <w:i/>
        </w:rPr>
        <w:t xml:space="preserve">Raman spectroscopy. </w:t>
      </w:r>
      <w:r w:rsidRPr="009E5A09">
        <w:t>Raman spectra were obtained using a Bruker BRAVO spectrometer with excitation lasers at 758 and 852 nm and a 300-3200 cm</w:t>
      </w:r>
      <w:r w:rsidRPr="009E5A09">
        <w:rPr>
          <w:vertAlign w:val="superscript"/>
        </w:rPr>
        <w:t>-1</w:t>
      </w:r>
      <w:r w:rsidRPr="009E5A09">
        <w:t xml:space="preserve"> range. Samples were analyzed through the bottom of one dram glass vials and resulting spectra were averaged over 100 1000 ms integrations. Baseline correction was performed using the rubber band algorithm as implemented at http://nemo.mtholyoke.edu.</w:t>
      </w:r>
      <w:r>
        <w:t xml:space="preserve"> Spectra were compared to the RRUFF database </w:t>
      </w:r>
      <w:r w:rsidRPr="00041162">
        <w:t>(Lafuente et al., 2015)</w:t>
      </w:r>
      <w:r>
        <w:t xml:space="preserve"> and previously collected spectra </w:t>
      </w:r>
      <w:r w:rsidRPr="00041162">
        <w:t>(Sklute et al., 2018)</w:t>
      </w:r>
      <w:r>
        <w:t>.</w:t>
      </w:r>
    </w:p>
    <w:p w14:paraId="45B3EA3F" w14:textId="77777777" w:rsidR="00743645" w:rsidRPr="009E5A09" w:rsidRDefault="00743645" w:rsidP="001A14AF">
      <w:r w:rsidRPr="009E5A09">
        <w:rPr>
          <w:i/>
        </w:rPr>
        <w:t xml:space="preserve">Mössbauer spectroscopy. </w:t>
      </w:r>
      <w:r w:rsidRPr="009E5A09">
        <w:t xml:space="preserve">Mössbauer spectroscopy was performed using a Web Research (now See-Co) W302 Mössbauer spectrometer at 295, 220, 150, 80, and 4K employing a Janus closed cycle He compressor at &lt; 295 K. Samples were dried and ground lightly with sugar in secured plastic washers backed with Kapton tape. Each 1024-channel spectrum was folded about the midpoint and an α-Fe foil was used for calibration via the WMOSS4 program </w:t>
      </w:r>
      <w:r w:rsidRPr="00041162">
        <w:t>(Prisecaru, 2009)</w:t>
      </w:r>
      <w:r w:rsidRPr="009E5A09">
        <w:t>. Spectra fitting was performed using the Mexfield program (University of Ghent).</w:t>
      </w:r>
    </w:p>
    <w:p w14:paraId="222E44C9" w14:textId="77777777" w:rsidR="00743645" w:rsidRPr="009E5A09" w:rsidRDefault="00743645" w:rsidP="001A14AF">
      <w:r w:rsidRPr="009E5A09">
        <w:rPr>
          <w:i/>
        </w:rPr>
        <w:t xml:space="preserve">Transmission electron microscopy (TEM). </w:t>
      </w:r>
      <w:r w:rsidRPr="009E5A09">
        <w:t>TEM images with selected area electron diffraction (SAED) data were collected on the Johns Hopkins University Materials Characterization and Processing Center’s Thermo Fisher TF30 instrument operating at 300 kV with an EDAX windowless silicon drift energy dispersive X-ray (EDX) detector. Conventional imaging, high-resolution lattice imaging (HRTEM), SAED, scanning transmission electron microscopy (STEM)</w:t>
      </w:r>
      <w:r>
        <w:t>,</w:t>
      </w:r>
      <w:r w:rsidRPr="009E5A09">
        <w:t xml:space="preserve"> bright-field (BF)</w:t>
      </w:r>
      <w:r>
        <w:t>,</w:t>
      </w:r>
      <w:r w:rsidRPr="009E5A09">
        <w:t xml:space="preserve"> and high-angle annular dark-field (HAADF) imaging, and STEM EDX maps were collected for </w:t>
      </w:r>
      <w:r w:rsidRPr="009E5A09">
        <w:lastRenderedPageBreak/>
        <w:t>selected samples.</w:t>
      </w:r>
      <w:r>
        <w:t xml:space="preserve"> </w:t>
      </w:r>
      <w:r w:rsidRPr="00A44DBA">
        <w:t xml:space="preserve">Images of the </w:t>
      </w:r>
      <w:r w:rsidRPr="00385158">
        <w:rPr>
          <w:i/>
          <w:iCs/>
        </w:rPr>
        <w:t>Shewanella</w:t>
      </w:r>
      <w:r w:rsidRPr="00A44DBA">
        <w:t xml:space="preserve"> cells were acquired at Mount Holyoke College</w:t>
      </w:r>
      <w:r>
        <w:t xml:space="preserve"> using a </w:t>
      </w:r>
      <w:r w:rsidRPr="008E35B7">
        <w:t>Phillips CM 100 TEM</w:t>
      </w:r>
      <w:r>
        <w:t xml:space="preserve"> </w:t>
      </w:r>
      <w:r w:rsidRPr="008E35B7">
        <w:t>equipped with a 40-100KV tungsten filament, single-tilt goniometer stage, and an AMT digital camera.</w:t>
      </w:r>
    </w:p>
    <w:p w14:paraId="64119AF3" w14:textId="77777777" w:rsidR="00743645" w:rsidRPr="00075256" w:rsidRDefault="00743645" w:rsidP="001A14AF">
      <w:pPr>
        <w:pStyle w:val="Heading3"/>
        <w:spacing w:before="0" w:after="0"/>
      </w:pPr>
      <w:bookmarkStart w:id="219" w:name="_Toc196256928"/>
      <w:r w:rsidRPr="00075256">
        <w:t>RNA Extraction and Sequencing</w:t>
      </w:r>
      <w:bookmarkEnd w:id="219"/>
    </w:p>
    <w:p w14:paraId="12724481" w14:textId="77777777" w:rsidR="00743645" w:rsidRPr="009E5A09" w:rsidRDefault="00743645" w:rsidP="001A14AF">
      <w:r w:rsidRPr="009E5A09">
        <w:t>Cultures for RNA sequencing were incubated in 50 mL volumes as described for the mineralogical analysis, with No Fh and +Fh treatments. At each time point, cultures were pelleted (2500 × g for 30 min) and frozen at -80 °C until extraction. RNA extractions were performed using the Invitrogen TRIzol reagent following the manufacturer’s protocol with the following amendments</w:t>
      </w:r>
      <w:r>
        <w:t>:</w:t>
      </w:r>
      <w:r w:rsidRPr="009E5A09">
        <w:t xml:space="preserve"> </w:t>
      </w:r>
      <w:r>
        <w:t>p</w:t>
      </w:r>
      <w:r w:rsidRPr="009E5A09">
        <w:t>ellets from +Fh microcosms were thawed in 3.75 mL PB buffer (112.87 mM Na</w:t>
      </w:r>
      <w:r w:rsidRPr="009E5A09">
        <w:rPr>
          <w:vertAlign w:val="subscript"/>
        </w:rPr>
        <w:t>2</w:t>
      </w:r>
      <w:r w:rsidRPr="009E5A09">
        <w:t>HPO</w:t>
      </w:r>
      <w:r w:rsidRPr="009E5A09">
        <w:rPr>
          <w:vertAlign w:val="subscript"/>
        </w:rPr>
        <w:t>4</w:t>
      </w:r>
      <w:r w:rsidRPr="009E5A09">
        <w:t xml:space="preserve"> + 712 mM NaH</w:t>
      </w:r>
      <w:r w:rsidRPr="009E5A09">
        <w:rPr>
          <w:vertAlign w:val="subscript"/>
        </w:rPr>
        <w:t>2</w:t>
      </w:r>
      <w:r w:rsidRPr="009E5A09">
        <w:t>PO</w:t>
      </w:r>
      <w:r w:rsidRPr="009E5A09">
        <w:rPr>
          <w:vertAlign w:val="subscript"/>
        </w:rPr>
        <w:t>4</w:t>
      </w:r>
      <w:r w:rsidRPr="009E5A09">
        <w:t xml:space="preserve">) and 1.25 mL TNS buffer (500 mM Tris-HCl + 100 mM NaCl + 10% wt/vol SDS) before centrifuging at 2500 × g (1 min) to pellet insoluble </w:t>
      </w:r>
      <w:r>
        <w:t>Fe</w:t>
      </w:r>
      <w:r w:rsidRPr="009E5A09">
        <w:t xml:space="preserve">, as described by Huang et al. (2021). This step was repeated twice more, until no visible </w:t>
      </w:r>
      <w:r>
        <w:t>Fe</w:t>
      </w:r>
      <w:r w:rsidRPr="009E5A09">
        <w:t xml:space="preserve"> pellet</w:t>
      </w:r>
      <w:r>
        <w:t xml:space="preserve"> remained</w:t>
      </w:r>
      <w:r w:rsidRPr="009E5A09">
        <w:t xml:space="preserve">, followed by the addition of TRIzol reagent. </w:t>
      </w:r>
      <w:r>
        <w:t>P</w:t>
      </w:r>
      <w:r w:rsidRPr="009E5A09">
        <w:t xml:space="preserve">ellets </w:t>
      </w:r>
      <w:r>
        <w:t xml:space="preserve">without Fh </w:t>
      </w:r>
      <w:r w:rsidRPr="009E5A09">
        <w:t xml:space="preserve">were thawed directly in TRIzol. Following extraction, remaining genomic DNA was removed via DNase </w:t>
      </w:r>
      <w:r>
        <w:t xml:space="preserve">I </w:t>
      </w:r>
      <w:r w:rsidRPr="009E5A09">
        <w:t>treatment (Invitrogen)</w:t>
      </w:r>
      <w:r>
        <w:t xml:space="preserve"> and samples were concentrated via </w:t>
      </w:r>
      <w:r w:rsidRPr="009E5A09">
        <w:t xml:space="preserve">ethanol precipitation. Removal of DNA was confirmed via PCR, and RNA was quantified via both fluorometry and </w:t>
      </w:r>
      <w:r w:rsidRPr="00CF16A5">
        <w:t xml:space="preserve">automated electrophoresis </w:t>
      </w:r>
      <w:r w:rsidRPr="009E5A09">
        <w:t>before shipment to the University of Maryland Genomics Core for sequencing via Illumina NovaSeq 6000 (2×100bp).</w:t>
      </w:r>
    </w:p>
    <w:p w14:paraId="44BAD5BD" w14:textId="77777777" w:rsidR="00743645" w:rsidRPr="00075256" w:rsidRDefault="00743645" w:rsidP="001A14AF">
      <w:pPr>
        <w:pStyle w:val="Heading3"/>
        <w:spacing w:before="0" w:after="0"/>
      </w:pPr>
      <w:bookmarkStart w:id="220" w:name="_Toc196256929"/>
      <w:r w:rsidRPr="00075256">
        <w:t>DNA and RNA Sequence Analysis</w:t>
      </w:r>
      <w:bookmarkEnd w:id="220"/>
    </w:p>
    <w:p w14:paraId="4EA69B6F" w14:textId="77777777" w:rsidR="00743645" w:rsidRPr="009E5A09" w:rsidRDefault="00743645" w:rsidP="001A14AF">
      <w:r w:rsidRPr="009E5A09">
        <w:t xml:space="preserve">Returned RNA sequences were aligned to the published strain BF02_Schw genome using bowtie2 v2.2.5 </w:t>
      </w:r>
      <w:r w:rsidRPr="00041162">
        <w:t>(Langmead and Salzberg, 2012)</w:t>
      </w:r>
      <w:r w:rsidRPr="009E5A09">
        <w:t xml:space="preserve"> </w:t>
      </w:r>
      <w:r w:rsidRPr="009E5A09">
        <w:rPr>
          <w:rFonts w:eastAsia="Gungsuh"/>
        </w:rPr>
        <w:t xml:space="preserve">using default parameters. Count files were generated using samtools v1.9 </w:t>
      </w:r>
      <w:r w:rsidRPr="00041162">
        <w:t>(Danecek et al., 2021)</w:t>
      </w:r>
      <w:r w:rsidRPr="009E5A09">
        <w:rPr>
          <w:rFonts w:eastAsia="Gungsuh"/>
        </w:rPr>
        <w:t xml:space="preserve"> and aniv’o v5.5</w:t>
      </w:r>
      <w:r>
        <w:rPr>
          <w:rFonts w:eastAsia="Gungsuh"/>
        </w:rPr>
        <w:t xml:space="preserve"> </w:t>
      </w:r>
      <w:r w:rsidRPr="00041162">
        <w:t>(Eren et al., 2015)</w:t>
      </w:r>
      <w:r w:rsidRPr="009E5A09">
        <w:rPr>
          <w:rFonts w:eastAsia="Gungsuh"/>
        </w:rPr>
        <w:t xml:space="preserve">. Reads were assembled into transcripts using StringTie v2.1.7 </w:t>
      </w:r>
      <w:r w:rsidRPr="00041162">
        <w:t>(Pertea et al., 2015)</w:t>
      </w:r>
      <w:r w:rsidRPr="009E5A09">
        <w:rPr>
          <w:rFonts w:eastAsia="Gungsuh"/>
        </w:rPr>
        <w:t xml:space="preserve"> and transcripts were quantified using Salmon v1.10.1</w:t>
      </w:r>
      <w:r>
        <w:rPr>
          <w:rFonts w:eastAsia="Gungsuh"/>
        </w:rPr>
        <w:t xml:space="preserve"> </w:t>
      </w:r>
      <w:r w:rsidRPr="00041162">
        <w:t>(Patro et al., 2017)</w:t>
      </w:r>
      <w:r w:rsidRPr="009E5A09">
        <w:rPr>
          <w:rFonts w:eastAsia="Gungsuh"/>
        </w:rPr>
        <w:t xml:space="preserve">. Differential expression was analyzed using DESeq2 v1.34.1 </w:t>
      </w:r>
      <w:r w:rsidRPr="00041162">
        <w:t>(Anders and Huber, 2010)</w:t>
      </w:r>
      <w:r w:rsidRPr="009E5A09">
        <w:rPr>
          <w:rFonts w:eastAsia="Gungsuh"/>
        </w:rPr>
        <w:t xml:space="preserve"> in R v4.3.2</w:t>
      </w:r>
      <w:r>
        <w:rPr>
          <w:rFonts w:eastAsia="Gungsuh"/>
        </w:rPr>
        <w:t xml:space="preserve"> </w:t>
      </w:r>
      <w:r w:rsidRPr="00041162">
        <w:t>(R Core Team, 2023)</w:t>
      </w:r>
      <w:r w:rsidRPr="009E5A09">
        <w:rPr>
          <w:rFonts w:eastAsia="Gungsuh"/>
        </w:rPr>
        <w:t>. Transcripts were considered significantly more or less abundant if log</w:t>
      </w:r>
      <w:r>
        <w:rPr>
          <w:rFonts w:eastAsia="Gungsuh"/>
          <w:vertAlign w:val="subscript"/>
        </w:rPr>
        <w:t>2</w:t>
      </w:r>
      <w:r w:rsidRPr="009E5A09">
        <w:rPr>
          <w:rFonts w:eastAsia="Gungsuh"/>
        </w:rPr>
        <w:t xml:space="preserve"> fold change (LFC) was ≥ 1 or ≤ -1 and the adjusted p value (Benjamini-Hochberg adjusted Wald test</w:t>
      </w:r>
      <w:r w:rsidRPr="009E5A09">
        <w:t>; p</w:t>
      </w:r>
      <w:r w:rsidRPr="009E5A09">
        <w:rPr>
          <w:vertAlign w:val="subscript"/>
        </w:rPr>
        <w:t>adj</w:t>
      </w:r>
      <w:r w:rsidRPr="009E5A09">
        <w:rPr>
          <w:rFonts w:eastAsia="Gungsuh"/>
        </w:rPr>
        <w:t>) was ≤ 0.05.</w:t>
      </w:r>
    </w:p>
    <w:p w14:paraId="68A5E11D" w14:textId="77777777" w:rsidR="00743645" w:rsidRPr="009E5A09" w:rsidRDefault="00743645" w:rsidP="001A14AF">
      <w:r w:rsidRPr="009E5A09">
        <w:lastRenderedPageBreak/>
        <w:t xml:space="preserve">Both genes and transcripts were annotated using three methods. Initial open reading frame identification and sequence annotation was performed using Prokka v1.14.5 </w:t>
      </w:r>
      <w:r w:rsidRPr="00041162">
        <w:t>(Seemann, 2014)</w:t>
      </w:r>
      <w:r w:rsidRPr="009E5A09">
        <w:t xml:space="preserve">. </w:t>
      </w:r>
      <w:r>
        <w:t>O</w:t>
      </w:r>
      <w:r w:rsidRPr="009E5A09">
        <w:t>pen reading frame</w:t>
      </w:r>
      <w:r>
        <w:t xml:space="preserve">s </w:t>
      </w:r>
      <w:r w:rsidRPr="009E5A09">
        <w:t xml:space="preserve">were placed within pathways using the KEGG database </w:t>
      </w:r>
      <w:r w:rsidRPr="00041162">
        <w:t>(Kanehisa and Goto, 2000)</w:t>
      </w:r>
      <w:r w:rsidRPr="009E5A09">
        <w:t xml:space="preserve"> through GhostKOALA v2.0 </w:t>
      </w:r>
      <w:r w:rsidRPr="00041162">
        <w:t>(Kanehisa et al., 2016)</w:t>
      </w:r>
      <w:r w:rsidRPr="009E5A09">
        <w:t xml:space="preserve">. Specific gene targets were identified using BLAST v2.15.0 </w:t>
      </w:r>
      <w:r w:rsidRPr="00041162">
        <w:t>(Altschul et al., 1990)</w:t>
      </w:r>
      <w:r w:rsidRPr="009E5A09">
        <w:t xml:space="preserve"> against both in-house curated databases and the UniProt database </w:t>
      </w:r>
      <w:r w:rsidRPr="00041162">
        <w:t>(The UniProt Consortium, 2023)</w:t>
      </w:r>
      <w:r w:rsidRPr="009E5A09">
        <w:t xml:space="preserve">. Only sequences with evidence at the protein level were considered for database inclusion. Further investigation of putative function for halogenase genes involved alignment of BF02_Schw sequences to characterized flavin-dependent tryptophan halogenase sequences to compare known conserved binding domains using Geneious v6.1.8 </w:t>
      </w:r>
      <w:r w:rsidRPr="00041162">
        <w:t>(Kearse et al., 2012)</w:t>
      </w:r>
      <w:r w:rsidRPr="009E5A09">
        <w:t xml:space="preserve">. Proteins with hypothetical binding domains were computationally folded using ColabFold v1.5.5 </w:t>
      </w:r>
      <w:r w:rsidRPr="00041162">
        <w:t>(Mirdita et al., 2022)</w:t>
      </w:r>
      <w:r w:rsidRPr="009E5A09">
        <w:t xml:space="preserve"> and compared to databases of characterized protein structures using the Dali web server </w:t>
      </w:r>
      <w:r w:rsidRPr="00041162">
        <w:t>(Holm, 2022)</w:t>
      </w:r>
      <w:r w:rsidRPr="009E5A09">
        <w:t xml:space="preserve">. The alignment figure was generated with ESPrint v3.0 </w:t>
      </w:r>
      <w:r w:rsidRPr="00041162">
        <w:t>(Robert and Gouet, 2014)</w:t>
      </w:r>
      <w:r w:rsidRPr="009E5A09">
        <w:t>.</w:t>
      </w:r>
    </w:p>
    <w:p w14:paraId="3EBA160A" w14:textId="77777777" w:rsidR="00743645" w:rsidRPr="00075256" w:rsidRDefault="00743645" w:rsidP="001A14AF">
      <w:pPr>
        <w:pStyle w:val="Heading3"/>
        <w:spacing w:before="0" w:after="0"/>
      </w:pPr>
      <w:bookmarkStart w:id="221" w:name="_Toc196256930"/>
      <w:r w:rsidRPr="00075256">
        <w:t>Soluble Metabolites</w:t>
      </w:r>
      <w:bookmarkEnd w:id="221"/>
      <w:r w:rsidRPr="00075256">
        <w:t xml:space="preserve"> </w:t>
      </w:r>
    </w:p>
    <w:p w14:paraId="03EC44D2" w14:textId="77777777" w:rsidR="00743645" w:rsidRPr="009E5A09" w:rsidRDefault="00743645" w:rsidP="001A14AF">
      <w:r>
        <w:t>S</w:t>
      </w:r>
      <w:r w:rsidRPr="009E5A09">
        <w:t xml:space="preserve">oluble metabolites </w:t>
      </w:r>
      <w:r>
        <w:t xml:space="preserve">were identified in pooled </w:t>
      </w:r>
      <w:r w:rsidRPr="009E5A09">
        <w:t>supernatant collected from the transcriptomics experiment</w:t>
      </w:r>
      <w:r>
        <w:t xml:space="preserve"> </w:t>
      </w:r>
      <w:r w:rsidRPr="009E5A09">
        <w:t xml:space="preserve">via </w:t>
      </w:r>
      <w:r>
        <w:t>UHPLC-MS</w:t>
      </w:r>
      <w:r w:rsidRPr="009E5A09">
        <w:t xml:space="preserve">. Supernatant from the eight-week control microcosms were not </w:t>
      </w:r>
      <w:r>
        <w:t>collected</w:t>
      </w:r>
      <w:r w:rsidRPr="009E5A09">
        <w:t xml:space="preserve">. </w:t>
      </w:r>
      <w:r>
        <w:t>S</w:t>
      </w:r>
      <w:r w:rsidRPr="009E5A09">
        <w:t>upernatant w</w:t>
      </w:r>
      <w:r>
        <w:t>as</w:t>
      </w:r>
      <w:r w:rsidRPr="009E5A09">
        <w:t xml:space="preserve"> extracted in an equal volume of methanol (LC-MS grade)</w:t>
      </w:r>
      <w:r>
        <w:t xml:space="preserve"> </w:t>
      </w:r>
      <w:r w:rsidRPr="009E5A09">
        <w:t xml:space="preserve">via sonicating water bath (10 min) and centrifugation. Extracts were analyzed on Vanquish Horizon </w:t>
      </w:r>
      <w:r>
        <w:t>UHPLC</w:t>
      </w:r>
      <w:r w:rsidRPr="009E5A09">
        <w:t xml:space="preserve"> system and Q-Exactive HF-X Hybrid Quadrupole-Orbitrap</w:t>
      </w:r>
      <w:r>
        <w:t xml:space="preserve"> MS</w:t>
      </w:r>
      <w:r w:rsidRPr="009E5A09">
        <w:t xml:space="preserve"> (Thermo Scientific). The LC instrument was configured with a HSS T3 C18 column (Waters, 1.8 μm, 2.1 x 100 mm) using a VanGuard FIT precolumn and a VH-D10-A UV detector. Samples (2 μL) were injected using a flow rate of 0.5 mL min</w:t>
      </w:r>
      <w:r w:rsidRPr="009E5A09">
        <w:rPr>
          <w:vertAlign w:val="superscript"/>
        </w:rPr>
        <w:t>-1</w:t>
      </w:r>
      <w:r w:rsidRPr="009E5A09">
        <w:t xml:space="preserve"> into a prewarmed column (40 °C). UHPLC separation was performed using the following parameters: 2% acetonitrile: 98% water with 0.1% formic acid for 1 min, 2–40% over 4 min, 40–98% over 3 min, 98–2% over 0.2 min, and 2% for 2 min. UV–Vis data were collected at 534 nm. Electrospray ionization occurred in probe position D using the following conditions: 40 sheath gas flow, 8 auxiliary gas flow, 1 sweep gas flow, 3.5 kV spray voltage, 380</w:t>
      </w:r>
      <w:r>
        <w:t xml:space="preserve"> </w:t>
      </w:r>
      <w:r w:rsidRPr="009E5A09">
        <w:t>°C capillary temperature, 50 radiofrequency funnel level, and 350</w:t>
      </w:r>
      <w:r>
        <w:t xml:space="preserve"> </w:t>
      </w:r>
      <w:r w:rsidRPr="009E5A09">
        <w:lastRenderedPageBreak/>
        <w:t xml:space="preserve">°C auxiliary gas temperature. Resulting spectra were aligned using MS-DIAL v5.2.240218.2 </w:t>
      </w:r>
      <w:r w:rsidRPr="00041162">
        <w:t>(Tsugawa et al., 2015)</w:t>
      </w:r>
      <w:r w:rsidRPr="009E5A09">
        <w:t xml:space="preserve"> and peak filtering and analysis were performed using MPACT v23.05.15 </w:t>
      </w:r>
      <w:r w:rsidRPr="00041162">
        <w:t>(Samples et al., 2023)</w:t>
      </w:r>
      <w:r w:rsidRPr="009E5A09">
        <w:t>.</w:t>
      </w:r>
      <w:r>
        <w:t xml:space="preserve"> </w:t>
      </w:r>
      <w:r w:rsidRPr="009E5A09">
        <w:t>Solvent blank filtering was applied using a group parsing threshold of 0.01 and a minimum reproducibility threshold of 0.5 median coefficient of variation among technical replicates was utilized. Presence or absence of features was determined using a 0.05 relative abundance threshold.</w:t>
      </w:r>
      <w:r>
        <w:t xml:space="preserve"> </w:t>
      </w:r>
      <w:r w:rsidRPr="009E5A09">
        <w:t>Putative riboflavin peaks were compared to a known riboflavin standard</w:t>
      </w:r>
      <w:r>
        <w:t xml:space="preserve"> (Sigma-Aldrich)</w:t>
      </w:r>
      <w:r w:rsidRPr="009E5A09">
        <w:t xml:space="preserve">. </w:t>
      </w:r>
    </w:p>
    <w:p w14:paraId="1A18CED5" w14:textId="77777777" w:rsidR="00743645" w:rsidRPr="00075256" w:rsidRDefault="00743645" w:rsidP="001A14AF">
      <w:pPr>
        <w:pStyle w:val="Heading3"/>
        <w:spacing w:before="0" w:after="0"/>
      </w:pPr>
      <w:bookmarkStart w:id="222" w:name="_Toc196256931"/>
      <w:r w:rsidRPr="00075256">
        <w:t>Volatile Organic Compounds (VOCs)</w:t>
      </w:r>
      <w:bookmarkEnd w:id="222"/>
    </w:p>
    <w:p w14:paraId="44C3911A" w14:textId="77777777" w:rsidR="00743645" w:rsidRDefault="00743645" w:rsidP="001A14AF">
      <w:r>
        <w:t xml:space="preserve">Two different techniques were used to assess the VOCs produced by </w:t>
      </w:r>
      <w:r w:rsidRPr="009E5A09">
        <w:t>BF02_Schw</w:t>
      </w:r>
      <w:r>
        <w:t xml:space="preserve">: </w:t>
      </w:r>
      <w:r w:rsidRPr="0004378F">
        <w:t xml:space="preserve">an Ionicon PTR-TOF-1000 Mass Spectrometer </w:t>
      </w:r>
      <w:r>
        <w:t xml:space="preserve">(PTR-MS) </w:t>
      </w:r>
      <w:r w:rsidRPr="0004378F">
        <w:t>operating in the hydronium ion mode</w:t>
      </w:r>
      <w:r>
        <w:t xml:space="preserve"> to survey the suite of VOCs present with </w:t>
      </w:r>
      <w:r w:rsidRPr="009F1DB7">
        <w:rPr>
          <w:i/>
          <w:iCs/>
        </w:rPr>
        <w:t>m/z</w:t>
      </w:r>
      <w:r>
        <w:t xml:space="preserve"> ratios ranging from 20 to 250, and a Bay Instrument M</w:t>
      </w:r>
      <w:r w:rsidRPr="009E5A09">
        <w:t xml:space="preserve">embrane </w:t>
      </w:r>
      <w:r>
        <w:t>I</w:t>
      </w:r>
      <w:r w:rsidRPr="009E5A09">
        <w:t xml:space="preserve">nlet </w:t>
      </w:r>
      <w:r>
        <w:t>M</w:t>
      </w:r>
      <w:r w:rsidRPr="009E5A09">
        <w:t xml:space="preserve">ass </w:t>
      </w:r>
      <w:r>
        <w:t>S</w:t>
      </w:r>
      <w:r w:rsidRPr="009E5A09">
        <w:t>pectrometry (MIMS)</w:t>
      </w:r>
      <w:r>
        <w:t xml:space="preserve"> system to examine the production of specific compounds from precursors of known masses.</w:t>
      </w:r>
    </w:p>
    <w:p w14:paraId="1DA2767A" w14:textId="77777777" w:rsidR="00743645" w:rsidRPr="009E5A09" w:rsidRDefault="00743645" w:rsidP="001A14AF">
      <w:r w:rsidRPr="009E5A09">
        <w:t xml:space="preserve">Incubations designated for VOC </w:t>
      </w:r>
      <w:r>
        <w:t>surveys</w:t>
      </w:r>
      <w:r w:rsidRPr="009E5A09">
        <w:t xml:space="preserve"> were performed </w:t>
      </w:r>
      <w:r>
        <w:t>on</w:t>
      </w:r>
      <w:r w:rsidRPr="009E5A09">
        <w:t xml:space="preserve"> 100 mL </w:t>
      </w:r>
      <w:r>
        <w:t>aliquots of experimental treatments</w:t>
      </w:r>
      <w:r w:rsidRPr="009E5A09">
        <w:t xml:space="preserve"> </w:t>
      </w:r>
      <w:r>
        <w:t>in acid-cleaned 1L Schott media bottles and sealed with a GL45 screw cap incorporating a butyl rubber septum.</w:t>
      </w:r>
      <w:r w:rsidRPr="009E5A09">
        <w:t xml:space="preserve"> </w:t>
      </w:r>
      <w:r>
        <w:t xml:space="preserve">This ratio of sample-to-container size was chosen </w:t>
      </w:r>
      <w:r w:rsidRPr="009E5A09">
        <w:t>to maximize headspace volume for sampling</w:t>
      </w:r>
      <w:r>
        <w:t>. S</w:t>
      </w:r>
      <w:r w:rsidRPr="009E5A09">
        <w:t xml:space="preserve">terile bottles thoroughly flushed with Ultra High Purity nitrogen </w:t>
      </w:r>
      <w:r>
        <w:t>were utilized as additional headspace controls</w:t>
      </w:r>
      <w:r w:rsidRPr="009E5A09">
        <w:t xml:space="preserve">. </w:t>
      </w:r>
    </w:p>
    <w:p w14:paraId="7CA7EC9A" w14:textId="77777777" w:rsidR="00743645" w:rsidRPr="009E5A09" w:rsidRDefault="00743645" w:rsidP="001A14AF">
      <w:r w:rsidRPr="0004378F">
        <w:t>Upon instrumental analysis</w:t>
      </w:r>
      <w:r>
        <w:t xml:space="preserve"> using the PTR-MS</w:t>
      </w:r>
      <w:r w:rsidRPr="0004378F">
        <w:t>, sample</w:t>
      </w:r>
      <w:r>
        <w:t>s</w:t>
      </w:r>
      <w:r w:rsidRPr="0004378F">
        <w:t xml:space="preserve"> w</w:t>
      </w:r>
      <w:r>
        <w:t>ere</w:t>
      </w:r>
      <w:r w:rsidRPr="0004378F">
        <w:t xml:space="preserve"> connected to the mass spectrometer via a sampling manifold with 2 gas lines. Each gas line was fitted with syringe needles that were inserted through the septum for sampling. The needle from the inflow line was placed close to the surface of the sample and the outflow needle positioned near the top of the bottle close to the septum. </w:t>
      </w:r>
      <w:r>
        <w:t>S</w:t>
      </w:r>
      <w:r w:rsidRPr="0004378F">
        <w:t>ample headspace was then flushed past the mass spectrometer’s inlet with zero-grade nitrogen gas at a rate of 80 mL min</w:t>
      </w:r>
      <w:r w:rsidRPr="0004378F">
        <w:rPr>
          <w:vertAlign w:val="superscript"/>
        </w:rPr>
        <w:noBreakHyphen/>
        <w:t>1</w:t>
      </w:r>
      <w:r>
        <w:t>, with the mass spectrometer subsampling the gas stream at a rate of 5</w:t>
      </w:r>
      <w:r w:rsidRPr="0004378F">
        <w:t>0 mL min</w:t>
      </w:r>
      <w:r w:rsidRPr="0004378F">
        <w:rPr>
          <w:vertAlign w:val="superscript"/>
        </w:rPr>
        <w:noBreakHyphen/>
        <w:t>1</w:t>
      </w:r>
      <w:r>
        <w:t>. M</w:t>
      </w:r>
      <w:r w:rsidRPr="0004378F">
        <w:t>ass spectr</w:t>
      </w:r>
      <w:r>
        <w:t xml:space="preserve">a </w:t>
      </w:r>
      <w:r w:rsidRPr="0004378F">
        <w:t>w</w:t>
      </w:r>
      <w:r>
        <w:t xml:space="preserve">ere </w:t>
      </w:r>
      <w:r w:rsidRPr="0004378F">
        <w:t>acquired every second for 10 minutes</w:t>
      </w:r>
      <w:r>
        <w:t xml:space="preserve"> and averaged</w:t>
      </w:r>
      <w:r w:rsidRPr="0004378F">
        <w:t xml:space="preserve"> to provide a single mass spectrum</w:t>
      </w:r>
      <w:r>
        <w:t xml:space="preserve"> for each sample. Subsequent </w:t>
      </w:r>
      <w:r w:rsidRPr="0004378F">
        <w:t xml:space="preserve">baseline and peak detection </w:t>
      </w:r>
      <w:r>
        <w:t xml:space="preserve">was carried out </w:t>
      </w:r>
      <w:r w:rsidRPr="0004378F">
        <w:t>using Progenesis MALDI (Nonlinear Dynamics, Newcastle upon Tyne, United Kingdom).</w:t>
      </w:r>
      <w:r w:rsidRPr="009E5A09">
        <w:t xml:space="preserve"> Differential </w:t>
      </w:r>
      <w:r w:rsidRPr="00041162">
        <w:t xml:space="preserve">abundance was determined using ANOVA in Progenesis </w:t>
      </w:r>
      <w:r w:rsidRPr="00041162">
        <w:lastRenderedPageBreak/>
        <w:t>MALDI, and identified features were statistically compared in R via ANOVA (car v3.1-2; 123) and Tukey’s all-pair comparisons (multcomp v1.4-25; Hothorn et al., 2008) using a 0.05 cut-off for significance.</w:t>
      </w:r>
    </w:p>
    <w:p w14:paraId="3BA7FCAD" w14:textId="12C140DB" w:rsidR="00743645" w:rsidRPr="009E5A09" w:rsidRDefault="00743645" w:rsidP="001A14AF">
      <w:r w:rsidRPr="009E5A09">
        <w:t>Production of volatile sulfur compounds by BF02_Schw</w:t>
      </w:r>
      <w:r>
        <w:t xml:space="preserve"> from specific precursors</w:t>
      </w:r>
      <w:r w:rsidRPr="009E5A09">
        <w:t xml:space="preserve"> was investigated using </w:t>
      </w:r>
      <w:r>
        <w:t>MIMS</w:t>
      </w:r>
      <w:r w:rsidRPr="009E5A09">
        <w:t xml:space="preserve"> </w:t>
      </w:r>
      <w:r>
        <w:t xml:space="preserve">as per Schanke et al. </w:t>
      </w:r>
      <w:r w:rsidRPr="00041162">
        <w:t>(Schanke et al., 2021)</w:t>
      </w:r>
      <w:r>
        <w:t xml:space="preserve">. </w:t>
      </w:r>
      <w:r w:rsidRPr="009E5A09">
        <w:t>BF02_Schw cultures were grown in minimal media with the addition of Fh</w:t>
      </w:r>
      <w:r>
        <w:t xml:space="preserve"> +</w:t>
      </w:r>
      <w:r w:rsidRPr="009E5A09">
        <w:t xml:space="preserve"> lactate</w:t>
      </w:r>
      <w:r>
        <w:t xml:space="preserve"> + </w:t>
      </w:r>
      <w:r w:rsidRPr="009E5A09">
        <w:t>thiosulfate. Labeled dimethyl sulfoxide (D</w:t>
      </w:r>
      <w:r w:rsidRPr="009E5A09">
        <w:rPr>
          <w:vertAlign w:val="subscript"/>
        </w:rPr>
        <w:t>6</w:t>
      </w:r>
      <w:r w:rsidRPr="009E5A09">
        <w:t>-DMSO, 118.6 μM) was added to the medium and the production of both isotopically and non-isotopically labeled dimethyl sulfide (DMS) was assessed over two weeks.</w:t>
      </w:r>
    </w:p>
    <w:p w14:paraId="36955F5A" w14:textId="7CC124C2" w:rsidR="00743645" w:rsidRPr="00870799" w:rsidRDefault="00743645" w:rsidP="001A14AF">
      <w:pPr>
        <w:pStyle w:val="Heading2"/>
        <w:spacing w:before="0" w:after="0"/>
      </w:pPr>
      <w:bookmarkStart w:id="223" w:name="_Toc196256932"/>
      <w:r w:rsidRPr="00870799">
        <w:t>Results</w:t>
      </w:r>
      <w:bookmarkEnd w:id="223"/>
    </w:p>
    <w:p w14:paraId="1B77C5C1" w14:textId="77777777" w:rsidR="00743645" w:rsidRPr="00870799" w:rsidRDefault="00743645" w:rsidP="001A14AF">
      <w:pPr>
        <w:pStyle w:val="Heading3"/>
        <w:spacing w:before="0" w:after="0"/>
      </w:pPr>
      <w:bookmarkStart w:id="224" w:name="_Toc196256933"/>
      <w:r w:rsidRPr="00870799">
        <w:t>Evidence of Bacterial Growth.</w:t>
      </w:r>
      <w:bookmarkEnd w:id="224"/>
    </w:p>
    <w:p w14:paraId="5CEA5095" w14:textId="7EF7CDB3" w:rsidR="00743645" w:rsidRPr="009E5A09" w:rsidRDefault="00743645" w:rsidP="001A14AF">
      <w:r w:rsidRPr="009E5A09">
        <w:t>Following incubation, all Live treatments</w:t>
      </w:r>
      <w:r>
        <w:t xml:space="preserve"> (</w:t>
      </w:r>
      <w:r w:rsidRPr="00FA0ACD">
        <w:rPr>
          <w:b/>
          <w:bCs/>
        </w:rPr>
        <w:t xml:space="preserve">Table </w:t>
      </w:r>
      <w:r w:rsidR="00FA0ACD" w:rsidRPr="00FA0ACD">
        <w:rPr>
          <w:b/>
          <w:bCs/>
        </w:rPr>
        <w:t>4.</w:t>
      </w:r>
      <w:r w:rsidRPr="00FA0ACD">
        <w:rPr>
          <w:b/>
          <w:bCs/>
        </w:rPr>
        <w:t>1</w:t>
      </w:r>
      <w:r>
        <w:t xml:space="preserve">) </w:t>
      </w:r>
      <w:r w:rsidRPr="009E5A09">
        <w:t xml:space="preserve">displayed an increase in total </w:t>
      </w:r>
      <w:r w:rsidRPr="00075256">
        <w:t>CFUs (</w:t>
      </w:r>
      <w:r w:rsidR="008420A0" w:rsidRPr="008420A0">
        <w:rPr>
          <w:b/>
          <w:bCs/>
        </w:rPr>
        <w:t>Appendix</w:t>
      </w:r>
      <w:r w:rsidR="008420A0">
        <w:rPr>
          <w:b/>
          <w:bCs/>
        </w:rPr>
        <w:t>,</w:t>
      </w:r>
      <w:r w:rsidR="008420A0" w:rsidRPr="00F13F6D">
        <w:rPr>
          <w:rFonts w:cs="Times New Roman"/>
          <w:b/>
          <w:bCs/>
        </w:rPr>
        <w:t xml:space="preserve"> </w:t>
      </w:r>
      <w:r w:rsidR="00CF16BC" w:rsidRPr="00854FA3">
        <w:rPr>
          <w:b/>
          <w:bCs/>
        </w:rPr>
        <w:t>Figure 6.</w:t>
      </w:r>
      <w:r w:rsidR="00854FA3" w:rsidRPr="00854FA3">
        <w:rPr>
          <w:b/>
          <w:bCs/>
        </w:rPr>
        <w:t>9</w:t>
      </w:r>
      <w:r w:rsidRPr="00075256">
        <w:t>).</w:t>
      </w:r>
      <w:r w:rsidRPr="009E5A09">
        <w:t xml:space="preserve"> At the time of inoculation, Live BF02_Schw microcosms contained an average of 10</w:t>
      </w:r>
      <w:r w:rsidRPr="009E5A09">
        <w:rPr>
          <w:vertAlign w:val="superscript"/>
        </w:rPr>
        <w:t>6</w:t>
      </w:r>
      <w:r w:rsidRPr="009E5A09">
        <w:t xml:space="preserve"> CFU mL</w:t>
      </w:r>
      <w:r w:rsidRPr="009E5A09">
        <w:rPr>
          <w:vertAlign w:val="superscript"/>
        </w:rPr>
        <w:t>-1</w:t>
      </w:r>
      <w:r w:rsidRPr="009E5A09">
        <w:t xml:space="preserve"> </w:t>
      </w:r>
      <w:r>
        <w:t>across</w:t>
      </w:r>
      <w:r w:rsidRPr="009E5A09">
        <w:t xml:space="preserve"> treatments. </w:t>
      </w:r>
      <w:r>
        <w:t>Both two- and eight-week Live incubations contained ~</w:t>
      </w:r>
      <w:r w:rsidRPr="009E5A09">
        <w:t xml:space="preserve"> 10</w:t>
      </w:r>
      <w:r w:rsidRPr="009E5A09">
        <w:rPr>
          <w:vertAlign w:val="superscript"/>
        </w:rPr>
        <w:t>8</w:t>
      </w:r>
      <w:r w:rsidRPr="009E5A09">
        <w:t xml:space="preserve"> CFU mL</w:t>
      </w:r>
      <w:r w:rsidRPr="009E5A09">
        <w:rPr>
          <w:vertAlign w:val="superscript"/>
        </w:rPr>
        <w:t>-1</w:t>
      </w:r>
      <w:r w:rsidRPr="009E5A09">
        <w:t xml:space="preserve">. Fastest growth in minimal medium was observed in Fh + </w:t>
      </w:r>
      <w:r>
        <w:t>l</w:t>
      </w:r>
      <w:r w:rsidRPr="009E5A09">
        <w:t xml:space="preserve">actate + </w:t>
      </w:r>
      <w:r>
        <w:t>t</w:t>
      </w:r>
      <w:r w:rsidRPr="009E5A09">
        <w:t>hiosulfate</w:t>
      </w:r>
      <w:r>
        <w:t xml:space="preserve"> (“+Fh”)</w:t>
      </w:r>
      <w:r w:rsidRPr="009E5A09">
        <w:t xml:space="preserve"> treatments (average μ = 0.49 days</w:t>
      </w:r>
      <w:r w:rsidRPr="009E5A09">
        <w:rPr>
          <w:vertAlign w:val="superscript"/>
        </w:rPr>
        <w:t>-1</w:t>
      </w:r>
      <w:r w:rsidRPr="009E5A09">
        <w:t xml:space="preserve">). </w:t>
      </w:r>
      <w:r>
        <w:t>No Fh i</w:t>
      </w:r>
      <w:r w:rsidRPr="009E5A09">
        <w:t>ncubations (</w:t>
      </w:r>
      <w:r>
        <w:t>i.e., l</w:t>
      </w:r>
      <w:r w:rsidRPr="009E5A09">
        <w:t xml:space="preserve">actate + </w:t>
      </w:r>
      <w:r>
        <w:t>t</w:t>
      </w:r>
      <w:r w:rsidRPr="009E5A09">
        <w:t>hiosulfate) had an average growth rate of 0.46 days</w:t>
      </w:r>
      <w:r w:rsidRPr="009E5A09">
        <w:rPr>
          <w:vertAlign w:val="superscript"/>
        </w:rPr>
        <w:t>-1</w:t>
      </w:r>
      <w:r w:rsidRPr="009E5A09">
        <w:t>. Viable cells were not observed in No Cell and Dead Cell controls.</w:t>
      </w:r>
    </w:p>
    <w:p w14:paraId="24224B4F" w14:textId="2BE0999D" w:rsidR="00743645" w:rsidRPr="009E5A09" w:rsidRDefault="00743645" w:rsidP="001A14AF">
      <w:r w:rsidRPr="009E5A09">
        <w:t>Live +</w:t>
      </w:r>
      <w:r w:rsidRPr="00075256">
        <w:t>Fh treatments showed an increase in Fe(II)</w:t>
      </w:r>
      <w:r w:rsidRPr="00075256">
        <w:rPr>
          <w:vertAlign w:val="subscript"/>
        </w:rPr>
        <w:t xml:space="preserve">Total </w:t>
      </w:r>
      <w:r w:rsidRPr="00075256">
        <w:t>following both two- and eight-week incubations (</w:t>
      </w:r>
      <w:r w:rsidR="008420A0" w:rsidRPr="008420A0">
        <w:rPr>
          <w:b/>
          <w:bCs/>
        </w:rPr>
        <w:t>Appendix</w:t>
      </w:r>
      <w:r w:rsidR="008420A0">
        <w:rPr>
          <w:b/>
          <w:bCs/>
        </w:rPr>
        <w:t>,</w:t>
      </w:r>
      <w:r w:rsidR="008420A0" w:rsidRPr="00F13F6D">
        <w:rPr>
          <w:rFonts w:cs="Times New Roman"/>
          <w:b/>
          <w:bCs/>
        </w:rPr>
        <w:t xml:space="preserve"> </w:t>
      </w:r>
      <w:r w:rsidRPr="00854FA3">
        <w:rPr>
          <w:b/>
          <w:bCs/>
        </w:rPr>
        <w:t>Fig</w:t>
      </w:r>
      <w:r w:rsidR="00854FA3" w:rsidRPr="00854FA3">
        <w:rPr>
          <w:b/>
          <w:bCs/>
        </w:rPr>
        <w:t>ure</w:t>
      </w:r>
      <w:r w:rsidR="00854FA3">
        <w:rPr>
          <w:b/>
          <w:bCs/>
        </w:rPr>
        <w:t>s</w:t>
      </w:r>
      <w:r w:rsidRPr="00854FA3">
        <w:rPr>
          <w:b/>
          <w:bCs/>
        </w:rPr>
        <w:t xml:space="preserve"> </w:t>
      </w:r>
      <w:r w:rsidR="00854FA3" w:rsidRPr="00854FA3">
        <w:rPr>
          <w:b/>
          <w:bCs/>
        </w:rPr>
        <w:t>6.10 and 6.11</w:t>
      </w:r>
      <w:r w:rsidRPr="00075256">
        <w:t>).</w:t>
      </w:r>
      <w:r w:rsidRPr="009E5A09">
        <w:t xml:space="preserve"> All Live incubations in +Fh medium showed a visual transformation from reddish-brown to black after two </w:t>
      </w:r>
      <w:r w:rsidRPr="00075256">
        <w:t>weeks (</w:t>
      </w:r>
      <w:r w:rsidR="008420A0" w:rsidRPr="008420A0">
        <w:rPr>
          <w:b/>
          <w:bCs/>
        </w:rPr>
        <w:t>Appendix</w:t>
      </w:r>
      <w:r w:rsidR="008420A0">
        <w:rPr>
          <w:b/>
          <w:bCs/>
        </w:rPr>
        <w:t>,</w:t>
      </w:r>
      <w:r w:rsidR="008420A0" w:rsidRPr="00F13F6D">
        <w:rPr>
          <w:rFonts w:cs="Times New Roman"/>
          <w:b/>
          <w:bCs/>
        </w:rPr>
        <w:t xml:space="preserve"> </w:t>
      </w:r>
      <w:r w:rsidRPr="00854FA3">
        <w:rPr>
          <w:b/>
          <w:bCs/>
        </w:rPr>
        <w:t>Fig</w:t>
      </w:r>
      <w:r w:rsidR="00854FA3" w:rsidRPr="00854FA3">
        <w:rPr>
          <w:b/>
          <w:bCs/>
        </w:rPr>
        <w:t>ure 6.10</w:t>
      </w:r>
      <w:r w:rsidRPr="00854FA3">
        <w:rPr>
          <w:b/>
          <w:bCs/>
        </w:rPr>
        <w:t>a</w:t>
      </w:r>
      <w:r w:rsidRPr="00075256">
        <w:t>). Insoluble</w:t>
      </w:r>
      <w:r w:rsidRPr="009E5A09">
        <w:t xml:space="preserve"> black mineral products were magnetic (</w:t>
      </w:r>
      <w:r w:rsidR="008420A0" w:rsidRPr="008420A0">
        <w:rPr>
          <w:b/>
          <w:bCs/>
        </w:rPr>
        <w:t>Appendix</w:t>
      </w:r>
      <w:r w:rsidR="008420A0">
        <w:rPr>
          <w:b/>
          <w:bCs/>
        </w:rPr>
        <w:t>,</w:t>
      </w:r>
      <w:r w:rsidR="008420A0" w:rsidRPr="00F13F6D">
        <w:rPr>
          <w:rFonts w:cs="Times New Roman"/>
          <w:b/>
          <w:bCs/>
        </w:rPr>
        <w:t xml:space="preserve"> </w:t>
      </w:r>
      <w:r w:rsidR="00854FA3" w:rsidRPr="00854FA3">
        <w:rPr>
          <w:b/>
          <w:bCs/>
        </w:rPr>
        <w:t>Figure 6.10</w:t>
      </w:r>
      <w:r w:rsidR="00854FA3">
        <w:rPr>
          <w:b/>
          <w:bCs/>
        </w:rPr>
        <w:t>b</w:t>
      </w:r>
      <w:r w:rsidRPr="00075256">
        <w:rPr>
          <w:bCs/>
        </w:rPr>
        <w:t>).</w:t>
      </w:r>
      <w:r w:rsidRPr="009E5A09">
        <w:t xml:space="preserve"> Aliquots from </w:t>
      </w:r>
      <w:r>
        <w:t xml:space="preserve">+Fh </w:t>
      </w:r>
      <w:r w:rsidRPr="009E5A09">
        <w:t>incubations showed a</w:t>
      </w:r>
      <w:r>
        <w:t>n increase in</w:t>
      </w:r>
      <w:r w:rsidRPr="009E5A09">
        <w:t xml:space="preserve"> </w:t>
      </w:r>
      <w:r>
        <w:t xml:space="preserve">total Fe(II) </w:t>
      </w:r>
      <w:r w:rsidRPr="009E5A09">
        <w:t>relative abundance from Day 0</w:t>
      </w:r>
      <w:r>
        <w:t xml:space="preserve"> to</w:t>
      </w:r>
      <w:r w:rsidRPr="009E5A09">
        <w:t xml:space="preserve"> Day 60 (p &lt; 0.001 for all pairwise differences). A transient increase in both soluble Fe(II) and Fe(III)</w:t>
      </w:r>
      <w:r w:rsidRPr="009E5A09">
        <w:rPr>
          <w:i/>
          <w:vertAlign w:val="subscript"/>
        </w:rPr>
        <w:t xml:space="preserve"> </w:t>
      </w:r>
      <w:r w:rsidRPr="009E5A09">
        <w:t>was observed in Live treatments at Day 13, but not Day 60 (</w:t>
      </w:r>
      <w:r w:rsidR="00854FA3" w:rsidRPr="00854FA3">
        <w:rPr>
          <w:b/>
          <w:bCs/>
        </w:rPr>
        <w:t>Figure 6.1</w:t>
      </w:r>
      <w:r w:rsidR="00854FA3">
        <w:rPr>
          <w:b/>
          <w:bCs/>
        </w:rPr>
        <w:t>1</w:t>
      </w:r>
      <w:r w:rsidR="00854FA3" w:rsidRPr="00854FA3">
        <w:rPr>
          <w:b/>
          <w:bCs/>
        </w:rPr>
        <w:t>a</w:t>
      </w:r>
      <w:r w:rsidRPr="009E5A09">
        <w:t>). Additionally,</w:t>
      </w:r>
      <w:r>
        <w:t xml:space="preserve"> +Fh</w:t>
      </w:r>
      <w:r w:rsidRPr="009E5A09">
        <w:t xml:space="preserve"> Live incubations showed increased</w:t>
      </w:r>
      <w:r>
        <w:t xml:space="preserve"> Fe</w:t>
      </w:r>
      <w:r w:rsidRPr="009E5A09">
        <w:t xml:space="preserve"> reduction compared to Live incubations </w:t>
      </w:r>
      <w:r>
        <w:t>without thiosulfate</w:t>
      </w:r>
      <w:r w:rsidRPr="009E5A09">
        <w:t xml:space="preserve"> </w:t>
      </w:r>
      <w:r>
        <w:t xml:space="preserve">(i.e., </w:t>
      </w:r>
      <w:r w:rsidRPr="009E5A09">
        <w:t xml:space="preserve">Fh + </w:t>
      </w:r>
      <w:r>
        <w:t>l</w:t>
      </w:r>
      <w:r w:rsidRPr="009E5A09">
        <w:t>actate</w:t>
      </w:r>
      <w:r>
        <w:t>;</w:t>
      </w:r>
      <w:r w:rsidRPr="009E5A09">
        <w:t xml:space="preserve"> </w:t>
      </w:r>
      <w:r w:rsidR="008420A0" w:rsidRPr="008420A0">
        <w:rPr>
          <w:b/>
          <w:bCs/>
        </w:rPr>
        <w:t>Appendix</w:t>
      </w:r>
      <w:r w:rsidR="008420A0">
        <w:rPr>
          <w:b/>
          <w:bCs/>
        </w:rPr>
        <w:t>,</w:t>
      </w:r>
      <w:r w:rsidR="008420A0" w:rsidRPr="00F13F6D">
        <w:rPr>
          <w:rFonts w:cs="Times New Roman"/>
          <w:b/>
          <w:bCs/>
        </w:rPr>
        <w:t xml:space="preserve"> </w:t>
      </w:r>
      <w:r w:rsidR="00854FA3" w:rsidRPr="00854FA3">
        <w:rPr>
          <w:b/>
          <w:bCs/>
        </w:rPr>
        <w:t>Figure 6.1</w:t>
      </w:r>
      <w:r w:rsidR="00854FA3">
        <w:rPr>
          <w:b/>
          <w:bCs/>
        </w:rPr>
        <w:t>1b</w:t>
      </w:r>
      <w:r w:rsidRPr="009E5A09">
        <w:t>).</w:t>
      </w:r>
    </w:p>
    <w:p w14:paraId="52AFCDBF" w14:textId="77777777" w:rsidR="00743645" w:rsidRPr="00870799" w:rsidRDefault="00743645" w:rsidP="001A14AF">
      <w:pPr>
        <w:pStyle w:val="Heading3"/>
        <w:spacing w:before="0" w:after="0"/>
      </w:pPr>
      <w:bookmarkStart w:id="225" w:name="_Toc196256934"/>
      <w:r w:rsidRPr="00870799">
        <w:lastRenderedPageBreak/>
        <w:t>Mineral Transformation</w:t>
      </w:r>
      <w:r>
        <w:t>s</w:t>
      </w:r>
      <w:bookmarkEnd w:id="225"/>
      <w:r w:rsidRPr="002D472C">
        <w:rPr>
          <w:highlight w:val="yellow"/>
        </w:rPr>
        <w:t xml:space="preserve"> </w:t>
      </w:r>
    </w:p>
    <w:p w14:paraId="3D74ED22" w14:textId="23D5CA1C" w:rsidR="00743645" w:rsidRPr="009E5A09" w:rsidRDefault="00743645" w:rsidP="001A14AF">
      <w:r>
        <w:t>Coordinated d</w:t>
      </w:r>
      <w:r w:rsidRPr="009E5A09">
        <w:t xml:space="preserve">iffraction and spectroscopic techniques </w:t>
      </w:r>
      <w:r>
        <w:t>were</w:t>
      </w:r>
      <w:r w:rsidRPr="009E5A09">
        <w:t xml:space="preserve"> used to</w:t>
      </w:r>
      <w:r>
        <w:t xml:space="preserve"> determine</w:t>
      </w:r>
      <w:r w:rsidRPr="009E5A09">
        <w:t xml:space="preserve"> </w:t>
      </w:r>
      <w:r>
        <w:t xml:space="preserve">changes in </w:t>
      </w:r>
      <w:r w:rsidRPr="009E5A09">
        <w:t>mineralogy</w:t>
      </w:r>
      <w:r>
        <w:t xml:space="preserve"> following incubation.</w:t>
      </w:r>
      <w:r w:rsidRPr="009E5A09">
        <w:t xml:space="preserve"> Because each technique employs a different energy of impending radiation to query the sample, each discerns a different type of information. Taken collectively, the results document changes before and after reactions</w:t>
      </w:r>
      <w:r>
        <w:t xml:space="preserve"> (</w:t>
      </w:r>
      <w:r w:rsidRPr="00854FA3">
        <w:rPr>
          <w:b/>
          <w:bCs/>
        </w:rPr>
        <w:t>Fig</w:t>
      </w:r>
      <w:r w:rsidR="00854FA3" w:rsidRPr="00854FA3">
        <w:rPr>
          <w:b/>
          <w:bCs/>
        </w:rPr>
        <w:t>ure</w:t>
      </w:r>
      <w:r w:rsidRPr="00854FA3">
        <w:rPr>
          <w:b/>
          <w:bCs/>
        </w:rPr>
        <w:t xml:space="preserve"> </w:t>
      </w:r>
      <w:r w:rsidR="00854FA3" w:rsidRPr="00854FA3">
        <w:rPr>
          <w:b/>
          <w:bCs/>
        </w:rPr>
        <w:t>4.</w:t>
      </w:r>
      <w:r w:rsidRPr="00854FA3">
        <w:rPr>
          <w:b/>
          <w:bCs/>
        </w:rPr>
        <w:t>1</w:t>
      </w:r>
      <w:r>
        <w:t>)</w:t>
      </w:r>
      <w:r w:rsidRPr="009E5A09">
        <w:t>.</w:t>
      </w:r>
      <w:r>
        <w:t xml:space="preserve"> An additional treatment, Fh + lactate, was utilized as a control; No Fh treatments were not utilized (</w:t>
      </w:r>
      <w:r w:rsidRPr="00FA0ACD">
        <w:rPr>
          <w:b/>
          <w:bCs/>
        </w:rPr>
        <w:t xml:space="preserve">Table </w:t>
      </w:r>
      <w:r w:rsidR="00FA0ACD" w:rsidRPr="00FA0ACD">
        <w:rPr>
          <w:b/>
          <w:bCs/>
        </w:rPr>
        <w:t>4.</w:t>
      </w:r>
      <w:r w:rsidRPr="00FA0ACD">
        <w:rPr>
          <w:b/>
          <w:bCs/>
        </w:rPr>
        <w:t>1</w:t>
      </w:r>
      <w:r>
        <w:t>).</w:t>
      </w:r>
    </w:p>
    <w:p w14:paraId="7E0D6DD8" w14:textId="69280FA2" w:rsidR="00743645" w:rsidRPr="009E5A09" w:rsidRDefault="00743645" w:rsidP="001A14AF">
      <w:r w:rsidRPr="009E5A09">
        <w:rPr>
          <w:i/>
        </w:rPr>
        <w:t>X-ray diffraction (XRD).</w:t>
      </w:r>
      <w:r>
        <w:rPr>
          <w:i/>
        </w:rPr>
        <w:t xml:space="preserve"> </w:t>
      </w:r>
      <w:r w:rsidRPr="0011629D">
        <w:t xml:space="preserve">XRD data from all samples showed the characteristic two broad peaks of the starting </w:t>
      </w:r>
      <w:r>
        <w:t>Fh,</w:t>
      </w:r>
      <w:r w:rsidRPr="0011629D">
        <w:t xml:space="preserve"> and d</w:t>
      </w:r>
      <w:r>
        <w:t>id</w:t>
      </w:r>
      <w:r w:rsidRPr="0011629D">
        <w:t xml:space="preserve"> not provide clarity on mineral transformations</w:t>
      </w:r>
      <w:r>
        <w:t xml:space="preserve"> (</w:t>
      </w:r>
      <w:r w:rsidRPr="00854FA3">
        <w:rPr>
          <w:b/>
          <w:bCs/>
        </w:rPr>
        <w:t>Fig</w:t>
      </w:r>
      <w:r w:rsidR="00854FA3" w:rsidRPr="00854FA3">
        <w:rPr>
          <w:b/>
          <w:bCs/>
        </w:rPr>
        <w:t xml:space="preserve">ure </w:t>
      </w:r>
      <w:r w:rsidR="00854FA3">
        <w:rPr>
          <w:b/>
          <w:bCs/>
        </w:rPr>
        <w:t>4</w:t>
      </w:r>
      <w:r w:rsidR="00854FA3" w:rsidRPr="00854FA3">
        <w:rPr>
          <w:b/>
          <w:bCs/>
        </w:rPr>
        <w:t>.</w:t>
      </w:r>
      <w:r w:rsidRPr="00854FA3">
        <w:rPr>
          <w:b/>
          <w:bCs/>
        </w:rPr>
        <w:t>1c</w:t>
      </w:r>
      <w:r>
        <w:t xml:space="preserve"> and</w:t>
      </w:r>
      <w:r w:rsidR="008420A0" w:rsidRPr="008420A0">
        <w:rPr>
          <w:b/>
          <w:bCs/>
        </w:rPr>
        <w:t xml:space="preserve"> Appendix</w:t>
      </w:r>
      <w:r w:rsidR="008420A0">
        <w:rPr>
          <w:b/>
          <w:bCs/>
        </w:rPr>
        <w:t>,</w:t>
      </w:r>
      <w:r w:rsidR="008420A0" w:rsidRPr="00F13F6D">
        <w:rPr>
          <w:rFonts w:cs="Times New Roman"/>
          <w:b/>
          <w:bCs/>
        </w:rPr>
        <w:t xml:space="preserve"> </w:t>
      </w:r>
      <w:r w:rsidR="008420A0">
        <w:rPr>
          <w:rFonts w:cs="Times New Roman"/>
          <w:b/>
          <w:bCs/>
        </w:rPr>
        <w:t>Figure</w:t>
      </w:r>
      <w:r>
        <w:t xml:space="preserve"> </w:t>
      </w:r>
      <w:r w:rsidR="00854FA3">
        <w:rPr>
          <w:b/>
          <w:bCs/>
        </w:rPr>
        <w:t>6.12</w:t>
      </w:r>
      <w:r>
        <w:t>)</w:t>
      </w:r>
      <w:r w:rsidRPr="0011629D">
        <w:t xml:space="preserve">. </w:t>
      </w:r>
      <w:r w:rsidRPr="009E5A09">
        <w:t>Because XRD is a bulk technique and the bio</w:t>
      </w:r>
      <w:r>
        <w:t>-</w:t>
      </w:r>
      <w:r w:rsidRPr="009E5A09">
        <w:t>reduced transformations are likely surface phenomena, this result indicates that</w:t>
      </w:r>
      <w:r>
        <w:t>,</w:t>
      </w:r>
      <w:r w:rsidRPr="009E5A09">
        <w:t xml:space="preserve"> volumetrically, changes </w:t>
      </w:r>
      <w:r>
        <w:t>were</w:t>
      </w:r>
      <w:r w:rsidRPr="009E5A09">
        <w:t xml:space="preserve"> minor.</w:t>
      </w:r>
    </w:p>
    <w:p w14:paraId="6BCA30F5" w14:textId="2078EBC4" w:rsidR="00743645" w:rsidRPr="00BF5AEE" w:rsidRDefault="00743645" w:rsidP="001A14AF">
      <w:r w:rsidRPr="009E5A09">
        <w:rPr>
          <w:i/>
        </w:rPr>
        <w:t>Fourier transform infrared (FTIR) spectroscopy.</w:t>
      </w:r>
      <w:r>
        <w:rPr>
          <w:i/>
        </w:rPr>
        <w:t xml:space="preserve"> </w:t>
      </w:r>
      <w:r w:rsidRPr="00BF5AEE">
        <w:t>FTIR results (</w:t>
      </w:r>
      <w:r w:rsidRPr="00854FA3">
        <w:rPr>
          <w:b/>
          <w:bCs/>
        </w:rPr>
        <w:t>Fig</w:t>
      </w:r>
      <w:r w:rsidR="00854FA3" w:rsidRPr="00854FA3">
        <w:rPr>
          <w:b/>
          <w:bCs/>
        </w:rPr>
        <w:t>ure</w:t>
      </w:r>
      <w:r w:rsidRPr="00854FA3">
        <w:rPr>
          <w:b/>
          <w:bCs/>
        </w:rPr>
        <w:t xml:space="preserve"> </w:t>
      </w:r>
      <w:r w:rsidR="00854FA3">
        <w:rPr>
          <w:b/>
          <w:bCs/>
        </w:rPr>
        <w:t>4</w:t>
      </w:r>
      <w:r w:rsidR="00854FA3" w:rsidRPr="00854FA3">
        <w:rPr>
          <w:b/>
          <w:bCs/>
        </w:rPr>
        <w:t>.</w:t>
      </w:r>
      <w:r w:rsidRPr="00854FA3">
        <w:rPr>
          <w:b/>
          <w:bCs/>
        </w:rPr>
        <w:t>1d</w:t>
      </w:r>
      <w:r w:rsidRPr="00BF5AEE">
        <w:t xml:space="preserve">) show that both </w:t>
      </w:r>
      <w:r>
        <w:t>N</w:t>
      </w:r>
      <w:r w:rsidRPr="00BF5AEE">
        <w:t xml:space="preserve">o </w:t>
      </w:r>
      <w:r>
        <w:t>C</w:t>
      </w:r>
      <w:r w:rsidRPr="00BF5AEE">
        <w:t xml:space="preserve">ell and </w:t>
      </w:r>
      <w:r>
        <w:t>D</w:t>
      </w:r>
      <w:r w:rsidRPr="00BF5AEE">
        <w:t xml:space="preserve">ead </w:t>
      </w:r>
      <w:r>
        <w:t>C</w:t>
      </w:r>
      <w:r w:rsidRPr="00BF5AEE">
        <w:t xml:space="preserve">ell control spectra were similar to reference </w:t>
      </w:r>
      <w:r>
        <w:t>Fh</w:t>
      </w:r>
      <w:r w:rsidRPr="00BF5AEE">
        <w:t xml:space="preserve"> but contained organic signatures </w:t>
      </w:r>
      <w:r>
        <w:t>resulting from the</w:t>
      </w:r>
      <w:r w:rsidRPr="00BF5AEE">
        <w:t xml:space="preserve"> medi</w:t>
      </w:r>
      <w:r>
        <w:t>um</w:t>
      </w:r>
      <w:r w:rsidRPr="00BF5AEE">
        <w:t xml:space="preserve">. Live cultures </w:t>
      </w:r>
      <w:r>
        <w:t xml:space="preserve">containing Fh + </w:t>
      </w:r>
      <w:r w:rsidRPr="00BF5AEE">
        <w:t xml:space="preserve">lactate </w:t>
      </w:r>
      <w:r>
        <w:t>+</w:t>
      </w:r>
      <w:r w:rsidRPr="00BF5AEE">
        <w:t xml:space="preserve"> thiosulfate</w:t>
      </w:r>
      <w:r>
        <w:t xml:space="preserve"> (+Fh medium)</w:t>
      </w:r>
      <w:r w:rsidRPr="00BF5AEE">
        <w:t xml:space="preserve"> showed significant transformation into a combination of goethite and magnetite </w:t>
      </w:r>
      <w:r>
        <w:t>after two weeks of incubation</w:t>
      </w:r>
      <w:r w:rsidRPr="00BF5AEE">
        <w:t xml:space="preserve">, with a larger relative proportion of magnetite </w:t>
      </w:r>
      <w:r>
        <w:t xml:space="preserve">after eight weeks </w:t>
      </w:r>
      <w:r w:rsidRPr="00BF5AEE">
        <w:t>(</w:t>
      </w:r>
      <w:r w:rsidR="008420A0" w:rsidRPr="008420A0">
        <w:rPr>
          <w:b/>
          <w:bCs/>
        </w:rPr>
        <w:t>Appendix</w:t>
      </w:r>
      <w:r w:rsidR="008420A0">
        <w:rPr>
          <w:b/>
          <w:bCs/>
        </w:rPr>
        <w:t>,</w:t>
      </w:r>
      <w:r w:rsidR="008420A0" w:rsidRPr="00F13F6D">
        <w:rPr>
          <w:rFonts w:cs="Times New Roman"/>
          <w:b/>
          <w:bCs/>
        </w:rPr>
        <w:t xml:space="preserve"> </w:t>
      </w:r>
      <w:r w:rsidRPr="00854FA3">
        <w:rPr>
          <w:b/>
          <w:bCs/>
        </w:rPr>
        <w:t>Fig</w:t>
      </w:r>
      <w:r w:rsidR="00854FA3" w:rsidRPr="00854FA3">
        <w:rPr>
          <w:b/>
          <w:bCs/>
        </w:rPr>
        <w:t>ures</w:t>
      </w:r>
      <w:r w:rsidRPr="00854FA3">
        <w:rPr>
          <w:b/>
          <w:bCs/>
        </w:rPr>
        <w:t xml:space="preserve"> </w:t>
      </w:r>
      <w:r w:rsidR="00854FA3" w:rsidRPr="00854FA3">
        <w:rPr>
          <w:b/>
          <w:bCs/>
        </w:rPr>
        <w:t>6.13</w:t>
      </w:r>
      <w:r w:rsidR="00854FA3">
        <w:t xml:space="preserve"> and </w:t>
      </w:r>
      <w:r w:rsidR="00854FA3" w:rsidRPr="00854FA3">
        <w:rPr>
          <w:b/>
          <w:bCs/>
        </w:rPr>
        <w:t>6.14</w:t>
      </w:r>
      <w:r w:rsidRPr="00BF5AEE">
        <w:t>). For these products, the main magnetite peak was shifted to longer wavenumbers with respect to pure, synthetic magnetite, and an additional peak at 475 cm</w:t>
      </w:r>
      <w:r w:rsidRPr="00BF5AEE">
        <w:rPr>
          <w:vertAlign w:val="superscript"/>
        </w:rPr>
        <w:t>-</w:t>
      </w:r>
      <w:r>
        <w:rPr>
          <w:vertAlign w:val="superscript"/>
        </w:rPr>
        <w:t>1</w:t>
      </w:r>
      <w:r w:rsidRPr="00BF5AEE">
        <w:t xml:space="preserve"> not directly attributable to either (hydr)oxide was apparent. </w:t>
      </w:r>
      <w:r>
        <w:t xml:space="preserve">In Live cultures with Fh + lactate, </w:t>
      </w:r>
      <w:r w:rsidRPr="00BF5AEE">
        <w:t>magnetite and goethite</w:t>
      </w:r>
      <w:r>
        <w:t xml:space="preserve"> were only present following eight weeks of incubation </w:t>
      </w:r>
      <w:r w:rsidRPr="00BF5AEE">
        <w:t>with a primary absorption at 560 cm</w:t>
      </w:r>
      <w:r w:rsidRPr="00BF5AEE">
        <w:rPr>
          <w:vertAlign w:val="superscript"/>
        </w:rPr>
        <w:t>-1</w:t>
      </w:r>
      <w:r w:rsidRPr="00BF5AEE">
        <w:t xml:space="preserve">, </w:t>
      </w:r>
      <w:r>
        <w:t>consistent with the</w:t>
      </w:r>
      <w:r w:rsidRPr="00BF5AEE">
        <w:t xml:space="preserve"> position and appearance to synthetic magnetite. </w:t>
      </w:r>
    </w:p>
    <w:p w14:paraId="0FACC58F" w14:textId="2701D062" w:rsidR="00743645" w:rsidRPr="009E5A09" w:rsidRDefault="00743645" w:rsidP="001A14AF">
      <w:r w:rsidRPr="009E5A09">
        <w:rPr>
          <w:i/>
        </w:rPr>
        <w:t>Visual and near-infrared (VNIR) spectroscopy.</w:t>
      </w:r>
      <w:r>
        <w:rPr>
          <w:i/>
        </w:rPr>
        <w:t xml:space="preserve"> </w:t>
      </w:r>
      <w:r w:rsidRPr="009E5A09">
        <w:t xml:space="preserve">VNIR spectra of the media aged under </w:t>
      </w:r>
      <w:r>
        <w:t>incubation conditions</w:t>
      </w:r>
      <w:r w:rsidRPr="009E5A09">
        <w:t xml:space="preserve"> showed minor spectral alteration of starting </w:t>
      </w:r>
      <w:r>
        <w:t>Fh</w:t>
      </w:r>
      <w:r w:rsidRPr="009E5A09">
        <w:t xml:space="preserve"> due to media and aging conditions alone (</w:t>
      </w:r>
      <w:r w:rsidRPr="00854FA3">
        <w:rPr>
          <w:b/>
          <w:bCs/>
        </w:rPr>
        <w:t>Fig</w:t>
      </w:r>
      <w:r w:rsidR="00854FA3" w:rsidRPr="00854FA3">
        <w:rPr>
          <w:b/>
          <w:bCs/>
        </w:rPr>
        <w:t>ures</w:t>
      </w:r>
      <w:r w:rsidRPr="00854FA3">
        <w:rPr>
          <w:b/>
          <w:bCs/>
        </w:rPr>
        <w:t xml:space="preserve"> </w:t>
      </w:r>
      <w:r w:rsidR="00854FA3" w:rsidRPr="00854FA3">
        <w:rPr>
          <w:b/>
          <w:bCs/>
        </w:rPr>
        <w:t>4.</w:t>
      </w:r>
      <w:r w:rsidRPr="00854FA3">
        <w:rPr>
          <w:b/>
          <w:bCs/>
        </w:rPr>
        <w:t>1b</w:t>
      </w:r>
      <w:r>
        <w:t xml:space="preserve"> </w:t>
      </w:r>
      <w:r>
        <w:rPr>
          <w:bCs/>
        </w:rPr>
        <w:t xml:space="preserve">and </w:t>
      </w:r>
      <w:r w:rsidR="008420A0" w:rsidRPr="008420A0">
        <w:rPr>
          <w:b/>
          <w:bCs/>
        </w:rPr>
        <w:t>Appendix</w:t>
      </w:r>
      <w:r w:rsidR="008420A0">
        <w:rPr>
          <w:b/>
          <w:bCs/>
        </w:rPr>
        <w:t>,</w:t>
      </w:r>
      <w:r w:rsidR="008420A0" w:rsidRPr="00F13F6D">
        <w:rPr>
          <w:rFonts w:cs="Times New Roman"/>
          <w:b/>
          <w:bCs/>
        </w:rPr>
        <w:t xml:space="preserve"> </w:t>
      </w:r>
      <w:r w:rsidR="008420A0">
        <w:rPr>
          <w:rFonts w:cs="Times New Roman"/>
          <w:b/>
          <w:bCs/>
        </w:rPr>
        <w:t xml:space="preserve">Figure </w:t>
      </w:r>
      <w:r w:rsidR="00854FA3" w:rsidRPr="00854FA3">
        <w:rPr>
          <w:b/>
        </w:rPr>
        <w:t>6.15</w:t>
      </w:r>
      <w:r w:rsidRPr="009E5A09">
        <w:t xml:space="preserve">). Products </w:t>
      </w:r>
      <w:r>
        <w:t xml:space="preserve">from </w:t>
      </w:r>
      <w:r w:rsidRPr="009E5A09">
        <w:t xml:space="preserve">Fh + </w:t>
      </w:r>
      <w:r>
        <w:t>l</w:t>
      </w:r>
      <w:r w:rsidRPr="009E5A09">
        <w:t>actate</w:t>
      </w:r>
      <w:r>
        <w:t xml:space="preserve"> treatments</w:t>
      </w:r>
      <w:r w:rsidRPr="009E5A09">
        <w:t xml:space="preserve"> showed the least spectral change with only slight muting of overall spectral contrast, whereas products from Fh + </w:t>
      </w:r>
      <w:r>
        <w:t>l</w:t>
      </w:r>
      <w:r w:rsidRPr="009E5A09">
        <w:t xml:space="preserve">actate + </w:t>
      </w:r>
      <w:r>
        <w:t>t</w:t>
      </w:r>
      <w:r w:rsidRPr="009E5A09">
        <w:t>hiosulfate</w:t>
      </w:r>
      <w:r>
        <w:t xml:space="preserve"> treatments were</w:t>
      </w:r>
      <w:r w:rsidRPr="009E5A09">
        <w:t xml:space="preserve"> significantly more muted. For all three conditions, peak positions remained consistent </w:t>
      </w:r>
      <w:r w:rsidRPr="009E5A09">
        <w:lastRenderedPageBreak/>
        <w:t xml:space="preserve">except for the absorption at ~1.403 </w:t>
      </w:r>
      <w:r>
        <w:rPr>
          <w:lang w:val="el-GR"/>
        </w:rPr>
        <w:t>μ</w:t>
      </w:r>
      <w:r w:rsidRPr="009E5A09">
        <w:t xml:space="preserve">m in pure Fh spectra, which shifted to ~1.444 </w:t>
      </w:r>
      <w:r>
        <w:rPr>
          <w:lang w:val="el-GR"/>
        </w:rPr>
        <w:t>μ</w:t>
      </w:r>
      <w:r w:rsidRPr="009E5A09">
        <w:t xml:space="preserve">m in all aged samples. Products from </w:t>
      </w:r>
      <w:r>
        <w:t>Dead Cell incubations</w:t>
      </w:r>
      <w:r w:rsidRPr="009E5A09">
        <w:t xml:space="preserve"> lost significant spectral contrast, flattening at wavelengths &gt; ~1 μm. All Fh-like absorptions near 0.92</w:t>
      </w:r>
      <w:r w:rsidRPr="00504378">
        <w:t xml:space="preserve"> </w:t>
      </w:r>
      <w:r>
        <w:rPr>
          <w:lang w:val="el-GR"/>
        </w:rPr>
        <w:t>μ</w:t>
      </w:r>
      <w:r w:rsidRPr="009E5A09">
        <w:t>m, 1.444</w:t>
      </w:r>
      <w:r w:rsidRPr="00504378">
        <w:t xml:space="preserve"> </w:t>
      </w:r>
      <w:r>
        <w:rPr>
          <w:lang w:val="el-GR"/>
        </w:rPr>
        <w:t>μ</w:t>
      </w:r>
      <w:r w:rsidRPr="009E5A09">
        <w:t xml:space="preserve">m, and 1.937 </w:t>
      </w:r>
      <w:r>
        <w:rPr>
          <w:lang w:val="el-GR"/>
        </w:rPr>
        <w:t>μ</w:t>
      </w:r>
      <w:r w:rsidRPr="009E5A09">
        <w:t>m, along with the VIS maximum at 0.791</w:t>
      </w:r>
      <w:r>
        <w:t xml:space="preserve"> </w:t>
      </w:r>
      <w:r>
        <w:rPr>
          <w:lang w:val="el-GR"/>
        </w:rPr>
        <w:t>μ</w:t>
      </w:r>
      <w:r w:rsidRPr="009E5A09">
        <w:t>m</w:t>
      </w:r>
      <w:r>
        <w:t>,</w:t>
      </w:r>
      <w:r w:rsidRPr="009E5A09">
        <w:t xml:space="preserve"> remain</w:t>
      </w:r>
      <w:r>
        <w:t>ed</w:t>
      </w:r>
      <w:r w:rsidRPr="009E5A09">
        <w:t xml:space="preserve"> visible. The loss of spectral contrast would make the ~0.92 </w:t>
      </w:r>
      <w:r>
        <w:rPr>
          <w:lang w:val="el-GR"/>
        </w:rPr>
        <w:t>μ</w:t>
      </w:r>
      <w:r w:rsidRPr="009E5A09">
        <w:t xml:space="preserve">m absorption appear to shift in continuum-removed spectra. All products from growth experiments are spectrally dark (&lt; ~0.1 reflectivity with respect to Spectralon) with a loss of Fh-like features between the VIS maximum and a small NIR maximum ~ 2.142 </w:t>
      </w:r>
      <w:r>
        <w:rPr>
          <w:lang w:val="el-GR"/>
        </w:rPr>
        <w:t>μ</w:t>
      </w:r>
      <w:r w:rsidRPr="009E5A09">
        <w:t>m, which is replaced with a long flat (</w:t>
      </w:r>
      <w:r>
        <w:t>Fh + lactate</w:t>
      </w:r>
      <w:r w:rsidRPr="009E5A09">
        <w:t>) to convex (</w:t>
      </w:r>
      <w:r>
        <w:t>Fh + lactate + thiosulfate</w:t>
      </w:r>
      <w:r w:rsidRPr="009E5A09">
        <w:t>) appearance likely due to multiple overlapping absorptions, including those for Fe</w:t>
      </w:r>
      <w:r w:rsidRPr="009E5A09">
        <w:rPr>
          <w:vertAlign w:val="superscript"/>
        </w:rPr>
        <w:t>2+</w:t>
      </w:r>
      <w:r w:rsidRPr="009E5A09">
        <w:t xml:space="preserve">. One replicate of the </w:t>
      </w:r>
      <w:r>
        <w:t>Fh + lactate + thiosulfate</w:t>
      </w:r>
      <w:r w:rsidRPr="009E5A09">
        <w:t xml:space="preserve"> live cell experiment </w:t>
      </w:r>
      <w:r>
        <w:t>wa</w:t>
      </w:r>
      <w:r w:rsidRPr="009E5A09">
        <w:t xml:space="preserve">s completely absorbing throughout the VNIR and </w:t>
      </w:r>
      <w:r>
        <w:t>wa</w:t>
      </w:r>
      <w:r w:rsidRPr="009E5A09">
        <w:t xml:space="preserve">s spectrally consistent with magnetite. </w:t>
      </w:r>
    </w:p>
    <w:p w14:paraId="6101D46E" w14:textId="78719499" w:rsidR="00743645" w:rsidRPr="008E35B7" w:rsidRDefault="00743645" w:rsidP="001A14AF">
      <w:r w:rsidRPr="009E5A09">
        <w:rPr>
          <w:i/>
        </w:rPr>
        <w:t xml:space="preserve">Raman spectroscopy. </w:t>
      </w:r>
      <w:r w:rsidRPr="009E5A09">
        <w:t xml:space="preserve">Bulk Raman spectra were overwhelmed by fluorescence from the </w:t>
      </w:r>
      <w:r>
        <w:t>Fe-</w:t>
      </w:r>
      <w:r w:rsidRPr="009E5A09">
        <w:t>bearing starting material</w:t>
      </w:r>
      <w:r>
        <w:t xml:space="preserve"> </w:t>
      </w:r>
      <w:r w:rsidRPr="008E35B7">
        <w:t>(</w:t>
      </w:r>
      <w:r w:rsidR="008420A0" w:rsidRPr="008420A0">
        <w:rPr>
          <w:b/>
          <w:bCs/>
        </w:rPr>
        <w:t>Appendix</w:t>
      </w:r>
      <w:r w:rsidR="008420A0">
        <w:rPr>
          <w:b/>
          <w:bCs/>
        </w:rPr>
        <w:t>,</w:t>
      </w:r>
      <w:r w:rsidR="008420A0" w:rsidRPr="00F13F6D">
        <w:rPr>
          <w:rFonts w:cs="Times New Roman"/>
          <w:b/>
          <w:bCs/>
        </w:rPr>
        <w:t xml:space="preserve"> </w:t>
      </w:r>
      <w:r w:rsidRPr="00854FA3">
        <w:rPr>
          <w:b/>
          <w:bCs/>
        </w:rPr>
        <w:t>Fig</w:t>
      </w:r>
      <w:r w:rsidR="00854FA3" w:rsidRPr="00854FA3">
        <w:rPr>
          <w:b/>
          <w:bCs/>
        </w:rPr>
        <w:t>ure 6.16</w:t>
      </w:r>
      <w:r>
        <w:t>)</w:t>
      </w:r>
      <w:r w:rsidRPr="009E5A09">
        <w:t xml:space="preserve">. </w:t>
      </w:r>
      <w:r w:rsidRPr="008E35B7">
        <w:t>Spectra of the experimental samples were compared to Raman spectra of sulfates, sulfides, carbonates, and (hydr)oxides (</w:t>
      </w:r>
      <w:r w:rsidR="008420A0" w:rsidRPr="008420A0">
        <w:rPr>
          <w:b/>
          <w:bCs/>
        </w:rPr>
        <w:t>Appendix</w:t>
      </w:r>
      <w:r w:rsidR="008420A0">
        <w:rPr>
          <w:b/>
          <w:bCs/>
        </w:rPr>
        <w:t>,</w:t>
      </w:r>
      <w:r w:rsidR="008420A0" w:rsidRPr="00F13F6D">
        <w:rPr>
          <w:rFonts w:cs="Times New Roman"/>
          <w:b/>
          <w:bCs/>
        </w:rPr>
        <w:t xml:space="preserve"> </w:t>
      </w:r>
      <w:r w:rsidRPr="00854FA3">
        <w:rPr>
          <w:b/>
          <w:bCs/>
        </w:rPr>
        <w:t>Fig</w:t>
      </w:r>
      <w:r w:rsidR="00854FA3" w:rsidRPr="00854FA3">
        <w:rPr>
          <w:b/>
          <w:bCs/>
        </w:rPr>
        <w:t>ure</w:t>
      </w:r>
      <w:r w:rsidRPr="00854FA3">
        <w:rPr>
          <w:b/>
          <w:bCs/>
        </w:rPr>
        <w:t xml:space="preserve"> </w:t>
      </w:r>
      <w:r w:rsidR="00854FA3" w:rsidRPr="00854FA3">
        <w:rPr>
          <w:b/>
          <w:bCs/>
        </w:rPr>
        <w:t>6.16</w:t>
      </w:r>
      <w:r w:rsidRPr="00854FA3">
        <w:rPr>
          <w:b/>
          <w:bCs/>
        </w:rPr>
        <w:t>a</w:t>
      </w:r>
      <w:r>
        <w:t>)</w:t>
      </w:r>
      <w:r w:rsidRPr="008E35B7">
        <w:t>, but no phase was immediately identifiable as a reaction product. Prominent features at ca. 428 and 492 cm</w:t>
      </w:r>
      <w:r w:rsidRPr="008E35B7">
        <w:rPr>
          <w:vertAlign w:val="superscript"/>
        </w:rPr>
        <w:t>-1</w:t>
      </w:r>
      <w:r w:rsidRPr="008E35B7">
        <w:t xml:space="preserve"> appeared in all samples except for a single analysis of the </w:t>
      </w:r>
      <w:r>
        <w:t>L</w:t>
      </w:r>
      <w:r w:rsidRPr="008E35B7">
        <w:t xml:space="preserve">ive </w:t>
      </w:r>
      <w:r>
        <w:t xml:space="preserve">Fh + </w:t>
      </w:r>
      <w:r w:rsidRPr="008E35B7">
        <w:t xml:space="preserve">lactate </w:t>
      </w:r>
      <w:r>
        <w:t xml:space="preserve">treatment </w:t>
      </w:r>
      <w:r w:rsidRPr="008E35B7">
        <w:t>(</w:t>
      </w:r>
      <w:r w:rsidR="008420A0" w:rsidRPr="008420A0">
        <w:rPr>
          <w:b/>
          <w:bCs/>
        </w:rPr>
        <w:t>Appendix</w:t>
      </w:r>
      <w:r w:rsidR="008420A0">
        <w:rPr>
          <w:b/>
          <w:bCs/>
        </w:rPr>
        <w:t>,</w:t>
      </w:r>
      <w:r w:rsidR="008420A0" w:rsidRPr="00F13F6D">
        <w:rPr>
          <w:rFonts w:cs="Times New Roman"/>
          <w:b/>
          <w:bCs/>
        </w:rPr>
        <w:t xml:space="preserve"> </w:t>
      </w:r>
      <w:r w:rsidRPr="00854FA3">
        <w:rPr>
          <w:b/>
          <w:bCs/>
        </w:rPr>
        <w:t>Fig</w:t>
      </w:r>
      <w:r w:rsidR="00854FA3" w:rsidRPr="00854FA3">
        <w:rPr>
          <w:b/>
          <w:bCs/>
        </w:rPr>
        <w:t>ure 6.16</w:t>
      </w:r>
      <w:r w:rsidRPr="00854FA3">
        <w:rPr>
          <w:b/>
          <w:bCs/>
        </w:rPr>
        <w:t>b</w:t>
      </w:r>
      <w:r w:rsidRPr="008E35B7">
        <w:t>). These peaks cannot be assigned to a specific mineral phase</w:t>
      </w:r>
      <w:r>
        <w:t>,</w:t>
      </w:r>
      <w:r w:rsidRPr="008E35B7">
        <w:t xml:space="preserve"> and </w:t>
      </w:r>
      <w:r>
        <w:t>are</w:t>
      </w:r>
      <w:r w:rsidRPr="008E35B7">
        <w:t xml:space="preserve"> assumed </w:t>
      </w:r>
      <w:r>
        <w:t xml:space="preserve">to be </w:t>
      </w:r>
      <w:r w:rsidRPr="008E35B7">
        <w:t xml:space="preserve">due to elements of the media. In </w:t>
      </w:r>
      <w:r>
        <w:t>the Live Fh + lactate incubation</w:t>
      </w:r>
      <w:r w:rsidRPr="008E35B7">
        <w:t xml:space="preserve">, there </w:t>
      </w:r>
      <w:r>
        <w:t>was</w:t>
      </w:r>
      <w:r w:rsidRPr="008E35B7">
        <w:t xml:space="preserve"> a peak at 336 cm</w:t>
      </w:r>
      <w:r w:rsidRPr="008E35B7">
        <w:rPr>
          <w:vertAlign w:val="superscript"/>
        </w:rPr>
        <w:t xml:space="preserve">-1 </w:t>
      </w:r>
      <w:r w:rsidRPr="008E35B7">
        <w:t>common to most sulfides but could not be assigned to a specific phase. Sulfides with partial matches include greigite (peak at 350 cm</w:t>
      </w:r>
      <w:r w:rsidRPr="008E35B7">
        <w:rPr>
          <w:vertAlign w:val="superscript"/>
        </w:rPr>
        <w:t>-1</w:t>
      </w:r>
      <w:r>
        <w:t>)</w:t>
      </w:r>
      <w:r w:rsidRPr="008E35B7">
        <w:t>, pyrite (doublet at 348 and 384 cm</w:t>
      </w:r>
      <w:r w:rsidRPr="008E35B7">
        <w:rPr>
          <w:vertAlign w:val="superscript"/>
        </w:rPr>
        <w:t>-1</w:t>
      </w:r>
      <w:r w:rsidRPr="008E35B7">
        <w:t>),</w:t>
      </w:r>
      <w:r>
        <w:t xml:space="preserve"> and</w:t>
      </w:r>
      <w:r w:rsidRPr="008E35B7">
        <w:t xml:space="preserve"> pyrrhotite (348 and 380 cm</w:t>
      </w:r>
      <w:r w:rsidRPr="008E35B7">
        <w:rPr>
          <w:vertAlign w:val="superscript"/>
        </w:rPr>
        <w:t>-1</w:t>
      </w:r>
      <w:r w:rsidRPr="008E35B7">
        <w:t>). An additional prominent peak in that sample at 524 cm</w:t>
      </w:r>
      <w:r w:rsidRPr="008E35B7">
        <w:rPr>
          <w:vertAlign w:val="superscript"/>
        </w:rPr>
        <w:t>-1</w:t>
      </w:r>
      <w:r w:rsidRPr="008E35B7">
        <w:t xml:space="preserve"> was not a match to any of the reference phases analyzed. Of the (hydr)oxides identified by other techniques used in this paper, none of the main features arising from hematite (26, 294</w:t>
      </w:r>
      <w:r>
        <w:t>,</w:t>
      </w:r>
      <w:r w:rsidRPr="008E35B7">
        <w:t xml:space="preserve"> and 408 cm</w:t>
      </w:r>
      <w:r w:rsidRPr="008E35B7">
        <w:rPr>
          <w:vertAlign w:val="superscript"/>
        </w:rPr>
        <w:t>-1</w:t>
      </w:r>
      <w:r w:rsidRPr="008E35B7">
        <w:t>), akaganéite (307 and 387 cm</w:t>
      </w:r>
      <w:r w:rsidRPr="008E35B7">
        <w:rPr>
          <w:vertAlign w:val="superscript"/>
        </w:rPr>
        <w:t>-1</w:t>
      </w:r>
      <w:r w:rsidRPr="008E35B7">
        <w:t>), goethite (305 and 397 cm</w:t>
      </w:r>
      <w:r w:rsidRPr="008E35B7">
        <w:rPr>
          <w:vertAlign w:val="superscript"/>
        </w:rPr>
        <w:t>-1</w:t>
      </w:r>
      <w:r w:rsidRPr="008E35B7">
        <w:t>), magnetite (670 cm</w:t>
      </w:r>
      <w:r w:rsidRPr="008E35B7">
        <w:rPr>
          <w:vertAlign w:val="superscript"/>
        </w:rPr>
        <w:t>-1</w:t>
      </w:r>
      <w:r w:rsidRPr="008E35B7">
        <w:t>), maghemite (673 and 709 cm</w:t>
      </w:r>
      <w:r w:rsidRPr="008E35B7">
        <w:rPr>
          <w:vertAlign w:val="superscript"/>
        </w:rPr>
        <w:t>-1</w:t>
      </w:r>
      <w:r w:rsidRPr="008E35B7">
        <w:t>) and Fh (716 cm</w:t>
      </w:r>
      <w:r w:rsidRPr="008E35B7">
        <w:rPr>
          <w:vertAlign w:val="superscript"/>
        </w:rPr>
        <w:t>-1</w:t>
      </w:r>
      <w:r w:rsidRPr="008E35B7">
        <w:t>)</w:t>
      </w:r>
      <w:r>
        <w:t xml:space="preserve"> </w:t>
      </w:r>
      <w:r w:rsidRPr="008E35B7">
        <w:t>w</w:t>
      </w:r>
      <w:r>
        <w:t>ere</w:t>
      </w:r>
      <w:r w:rsidRPr="008E35B7">
        <w:t xml:space="preserve"> apparent.</w:t>
      </w:r>
    </w:p>
    <w:p w14:paraId="7F989CD0" w14:textId="10CF1317" w:rsidR="00743645" w:rsidRDefault="00743645" w:rsidP="001A14AF">
      <w:r w:rsidRPr="009E5A09">
        <w:rPr>
          <w:i/>
        </w:rPr>
        <w:lastRenderedPageBreak/>
        <w:t>Mössbauer spectroscopy</w:t>
      </w:r>
      <w:r w:rsidRPr="00337B4D">
        <w:rPr>
          <w:i/>
        </w:rPr>
        <w:t>.</w:t>
      </w:r>
      <w:r w:rsidRPr="009E5A09">
        <w:rPr>
          <w:i/>
        </w:rPr>
        <w:t xml:space="preserve"> </w:t>
      </w:r>
      <w:r w:rsidRPr="001D17CE">
        <w:t xml:space="preserve">Mössbauer spectra provided specific details on the nature of the </w:t>
      </w:r>
      <w:r>
        <w:t>Fe</w:t>
      </w:r>
      <w:r w:rsidRPr="001D17CE">
        <w:t xml:space="preserve"> transformation in live samples and confirmed the minimal transformation in control samples</w:t>
      </w:r>
      <w:r>
        <w:t xml:space="preserve"> (</w:t>
      </w:r>
      <w:r w:rsidR="008420A0" w:rsidRPr="008420A0">
        <w:rPr>
          <w:b/>
          <w:bCs/>
        </w:rPr>
        <w:t>Appendix</w:t>
      </w:r>
      <w:r w:rsidR="008420A0">
        <w:rPr>
          <w:b/>
          <w:bCs/>
        </w:rPr>
        <w:t>,</w:t>
      </w:r>
      <w:r w:rsidR="008420A0" w:rsidRPr="00F13F6D">
        <w:rPr>
          <w:rFonts w:cs="Times New Roman"/>
          <w:b/>
          <w:bCs/>
        </w:rPr>
        <w:t xml:space="preserve"> </w:t>
      </w:r>
      <w:r w:rsidRPr="00FA0ACD">
        <w:rPr>
          <w:b/>
          <w:bCs/>
        </w:rPr>
        <w:t xml:space="preserve">Tables </w:t>
      </w:r>
      <w:r w:rsidR="00FA0ACD" w:rsidRPr="00FA0ACD">
        <w:rPr>
          <w:b/>
          <w:bCs/>
        </w:rPr>
        <w:t>6.6</w:t>
      </w:r>
      <w:r w:rsidRPr="00FA0ACD">
        <w:rPr>
          <w:b/>
          <w:bCs/>
        </w:rPr>
        <w:t xml:space="preserve"> </w:t>
      </w:r>
      <w:r w:rsidRPr="00FA0ACD">
        <w:t>and</w:t>
      </w:r>
      <w:r w:rsidRPr="00FA0ACD">
        <w:rPr>
          <w:b/>
          <w:bCs/>
        </w:rPr>
        <w:t xml:space="preserve"> </w:t>
      </w:r>
      <w:r w:rsidR="00FA0ACD" w:rsidRPr="00FA0ACD">
        <w:rPr>
          <w:b/>
          <w:bCs/>
        </w:rPr>
        <w:t>6.7</w:t>
      </w:r>
      <w:r>
        <w:t>)</w:t>
      </w:r>
      <w:r w:rsidRPr="001D17CE">
        <w:t xml:space="preserve">. </w:t>
      </w:r>
      <w:r>
        <w:t xml:space="preserve">Evidence for </w:t>
      </w:r>
      <w:r w:rsidRPr="00D31BB4">
        <w:t>Fe</w:t>
      </w:r>
      <w:r>
        <w:rPr>
          <w:vertAlign w:val="superscript"/>
        </w:rPr>
        <w:t>2+</w:t>
      </w:r>
      <w:r>
        <w:t xml:space="preserve"> was only seen in Live Fh + lactate + thiosulfate treatments (</w:t>
      </w:r>
      <w:r w:rsidRPr="00854FA3">
        <w:rPr>
          <w:b/>
          <w:bCs/>
        </w:rPr>
        <w:t>Fig</w:t>
      </w:r>
      <w:r w:rsidR="00854FA3" w:rsidRPr="00854FA3">
        <w:rPr>
          <w:b/>
          <w:bCs/>
        </w:rPr>
        <w:t>ures 4.</w:t>
      </w:r>
      <w:r w:rsidRPr="00854FA3">
        <w:rPr>
          <w:b/>
          <w:bCs/>
        </w:rPr>
        <w:t>1a</w:t>
      </w:r>
      <w:r w:rsidR="00854FA3">
        <w:t xml:space="preserve"> and </w:t>
      </w:r>
      <w:r w:rsidR="008420A0" w:rsidRPr="008420A0">
        <w:rPr>
          <w:b/>
          <w:bCs/>
        </w:rPr>
        <w:t>Appendix</w:t>
      </w:r>
      <w:r w:rsidR="008420A0">
        <w:rPr>
          <w:b/>
          <w:bCs/>
        </w:rPr>
        <w:t>,</w:t>
      </w:r>
      <w:r w:rsidR="008420A0" w:rsidRPr="00F13F6D">
        <w:rPr>
          <w:rFonts w:cs="Times New Roman"/>
          <w:b/>
          <w:bCs/>
        </w:rPr>
        <w:t xml:space="preserve"> </w:t>
      </w:r>
      <w:r w:rsidR="008420A0">
        <w:rPr>
          <w:rFonts w:cs="Times New Roman"/>
          <w:b/>
          <w:bCs/>
        </w:rPr>
        <w:t xml:space="preserve">Figure </w:t>
      </w:r>
      <w:r w:rsidR="00854FA3" w:rsidRPr="00854FA3">
        <w:rPr>
          <w:b/>
          <w:bCs/>
        </w:rPr>
        <w:t>6.17</w:t>
      </w:r>
      <w:r>
        <w:t>)</w:t>
      </w:r>
      <w:r w:rsidRPr="001D17CE">
        <w:t>.</w:t>
      </w:r>
    </w:p>
    <w:p w14:paraId="46E6C854" w14:textId="19CE5280" w:rsidR="00743645" w:rsidRPr="00D31BB4" w:rsidRDefault="00743645" w:rsidP="001A14AF">
      <w:r w:rsidRPr="009E5A09">
        <w:rPr>
          <w:i/>
        </w:rPr>
        <w:t>Transmission electron microscopy (TEM).</w:t>
      </w:r>
      <w:r>
        <w:rPr>
          <w:i/>
        </w:rPr>
        <w:t xml:space="preserve"> </w:t>
      </w:r>
      <w:r>
        <w:t>TEM of both two- and eight-week incubations showed evidence of Fe transformation (</w:t>
      </w:r>
      <w:r w:rsidRPr="00854FA3">
        <w:rPr>
          <w:b/>
          <w:bCs/>
        </w:rPr>
        <w:t>Fig</w:t>
      </w:r>
      <w:r w:rsidR="00854FA3" w:rsidRPr="00854FA3">
        <w:rPr>
          <w:b/>
          <w:bCs/>
        </w:rPr>
        <w:t>ure</w:t>
      </w:r>
      <w:r w:rsidRPr="00854FA3">
        <w:rPr>
          <w:b/>
          <w:bCs/>
        </w:rPr>
        <w:t xml:space="preserve"> </w:t>
      </w:r>
      <w:r w:rsidR="00854FA3" w:rsidRPr="00854FA3">
        <w:rPr>
          <w:b/>
          <w:bCs/>
        </w:rPr>
        <w:t>4.</w:t>
      </w:r>
      <w:r w:rsidRPr="00854FA3">
        <w:rPr>
          <w:b/>
          <w:bCs/>
        </w:rPr>
        <w:t>2</w:t>
      </w:r>
      <w:r>
        <w:t>) and visible association between cells and Fe particles (</w:t>
      </w:r>
      <w:r w:rsidR="008420A0" w:rsidRPr="008420A0">
        <w:rPr>
          <w:b/>
          <w:bCs/>
        </w:rPr>
        <w:t>Appendix</w:t>
      </w:r>
      <w:r w:rsidR="008420A0">
        <w:rPr>
          <w:b/>
          <w:bCs/>
        </w:rPr>
        <w:t>,</w:t>
      </w:r>
      <w:r w:rsidR="008420A0" w:rsidRPr="00F13F6D">
        <w:rPr>
          <w:rFonts w:cs="Times New Roman"/>
          <w:b/>
          <w:bCs/>
        </w:rPr>
        <w:t xml:space="preserve"> </w:t>
      </w:r>
      <w:r w:rsidRPr="00854FA3">
        <w:rPr>
          <w:b/>
          <w:bCs/>
        </w:rPr>
        <w:t>Fig</w:t>
      </w:r>
      <w:r w:rsidR="00854FA3" w:rsidRPr="00854FA3">
        <w:rPr>
          <w:b/>
          <w:bCs/>
        </w:rPr>
        <w:t>ure</w:t>
      </w:r>
      <w:r w:rsidRPr="00854FA3">
        <w:rPr>
          <w:b/>
          <w:bCs/>
        </w:rPr>
        <w:t xml:space="preserve"> </w:t>
      </w:r>
      <w:r w:rsidR="00854FA3" w:rsidRPr="00854FA3">
        <w:rPr>
          <w:b/>
          <w:bCs/>
        </w:rPr>
        <w:t>6.</w:t>
      </w:r>
      <w:r w:rsidRPr="00854FA3">
        <w:rPr>
          <w:b/>
          <w:bCs/>
        </w:rPr>
        <w:t>1</w:t>
      </w:r>
      <w:r w:rsidR="00854FA3" w:rsidRPr="00854FA3">
        <w:rPr>
          <w:b/>
          <w:bCs/>
        </w:rPr>
        <w:t>8</w:t>
      </w:r>
      <w:r>
        <w:t>).</w:t>
      </w:r>
      <w:r>
        <w:rPr>
          <w:bCs/>
        </w:rPr>
        <w:t xml:space="preserve"> </w:t>
      </w:r>
      <w:r>
        <w:t>Signatures of Fh were present in a</w:t>
      </w:r>
      <w:r w:rsidRPr="009E5A09">
        <w:t xml:space="preserve">ll </w:t>
      </w:r>
      <w:r>
        <w:t xml:space="preserve">Live </w:t>
      </w:r>
      <w:r w:rsidRPr="009E5A09">
        <w:t xml:space="preserve">samples. Although visually similar, selected area electron diffraction </w:t>
      </w:r>
      <w:r>
        <w:t>(</w:t>
      </w:r>
      <w:r w:rsidRPr="009E5A09">
        <w:t>SAED</w:t>
      </w:r>
      <w:r>
        <w:t>)</w:t>
      </w:r>
      <w:r w:rsidRPr="009E5A09">
        <w:t xml:space="preserve"> ring diffraction of </w:t>
      </w:r>
      <w:r>
        <w:t xml:space="preserve">the Live +Fh culture showed predominately magnetite with some Fh after two weeks with the addition of goethite, seen </w:t>
      </w:r>
      <w:r w:rsidRPr="009E5A09">
        <w:t>as a shoulder at 0.23 1/Å</w:t>
      </w:r>
      <w:r>
        <w:t>, after eight weeks (</w:t>
      </w:r>
      <w:r w:rsidRPr="00854FA3">
        <w:rPr>
          <w:b/>
          <w:bCs/>
        </w:rPr>
        <w:t>Fig</w:t>
      </w:r>
      <w:r w:rsidR="00854FA3" w:rsidRPr="00854FA3">
        <w:rPr>
          <w:b/>
          <w:bCs/>
        </w:rPr>
        <w:t>ure</w:t>
      </w:r>
      <w:r w:rsidRPr="00854FA3">
        <w:rPr>
          <w:b/>
          <w:bCs/>
        </w:rPr>
        <w:t xml:space="preserve"> </w:t>
      </w:r>
      <w:r w:rsidR="00854FA3" w:rsidRPr="00854FA3">
        <w:rPr>
          <w:b/>
          <w:bCs/>
        </w:rPr>
        <w:t>4.</w:t>
      </w:r>
      <w:r w:rsidRPr="00854FA3">
        <w:rPr>
          <w:b/>
          <w:bCs/>
        </w:rPr>
        <w:t>2d</w:t>
      </w:r>
      <w:r>
        <w:t xml:space="preserve">). </w:t>
      </w:r>
      <w:r w:rsidRPr="009E5A09">
        <w:t xml:space="preserve">Moreover, there are subtle differences </w:t>
      </w:r>
      <w:r>
        <w:t>between</w:t>
      </w:r>
      <w:r w:rsidRPr="009E5A09">
        <w:t xml:space="preserve"> treatments at two weeks</w:t>
      </w:r>
      <w:r>
        <w:t>.</w:t>
      </w:r>
      <w:r w:rsidRPr="009E5A09">
        <w:t xml:space="preserve"> </w:t>
      </w:r>
      <w:r>
        <w:t xml:space="preserve">Fh, magnetite, and </w:t>
      </w:r>
      <w:r w:rsidRPr="009E5A09">
        <w:t>akagan</w:t>
      </w:r>
      <w:r>
        <w:t>é</w:t>
      </w:r>
      <w:r w:rsidRPr="009E5A09">
        <w:t>ite</w:t>
      </w:r>
      <w:r>
        <w:t xml:space="preserve"> were present in the Fh + lactate sample (</w:t>
      </w:r>
      <w:r w:rsidR="008420A0" w:rsidRPr="008420A0">
        <w:rPr>
          <w:b/>
          <w:bCs/>
        </w:rPr>
        <w:t>Appendix</w:t>
      </w:r>
      <w:r w:rsidR="008420A0">
        <w:rPr>
          <w:b/>
          <w:bCs/>
        </w:rPr>
        <w:t>,</w:t>
      </w:r>
      <w:r w:rsidR="008420A0" w:rsidRPr="00F13F6D">
        <w:rPr>
          <w:rFonts w:cs="Times New Roman"/>
          <w:b/>
          <w:bCs/>
        </w:rPr>
        <w:t xml:space="preserve"> </w:t>
      </w:r>
      <w:r w:rsidRPr="00854FA3">
        <w:rPr>
          <w:b/>
          <w:bCs/>
        </w:rPr>
        <w:t>Fig</w:t>
      </w:r>
      <w:r w:rsidR="00854FA3" w:rsidRPr="00854FA3">
        <w:rPr>
          <w:b/>
          <w:bCs/>
        </w:rPr>
        <w:t>ure 6.19</w:t>
      </w:r>
      <w:r>
        <w:t>).</w:t>
      </w:r>
    </w:p>
    <w:p w14:paraId="1EA01E93" w14:textId="77777777" w:rsidR="00743645" w:rsidRPr="00870799" w:rsidRDefault="00743645" w:rsidP="001A14AF">
      <w:pPr>
        <w:pStyle w:val="Heading3"/>
        <w:spacing w:before="0" w:after="0"/>
      </w:pPr>
      <w:bookmarkStart w:id="226" w:name="_Toc196256935"/>
      <w:r w:rsidRPr="00870799">
        <w:t>Transcriptional Changes</w:t>
      </w:r>
      <w:bookmarkEnd w:id="226"/>
    </w:p>
    <w:p w14:paraId="7FC1C1FE" w14:textId="686273AB" w:rsidR="00743645" w:rsidRPr="009E5A09" w:rsidRDefault="00743645" w:rsidP="001A14AF">
      <w:r>
        <w:rPr>
          <w:rFonts w:eastAsia="Gungsuh"/>
        </w:rPr>
        <w:t>Transcript sequencing</w:t>
      </w:r>
      <w:r w:rsidRPr="009E5A09">
        <w:rPr>
          <w:rFonts w:eastAsia="Gungsuh"/>
        </w:rPr>
        <w:t xml:space="preserve"> yielded 248789368 total reads (average of 33696840 reads for three +Fh </w:t>
      </w:r>
      <w:r>
        <w:rPr>
          <w:rFonts w:eastAsia="Gungsuh"/>
        </w:rPr>
        <w:t>replicates</w:t>
      </w:r>
      <w:r w:rsidRPr="009E5A09">
        <w:rPr>
          <w:rFonts w:eastAsia="Gungsuh"/>
        </w:rPr>
        <w:t xml:space="preserve"> and 36924712 reads for four No Fh </w:t>
      </w:r>
      <w:r>
        <w:rPr>
          <w:rFonts w:eastAsia="Gungsuh"/>
        </w:rPr>
        <w:t>replicates</w:t>
      </w:r>
      <w:r w:rsidRPr="009E5A09">
        <w:rPr>
          <w:rFonts w:eastAsia="Gungsuh"/>
        </w:rPr>
        <w:t xml:space="preserve">). Of these, an average of 79.45% of reads aligned with the published BF02_Schw genome. </w:t>
      </w:r>
      <w:r>
        <w:rPr>
          <w:rFonts w:eastAsia="Gungsuh"/>
        </w:rPr>
        <w:t>Read p</w:t>
      </w:r>
      <w:r w:rsidRPr="009E5A09">
        <w:rPr>
          <w:rFonts w:eastAsia="Gungsuh"/>
        </w:rPr>
        <w:t>rocessing yielded an average of 18627177.99 normalized reads for No Fh treatments and 26213974.72 normalized reads for +Fh treatments associated with 4637 genes in the BF02_Schw genome. Of these, 460 genes had significantly different transcript abundance (</w:t>
      </w:r>
      <w:r>
        <w:rPr>
          <w:rFonts w:eastAsia="Gungsuh"/>
        </w:rPr>
        <w:t xml:space="preserve">as </w:t>
      </w:r>
      <w:r w:rsidRPr="00016EE2">
        <w:rPr>
          <w:rFonts w:eastAsia="Gungsuh"/>
        </w:rPr>
        <w:t>log</w:t>
      </w:r>
      <w:r w:rsidRPr="00D31BB4">
        <w:rPr>
          <w:rFonts w:eastAsia="Gungsuh"/>
          <w:vertAlign w:val="subscript"/>
        </w:rPr>
        <w:t>2</w:t>
      </w:r>
      <w:r>
        <w:rPr>
          <w:rFonts w:eastAsia="Gungsuh"/>
        </w:rPr>
        <w:t xml:space="preserve"> fold change; </w:t>
      </w:r>
      <w:r w:rsidRPr="00016EE2">
        <w:rPr>
          <w:rFonts w:eastAsia="Gungsuh"/>
        </w:rPr>
        <w:t>LFC</w:t>
      </w:r>
      <w:r w:rsidRPr="009E5A09">
        <w:rPr>
          <w:rFonts w:eastAsia="Gungsuh"/>
        </w:rPr>
        <w:t xml:space="preserve"> ≥ 1 or ≤ -1, p</w:t>
      </w:r>
      <w:r w:rsidRPr="009E5A09">
        <w:rPr>
          <w:vertAlign w:val="subscript"/>
        </w:rPr>
        <w:t>adj</w:t>
      </w:r>
      <w:r w:rsidRPr="009E5A09">
        <w:rPr>
          <w:rFonts w:eastAsia="Gungsuh"/>
        </w:rPr>
        <w:t xml:space="preserve"> ≤ 0.05), with 318 transcripts more abundant in +Fh treatments (LFC ≥ 1) and 142 transcripts less abundant in + Fh treatments (LFC ≤ -1). An additional 974 transcripts were considered non-significantly differentially abundant (LFC ≥ 1 or ≤ -1, p</w:t>
      </w:r>
      <w:r w:rsidRPr="009E5A09">
        <w:rPr>
          <w:vertAlign w:val="subscript"/>
        </w:rPr>
        <w:t>adj</w:t>
      </w:r>
      <w:r w:rsidRPr="009E5A09">
        <w:t xml:space="preserve"> &gt; 0.05).</w:t>
      </w:r>
    </w:p>
    <w:p w14:paraId="473C303F" w14:textId="77777777" w:rsidR="00743645" w:rsidRPr="009E5A09" w:rsidRDefault="00743645" w:rsidP="001A14AF">
      <w:r w:rsidRPr="009E5A09">
        <w:t>Of significant different</w:t>
      </w:r>
      <w:r>
        <w:t xml:space="preserve"> transcripts</w:t>
      </w:r>
      <w:r w:rsidRPr="009E5A09">
        <w:t>, 287 were annotated as non-hypothetical</w:t>
      </w:r>
      <w:r>
        <w:t xml:space="preserve">. </w:t>
      </w:r>
      <w:r w:rsidRPr="009E5A09">
        <w:t xml:space="preserve">Of the 202 transcripts with greater abundance, the most represented pathway categories were carbohydrate metabolism (38 genes), protein families: signaling and cellular processes (20), unclassified: metabolism (20), environmental information processing (18), and energy metabolism (16). Only 78 of the significantly less abundant transcripts were </w:t>
      </w:r>
      <w:r w:rsidRPr="009E5A09">
        <w:lastRenderedPageBreak/>
        <w:t>annotated, with the largest categories belonging to protein families: genetic information processing (13), genetic information processing (8), environmental information processing (7), amino acid metabolism (7), and unclassified: metabolism (7).</w:t>
      </w:r>
    </w:p>
    <w:p w14:paraId="6B13CE34" w14:textId="0FDDC420" w:rsidR="00743645" w:rsidRPr="009E5A09" w:rsidRDefault="00743645" w:rsidP="001A14AF">
      <w:r w:rsidRPr="009E5A09">
        <w:t xml:space="preserve">Transcripts associated with anaerobic </w:t>
      </w:r>
      <w:r>
        <w:t xml:space="preserve">Fh </w:t>
      </w:r>
      <w:r w:rsidRPr="009E5A09">
        <w:t>metabolism were significantly higher in +Fh treatments (</w:t>
      </w:r>
      <w:r w:rsidRPr="00854FA3">
        <w:rPr>
          <w:b/>
        </w:rPr>
        <w:t>Fig</w:t>
      </w:r>
      <w:r w:rsidR="00854FA3" w:rsidRPr="00854FA3">
        <w:rPr>
          <w:b/>
        </w:rPr>
        <w:t>ure 4.</w:t>
      </w:r>
      <w:r w:rsidRPr="00854FA3">
        <w:rPr>
          <w:b/>
        </w:rPr>
        <w:t>3</w:t>
      </w:r>
      <w:r w:rsidRPr="00075256">
        <w:rPr>
          <w:bCs/>
        </w:rPr>
        <w:t xml:space="preserve">; </w:t>
      </w:r>
      <w:r w:rsidR="008420A0" w:rsidRPr="008420A0">
        <w:rPr>
          <w:b/>
          <w:bCs/>
        </w:rPr>
        <w:t>Appendix</w:t>
      </w:r>
      <w:r w:rsidR="008420A0">
        <w:rPr>
          <w:b/>
          <w:bCs/>
        </w:rPr>
        <w:t>,</w:t>
      </w:r>
      <w:r w:rsidR="008420A0" w:rsidRPr="00F13F6D">
        <w:rPr>
          <w:rFonts w:cs="Times New Roman"/>
          <w:b/>
          <w:bCs/>
        </w:rPr>
        <w:t xml:space="preserve"> </w:t>
      </w:r>
      <w:r w:rsidRPr="00FA0ACD">
        <w:rPr>
          <w:b/>
        </w:rPr>
        <w:t xml:space="preserve">Table </w:t>
      </w:r>
      <w:r w:rsidR="00FA0ACD" w:rsidRPr="00FA0ACD">
        <w:rPr>
          <w:b/>
        </w:rPr>
        <w:t>6.8</w:t>
      </w:r>
      <w:r w:rsidRPr="009E5A09">
        <w:t xml:space="preserve">). </w:t>
      </w:r>
      <w:r>
        <w:t>G</w:t>
      </w:r>
      <w:r w:rsidRPr="009E5A09">
        <w:t xml:space="preserve">enes for the canonical </w:t>
      </w:r>
      <w:r w:rsidRPr="009E5A09">
        <w:rPr>
          <w:i/>
        </w:rPr>
        <w:t xml:space="preserve">Shewanella </w:t>
      </w:r>
      <w:r w:rsidRPr="009E5A09">
        <w:t>metal reduction complex (</w:t>
      </w:r>
      <w:r w:rsidRPr="009E5A09">
        <w:rPr>
          <w:i/>
        </w:rPr>
        <w:t>mtr</w:t>
      </w:r>
      <w:r w:rsidRPr="009E5A09">
        <w:t xml:space="preserve">) were identified in the BF02_Schw genome via BLAST, and included </w:t>
      </w:r>
      <w:r w:rsidRPr="009E5A09">
        <w:rPr>
          <w:i/>
        </w:rPr>
        <w:t>omcA</w:t>
      </w:r>
      <w:r w:rsidRPr="009E5A09">
        <w:t xml:space="preserve">, </w:t>
      </w:r>
      <w:r w:rsidRPr="009E5A09">
        <w:rPr>
          <w:i/>
        </w:rPr>
        <w:t>mtrC</w:t>
      </w:r>
      <w:r w:rsidRPr="009E5A09">
        <w:t xml:space="preserve">, </w:t>
      </w:r>
      <w:r w:rsidRPr="009E5A09">
        <w:rPr>
          <w:i/>
        </w:rPr>
        <w:t>mtrA</w:t>
      </w:r>
      <w:r w:rsidRPr="009E5A09">
        <w:t xml:space="preserve">, </w:t>
      </w:r>
      <w:r w:rsidRPr="009E5A09">
        <w:rPr>
          <w:i/>
        </w:rPr>
        <w:t>mtrB</w:t>
      </w:r>
      <w:r w:rsidRPr="009E5A09">
        <w:t xml:space="preserve">, and </w:t>
      </w:r>
      <w:r w:rsidRPr="009E5A09">
        <w:rPr>
          <w:i/>
        </w:rPr>
        <w:t>cymA</w:t>
      </w:r>
      <w:r w:rsidRPr="009E5A09">
        <w:t>. T</w:t>
      </w:r>
      <w:r>
        <w:t>ranscripts for t</w:t>
      </w:r>
      <w:r w:rsidRPr="009E5A09">
        <w:t xml:space="preserve">he second half of the heme biosynthesis pathway (identified via KEGG map M00121) were significantly higher in +Fh incubations, with the exception of </w:t>
      </w:r>
      <w:r w:rsidRPr="009E5A09">
        <w:rPr>
          <w:i/>
        </w:rPr>
        <w:t>hemB</w:t>
      </w:r>
      <w:r w:rsidRPr="009E5A09">
        <w:t xml:space="preserve">, </w:t>
      </w:r>
      <w:r w:rsidRPr="009E5A09">
        <w:rPr>
          <w:i/>
        </w:rPr>
        <w:t>hemD</w:t>
      </w:r>
      <w:r w:rsidRPr="009E5A09">
        <w:t xml:space="preserve">, and </w:t>
      </w:r>
      <w:r w:rsidRPr="009E5A09">
        <w:rPr>
          <w:i/>
        </w:rPr>
        <w:t>hemH</w:t>
      </w:r>
      <w:r w:rsidRPr="009E5A09">
        <w:t>, which were higher but not significant (</w:t>
      </w:r>
      <w:r w:rsidRPr="00854FA3">
        <w:rPr>
          <w:b/>
          <w:bCs/>
        </w:rPr>
        <w:t>Fig</w:t>
      </w:r>
      <w:r w:rsidR="00854FA3" w:rsidRPr="00854FA3">
        <w:rPr>
          <w:b/>
          <w:bCs/>
        </w:rPr>
        <w:t>ure 4</w:t>
      </w:r>
      <w:r w:rsidRPr="00854FA3">
        <w:rPr>
          <w:b/>
          <w:bCs/>
        </w:rPr>
        <w:t>.3</w:t>
      </w:r>
      <w:r w:rsidRPr="00075256">
        <w:t>;</w:t>
      </w:r>
      <w:r w:rsidRPr="009E5A09">
        <w:t xml:space="preserve"> </w:t>
      </w:r>
      <w:r w:rsidR="008420A0" w:rsidRPr="008420A0">
        <w:rPr>
          <w:b/>
          <w:bCs/>
        </w:rPr>
        <w:t>Appendix</w:t>
      </w:r>
      <w:r w:rsidR="008420A0">
        <w:rPr>
          <w:b/>
          <w:bCs/>
        </w:rPr>
        <w:t>,</w:t>
      </w:r>
      <w:r w:rsidR="008420A0" w:rsidRPr="00F13F6D">
        <w:rPr>
          <w:rFonts w:cs="Times New Roman"/>
          <w:b/>
          <w:bCs/>
        </w:rPr>
        <w:t xml:space="preserve"> </w:t>
      </w:r>
      <w:r w:rsidRPr="00854FA3">
        <w:rPr>
          <w:b/>
        </w:rPr>
        <w:t>Fig</w:t>
      </w:r>
      <w:r w:rsidR="00854FA3" w:rsidRPr="00854FA3">
        <w:rPr>
          <w:b/>
        </w:rPr>
        <w:t>ure 6.20</w:t>
      </w:r>
      <w:r w:rsidRPr="00854FA3">
        <w:rPr>
          <w:b/>
        </w:rPr>
        <w:t>a</w:t>
      </w:r>
      <w:r w:rsidRPr="009E5A09">
        <w:t xml:space="preserve"> </w:t>
      </w:r>
      <w:r w:rsidRPr="00075256">
        <w:rPr>
          <w:bCs/>
        </w:rPr>
        <w:t>and</w:t>
      </w:r>
      <w:r w:rsidRPr="009E5A09">
        <w:t xml:space="preserve"> </w:t>
      </w:r>
      <w:r w:rsidRPr="00FA0ACD">
        <w:rPr>
          <w:b/>
        </w:rPr>
        <w:t xml:space="preserve">Table </w:t>
      </w:r>
      <w:r w:rsidR="00FA0ACD" w:rsidRPr="00FA0ACD">
        <w:rPr>
          <w:b/>
        </w:rPr>
        <w:t>6.8</w:t>
      </w:r>
      <w:r w:rsidRPr="009E5A09">
        <w:t xml:space="preserve">). Transcripts with significantly higher abundance in the pathway included </w:t>
      </w:r>
      <w:r w:rsidRPr="009E5A09">
        <w:rPr>
          <w:i/>
        </w:rPr>
        <w:t>hemC</w:t>
      </w:r>
      <w:r w:rsidRPr="009E5A09">
        <w:t xml:space="preserve">, </w:t>
      </w:r>
      <w:r w:rsidRPr="009E5A09">
        <w:rPr>
          <w:i/>
        </w:rPr>
        <w:t>hemE</w:t>
      </w:r>
      <w:r w:rsidRPr="009E5A09">
        <w:t xml:space="preserve">, </w:t>
      </w:r>
      <w:r w:rsidRPr="009E5A09">
        <w:rPr>
          <w:i/>
        </w:rPr>
        <w:t>hemN</w:t>
      </w:r>
      <w:r w:rsidRPr="009E5A09">
        <w:t xml:space="preserve">, </w:t>
      </w:r>
      <w:r w:rsidRPr="009E5A09">
        <w:rPr>
          <w:i/>
        </w:rPr>
        <w:t>hemG</w:t>
      </w:r>
      <w:r w:rsidRPr="009E5A09">
        <w:t xml:space="preserve">_1, and </w:t>
      </w:r>
      <w:r w:rsidRPr="009E5A09">
        <w:rPr>
          <w:i/>
        </w:rPr>
        <w:t>hemG</w:t>
      </w:r>
      <w:r w:rsidRPr="009E5A09">
        <w:t xml:space="preserve">_2. </w:t>
      </w:r>
    </w:p>
    <w:p w14:paraId="71DAA19D" w14:textId="00754FF1" w:rsidR="00743645" w:rsidRPr="009E5A09" w:rsidRDefault="00743645" w:rsidP="001A14AF">
      <w:r w:rsidRPr="009E5A09">
        <w:t xml:space="preserve">Genes associated with </w:t>
      </w:r>
      <w:r w:rsidRPr="009E5A09">
        <w:rPr>
          <w:i/>
        </w:rPr>
        <w:t>psr</w:t>
      </w:r>
      <w:r w:rsidRPr="009E5A09">
        <w:t xml:space="preserve"> thiosulfate reductase had some of the highest LFC observed</w:t>
      </w:r>
      <w:r>
        <w:t xml:space="preserve"> in +Fh treatments (</w:t>
      </w:r>
      <w:r w:rsidRPr="00854FA3">
        <w:rPr>
          <w:b/>
          <w:bCs/>
        </w:rPr>
        <w:t>Fig</w:t>
      </w:r>
      <w:r w:rsidR="00854FA3" w:rsidRPr="00854FA3">
        <w:rPr>
          <w:b/>
          <w:bCs/>
        </w:rPr>
        <w:t>ure</w:t>
      </w:r>
      <w:r w:rsidRPr="00854FA3">
        <w:rPr>
          <w:b/>
          <w:bCs/>
        </w:rPr>
        <w:t xml:space="preserve"> </w:t>
      </w:r>
      <w:r w:rsidR="00854FA3" w:rsidRPr="00854FA3">
        <w:rPr>
          <w:b/>
          <w:bCs/>
        </w:rPr>
        <w:t>4.</w:t>
      </w:r>
      <w:r w:rsidRPr="00854FA3">
        <w:rPr>
          <w:b/>
          <w:bCs/>
        </w:rPr>
        <w:t>3</w:t>
      </w:r>
      <w:r>
        <w:t xml:space="preserve">; </w:t>
      </w:r>
      <w:r w:rsidR="008420A0" w:rsidRPr="008420A0">
        <w:rPr>
          <w:b/>
          <w:bCs/>
        </w:rPr>
        <w:t>Appendix</w:t>
      </w:r>
      <w:r w:rsidR="008420A0">
        <w:rPr>
          <w:b/>
          <w:bCs/>
        </w:rPr>
        <w:t>,</w:t>
      </w:r>
      <w:r w:rsidR="008420A0" w:rsidRPr="00F13F6D">
        <w:rPr>
          <w:rFonts w:cs="Times New Roman"/>
          <w:b/>
          <w:bCs/>
        </w:rPr>
        <w:t xml:space="preserve"> </w:t>
      </w:r>
      <w:r w:rsidRPr="00FA0ACD">
        <w:rPr>
          <w:b/>
          <w:bCs/>
        </w:rPr>
        <w:t xml:space="preserve">Table </w:t>
      </w:r>
      <w:r w:rsidR="00FA0ACD" w:rsidRPr="00FA0ACD">
        <w:rPr>
          <w:b/>
          <w:bCs/>
        </w:rPr>
        <w:t>6.8</w:t>
      </w:r>
      <w:r>
        <w:t xml:space="preserve">) </w:t>
      </w:r>
      <w:r w:rsidRPr="009E5A09">
        <w:t xml:space="preserve">and included </w:t>
      </w:r>
      <w:r w:rsidRPr="009E5A09">
        <w:rPr>
          <w:i/>
        </w:rPr>
        <w:t>psrA</w:t>
      </w:r>
      <w:r w:rsidRPr="009E5A09">
        <w:t xml:space="preserve">, </w:t>
      </w:r>
      <w:r w:rsidRPr="009E5A09">
        <w:rPr>
          <w:i/>
        </w:rPr>
        <w:t>psrB</w:t>
      </w:r>
      <w:r w:rsidRPr="009E5A09">
        <w:t xml:space="preserve">, and </w:t>
      </w:r>
      <w:r w:rsidRPr="009E5A09">
        <w:rPr>
          <w:i/>
        </w:rPr>
        <w:t>psrC</w:t>
      </w:r>
      <w:r w:rsidRPr="009E5A09">
        <w:t xml:space="preserve">. While included in the medium, transcripts associated with DMSO reduction were more highly transcribed. Significantly more abundant genes included </w:t>
      </w:r>
      <w:r w:rsidRPr="009E5A09">
        <w:rPr>
          <w:i/>
        </w:rPr>
        <w:t>dmsE</w:t>
      </w:r>
      <w:r w:rsidRPr="009E5A09">
        <w:t xml:space="preserve">, </w:t>
      </w:r>
      <w:r w:rsidRPr="009E5A09">
        <w:rPr>
          <w:i/>
        </w:rPr>
        <w:t>dmsF</w:t>
      </w:r>
      <w:r w:rsidRPr="009E5A09">
        <w:t xml:space="preserve">, </w:t>
      </w:r>
      <w:r w:rsidRPr="009E5A09">
        <w:rPr>
          <w:i/>
        </w:rPr>
        <w:t>dmsA</w:t>
      </w:r>
      <w:r w:rsidRPr="009E5A09">
        <w:t xml:space="preserve">, </w:t>
      </w:r>
      <w:r w:rsidRPr="009E5A09">
        <w:rPr>
          <w:i/>
        </w:rPr>
        <w:t>dmsB</w:t>
      </w:r>
      <w:r w:rsidRPr="009E5A09">
        <w:t xml:space="preserve">. Transcripts for </w:t>
      </w:r>
      <w:r w:rsidRPr="009E5A09">
        <w:rPr>
          <w:i/>
        </w:rPr>
        <w:t xml:space="preserve">dmsG </w:t>
      </w:r>
      <w:r w:rsidRPr="009E5A09">
        <w:t xml:space="preserve">and </w:t>
      </w:r>
      <w:r w:rsidRPr="009E5A09">
        <w:rPr>
          <w:i/>
        </w:rPr>
        <w:t>dmsH</w:t>
      </w:r>
      <w:r w:rsidRPr="009E5A09">
        <w:t xml:space="preserve"> were more abundant</w:t>
      </w:r>
      <w:r>
        <w:t xml:space="preserve"> in +Fh treatments</w:t>
      </w:r>
      <w:r w:rsidRPr="009E5A09">
        <w:t>, though not significantly.</w:t>
      </w:r>
    </w:p>
    <w:p w14:paraId="6B7706A2" w14:textId="647B2173" w:rsidR="00743645" w:rsidRPr="009E5A09" w:rsidRDefault="00743645" w:rsidP="001A14AF">
      <w:pPr>
        <w:rPr>
          <w:u w:val="single"/>
        </w:rPr>
      </w:pPr>
      <w:r w:rsidRPr="009E5A09">
        <w:t>Other genes of interest were transcribed but were not significantly different between treatments</w:t>
      </w:r>
      <w:r>
        <w:t>, including</w:t>
      </w:r>
      <w:r w:rsidRPr="009E5A09">
        <w:t xml:space="preserve"> riboflavin biosynthesis</w:t>
      </w:r>
      <w:r>
        <w:t xml:space="preserve"> (</w:t>
      </w:r>
      <w:r w:rsidRPr="009E5A09">
        <w:rPr>
          <w:i/>
        </w:rPr>
        <w:t>ribA</w:t>
      </w:r>
      <w:r w:rsidRPr="009E5A09">
        <w:t>,</w:t>
      </w:r>
      <w:r w:rsidRPr="009E5A09">
        <w:rPr>
          <w:i/>
        </w:rPr>
        <w:t xml:space="preserve"> ribBA</w:t>
      </w:r>
      <w:r w:rsidRPr="009E5A09">
        <w:t>,</w:t>
      </w:r>
      <w:r w:rsidRPr="009E5A09">
        <w:rPr>
          <w:i/>
        </w:rPr>
        <w:t xml:space="preserve"> ribD</w:t>
      </w:r>
      <w:r w:rsidRPr="009E5A09">
        <w:t>,</w:t>
      </w:r>
      <w:r w:rsidRPr="009E5A09">
        <w:rPr>
          <w:i/>
        </w:rPr>
        <w:t xml:space="preserve"> yigB</w:t>
      </w:r>
      <w:r w:rsidRPr="009E5A09">
        <w:t>,</w:t>
      </w:r>
      <w:r w:rsidRPr="009E5A09">
        <w:rPr>
          <w:i/>
        </w:rPr>
        <w:t xml:space="preserve"> ribC</w:t>
      </w:r>
      <w:r w:rsidRPr="009E5A09">
        <w:t>,</w:t>
      </w:r>
      <w:r w:rsidRPr="009E5A09">
        <w:rPr>
          <w:i/>
        </w:rPr>
        <w:t xml:space="preserve"> ribE</w:t>
      </w:r>
      <w:r w:rsidRPr="009E5A09">
        <w:t>_1,</w:t>
      </w:r>
      <w:r w:rsidRPr="009E5A09">
        <w:rPr>
          <w:i/>
        </w:rPr>
        <w:t xml:space="preserve"> </w:t>
      </w:r>
      <w:r w:rsidRPr="009E5A09">
        <w:t xml:space="preserve">and </w:t>
      </w:r>
      <w:r w:rsidRPr="009E5A09">
        <w:rPr>
          <w:i/>
        </w:rPr>
        <w:t>ribE</w:t>
      </w:r>
      <w:r w:rsidRPr="009E5A09">
        <w:t>_2</w:t>
      </w:r>
      <w:r>
        <w:t xml:space="preserve">; </w:t>
      </w:r>
      <w:r w:rsidRPr="00854FA3">
        <w:rPr>
          <w:b/>
        </w:rPr>
        <w:t>Fig</w:t>
      </w:r>
      <w:r w:rsidR="00854FA3" w:rsidRPr="00854FA3">
        <w:rPr>
          <w:b/>
        </w:rPr>
        <w:t>ure 4.</w:t>
      </w:r>
      <w:r w:rsidRPr="00854FA3">
        <w:rPr>
          <w:b/>
        </w:rPr>
        <w:t>3</w:t>
      </w:r>
      <w:r w:rsidRPr="00075256">
        <w:rPr>
          <w:bCs/>
        </w:rPr>
        <w:t>;</w:t>
      </w:r>
      <w:r w:rsidRPr="009E5A09">
        <w:t xml:space="preserve"> </w:t>
      </w:r>
      <w:r w:rsidR="008420A0" w:rsidRPr="008420A0">
        <w:rPr>
          <w:b/>
          <w:bCs/>
        </w:rPr>
        <w:t>Appendix</w:t>
      </w:r>
      <w:r w:rsidR="008420A0">
        <w:rPr>
          <w:b/>
          <w:bCs/>
        </w:rPr>
        <w:t>,</w:t>
      </w:r>
      <w:r w:rsidR="008420A0" w:rsidRPr="00F13F6D">
        <w:rPr>
          <w:rFonts w:cs="Times New Roman"/>
          <w:b/>
          <w:bCs/>
        </w:rPr>
        <w:t xml:space="preserve"> </w:t>
      </w:r>
      <w:r w:rsidRPr="00854FA3">
        <w:rPr>
          <w:b/>
        </w:rPr>
        <w:t>Fig</w:t>
      </w:r>
      <w:r w:rsidR="00854FA3" w:rsidRPr="00854FA3">
        <w:rPr>
          <w:b/>
        </w:rPr>
        <w:t>ure</w:t>
      </w:r>
      <w:r w:rsidRPr="00854FA3">
        <w:rPr>
          <w:b/>
        </w:rPr>
        <w:t xml:space="preserve"> </w:t>
      </w:r>
      <w:r w:rsidR="00854FA3" w:rsidRPr="00854FA3">
        <w:rPr>
          <w:b/>
        </w:rPr>
        <w:t>6.</w:t>
      </w:r>
      <w:r w:rsidR="00854FA3">
        <w:rPr>
          <w:b/>
        </w:rPr>
        <w:t>20</w:t>
      </w:r>
      <w:r w:rsidRPr="00854FA3">
        <w:rPr>
          <w:b/>
        </w:rPr>
        <w:t>b</w:t>
      </w:r>
      <w:r w:rsidRPr="009E5A09">
        <w:t xml:space="preserve"> </w:t>
      </w:r>
      <w:r w:rsidRPr="00075256">
        <w:rPr>
          <w:bCs/>
        </w:rPr>
        <w:t>and</w:t>
      </w:r>
      <w:r w:rsidRPr="009E5A09">
        <w:t xml:space="preserve"> </w:t>
      </w:r>
      <w:r w:rsidRPr="00FA0ACD">
        <w:rPr>
          <w:b/>
        </w:rPr>
        <w:t xml:space="preserve">Table </w:t>
      </w:r>
      <w:r w:rsidR="00FA0ACD" w:rsidRPr="00FA0ACD">
        <w:rPr>
          <w:b/>
        </w:rPr>
        <w:t>6.8</w:t>
      </w:r>
      <w:r w:rsidRPr="009E5A09">
        <w:t xml:space="preserve">). Additionally, four putative flavin-dependent halogenases, </w:t>
      </w:r>
      <w:r w:rsidRPr="009E5A09">
        <w:rPr>
          <w:i/>
        </w:rPr>
        <w:t>rebH_1</w:t>
      </w:r>
      <w:r w:rsidRPr="009E5A09">
        <w:t xml:space="preserve">, </w:t>
      </w:r>
      <w:r w:rsidRPr="009E5A09">
        <w:rPr>
          <w:i/>
        </w:rPr>
        <w:t>rebH_2</w:t>
      </w:r>
      <w:r w:rsidRPr="009E5A09">
        <w:t xml:space="preserve">, </w:t>
      </w:r>
      <w:r w:rsidRPr="009E5A09">
        <w:rPr>
          <w:i/>
        </w:rPr>
        <w:t>rebH_3</w:t>
      </w:r>
      <w:r w:rsidRPr="009E5A09">
        <w:t xml:space="preserve">, and </w:t>
      </w:r>
      <w:r w:rsidRPr="009E5A09">
        <w:rPr>
          <w:i/>
        </w:rPr>
        <w:t>prnA</w:t>
      </w:r>
      <w:r w:rsidRPr="009E5A09">
        <w:t>, were identified</w:t>
      </w:r>
      <w:r>
        <w:t xml:space="preserve"> within transcripts.</w:t>
      </w:r>
      <w:r w:rsidRPr="009E5A09">
        <w:t xml:space="preserve"> </w:t>
      </w:r>
    </w:p>
    <w:p w14:paraId="504665C5" w14:textId="77777777" w:rsidR="00743645" w:rsidRPr="00870799" w:rsidRDefault="00743645" w:rsidP="001A14AF">
      <w:pPr>
        <w:pStyle w:val="Heading3"/>
        <w:spacing w:before="0" w:after="0"/>
      </w:pPr>
      <w:bookmarkStart w:id="227" w:name="_Toc196256936"/>
      <w:r w:rsidRPr="00870799">
        <w:t>Soluble Metabolites</w:t>
      </w:r>
      <w:bookmarkEnd w:id="227"/>
    </w:p>
    <w:p w14:paraId="37BB0637" w14:textId="274523F4" w:rsidR="00743645" w:rsidRPr="009E5A09" w:rsidRDefault="00743645" w:rsidP="001A14AF">
      <w:r>
        <w:t>Soluble metabolites were detected via ultra high purity liquid chromatography mass spectrometry</w:t>
      </w:r>
      <w:r w:rsidRPr="009E5A09">
        <w:t xml:space="preserve"> </w:t>
      </w:r>
      <w:r>
        <w:t xml:space="preserve">(UHPLC-MS) in supernatant collected from two-week incubations No Fh treatments and both two- and eight-week +Fh treatments. </w:t>
      </w:r>
      <w:r w:rsidRPr="009E5A09">
        <w:t xml:space="preserve">Following </w:t>
      </w:r>
      <w:r>
        <w:t xml:space="preserve">peak </w:t>
      </w:r>
      <w:r w:rsidRPr="009E5A09">
        <w:t>alignment, 18514 features were present amongst all samples</w:t>
      </w:r>
      <w:r>
        <w:t>, with</w:t>
      </w:r>
      <w:r w:rsidRPr="009E5A09">
        <w:t xml:space="preserve"> 725 (3.92%) features passing all </w:t>
      </w:r>
      <w:r>
        <w:t xml:space="preserve">quality </w:t>
      </w:r>
      <w:r w:rsidRPr="009E5A09">
        <w:t>filters. Of these features, 306</w:t>
      </w:r>
      <w:r>
        <w:t xml:space="preserve"> w</w:t>
      </w:r>
      <w:r w:rsidRPr="009E5A09">
        <w:t xml:space="preserve">ere present in all </w:t>
      </w:r>
      <w:r>
        <w:t>treatments</w:t>
      </w:r>
      <w:r w:rsidRPr="009E5A09">
        <w:t>;</w:t>
      </w:r>
      <w:r>
        <w:t xml:space="preserve"> </w:t>
      </w:r>
      <w:r w:rsidRPr="009E5A09">
        <w:t xml:space="preserve">No Fh two-week </w:t>
      </w:r>
      <w:r>
        <w:t xml:space="preserve">and </w:t>
      </w:r>
      <w:r>
        <w:lastRenderedPageBreak/>
        <w:t>+</w:t>
      </w:r>
      <w:r w:rsidRPr="009E5A09">
        <w:t xml:space="preserve">Fh eight-week </w:t>
      </w:r>
      <w:r>
        <w:t>treatments had</w:t>
      </w:r>
      <w:r w:rsidRPr="009E5A09">
        <w:t xml:space="preserve"> 42 </w:t>
      </w:r>
      <w:r>
        <w:t xml:space="preserve">unique </w:t>
      </w:r>
      <w:r w:rsidRPr="009E5A09">
        <w:t xml:space="preserve">features </w:t>
      </w:r>
      <w:r>
        <w:t>each</w:t>
      </w:r>
      <w:r w:rsidRPr="009E5A09">
        <w:t>, and 41</w:t>
      </w:r>
      <w:r>
        <w:t xml:space="preserve"> </w:t>
      </w:r>
      <w:r w:rsidRPr="009E5A09">
        <w:t xml:space="preserve">features were present in only +Fh treatments (two- and eight-week incubations). No features were unique to two-week +Fh </w:t>
      </w:r>
      <w:r>
        <w:t>supernatant</w:t>
      </w:r>
      <w:r w:rsidRPr="009E5A09">
        <w:t>. Based on hierarchical clustering analysis of normalized abundance of molecular features, extraction and injection replicates grouped together, and No Fh treatments formed a separate statistical clade from +Fh treatments (</w:t>
      </w:r>
      <w:r w:rsidR="008420A0" w:rsidRPr="008420A0">
        <w:rPr>
          <w:b/>
          <w:bCs/>
        </w:rPr>
        <w:t>Appendix</w:t>
      </w:r>
      <w:r w:rsidR="008420A0">
        <w:rPr>
          <w:b/>
          <w:bCs/>
        </w:rPr>
        <w:t>,</w:t>
      </w:r>
      <w:r w:rsidR="008420A0" w:rsidRPr="00F13F6D">
        <w:rPr>
          <w:rFonts w:cs="Times New Roman"/>
          <w:b/>
          <w:bCs/>
        </w:rPr>
        <w:t xml:space="preserve"> </w:t>
      </w:r>
      <w:r w:rsidRPr="00854FA3">
        <w:rPr>
          <w:b/>
        </w:rPr>
        <w:t>Fig</w:t>
      </w:r>
      <w:r w:rsidR="00854FA3" w:rsidRPr="00854FA3">
        <w:rPr>
          <w:b/>
        </w:rPr>
        <w:t>ure 6</w:t>
      </w:r>
      <w:r w:rsidRPr="00854FA3">
        <w:rPr>
          <w:b/>
        </w:rPr>
        <w:t>.</w:t>
      </w:r>
      <w:r w:rsidR="00854FA3" w:rsidRPr="00854FA3">
        <w:rPr>
          <w:b/>
        </w:rPr>
        <w:t>21</w:t>
      </w:r>
      <w:r w:rsidRPr="009E5A09">
        <w:t>).</w:t>
      </w:r>
    </w:p>
    <w:p w14:paraId="1CEA490B" w14:textId="00FBD767" w:rsidR="00743645" w:rsidRPr="009E5A09" w:rsidRDefault="00743645" w:rsidP="001A14AF">
      <w:r w:rsidRPr="009E5A09">
        <w:t xml:space="preserve">Riboflavin was identified within supernatant extracts via comparison to an authentic standard </w:t>
      </w:r>
      <w:r w:rsidRPr="00075256">
        <w:t>(</w:t>
      </w:r>
      <w:r w:rsidRPr="00854FA3">
        <w:rPr>
          <w:b/>
          <w:bCs/>
        </w:rPr>
        <w:t>Fig</w:t>
      </w:r>
      <w:r w:rsidR="00854FA3" w:rsidRPr="00854FA3">
        <w:rPr>
          <w:b/>
          <w:bCs/>
        </w:rPr>
        <w:t>ure</w:t>
      </w:r>
      <w:r w:rsidRPr="00854FA3">
        <w:rPr>
          <w:b/>
          <w:bCs/>
        </w:rPr>
        <w:t xml:space="preserve"> </w:t>
      </w:r>
      <w:r w:rsidR="00854FA3" w:rsidRPr="00854FA3">
        <w:rPr>
          <w:b/>
          <w:bCs/>
        </w:rPr>
        <w:t>4.</w:t>
      </w:r>
      <w:r w:rsidRPr="00854FA3">
        <w:rPr>
          <w:b/>
          <w:bCs/>
        </w:rPr>
        <w:t>4</w:t>
      </w:r>
      <w:r w:rsidRPr="00075256">
        <w:t>). A putative riboflavin feature (</w:t>
      </w:r>
      <w:r w:rsidRPr="00075256">
        <w:rPr>
          <w:i/>
        </w:rPr>
        <w:t xml:space="preserve">m/z </w:t>
      </w:r>
      <w:r w:rsidRPr="00075256">
        <w:t>377.1461; calculated for C</w:t>
      </w:r>
      <w:r w:rsidRPr="00075256">
        <w:rPr>
          <w:vertAlign w:val="subscript"/>
        </w:rPr>
        <w:t>17</w:t>
      </w:r>
      <w:r w:rsidRPr="00075256">
        <w:t>H</w:t>
      </w:r>
      <w:r w:rsidRPr="00075256">
        <w:rPr>
          <w:vertAlign w:val="subscript"/>
        </w:rPr>
        <w:t>21</w:t>
      </w:r>
      <w:r w:rsidRPr="00075256">
        <w:t>N</w:t>
      </w:r>
      <w:r w:rsidRPr="00075256">
        <w:rPr>
          <w:vertAlign w:val="subscript"/>
        </w:rPr>
        <w:t>4</w:t>
      </w:r>
      <w:r w:rsidRPr="00075256">
        <w:t>O</w:t>
      </w:r>
      <w:r w:rsidRPr="00075256">
        <w:rPr>
          <w:vertAlign w:val="subscript"/>
        </w:rPr>
        <w:t>6</w:t>
      </w:r>
      <w:r w:rsidRPr="00075256">
        <w:t xml:space="preserve"> [M + H]</w:t>
      </w:r>
      <w:r w:rsidRPr="00075256">
        <w:rPr>
          <w:vertAlign w:val="superscript"/>
        </w:rPr>
        <w:t>+</w:t>
      </w:r>
      <w:r w:rsidRPr="00075256">
        <w:t>, 377.1462) was detected in all microcosm extract</w:t>
      </w:r>
      <w:r>
        <w:t>s</w:t>
      </w:r>
      <w:r w:rsidRPr="00075256">
        <w:t xml:space="preserve"> with a retention time of 3.88-3.89 (</w:t>
      </w:r>
      <w:r w:rsidRPr="00854FA3">
        <w:rPr>
          <w:b/>
          <w:bCs/>
        </w:rPr>
        <w:t>Fig</w:t>
      </w:r>
      <w:r w:rsidR="00854FA3" w:rsidRPr="00854FA3">
        <w:rPr>
          <w:b/>
          <w:bCs/>
        </w:rPr>
        <w:t>ure</w:t>
      </w:r>
      <w:r w:rsidRPr="00854FA3">
        <w:rPr>
          <w:b/>
          <w:bCs/>
        </w:rPr>
        <w:t xml:space="preserve"> </w:t>
      </w:r>
      <w:r w:rsidR="00854FA3" w:rsidRPr="00854FA3">
        <w:rPr>
          <w:b/>
          <w:bCs/>
        </w:rPr>
        <w:t>4.</w:t>
      </w:r>
      <w:r w:rsidRPr="00854FA3">
        <w:rPr>
          <w:b/>
          <w:bCs/>
        </w:rPr>
        <w:t>4a</w:t>
      </w:r>
      <w:r w:rsidRPr="00075256">
        <w:t xml:space="preserve">). The MS/MS spectra of the peak were congruent with the fragmentation pattern obtained from </w:t>
      </w:r>
      <w:r>
        <w:t>the</w:t>
      </w:r>
      <w:r w:rsidRPr="00075256">
        <w:t xml:space="preserve"> standard (</w:t>
      </w:r>
      <w:r w:rsidRPr="00854FA3">
        <w:rPr>
          <w:b/>
          <w:bCs/>
        </w:rPr>
        <w:t>Fig</w:t>
      </w:r>
      <w:r w:rsidR="00854FA3" w:rsidRPr="00854FA3">
        <w:rPr>
          <w:b/>
          <w:bCs/>
        </w:rPr>
        <w:t>ure</w:t>
      </w:r>
      <w:r w:rsidRPr="00854FA3">
        <w:rPr>
          <w:b/>
          <w:bCs/>
        </w:rPr>
        <w:t xml:space="preserve"> </w:t>
      </w:r>
      <w:r w:rsidR="00854FA3" w:rsidRPr="00854FA3">
        <w:rPr>
          <w:b/>
          <w:bCs/>
        </w:rPr>
        <w:t>4.</w:t>
      </w:r>
      <w:r w:rsidRPr="00854FA3">
        <w:rPr>
          <w:b/>
          <w:bCs/>
        </w:rPr>
        <w:t>4b</w:t>
      </w:r>
      <w:r w:rsidRPr="00075256">
        <w:t>). This feature was present in greater abundance in +Fh incubations compared to No Fh supernatant (</w:t>
      </w:r>
      <w:r w:rsidRPr="00854FA3">
        <w:rPr>
          <w:b/>
          <w:bCs/>
        </w:rPr>
        <w:t>Fig</w:t>
      </w:r>
      <w:r w:rsidR="00854FA3" w:rsidRPr="00854FA3">
        <w:rPr>
          <w:b/>
          <w:bCs/>
        </w:rPr>
        <w:t>ure</w:t>
      </w:r>
      <w:r w:rsidRPr="00854FA3">
        <w:rPr>
          <w:b/>
          <w:bCs/>
        </w:rPr>
        <w:t xml:space="preserve"> </w:t>
      </w:r>
      <w:r w:rsidR="00854FA3" w:rsidRPr="00854FA3">
        <w:rPr>
          <w:b/>
          <w:bCs/>
        </w:rPr>
        <w:t>4.</w:t>
      </w:r>
      <w:r w:rsidRPr="00854FA3">
        <w:rPr>
          <w:b/>
          <w:bCs/>
        </w:rPr>
        <w:t>4c</w:t>
      </w:r>
      <w:r w:rsidRPr="00075256">
        <w:t>).</w:t>
      </w:r>
    </w:p>
    <w:p w14:paraId="6300F566" w14:textId="77777777" w:rsidR="00743645" w:rsidRPr="00870799" w:rsidRDefault="00743645" w:rsidP="001A14AF">
      <w:pPr>
        <w:pStyle w:val="Heading3"/>
        <w:spacing w:before="0" w:after="0"/>
      </w:pPr>
      <w:bookmarkStart w:id="228" w:name="_Toc196256937"/>
      <w:r w:rsidRPr="00870799">
        <w:t>Volatile Metabolites</w:t>
      </w:r>
      <w:bookmarkEnd w:id="228"/>
      <w:r w:rsidRPr="00870799">
        <w:t xml:space="preserve"> </w:t>
      </w:r>
    </w:p>
    <w:p w14:paraId="36D3320E" w14:textId="1C5C15E5" w:rsidR="00743645" w:rsidRDefault="00743645" w:rsidP="001A14AF">
      <w:r>
        <w:t xml:space="preserve">Over the course of incubation, VOC profiles detected in microcosm headspace differed between treatments </w:t>
      </w:r>
      <w:r w:rsidRPr="009E5A09">
        <w:t>(</w:t>
      </w:r>
      <w:r w:rsidRPr="00854FA3">
        <w:rPr>
          <w:b/>
        </w:rPr>
        <w:t>Fig</w:t>
      </w:r>
      <w:r w:rsidR="00854FA3" w:rsidRPr="00854FA3">
        <w:rPr>
          <w:b/>
        </w:rPr>
        <w:t>ure</w:t>
      </w:r>
      <w:r w:rsidRPr="00854FA3">
        <w:rPr>
          <w:b/>
        </w:rPr>
        <w:t xml:space="preserve"> </w:t>
      </w:r>
      <w:r w:rsidR="00854FA3" w:rsidRPr="00854FA3">
        <w:rPr>
          <w:b/>
        </w:rPr>
        <w:t>4.</w:t>
      </w:r>
      <w:r w:rsidRPr="00854FA3">
        <w:rPr>
          <w:b/>
        </w:rPr>
        <w:t>5a</w:t>
      </w:r>
      <w:r w:rsidRPr="00075256">
        <w:rPr>
          <w:bCs/>
        </w:rPr>
        <w:t>).</w:t>
      </w:r>
      <w:r w:rsidRPr="009E5A09">
        <w:t xml:space="preserve"> </w:t>
      </w:r>
      <w:r>
        <w:rPr>
          <w:bCs/>
        </w:rPr>
        <w:t xml:space="preserve">In +Fh and No Fh Live treatments, </w:t>
      </w:r>
      <w:r w:rsidRPr="009E5A09">
        <w:t xml:space="preserve">18 features </w:t>
      </w:r>
      <w:r w:rsidRPr="00075256">
        <w:t>were significantly higher compared to Dead Cell, No Cell, and N</w:t>
      </w:r>
      <w:r w:rsidRPr="00075256">
        <w:rPr>
          <w:vertAlign w:val="subscript"/>
        </w:rPr>
        <w:t>2</w:t>
      </w:r>
      <w:r w:rsidRPr="00075256">
        <w:t xml:space="preserve"> controls (</w:t>
      </w:r>
      <w:r w:rsidR="008420A0" w:rsidRPr="008420A0">
        <w:rPr>
          <w:b/>
          <w:bCs/>
        </w:rPr>
        <w:t>Appendix</w:t>
      </w:r>
      <w:r w:rsidR="008420A0">
        <w:rPr>
          <w:b/>
          <w:bCs/>
        </w:rPr>
        <w:t>,</w:t>
      </w:r>
      <w:r w:rsidR="008420A0" w:rsidRPr="00F13F6D">
        <w:rPr>
          <w:rFonts w:cs="Times New Roman"/>
          <w:b/>
          <w:bCs/>
        </w:rPr>
        <w:t xml:space="preserve"> </w:t>
      </w:r>
      <w:r w:rsidRPr="00A37246">
        <w:rPr>
          <w:b/>
          <w:bCs/>
        </w:rPr>
        <w:t xml:space="preserve">Table </w:t>
      </w:r>
      <w:r w:rsidR="00FA0ACD" w:rsidRPr="00A37246">
        <w:rPr>
          <w:b/>
          <w:bCs/>
        </w:rPr>
        <w:t>6.9</w:t>
      </w:r>
      <w:r>
        <w:t xml:space="preserve">; </w:t>
      </w:r>
      <w:r w:rsidRPr="009E5A09">
        <w:t>p &lt; 0.001 for all</w:t>
      </w:r>
      <w:r w:rsidRPr="00075256">
        <w:t xml:space="preserve">). After two weeks, three features were more abundant in Live </w:t>
      </w:r>
      <w:r>
        <w:t>treatments</w:t>
      </w:r>
      <w:r w:rsidRPr="009E5A09">
        <w:t xml:space="preserve"> </w:t>
      </w:r>
      <w:r>
        <w:t>compared to</w:t>
      </w:r>
      <w:r w:rsidRPr="009E5A09">
        <w:t xml:space="preserve"> controls</w:t>
      </w:r>
      <w:r>
        <w:t xml:space="preserve">, and one </w:t>
      </w:r>
      <w:r w:rsidRPr="009E5A09">
        <w:t xml:space="preserve">feature was significantly more abundant in Live No Fh </w:t>
      </w:r>
      <w:r>
        <w:t>treatments</w:t>
      </w:r>
      <w:r w:rsidRPr="009E5A09">
        <w:t xml:space="preserve">. After eight weeks, </w:t>
      </w:r>
      <w:r>
        <w:t>10</w:t>
      </w:r>
      <w:r w:rsidRPr="009E5A09">
        <w:t xml:space="preserve"> features were significantly higher in </w:t>
      </w:r>
      <w:r>
        <w:t xml:space="preserve">both </w:t>
      </w:r>
      <w:r w:rsidRPr="009E5A09">
        <w:t xml:space="preserve">Live </w:t>
      </w:r>
      <w:r>
        <w:t>treatments compared</w:t>
      </w:r>
      <w:r w:rsidRPr="009E5A09">
        <w:t xml:space="preserve"> No Cell and Dead Cell controls (p &lt; 0.001 for all). </w:t>
      </w:r>
      <w:r>
        <w:t xml:space="preserve">Of these features, five were significantly higher in +Fh compared to No Fh. An additional four features were </w:t>
      </w:r>
      <w:r w:rsidRPr="009E5A09">
        <w:t>significantly higher in</w:t>
      </w:r>
      <w:r>
        <w:t xml:space="preserve"> Live</w:t>
      </w:r>
      <w:r w:rsidRPr="009E5A09">
        <w:t xml:space="preserve"> +Fh only. </w:t>
      </w:r>
      <w:r>
        <w:t xml:space="preserve">Of all features, 38 were putatively identified </w:t>
      </w:r>
      <w:r w:rsidRPr="00075256">
        <w:t>(</w:t>
      </w:r>
      <w:r w:rsidRPr="00854FA3">
        <w:rPr>
          <w:b/>
        </w:rPr>
        <w:t>Fig</w:t>
      </w:r>
      <w:r w:rsidR="00854FA3" w:rsidRPr="00854FA3">
        <w:rPr>
          <w:b/>
        </w:rPr>
        <w:t>ure 4.</w:t>
      </w:r>
      <w:r w:rsidRPr="00854FA3">
        <w:rPr>
          <w:b/>
        </w:rPr>
        <w:t>5a</w:t>
      </w:r>
      <w:r w:rsidRPr="00075256">
        <w:t xml:space="preserve">; </w:t>
      </w:r>
      <w:r w:rsidR="008420A0" w:rsidRPr="008420A0">
        <w:rPr>
          <w:b/>
          <w:bCs/>
        </w:rPr>
        <w:t>Appendix</w:t>
      </w:r>
      <w:r w:rsidR="008420A0">
        <w:rPr>
          <w:b/>
          <w:bCs/>
        </w:rPr>
        <w:t>,</w:t>
      </w:r>
      <w:r w:rsidR="008420A0" w:rsidRPr="00F13F6D">
        <w:rPr>
          <w:rFonts w:cs="Times New Roman"/>
          <w:b/>
          <w:bCs/>
        </w:rPr>
        <w:t xml:space="preserve"> </w:t>
      </w:r>
      <w:r w:rsidRPr="00A37246">
        <w:rPr>
          <w:b/>
          <w:bCs/>
        </w:rPr>
        <w:t xml:space="preserve">Table </w:t>
      </w:r>
      <w:r w:rsidR="00A37246">
        <w:rPr>
          <w:b/>
          <w:bCs/>
        </w:rPr>
        <w:t>6.9</w:t>
      </w:r>
      <w:r w:rsidRPr="00075256">
        <w:t xml:space="preserve">). One feature </w:t>
      </w:r>
      <w:r>
        <w:t>(</w:t>
      </w:r>
      <w:r w:rsidRPr="00075256">
        <w:rPr>
          <w:i/>
        </w:rPr>
        <w:t>m/z</w:t>
      </w:r>
      <w:r w:rsidRPr="00075256">
        <w:t xml:space="preserve"> 63.71</w:t>
      </w:r>
      <w:r>
        <w:t>)</w:t>
      </w:r>
      <w:r w:rsidRPr="00075256">
        <w:t xml:space="preserve"> was putatively identified as DMS, ethanethiol,</w:t>
      </w:r>
      <w:r w:rsidRPr="009E5A09">
        <w:t xml:space="preserve"> or 1,2-ethanediol, and was significantly more abundant in +Fh Live headspace following eight weeks (</w:t>
      </w:r>
      <w:r w:rsidRPr="00FA0ACD">
        <w:rPr>
          <w:b/>
        </w:rPr>
        <w:t>Fig</w:t>
      </w:r>
      <w:r w:rsidR="00FA0ACD" w:rsidRPr="00FA0ACD">
        <w:rPr>
          <w:b/>
        </w:rPr>
        <w:t xml:space="preserve">ure </w:t>
      </w:r>
      <w:r w:rsidR="00FA0ACD">
        <w:rPr>
          <w:b/>
        </w:rPr>
        <w:t>4</w:t>
      </w:r>
      <w:r w:rsidR="00FA0ACD" w:rsidRPr="00FA0ACD">
        <w:rPr>
          <w:b/>
        </w:rPr>
        <w:t>.</w:t>
      </w:r>
      <w:r w:rsidRPr="00FA0ACD">
        <w:rPr>
          <w:b/>
        </w:rPr>
        <w:t>5b</w:t>
      </w:r>
      <w:r w:rsidRPr="009E5A09">
        <w:t xml:space="preserve">). </w:t>
      </w:r>
      <w:r>
        <w:t>Identity of the feature as DMS was supported by comparison to a DMS standard.</w:t>
      </w:r>
    </w:p>
    <w:p w14:paraId="5F34216B" w14:textId="55C52240" w:rsidR="00743645" w:rsidRPr="009E5A09" w:rsidRDefault="00743645" w:rsidP="001A14AF">
      <w:r w:rsidRPr="009E5A09">
        <w:t xml:space="preserve">Production of DMS was also identified via </w:t>
      </w:r>
      <w:r>
        <w:t>Membrane Inlet Mass Spectrometry (</w:t>
      </w:r>
      <w:r w:rsidRPr="009E5A09">
        <w:t>MIMS</w:t>
      </w:r>
      <w:r>
        <w:t>)</w:t>
      </w:r>
      <w:r w:rsidRPr="009E5A09">
        <w:t xml:space="preserve">. Following both 9 and 13 days of incubation, </w:t>
      </w:r>
      <w:r>
        <w:t>D</w:t>
      </w:r>
      <w:r w:rsidRPr="000C4649">
        <w:rPr>
          <w:vertAlign w:val="subscript"/>
        </w:rPr>
        <w:t>6</w:t>
      </w:r>
      <w:r>
        <w:t>-</w:t>
      </w:r>
      <w:r w:rsidRPr="009E5A09">
        <w:t xml:space="preserve">DMS was detected at a higher </w:t>
      </w:r>
      <w:r w:rsidRPr="009E5A09">
        <w:lastRenderedPageBreak/>
        <w:t xml:space="preserve">abundance </w:t>
      </w:r>
      <w:r>
        <w:t xml:space="preserve">in BF02_Schw cultures </w:t>
      </w:r>
      <w:r w:rsidRPr="009E5A09">
        <w:t>incubated with both D</w:t>
      </w:r>
      <w:r w:rsidRPr="009E5A09">
        <w:rPr>
          <w:vertAlign w:val="subscript"/>
        </w:rPr>
        <w:t>6</w:t>
      </w:r>
      <w:r w:rsidRPr="009E5A09">
        <w:t>-DMSO and thiosulfate</w:t>
      </w:r>
      <w:r>
        <w:t xml:space="preserve"> compared to No Cell controls</w:t>
      </w:r>
      <w:r w:rsidRPr="009E5A09">
        <w:t xml:space="preserve"> (</w:t>
      </w:r>
      <w:r w:rsidR="008420A0" w:rsidRPr="008420A0">
        <w:rPr>
          <w:b/>
          <w:bCs/>
        </w:rPr>
        <w:t>Appendix</w:t>
      </w:r>
      <w:r w:rsidR="008420A0">
        <w:rPr>
          <w:b/>
          <w:bCs/>
        </w:rPr>
        <w:t>,</w:t>
      </w:r>
      <w:r w:rsidR="008420A0" w:rsidRPr="00F13F6D">
        <w:rPr>
          <w:rFonts w:cs="Times New Roman"/>
          <w:b/>
          <w:bCs/>
        </w:rPr>
        <w:t xml:space="preserve"> </w:t>
      </w:r>
      <w:r w:rsidRPr="00FA0ACD">
        <w:rPr>
          <w:b/>
        </w:rPr>
        <w:t>Fig</w:t>
      </w:r>
      <w:r w:rsidR="00FA0ACD" w:rsidRPr="00FA0ACD">
        <w:rPr>
          <w:b/>
        </w:rPr>
        <w:t>ure 6.22</w:t>
      </w:r>
      <w:r w:rsidRPr="009E5A09">
        <w:t xml:space="preserve">). </w:t>
      </w:r>
      <w:r>
        <w:t>D</w:t>
      </w:r>
      <w:r>
        <w:rPr>
          <w:vertAlign w:val="subscript"/>
        </w:rPr>
        <w:t>6</w:t>
      </w:r>
      <w:r>
        <w:t>-DMS was identified via a peak shift from the expected DMS mass (M+6), which supported the utilization of D</w:t>
      </w:r>
      <w:r>
        <w:rPr>
          <w:vertAlign w:val="subscript"/>
        </w:rPr>
        <w:t>6</w:t>
      </w:r>
      <w:r>
        <w:t xml:space="preserve">-DMSO by BF02_Schw. </w:t>
      </w:r>
      <w:r w:rsidRPr="009E5A09">
        <w:t xml:space="preserve">When </w:t>
      </w:r>
      <w:r>
        <w:t xml:space="preserve">cultures were </w:t>
      </w:r>
      <w:r w:rsidRPr="009E5A09">
        <w:t>incubated with thiosulfate</w:t>
      </w:r>
      <w:r>
        <w:t xml:space="preserve"> and no DMSO</w:t>
      </w:r>
      <w:r w:rsidRPr="009E5A09">
        <w:t>, DMS was not detected above background</w:t>
      </w:r>
      <w:r>
        <w:t xml:space="preserve"> </w:t>
      </w:r>
      <w:r w:rsidRPr="009E5A09">
        <w:t>following 13 days of incubation (data not shown).</w:t>
      </w:r>
    </w:p>
    <w:p w14:paraId="6DF2FA02" w14:textId="61C55593" w:rsidR="00743645" w:rsidRPr="00870799" w:rsidRDefault="00743645" w:rsidP="001A14AF">
      <w:pPr>
        <w:pStyle w:val="Heading2"/>
        <w:spacing w:before="0" w:after="0"/>
      </w:pPr>
      <w:bookmarkStart w:id="229" w:name="_Toc196256938"/>
      <w:r w:rsidRPr="00870799">
        <w:t>Discussion</w:t>
      </w:r>
      <w:bookmarkEnd w:id="229"/>
    </w:p>
    <w:p w14:paraId="1D6E0D66" w14:textId="77777777" w:rsidR="00743645" w:rsidRDefault="00743645" w:rsidP="001A14AF">
      <w:pPr>
        <w:pStyle w:val="Heading3"/>
        <w:spacing w:before="0" w:after="0"/>
      </w:pPr>
      <w:bookmarkStart w:id="230" w:name="_Toc196256939"/>
      <w:r w:rsidRPr="00870799">
        <w:t>Biogenic Fe reduction</w:t>
      </w:r>
      <w:bookmarkEnd w:id="230"/>
    </w:p>
    <w:p w14:paraId="2204C079" w14:textId="77777777" w:rsidR="00743645" w:rsidRPr="009E5A09" w:rsidRDefault="00743645" w:rsidP="001A14AF">
      <w:r>
        <w:t xml:space="preserve">Microbe-mineral interactions through </w:t>
      </w:r>
      <w:r w:rsidRPr="009E5A09">
        <w:t>microbial metabolism or the adhesion of microbes to mineral surfaces</w:t>
      </w:r>
      <w:r>
        <w:t xml:space="preserve"> can alter mineral </w:t>
      </w:r>
      <w:r w:rsidRPr="009E5A09">
        <w:t xml:space="preserve">surface texture, crystal structure, inclusion of organics, or the generation of distinct mineral species </w:t>
      </w:r>
      <w:r w:rsidRPr="00041162">
        <w:t>(Banfield et al., 2001)</w:t>
      </w:r>
      <w:r w:rsidRPr="009E5A09">
        <w:t xml:space="preserve">. For example, aqueous Fe(II) is produced during DIR and adsorbs to unreduced Fe(III), leading to the formation of secondary Fe minerals such as goethite, hematite, and magnetite </w:t>
      </w:r>
      <w:r w:rsidRPr="00041162">
        <w:t>(Zachara et al., 2002)</w:t>
      </w:r>
      <w:r w:rsidRPr="009E5A09">
        <w:t>. While secondary Fe minerals may also form abiotically, biogenic Fe mineral phases can be identified by morphological and compositional features that can persist in the rock record. Terrestrially, secondary Fe minerals including hematite and magnetite have been proposed as possible products of DIR in Archaean B</w:t>
      </w:r>
      <w:r>
        <w:t>anded Iron Formations</w:t>
      </w:r>
      <w:r w:rsidRPr="009E5A09">
        <w:t xml:space="preserve"> </w:t>
      </w:r>
      <w:r w:rsidRPr="00041162">
        <w:t>(e.g., Walker, 1984; Nealson and Myers, 1990; Li et al., 2011; Teixeira et al., 2017). While an</w:t>
      </w:r>
      <w:r w:rsidRPr="009E5A09">
        <w:t xml:space="preserve"> abiotic origin cannot be precluded </w:t>
      </w:r>
      <w:r w:rsidRPr="00041162">
        <w:t>(Rasmussen and Muhling, 2018)</w:t>
      </w:r>
      <w:r w:rsidRPr="009E5A09">
        <w:t>, B</w:t>
      </w:r>
      <w:r>
        <w:t xml:space="preserve">anded Iron Formation minerology features from </w:t>
      </w:r>
      <w:r w:rsidRPr="009E5A09">
        <w:t xml:space="preserve">Fe-metabolizing organisms on early Earth </w:t>
      </w:r>
      <w:r>
        <w:t xml:space="preserve">may inform features detected on Mars, potentially indicative of </w:t>
      </w:r>
      <w:r w:rsidRPr="009E5A09">
        <w:t xml:space="preserve">Martian life. On Mars, </w:t>
      </w:r>
      <w:r>
        <w:t>Fe</w:t>
      </w:r>
      <w:r w:rsidRPr="009E5A09">
        <w:t xml:space="preserve"> mineralogy and its implications for extant or extinct life have been the subject of multiple investigations. For example, the MSL ChemMin instrument identified magnetite and hematite abundance within Gale Crater, </w:t>
      </w:r>
      <w:r>
        <w:t xml:space="preserve">with stratification </w:t>
      </w:r>
      <w:r w:rsidRPr="009E5A09">
        <w:t xml:space="preserve">suggesting the </w:t>
      </w:r>
      <w:r>
        <w:t xml:space="preserve">presence </w:t>
      </w:r>
      <w:r w:rsidRPr="009E5A09">
        <w:t xml:space="preserve">of a redoxycline in the possible Hesperian lake </w:t>
      </w:r>
      <w:r w:rsidRPr="00041162">
        <w:t>(Hurowitz et al., 2017; Rampe et al., 2020)</w:t>
      </w:r>
      <w:r w:rsidRPr="009E5A09">
        <w:t xml:space="preserve">. </w:t>
      </w:r>
      <w:r>
        <w:t xml:space="preserve">While </w:t>
      </w:r>
      <w:r w:rsidRPr="009E5A09">
        <w:t xml:space="preserve">these minerals are hypothesized to exist due to abiotic processes, redox gradients </w:t>
      </w:r>
      <w:r>
        <w:t xml:space="preserve">are </w:t>
      </w:r>
      <w:r w:rsidRPr="009E5A09">
        <w:t xml:space="preserve">key to life as we know it, and thus these features point to a possibly habitable ancient lake within Gale Crater </w:t>
      </w:r>
      <w:r w:rsidRPr="00041162">
        <w:t>(Grotzinger et al., 2014; Rampe et al., 2020)</w:t>
      </w:r>
      <w:r w:rsidRPr="009E5A09">
        <w:t xml:space="preserve">. Large portions of Martian mineralogy remain undetermined due to the </w:t>
      </w:r>
      <w:r>
        <w:t>abundance</w:t>
      </w:r>
      <w:r w:rsidRPr="009E5A09">
        <w:t xml:space="preserve"> </w:t>
      </w:r>
      <w:r w:rsidRPr="009E5A09">
        <w:lastRenderedPageBreak/>
        <w:t>of X-ray amorphous minerals (i.e., non-crystalline features that cannot be easily distinguished via XRD)</w:t>
      </w:r>
      <w:r>
        <w:t xml:space="preserve"> and </w:t>
      </w:r>
      <w:r w:rsidRPr="009E5A09">
        <w:t xml:space="preserve">have been proposed to contain a number of Fe species, including Fh </w:t>
      </w:r>
      <w:r w:rsidRPr="00041162">
        <w:t>(Rampe et al., 2020)</w:t>
      </w:r>
      <w:r w:rsidRPr="009E5A09">
        <w:t xml:space="preserve">. Fh has been identified within Martian meteorites </w:t>
      </w:r>
      <w:r>
        <w:t xml:space="preserve">dated to the </w:t>
      </w:r>
      <w:r w:rsidRPr="009E5A09">
        <w:t xml:space="preserve">Amazonian </w:t>
      </w:r>
      <w:r w:rsidRPr="00041162">
        <w:t>(Piercy et al., 2022)</w:t>
      </w:r>
      <w:r w:rsidRPr="009E5A09">
        <w:t xml:space="preserve"> and possibly the Noachian </w:t>
      </w:r>
      <w:r w:rsidRPr="00041162">
        <w:t>(Beck et al., 2015)</w:t>
      </w:r>
      <w:r w:rsidRPr="009E5A09">
        <w:t xml:space="preserve">, suggesting that Fh has been present on Mars at different points throughout its history. The timing of formation of these meteorites suggest that oxidized </w:t>
      </w:r>
      <w:r>
        <w:t>Fe</w:t>
      </w:r>
      <w:r w:rsidRPr="009E5A09">
        <w:t xml:space="preserve"> minerals were available as </w:t>
      </w:r>
      <w:r>
        <w:t xml:space="preserve">potential </w:t>
      </w:r>
      <w:r w:rsidRPr="009E5A09">
        <w:t xml:space="preserve">terminal electron acceptors on early Mars </w:t>
      </w:r>
      <w:r w:rsidRPr="00041162">
        <w:t>(Nixon et al., 2012)</w:t>
      </w:r>
      <w:r w:rsidRPr="009E5A09">
        <w:t xml:space="preserve">. </w:t>
      </w:r>
    </w:p>
    <w:p w14:paraId="2B58A133" w14:textId="2BECF1F6" w:rsidR="00743645" w:rsidRPr="009E5A09" w:rsidRDefault="00743645" w:rsidP="001A14AF">
      <w:r w:rsidRPr="009E5A09">
        <w:rPr>
          <w:i/>
        </w:rPr>
        <w:t>Shewanella</w:t>
      </w:r>
      <w:r w:rsidRPr="009E5A09">
        <w:t xml:space="preserve"> spp. are </w:t>
      </w:r>
      <w:r>
        <w:t xml:space="preserve">widely </w:t>
      </w:r>
      <w:r w:rsidRPr="009E5A09">
        <w:t xml:space="preserve">utilized to study microbial DIR, and thus </w:t>
      </w:r>
      <w:r>
        <w:t xml:space="preserve">can </w:t>
      </w:r>
      <w:r w:rsidRPr="009E5A09">
        <w:t xml:space="preserve">provide insight into mineral biosignatures generated by modern terrestrial life </w:t>
      </w:r>
      <w:r w:rsidRPr="00041162">
        <w:t>(Fredrickson et al., 2008)</w:t>
      </w:r>
      <w:r w:rsidRPr="009E5A09">
        <w:t xml:space="preserve">. </w:t>
      </w:r>
      <w:r>
        <w:t>A</w:t>
      </w:r>
      <w:r w:rsidRPr="009E5A09">
        <w:t xml:space="preserve"> variety of Fe(II), Fe(III), and Fe(II,</w:t>
      </w:r>
      <w:r>
        <w:t xml:space="preserve"> </w:t>
      </w:r>
      <w:r w:rsidRPr="009E5A09">
        <w:t xml:space="preserve">III) species have all been observed as products of </w:t>
      </w:r>
      <w:r>
        <w:t>Fh reduction</w:t>
      </w:r>
      <w:r w:rsidRPr="009E5A09">
        <w:t xml:space="preserve"> by </w:t>
      </w:r>
      <w:r w:rsidRPr="009E5A09">
        <w:rPr>
          <w:i/>
        </w:rPr>
        <w:t xml:space="preserve">Shewanella </w:t>
      </w:r>
      <w:r w:rsidRPr="009E5A09">
        <w:t xml:space="preserve">spp. </w:t>
      </w:r>
      <w:r w:rsidRPr="00041162">
        <w:t>(Zachara et al., 2002; Han et al., 2018; Nims and Johnson, 2022)</w:t>
      </w:r>
      <w:r w:rsidRPr="009E5A09">
        <w:t xml:space="preserve">, though the exact composition of mineral products is highly dependent on the environmental context </w:t>
      </w:r>
      <w:r w:rsidRPr="00041162">
        <w:t>(O’Loughlin et al., 2021)</w:t>
      </w:r>
      <w:r w:rsidRPr="009E5A09">
        <w:t xml:space="preserve">. In our BF02_Schw microcosms, goethite and magnetite </w:t>
      </w:r>
      <w:r>
        <w:t xml:space="preserve">were </w:t>
      </w:r>
      <w:r w:rsidRPr="009E5A09">
        <w:t>the major Fe minerals generated (</w:t>
      </w:r>
      <w:r w:rsidRPr="00FA0ACD">
        <w:rPr>
          <w:b/>
        </w:rPr>
        <w:t>Fig</w:t>
      </w:r>
      <w:r w:rsidR="00FA0ACD" w:rsidRPr="00FA0ACD">
        <w:rPr>
          <w:b/>
        </w:rPr>
        <w:t>ure</w:t>
      </w:r>
      <w:r w:rsidRPr="00FA0ACD">
        <w:rPr>
          <w:b/>
        </w:rPr>
        <w:t xml:space="preserve"> </w:t>
      </w:r>
      <w:r w:rsidR="00FA0ACD" w:rsidRPr="00FA0ACD">
        <w:rPr>
          <w:b/>
        </w:rPr>
        <w:t>4.</w:t>
      </w:r>
      <w:r w:rsidRPr="00FA0ACD">
        <w:rPr>
          <w:b/>
        </w:rPr>
        <w:t>1</w:t>
      </w:r>
      <w:r>
        <w:rPr>
          <w:bCs/>
        </w:rPr>
        <w:t xml:space="preserve"> and </w:t>
      </w:r>
      <w:r w:rsidR="00FA0ACD" w:rsidRPr="00FA0ACD">
        <w:rPr>
          <w:b/>
        </w:rPr>
        <w:t>4.</w:t>
      </w:r>
      <w:r w:rsidRPr="00FA0ACD">
        <w:rPr>
          <w:b/>
        </w:rPr>
        <w:t>2</w:t>
      </w:r>
      <w:r w:rsidRPr="009E5A09">
        <w:t xml:space="preserve">); formation of these minerals was not observed in Dead or No Cell controls. Additional biological measurements identified an increase in biomass that correlated with an accumulation of total Fe(II), again only in Live treatments. </w:t>
      </w:r>
      <w:r>
        <w:t>T</w:t>
      </w:r>
      <w:r w:rsidRPr="009E5A09">
        <w:t xml:space="preserve">he increase of </w:t>
      </w:r>
      <w:r w:rsidRPr="009E5A09">
        <w:rPr>
          <w:i/>
        </w:rPr>
        <w:t>mtr</w:t>
      </w:r>
      <w:r w:rsidRPr="009E5A09">
        <w:t xml:space="preserve"> transcripts in +Fh treatments </w:t>
      </w:r>
      <w:r>
        <w:t xml:space="preserve">confirms the process is biologically mediated </w:t>
      </w:r>
      <w:r w:rsidRPr="009E5A09">
        <w:t>(</w:t>
      </w:r>
      <w:r w:rsidRPr="00FA0ACD">
        <w:rPr>
          <w:b/>
        </w:rPr>
        <w:t>Fig</w:t>
      </w:r>
      <w:r w:rsidR="00FA0ACD" w:rsidRPr="00FA0ACD">
        <w:rPr>
          <w:b/>
        </w:rPr>
        <w:t>ure</w:t>
      </w:r>
      <w:r w:rsidRPr="00FA0ACD">
        <w:rPr>
          <w:b/>
        </w:rPr>
        <w:t xml:space="preserve"> </w:t>
      </w:r>
      <w:r w:rsidR="00FA0ACD" w:rsidRPr="00FA0ACD">
        <w:rPr>
          <w:b/>
        </w:rPr>
        <w:t>4.</w:t>
      </w:r>
      <w:r w:rsidRPr="00FA0ACD">
        <w:rPr>
          <w:b/>
        </w:rPr>
        <w:t>3</w:t>
      </w:r>
      <w:r w:rsidRPr="009E5A09">
        <w:t xml:space="preserve">). </w:t>
      </w:r>
      <w:r>
        <w:t>S</w:t>
      </w:r>
      <w:r w:rsidRPr="009E5A09">
        <w:t>econdary Fe minerals</w:t>
      </w:r>
      <w:r>
        <w:t xml:space="preserve">, while detectable by flight-ready methodologies, are </w:t>
      </w:r>
      <w:r w:rsidRPr="009E5A09">
        <w:t xml:space="preserve">ambiguous </w:t>
      </w:r>
      <w:r>
        <w:t xml:space="preserve">as biosignatures since they can also be </w:t>
      </w:r>
      <w:r w:rsidRPr="009E5A09">
        <w:t>formed from abiotic processes</w:t>
      </w:r>
      <w:r>
        <w:t xml:space="preserve"> </w:t>
      </w:r>
      <w:r w:rsidRPr="00041162">
        <w:t>(Banfield et al., 2001)</w:t>
      </w:r>
      <w:r w:rsidRPr="009E5A09">
        <w:t>. However</w:t>
      </w:r>
      <w:r>
        <w:t xml:space="preserve">, detecting additional </w:t>
      </w:r>
      <w:r w:rsidRPr="009E5A09">
        <w:t>biosignatures distinguishable from abiotic backgrounds</w:t>
      </w:r>
      <w:r>
        <w:t xml:space="preserve"> </w:t>
      </w:r>
      <w:r w:rsidRPr="00041162">
        <w:t>(Neveu et al., 2018)</w:t>
      </w:r>
      <w:r>
        <w:t xml:space="preserve"> colocalized with Fe mineralogy would strengthen claims of </w:t>
      </w:r>
      <w:r w:rsidRPr="009E5A09">
        <w:t xml:space="preserve">life detection. Thus, we examined concomitant organic biomarkers associated with </w:t>
      </w:r>
      <w:r w:rsidRPr="009E5A09">
        <w:rPr>
          <w:i/>
        </w:rPr>
        <w:t xml:space="preserve">Shewanella </w:t>
      </w:r>
      <w:r w:rsidRPr="009E5A09">
        <w:t>DIR</w:t>
      </w:r>
      <w:r>
        <w:t xml:space="preserve"> </w:t>
      </w:r>
      <w:r w:rsidRPr="009E5A09">
        <w:t>targeting soluble and volatile biosignatures that persisted during the production of goethite and magnetite.</w:t>
      </w:r>
    </w:p>
    <w:p w14:paraId="022CE0B2" w14:textId="77777777" w:rsidR="00743645" w:rsidRPr="00870799" w:rsidRDefault="00743645" w:rsidP="001A14AF">
      <w:pPr>
        <w:pStyle w:val="Heading3"/>
        <w:spacing w:before="0" w:after="0"/>
      </w:pPr>
      <w:bookmarkStart w:id="231" w:name="_Toc196256940"/>
      <w:r w:rsidRPr="00870799">
        <w:t>Riboflavin</w:t>
      </w:r>
      <w:bookmarkEnd w:id="231"/>
      <w:r w:rsidRPr="00870799">
        <w:t xml:space="preserve"> </w:t>
      </w:r>
    </w:p>
    <w:p w14:paraId="0EB4C4DD" w14:textId="0AE70613" w:rsidR="00743645" w:rsidRDefault="00743645" w:rsidP="001A14AF">
      <w:r w:rsidRPr="009E5A09">
        <w:t xml:space="preserve">Flavins, including riboflavin, flavin mononucleotide (FMN), and flavin adenine diphosphate (FAD), are electron shuttles ubiquitous across all domains of life </w:t>
      </w:r>
      <w:r w:rsidRPr="00041162">
        <w:t>(Edwards, 2014; Wallace et al., 2024)</w:t>
      </w:r>
      <w:r w:rsidRPr="009E5A09">
        <w:t>.</w:t>
      </w:r>
      <w:r>
        <w:t xml:space="preserve"> During DIR, f</w:t>
      </w:r>
      <w:r w:rsidRPr="009E5A09">
        <w:t xml:space="preserve">lavins </w:t>
      </w:r>
      <w:r>
        <w:t xml:space="preserve">can be </w:t>
      </w:r>
      <w:r w:rsidRPr="009E5A09">
        <w:t xml:space="preserve">secreted to mediate electron </w:t>
      </w:r>
      <w:r w:rsidRPr="009E5A09">
        <w:lastRenderedPageBreak/>
        <w:t xml:space="preserve">transfer to external terminal acceptors; electrons are shuttled from membrane-bound cytochromes to flavins, which in turn reduce the external acceptor </w:t>
      </w:r>
      <w:r w:rsidRPr="00041162">
        <w:t>(Cooper et al., 2016)</w:t>
      </w:r>
      <w:r w:rsidRPr="009E5A09">
        <w:t xml:space="preserve">. Flavins increase the </w:t>
      </w:r>
      <w:r>
        <w:t xml:space="preserve">extracellular </w:t>
      </w:r>
      <w:r w:rsidRPr="009E5A09">
        <w:t xml:space="preserve">pool of </w:t>
      </w:r>
      <w:r>
        <w:t xml:space="preserve">available </w:t>
      </w:r>
      <w:r w:rsidRPr="009E5A09">
        <w:t xml:space="preserve">electron acceptors, as other modes of electron transfer require direct contact for effective transfer. Many species of Fe(III) reducing bacteria, including </w:t>
      </w:r>
      <w:r w:rsidRPr="009E5A09">
        <w:rPr>
          <w:i/>
        </w:rPr>
        <w:t xml:space="preserve">Shewanella </w:t>
      </w:r>
      <w:r w:rsidRPr="009E5A09">
        <w:t xml:space="preserve">spp., utilize riboflavin as an extracellular electron shuttle during </w:t>
      </w:r>
      <w:r>
        <w:t xml:space="preserve">Fh </w:t>
      </w:r>
      <w:r w:rsidRPr="009E5A09">
        <w:t xml:space="preserve">reduction </w:t>
      </w:r>
      <w:r w:rsidRPr="00041162">
        <w:t>(Marsili et al., 2008; Fuller et al., 2014; Okamoto et al., 2014)</w:t>
      </w:r>
      <w:r w:rsidRPr="009E5A09">
        <w:t xml:space="preserve">. </w:t>
      </w:r>
      <w:r>
        <w:t>Thus,</w:t>
      </w:r>
      <w:r w:rsidRPr="009E5A09">
        <w:t xml:space="preserve"> detection of riboflavin in conjunction with reduced Fe mineral deposits </w:t>
      </w:r>
      <w:r>
        <w:t xml:space="preserve">is a </w:t>
      </w:r>
      <w:r w:rsidRPr="009E5A09">
        <w:t>robust concomitant biosignature for DIR. In BF02_Schw microcosms, we detect</w:t>
      </w:r>
      <w:r>
        <w:t>ed</w:t>
      </w:r>
      <w:r w:rsidRPr="009E5A09">
        <w:t xml:space="preserve"> riboflavin via </w:t>
      </w:r>
      <w:r>
        <w:t>UHPLC-MS</w:t>
      </w:r>
      <w:r w:rsidRPr="009E5A09">
        <w:t xml:space="preserve"> at higher abundance in +Fh treatments (</w:t>
      </w:r>
      <w:r w:rsidRPr="00FA0ACD">
        <w:rPr>
          <w:b/>
        </w:rPr>
        <w:t>Fig</w:t>
      </w:r>
      <w:r w:rsidR="00FA0ACD" w:rsidRPr="00FA0ACD">
        <w:rPr>
          <w:b/>
        </w:rPr>
        <w:t>ure</w:t>
      </w:r>
      <w:r w:rsidRPr="00FA0ACD">
        <w:rPr>
          <w:b/>
        </w:rPr>
        <w:t xml:space="preserve"> </w:t>
      </w:r>
      <w:r w:rsidR="00FA0ACD" w:rsidRPr="00FA0ACD">
        <w:rPr>
          <w:b/>
        </w:rPr>
        <w:t>4.</w:t>
      </w:r>
      <w:r w:rsidRPr="00FA0ACD">
        <w:rPr>
          <w:b/>
        </w:rPr>
        <w:t>4</w:t>
      </w:r>
      <w:r w:rsidRPr="009E5A09">
        <w:t xml:space="preserve">). Additionally, riboflavin </w:t>
      </w:r>
      <w:r>
        <w:t xml:space="preserve">appeared to be more </w:t>
      </w:r>
      <w:r w:rsidRPr="009E5A09">
        <w:t>abundan</w:t>
      </w:r>
      <w:r>
        <w:t>t</w:t>
      </w:r>
      <w:r w:rsidRPr="009E5A09">
        <w:t xml:space="preserve"> in +Fh supernatant following eight weeks of incubation compared to two weeks</w:t>
      </w:r>
      <w:r>
        <w:t>, which could be due to accumulation within the supernatant over time or higher production</w:t>
      </w:r>
      <w:r w:rsidRPr="009E5A09">
        <w:t xml:space="preserve">. </w:t>
      </w:r>
    </w:p>
    <w:p w14:paraId="47F10E9B" w14:textId="77777777" w:rsidR="00743645" w:rsidRPr="009E5A09" w:rsidRDefault="00743645" w:rsidP="001A14AF">
      <w:r w:rsidRPr="009E5A09">
        <w:t>Linking riboflavin to life detection is not unprecedented</w:t>
      </w:r>
      <w:r>
        <w:t>. However, several caveats should be considered.</w:t>
      </w:r>
      <w:r w:rsidRPr="009E5A09">
        <w:t xml:space="preserve"> Case et al. </w:t>
      </w:r>
      <w:r w:rsidRPr="00041162">
        <w:t>(Case et al., 2024)</w:t>
      </w:r>
      <w:r>
        <w:t xml:space="preserve"> </w:t>
      </w:r>
      <w:r w:rsidRPr="009E5A09">
        <w:t xml:space="preserve">and Wallace et al. </w:t>
      </w:r>
      <w:r w:rsidRPr="00041162">
        <w:t>(Wallace et al., 2024)</w:t>
      </w:r>
      <w:r>
        <w:t xml:space="preserve"> </w:t>
      </w:r>
      <w:r w:rsidRPr="009E5A09">
        <w:t xml:space="preserve">proposed riboflavin, as well as FMN and FAD, as useful biosignatures due to their intrinsic pigmentation </w:t>
      </w:r>
      <w:r w:rsidRPr="00041162">
        <w:t>and autofluorescence. In high Fe environments, FMN and FAD are highly sorbent to Fe (hydr)oxides (Swenson et al., 2015; Zhao et al., 2019), though may still be detected via spectral methodologies (e.g., Raman spectroscopy; Jehlička and Edwards, 2008). Riboflavin is highly light sensitive (Sheraz et al., 2014) and would likely be degraded quickly at the Martian</w:t>
      </w:r>
      <w:r>
        <w:t xml:space="preserve"> surface.</w:t>
      </w:r>
      <w:r w:rsidRPr="00E54A10">
        <w:t xml:space="preserve"> </w:t>
      </w:r>
      <w:r>
        <w:t xml:space="preserve">Still, certain environmental conditions can increase the stability of riboflavin such as low temperature, inclusion into a mineral matrix, or shielding from UV, which could include a dust layer, presence at depth, or localization in caves. While structurally different and more stable, niacin, a compound with similar redox function, has been detected in meteorites </w:t>
      </w:r>
      <w:r w:rsidRPr="00041162">
        <w:t>(Oba et al., 2023)</w:t>
      </w:r>
      <w:r w:rsidRPr="009E5A09">
        <w:t xml:space="preserve">. </w:t>
      </w:r>
      <w:r>
        <w:t>It is possible that</w:t>
      </w:r>
      <w:r w:rsidRPr="009E5A09">
        <w:t xml:space="preserve"> the </w:t>
      </w:r>
      <w:r>
        <w:t>extracellular redox shuttles involved in mineral reduction, such as we observed here with riboflavin, can colocalize with transformed mineral products and, under the right environmental conditions, be preserved.</w:t>
      </w:r>
    </w:p>
    <w:p w14:paraId="05CA2342" w14:textId="77777777" w:rsidR="00743645" w:rsidRPr="00870799" w:rsidRDefault="00743645" w:rsidP="001A14AF">
      <w:pPr>
        <w:pStyle w:val="Heading3"/>
        <w:spacing w:before="0" w:after="0"/>
      </w:pPr>
      <w:bookmarkStart w:id="232" w:name="_Toc196256941"/>
      <w:r w:rsidRPr="00870799">
        <w:lastRenderedPageBreak/>
        <w:t>Porphyrins</w:t>
      </w:r>
      <w:bookmarkEnd w:id="232"/>
      <w:r w:rsidRPr="00870799">
        <w:t xml:space="preserve"> </w:t>
      </w:r>
    </w:p>
    <w:p w14:paraId="36B75160" w14:textId="77777777" w:rsidR="00743645" w:rsidRPr="009E5A09" w:rsidRDefault="00743645" w:rsidP="001A14AF">
      <w:r w:rsidRPr="009E5A09">
        <w:t xml:space="preserve">Heme cofactors are found throughout all domains of life and are composed of a cyclic tetrapyrrole with an Fe center </w:t>
      </w:r>
      <w:r w:rsidRPr="00041162">
        <w:t>(Ducluzeau and Nitschke, 2016)</w:t>
      </w:r>
      <w:r w:rsidRPr="009E5A09">
        <w:t>. Heme is essential to the function of bacterial DIR machinery, which utilizes heme cofactors to transfer electrons through the membrane</w:t>
      </w:r>
      <w:r>
        <w:t>. In addition to</w:t>
      </w:r>
      <w:r w:rsidRPr="009E5A09">
        <w:t xml:space="preserve"> their ubiquity</w:t>
      </w:r>
      <w:r>
        <w:t>,</w:t>
      </w:r>
      <w:r w:rsidRPr="009E5A09">
        <w:t xml:space="preserve"> the molecule’s porphyrin core</w:t>
      </w:r>
      <w:r>
        <w:t xml:space="preserve"> is quite stable and </w:t>
      </w:r>
      <w:r w:rsidRPr="009E5A09">
        <w:t xml:space="preserve">has the potential to remain in the rock record for billions of years as geoporphyrins </w:t>
      </w:r>
      <w:r w:rsidRPr="00041162">
        <w:t>(Czernuszewicz, 2000)</w:t>
      </w:r>
      <w:r w:rsidRPr="009E5A09">
        <w:t>. During diagenesis, side chains and metal complexes become altered</w:t>
      </w:r>
      <w:r>
        <w:t xml:space="preserve"> while</w:t>
      </w:r>
      <w:r w:rsidRPr="009E5A09">
        <w:t xml:space="preserve"> retain</w:t>
      </w:r>
      <w:r>
        <w:t>ing</w:t>
      </w:r>
      <w:r w:rsidRPr="009E5A09">
        <w:t xml:space="preserve"> characteristic porphyrin structure</w:t>
      </w:r>
      <w:r>
        <w:t>s</w:t>
      </w:r>
      <w:r w:rsidRPr="009E5A09">
        <w:t xml:space="preserve"> </w:t>
      </w:r>
      <w:r w:rsidRPr="00041162">
        <w:t>(Falk and Wolkenstein, 2017)</w:t>
      </w:r>
      <w:r w:rsidRPr="009E5A09">
        <w:t xml:space="preserve">. Terrestrially, some of the oldest known geoporphyrins were identified in ~1.1 Ga shale deposits, which have been proposed as fossilized remnants of chlorophylls or other Mg-bearing porphyrins </w:t>
      </w:r>
      <w:r w:rsidRPr="00041162">
        <w:t>(Gueneli et al., 2018)</w:t>
      </w:r>
      <w:r w:rsidRPr="009E5A09">
        <w:t>.</w:t>
      </w:r>
      <w:r>
        <w:t>G</w:t>
      </w:r>
      <w:r w:rsidRPr="009E5A09">
        <w:t>eoporphyrins uncovered in conjunction with reduced Fe</w:t>
      </w:r>
      <w:r>
        <w:t>,</w:t>
      </w:r>
      <w:r w:rsidRPr="009E5A09">
        <w:t xml:space="preserve"> could </w:t>
      </w:r>
      <w:r>
        <w:t xml:space="preserve">have originated as heme and therefore </w:t>
      </w:r>
      <w:r w:rsidRPr="009E5A09">
        <w:t>serve as biomarkers for ancient DIR or similar metabolisms.</w:t>
      </w:r>
    </w:p>
    <w:p w14:paraId="31B9A4C5" w14:textId="0624E523" w:rsidR="00743645" w:rsidRPr="009E5A09" w:rsidRDefault="00743645" w:rsidP="001A14AF">
      <w:r w:rsidRPr="009E5A09">
        <w:t xml:space="preserve">In </w:t>
      </w:r>
      <w:r w:rsidRPr="009E5A09">
        <w:rPr>
          <w:i/>
        </w:rPr>
        <w:t>Shewanella</w:t>
      </w:r>
      <w:r w:rsidRPr="009E5A09">
        <w:t>, heme is a</w:t>
      </w:r>
      <w:r>
        <w:t>n</w:t>
      </w:r>
      <w:r w:rsidRPr="009E5A09">
        <w:t xml:space="preserve"> integral cofactor in four of the five proteins </w:t>
      </w:r>
      <w:r>
        <w:t>of</w:t>
      </w:r>
      <w:r w:rsidRPr="009E5A09">
        <w:t xml:space="preserve"> the Mtr complex </w:t>
      </w:r>
      <w:r w:rsidRPr="00041162">
        <w:t>(Beliaev and Saffarini, 1998; Ross et al., 2007)</w:t>
      </w:r>
      <w:r w:rsidRPr="009E5A09">
        <w:t>. Transcripts associated with heme biosynthesis were significantly higher in +Fh microcosms compared to the No Fh microcosms (</w:t>
      </w:r>
      <w:r w:rsidRPr="00FA0ACD">
        <w:rPr>
          <w:b/>
        </w:rPr>
        <w:t>Fig</w:t>
      </w:r>
      <w:r w:rsidR="00FA0ACD" w:rsidRPr="00FA0ACD">
        <w:rPr>
          <w:b/>
        </w:rPr>
        <w:t>ure 4.</w:t>
      </w:r>
      <w:r w:rsidRPr="00FA0ACD">
        <w:rPr>
          <w:b/>
        </w:rPr>
        <w:t>3</w:t>
      </w:r>
      <w:r w:rsidRPr="009E5A09">
        <w:t xml:space="preserve">). However, we were unable to detect heme in microcosm supernatant via </w:t>
      </w:r>
      <w:r>
        <w:t>UHP</w:t>
      </w:r>
      <w:r w:rsidRPr="009E5A09">
        <w:t>LC</w:t>
      </w:r>
      <w:r>
        <w:t>-</w:t>
      </w:r>
      <w:r w:rsidRPr="009E5A09">
        <w:t xml:space="preserve">MS. </w:t>
      </w:r>
      <w:r>
        <w:t>H</w:t>
      </w:r>
      <w:r w:rsidRPr="009E5A09">
        <w:t>eme is associated with membrane-bound proteins</w:t>
      </w:r>
      <w:r>
        <w:t xml:space="preserve"> and</w:t>
      </w:r>
      <w:r w:rsidRPr="009E5A09">
        <w:t xml:space="preserve"> unlikely that heme would be present at detectable levels within the supernatant</w:t>
      </w:r>
      <w:r>
        <w:t xml:space="preserve">. Confirmation of heme in BF02_Schw microcosms would likely require extraction before analysis. Detection and characterization of terrestrial geoporphyrins similarly require extensive sample preparation </w:t>
      </w:r>
      <w:r w:rsidRPr="00041162">
        <w:t>(Woltering et al., 2016)</w:t>
      </w:r>
      <w:r>
        <w:t xml:space="preserve">, and thus identification of Martian geoporphyrins would most likely require a sample return mission. Additionally, challenges may arise in determining the biogenic origin of such compound, as porphyrins have been detected in </w:t>
      </w:r>
      <w:r w:rsidRPr="00041162">
        <w:t>carbonaceous chondrites (Hodgson and Baker, 1969) and have several plausible mechanisms for abiotic synthesis (as discussed by Rossetto et al., 2024). Regardless, heme, colocalized with reduced Fe bearing signatures, would strengthen the</w:t>
      </w:r>
      <w:r>
        <w:t xml:space="preserve"> presumption of microbial DIR. </w:t>
      </w:r>
    </w:p>
    <w:p w14:paraId="39F2EBB0" w14:textId="77777777" w:rsidR="00743645" w:rsidRPr="00870799" w:rsidRDefault="00743645" w:rsidP="001A14AF">
      <w:pPr>
        <w:pStyle w:val="Heading3"/>
        <w:spacing w:before="0" w:after="0"/>
      </w:pPr>
      <w:bookmarkStart w:id="233" w:name="_Toc196256942"/>
      <w:r w:rsidRPr="00870799">
        <w:lastRenderedPageBreak/>
        <w:t>Thiosulfate</w:t>
      </w:r>
      <w:bookmarkEnd w:id="233"/>
      <w:r w:rsidRPr="00870799">
        <w:t xml:space="preserve"> </w:t>
      </w:r>
    </w:p>
    <w:p w14:paraId="37489BC6" w14:textId="19278BBE" w:rsidR="00743645" w:rsidRPr="009E5A09" w:rsidRDefault="00743645" w:rsidP="001A14AF">
      <w:r w:rsidRPr="00041162">
        <w:t>Sulfates have been discovered in various locales on Mars (e.g., Bibring et al., 2007), and</w:t>
      </w:r>
      <w:r w:rsidRPr="009E5A09">
        <w:t xml:space="preserve"> likely originated during the late Noachian to Hesperian </w:t>
      </w:r>
      <w:r w:rsidRPr="00041162">
        <w:t>(Gaillard et al., 2013)</w:t>
      </w:r>
      <w:r w:rsidRPr="009E5A09">
        <w:t xml:space="preserve">. </w:t>
      </w:r>
      <w:r>
        <w:t>Both t</w:t>
      </w:r>
      <w:r w:rsidRPr="009E5A09">
        <w:t xml:space="preserve">hiosulfate oxidation </w:t>
      </w:r>
      <w:r>
        <w:t xml:space="preserve">and reduction </w:t>
      </w:r>
      <w:r w:rsidRPr="009E5A09">
        <w:t>ha</w:t>
      </w:r>
      <w:r>
        <w:t>ve</w:t>
      </w:r>
      <w:r w:rsidRPr="009E5A09">
        <w:t xml:space="preserve"> been proposed as a viable metabolism for life in late Noachian Mars </w:t>
      </w:r>
      <w:r w:rsidRPr="00041162">
        <w:t>(Singh et al., 2019; Macey et al., 2020; Magnuson et al., 2023)</w:t>
      </w:r>
      <w:r w:rsidRPr="009E5A09">
        <w:t xml:space="preserve">. </w:t>
      </w:r>
      <w:r w:rsidRPr="009E5A09">
        <w:rPr>
          <w:i/>
        </w:rPr>
        <w:t xml:space="preserve">Shewanella </w:t>
      </w:r>
      <w:r w:rsidRPr="009E5A09">
        <w:t xml:space="preserve">spp. are known to utilize thiosulfate as both an electron donor </w:t>
      </w:r>
      <w:r w:rsidRPr="00041162">
        <w:t>(Yu et al., 2021)</w:t>
      </w:r>
      <w:r w:rsidRPr="009E5A09">
        <w:t xml:space="preserve"> and acceptor </w:t>
      </w:r>
      <w:r w:rsidRPr="00041162">
        <w:t>(Burns and DiChristina, 2009)</w:t>
      </w:r>
      <w:r w:rsidRPr="009E5A09">
        <w:t>. Additionally,</w:t>
      </w:r>
      <w:r w:rsidRPr="009E5A09">
        <w:rPr>
          <w:color w:val="212121"/>
        </w:rPr>
        <w:t xml:space="preserve"> Zhu et al. </w:t>
      </w:r>
      <w:r w:rsidRPr="00041162">
        <w:t>(Zhu et al., 2022)</w:t>
      </w:r>
      <w:r w:rsidRPr="009E5A09">
        <w:rPr>
          <w:color w:val="212121"/>
        </w:rPr>
        <w:t xml:space="preserve"> showed that </w:t>
      </w:r>
      <w:r w:rsidRPr="009E5A09">
        <w:t>soluble S(-II) from thiosulfate reduction reacts with Fe(II) to form FeS surfaces on both cells and insoluble Fh, which greatly accelerates the rate of electron transfer</w:t>
      </w:r>
      <w:r w:rsidRPr="009E5A09">
        <w:rPr>
          <w:color w:val="212121"/>
        </w:rPr>
        <w:t xml:space="preserve">. </w:t>
      </w:r>
      <w:r w:rsidRPr="009E5A09">
        <w:t xml:space="preserve">The high abundance of sulfates on the surface of Mars may therefore have played a key role in early Martian DIR by enhancing the rate of Fe reduction. </w:t>
      </w:r>
      <w:r w:rsidRPr="009E5A09">
        <w:rPr>
          <w:color w:val="212121"/>
        </w:rPr>
        <w:t>In our microcosms, we found Fh reduction rates increased when incubated with thiosulfate.</w:t>
      </w:r>
      <w:r w:rsidRPr="009E5A09">
        <w:t xml:space="preserve"> This process relies on the expression of the terminal reductase-encoding </w:t>
      </w:r>
      <w:r w:rsidRPr="009E5A09">
        <w:rPr>
          <w:i/>
        </w:rPr>
        <w:t>psr</w:t>
      </w:r>
      <w:r w:rsidRPr="009E5A09">
        <w:t xml:space="preserve"> pathway, which were significantly more transcribed in +Fh microco</w:t>
      </w:r>
      <w:r>
        <w:t>s</w:t>
      </w:r>
      <w:r w:rsidRPr="009E5A09">
        <w:t>ms (</w:t>
      </w:r>
      <w:r w:rsidRPr="00FA0ACD">
        <w:rPr>
          <w:b/>
        </w:rPr>
        <w:t>Fig</w:t>
      </w:r>
      <w:r w:rsidR="00FA0ACD" w:rsidRPr="00FA0ACD">
        <w:rPr>
          <w:b/>
        </w:rPr>
        <w:t>ure 4.</w:t>
      </w:r>
      <w:r w:rsidRPr="00FA0ACD">
        <w:rPr>
          <w:b/>
        </w:rPr>
        <w:t>3</w:t>
      </w:r>
      <w:r w:rsidRPr="005A540D">
        <w:rPr>
          <w:bCs/>
        </w:rPr>
        <w:t>).</w:t>
      </w:r>
      <w:r w:rsidRPr="009E5A09">
        <w:t xml:space="preserve"> These data support the co-reduction of Fh and thiosulfate and the possible generation of FeS minerals, though we were unable to conclusively identify FeS species through our methodologies. Reduction </w:t>
      </w:r>
      <w:r w:rsidRPr="00041162">
        <w:t xml:space="preserve">of thiosulfate by </w:t>
      </w:r>
      <w:r w:rsidRPr="00041162">
        <w:rPr>
          <w:i/>
        </w:rPr>
        <w:t xml:space="preserve">Shewanella </w:t>
      </w:r>
      <w:r w:rsidRPr="00041162">
        <w:t>spp. may also lead to the production of volatile sulfur compounds (e.g., H</w:t>
      </w:r>
      <w:r w:rsidRPr="00041162">
        <w:rPr>
          <w:vertAlign w:val="subscript"/>
        </w:rPr>
        <w:t>2</w:t>
      </w:r>
      <w:r w:rsidRPr="00041162">
        <w:t>S; Wu et al., 2015) or sulfur-containing VOCs which could serve as useful indicators of Fh and sulfur metabolism on Mars.</w:t>
      </w:r>
    </w:p>
    <w:p w14:paraId="778CD6CA" w14:textId="77777777" w:rsidR="00743645" w:rsidRDefault="00743645" w:rsidP="001A14AF">
      <w:pPr>
        <w:pStyle w:val="Heading3"/>
        <w:spacing w:before="0" w:after="0"/>
      </w:pPr>
      <w:bookmarkStart w:id="234" w:name="_Toc196256943"/>
      <w:r w:rsidRPr="00870799">
        <w:t>DMS</w:t>
      </w:r>
      <w:bookmarkEnd w:id="234"/>
      <w:r w:rsidRPr="009E5A09">
        <w:t xml:space="preserve"> </w:t>
      </w:r>
    </w:p>
    <w:p w14:paraId="7118F7BE" w14:textId="77777777" w:rsidR="00743645" w:rsidRDefault="00743645" w:rsidP="001A14AF">
      <w:r>
        <w:t>The production of d</w:t>
      </w:r>
      <w:r w:rsidRPr="009E5A09">
        <w:t>ifferentially abundant VOCs near mineral deposits may function as indicators of</w:t>
      </w:r>
      <w:r>
        <w:t xml:space="preserve"> extant</w:t>
      </w:r>
      <w:r w:rsidRPr="009E5A09">
        <w:t xml:space="preserve"> microbial activity. Microbial VOCs have a high potential for use as biosignatures and can be detected through a variety of methodologies, including local sampling with mass spectrometry or remote sensing via spectral analysis </w:t>
      </w:r>
      <w:r w:rsidRPr="00041162">
        <w:t>(Abrahamsson and Kanik, 2022)</w:t>
      </w:r>
      <w:r w:rsidRPr="009E5A09">
        <w:t xml:space="preserve">. Of the VOCs identified in BF02_Schw microcosms, DMS has possibly received the most attention from the astrobiological community </w:t>
      </w:r>
      <w:r w:rsidRPr="00041162">
        <w:t>(Pilcher, 2003; Domagal-Goldman et al., 2011)</w:t>
      </w:r>
      <w:r w:rsidRPr="009E5A09">
        <w:t xml:space="preserve">. Terrestrially, DMS is largely produced </w:t>
      </w:r>
      <w:r>
        <w:t xml:space="preserve">from </w:t>
      </w:r>
      <w:r w:rsidRPr="009E5A09">
        <w:t xml:space="preserve">the breakdown of </w:t>
      </w:r>
      <w:r>
        <w:t xml:space="preserve">the metabolite </w:t>
      </w:r>
      <w:r w:rsidRPr="009E5A09">
        <w:t>dimethylsulfoniopropionate</w:t>
      </w:r>
      <w:r>
        <w:t xml:space="preserve"> (DMSP)</w:t>
      </w:r>
      <w:r w:rsidRPr="009E5A09">
        <w:t xml:space="preserve"> and is the largest source of </w:t>
      </w:r>
      <w:r>
        <w:t>biogenic sulfur in the atmosphere</w:t>
      </w:r>
      <w:r w:rsidRPr="009E5A09">
        <w:t xml:space="preserve"> </w:t>
      </w:r>
      <w:r w:rsidRPr="00041162">
        <w:t>(Watts, 2000; Seager et al., 2012)</w:t>
      </w:r>
      <w:r w:rsidRPr="009E5A09">
        <w:t xml:space="preserve">. </w:t>
      </w:r>
      <w:r>
        <w:lastRenderedPageBreak/>
        <w:t xml:space="preserve">While present in relatively high concentrations in the marine environment, DMSP production and metabolism is restricted to specific, typically photosynthetic, taxa </w:t>
      </w:r>
      <w:r w:rsidRPr="00041162">
        <w:t>(Bullock et al., 2017)</w:t>
      </w:r>
      <w:r>
        <w:t xml:space="preserve">. DMS is also produced microbially through the methylation of methanethiol </w:t>
      </w:r>
      <w:r w:rsidRPr="00041162">
        <w:t>(Visscher et al., 1995, 2003; Lomans et al., 1997; Zhang et al., 2024)</w:t>
      </w:r>
      <w:r>
        <w:t xml:space="preserve">. Although this process has long been understood, its potential importance in the biogeochemical cycling of DMS may be understated, particularly in soil and sediment environments. </w:t>
      </w:r>
    </w:p>
    <w:p w14:paraId="65E537AC" w14:textId="77777777" w:rsidR="00743645" w:rsidRDefault="00743645" w:rsidP="001A14AF">
      <w:r>
        <w:t>B</w:t>
      </w:r>
      <w:r w:rsidRPr="009E5A09">
        <w:t xml:space="preserve">ecause </w:t>
      </w:r>
      <w:r>
        <w:t>it</w:t>
      </w:r>
      <w:r w:rsidRPr="009E5A09">
        <w:t xml:space="preserve"> is not linked with abiotic processes on Earth, and is potentially detectable via interstellar spectroscopy, </w:t>
      </w:r>
      <w:r>
        <w:t>DMS</w:t>
      </w:r>
      <w:r w:rsidRPr="009E5A09">
        <w:t xml:space="preserve"> has been proposed by multiple studies as a possible indicator of an inhabited planet </w:t>
      </w:r>
      <w:r w:rsidRPr="00041162">
        <w:t>(Domagal-Goldman et al., 2011; Seager et al., 2016)</w:t>
      </w:r>
      <w:r w:rsidRPr="009E5A09">
        <w:t xml:space="preserve">. DMS is readily degraded in Earth’s atmosphere and thus does not reach concentrations detectable via interstellar means </w:t>
      </w:r>
      <w:r w:rsidRPr="00041162">
        <w:t>(Kettle et al., 2001; Domagal-Goldman et al., 2011)</w:t>
      </w:r>
      <w:r w:rsidRPr="009E5A09">
        <w:t>. However, on planets without O</w:t>
      </w:r>
      <w:r w:rsidRPr="009E5A09">
        <w:rPr>
          <w:vertAlign w:val="subscript"/>
        </w:rPr>
        <w:t>2</w:t>
      </w:r>
      <w:r w:rsidRPr="009E5A09">
        <w:t xml:space="preserve">-rich atmospheres and lower levels of UV radiation, DMS may accumulate to a greater abundance, and therefore be within spectroscopically detectable ranges. On smaller scales, DMS can be detected in trace amounts using mass spectrometry, such as with the </w:t>
      </w:r>
      <w:r>
        <w:t>proton-transfer-reaction mass spectrometry (</w:t>
      </w:r>
      <w:r w:rsidRPr="009E5A09">
        <w:t>PTR-MS</w:t>
      </w:r>
      <w:r>
        <w:t>)</w:t>
      </w:r>
      <w:r w:rsidRPr="009E5A09">
        <w:t xml:space="preserve"> used in this study. </w:t>
      </w:r>
      <w:r>
        <w:t xml:space="preserve">Historically, the sea-to-air transfer of DMS has been considered a relatively small proportion of the oceanic production of DMS and may represent “leakage” from a biological system </w:t>
      </w:r>
      <w:r w:rsidRPr="00041162">
        <w:t>(Malin et al., 1992; Simó et al., 1995; Simó, 2001)</w:t>
      </w:r>
      <w:r>
        <w:t xml:space="preserve">. Thus, even if atmospheric DMS concentrations are not sufficiently high enough to be detected on planetary bodies, “hot spots” with higher DMS concentrations associated with aquatic features may be detectable by surface missions. </w:t>
      </w:r>
    </w:p>
    <w:p w14:paraId="2595A0DF" w14:textId="0DD40945" w:rsidR="00743645" w:rsidRPr="009E5A09" w:rsidRDefault="00743645" w:rsidP="001A14AF">
      <w:r w:rsidRPr="009E5A09">
        <w:t xml:space="preserve">On Mars, organosulfur compounds </w:t>
      </w:r>
      <w:r>
        <w:t xml:space="preserve">were </w:t>
      </w:r>
      <w:r w:rsidRPr="009E5A09">
        <w:t xml:space="preserve">discovered in Gale Crater mudstone via pyrolysis-GC-MS and evolved gas analysis using the SAM instrument </w:t>
      </w:r>
      <w:r w:rsidRPr="00041162">
        <w:t>(Eigenbrode et al., 2018)</w:t>
      </w:r>
      <w:r>
        <w:t xml:space="preserve"> with </w:t>
      </w:r>
      <w:r w:rsidRPr="009E5A09">
        <w:t xml:space="preserve">DMS or </w:t>
      </w:r>
      <w:r>
        <w:t>its</w:t>
      </w:r>
      <w:r w:rsidRPr="009E5A09">
        <w:t xml:space="preserve"> isomeric equivalent ethanethiol detectable in the pM range, though laboratory experiments suggest</w:t>
      </w:r>
      <w:r>
        <w:t>ed</w:t>
      </w:r>
      <w:r w:rsidRPr="009E5A09">
        <w:t xml:space="preserve"> that ethanethiol </w:t>
      </w:r>
      <w:r>
        <w:t>was</w:t>
      </w:r>
      <w:r w:rsidRPr="009E5A09">
        <w:t xml:space="preserve"> the primary isomer </w:t>
      </w:r>
      <w:r w:rsidRPr="00041162">
        <w:t>(Millan et al., 2022)</w:t>
      </w:r>
      <w:r w:rsidRPr="009E5A09">
        <w:t>. In BF02_Schw microcosms, DMS was detected in greater abundance in +Fh microcosms following an eight-week incubation (</w:t>
      </w:r>
      <w:r w:rsidRPr="00FA0ACD">
        <w:rPr>
          <w:b/>
        </w:rPr>
        <w:t>Fig</w:t>
      </w:r>
      <w:r w:rsidR="00FA0ACD" w:rsidRPr="00FA0ACD">
        <w:rPr>
          <w:b/>
        </w:rPr>
        <w:t>ure</w:t>
      </w:r>
      <w:r w:rsidRPr="00FA0ACD">
        <w:rPr>
          <w:b/>
        </w:rPr>
        <w:t xml:space="preserve"> </w:t>
      </w:r>
      <w:r w:rsidR="00FA0ACD" w:rsidRPr="00FA0ACD">
        <w:rPr>
          <w:b/>
        </w:rPr>
        <w:t>4.</w:t>
      </w:r>
      <w:r w:rsidRPr="00FA0ACD">
        <w:rPr>
          <w:b/>
        </w:rPr>
        <w:t>5</w:t>
      </w:r>
      <w:r w:rsidRPr="009E5A09">
        <w:t xml:space="preserve">). While not detected at the two-week time point, increased transcript abundance for </w:t>
      </w:r>
      <w:r w:rsidRPr="009E5A09">
        <w:rPr>
          <w:i/>
        </w:rPr>
        <w:t xml:space="preserve">dms </w:t>
      </w:r>
      <w:r w:rsidRPr="009E5A09">
        <w:t>gene cluster</w:t>
      </w:r>
      <w:r>
        <w:t>s</w:t>
      </w:r>
      <w:r w:rsidRPr="009E5A09">
        <w:t xml:space="preserve"> in +Fh </w:t>
      </w:r>
      <w:r w:rsidRPr="009E5A09">
        <w:lastRenderedPageBreak/>
        <w:t xml:space="preserve">microcosms suggests that DMS was produced during two-week incubation, though </w:t>
      </w:r>
      <w:r>
        <w:t>not at</w:t>
      </w:r>
      <w:r w:rsidRPr="009E5A09">
        <w:t xml:space="preserve"> detectable levels (</w:t>
      </w:r>
      <w:r w:rsidRPr="00FA0ACD">
        <w:rPr>
          <w:b/>
        </w:rPr>
        <w:t>Fig</w:t>
      </w:r>
      <w:r w:rsidR="00FA0ACD" w:rsidRPr="00FA0ACD">
        <w:rPr>
          <w:b/>
        </w:rPr>
        <w:t>ure 4.</w:t>
      </w:r>
      <w:r w:rsidRPr="00FA0ACD">
        <w:rPr>
          <w:b/>
        </w:rPr>
        <w:t>3</w:t>
      </w:r>
      <w:r w:rsidRPr="009E5A09">
        <w:t xml:space="preserve">). The </w:t>
      </w:r>
      <w:r w:rsidRPr="009E5A09">
        <w:rPr>
          <w:i/>
        </w:rPr>
        <w:t xml:space="preserve">dms </w:t>
      </w:r>
      <w:r w:rsidRPr="009E5A09">
        <w:t xml:space="preserve">pathway encodes terminal reductases that are utilized by </w:t>
      </w:r>
      <w:r w:rsidRPr="009E5A09">
        <w:rPr>
          <w:i/>
        </w:rPr>
        <w:t xml:space="preserve">Shewanella </w:t>
      </w:r>
      <w:r w:rsidRPr="009E5A09">
        <w:t xml:space="preserve">spp. during respiration of DMSO, leading to production of DMS </w:t>
      </w:r>
      <w:r w:rsidRPr="00041162">
        <w:t>(Xiong et al., 2016)</w:t>
      </w:r>
      <w:r w:rsidRPr="009E5A09">
        <w:t xml:space="preserve">. </w:t>
      </w:r>
      <w:r>
        <w:t xml:space="preserve">DMSO reduction was by </w:t>
      </w:r>
      <w:r w:rsidRPr="009E5A09">
        <w:t xml:space="preserve">BF02_Schw </w:t>
      </w:r>
      <w:r>
        <w:t xml:space="preserve">was observed in </w:t>
      </w:r>
      <w:r w:rsidRPr="009E5A09">
        <w:t>incubations with D</w:t>
      </w:r>
      <w:r w:rsidRPr="009E5A09">
        <w:rPr>
          <w:vertAlign w:val="subscript"/>
        </w:rPr>
        <w:t>6</w:t>
      </w:r>
      <w:r w:rsidRPr="009E5A09">
        <w:t>-DMSO</w:t>
      </w:r>
      <w:r>
        <w:t xml:space="preserve"> as an isotopically labeled sulfur source. However, </w:t>
      </w:r>
      <w:r w:rsidRPr="009E5A09">
        <w:t xml:space="preserve">DMS </w:t>
      </w:r>
      <w:r>
        <w:t xml:space="preserve">production </w:t>
      </w:r>
      <w:r w:rsidRPr="009E5A09">
        <w:t xml:space="preserve">was not detected </w:t>
      </w:r>
      <w:r>
        <w:t xml:space="preserve">during 14-day </w:t>
      </w:r>
      <w:r w:rsidRPr="009E5A09">
        <w:t>incubations with thiosulfate as the sole sulfur sourc</w:t>
      </w:r>
      <w:r>
        <w:t xml:space="preserve">e via MIMS, and DMSO was not provided in the medium during PTR-MS experiments. These data </w:t>
      </w:r>
      <w:r w:rsidRPr="009E5A09">
        <w:t xml:space="preserve">suggest that DMS production by BF02_Schw </w:t>
      </w:r>
      <w:r>
        <w:t xml:space="preserve">under our +Fh conditions </w:t>
      </w:r>
      <w:r w:rsidRPr="009E5A09">
        <w:t xml:space="preserve">likely requires time (e.g., our eight-week incubation) to accumulate to within detection limits of </w:t>
      </w:r>
      <w:r>
        <w:t xml:space="preserve">our </w:t>
      </w:r>
      <w:r w:rsidRPr="009E5A09">
        <w:t>instrumentation; as a DIR biosignature, detection of DMS would likely require collection and long-term monitoring of gas evolution from soils.</w:t>
      </w:r>
      <w:r>
        <w:t xml:space="preserve"> </w:t>
      </w:r>
      <w:r w:rsidRPr="009E5A09">
        <w:t>DMS may also form by yet-unknown abiotic processes; recent evidence for DMS was identified on comet 67P/Churyumov-Gerasimenko</w:t>
      </w:r>
      <w:r>
        <w:t xml:space="preserve"> </w:t>
      </w:r>
      <w:r w:rsidRPr="00041162">
        <w:t>(Hänni et al., 2024)</w:t>
      </w:r>
      <w:r w:rsidRPr="009E5A09">
        <w:t>. So, while detection of DMS would not provide unequivocal evidence for life, its detection in association with other mineral or chemical biosignatures on Mars may guide more targeted sampling for life detection missions and sample return.</w:t>
      </w:r>
    </w:p>
    <w:p w14:paraId="78494740" w14:textId="77777777" w:rsidR="00743645" w:rsidRPr="00870799" w:rsidRDefault="00743645" w:rsidP="001A14AF">
      <w:pPr>
        <w:pStyle w:val="Heading3"/>
        <w:spacing w:before="0" w:after="0"/>
      </w:pPr>
      <w:bookmarkStart w:id="235" w:name="_Toc196256944"/>
      <w:r w:rsidRPr="00870799">
        <w:t>Halogenated compounds</w:t>
      </w:r>
      <w:bookmarkEnd w:id="235"/>
      <w:r w:rsidRPr="00870799">
        <w:t xml:space="preserve"> </w:t>
      </w:r>
    </w:p>
    <w:p w14:paraId="2E3F63F4" w14:textId="077E0EF0" w:rsidR="00743645" w:rsidRDefault="00743645" w:rsidP="001A14AF">
      <w:r w:rsidRPr="009E5A09">
        <w:t xml:space="preserve">On Earth, chloromethane and dichloromethane are produced as a result of both biotic and abiotic processes, such as the nonspecific degradation of organic matter, often by haloperoxidases </w:t>
      </w:r>
      <w:r w:rsidRPr="00041162">
        <w:t>(Chen and van Pée, 2008; Field, 2016)</w:t>
      </w:r>
      <w:r w:rsidRPr="009E5A09">
        <w:t xml:space="preserve">. Halogenated compounds including chlorate and perchlorate may be reduced by microorganisms, including </w:t>
      </w:r>
      <w:r w:rsidRPr="009E5A09">
        <w:rPr>
          <w:i/>
        </w:rPr>
        <w:t>Shewanella</w:t>
      </w:r>
      <w:r w:rsidRPr="009E5A09">
        <w:t xml:space="preserve"> spp., leading to the generation of O</w:t>
      </w:r>
      <w:r w:rsidRPr="009E5A09">
        <w:rPr>
          <w:vertAlign w:val="subscript"/>
        </w:rPr>
        <w:t>2</w:t>
      </w:r>
      <w:r w:rsidRPr="009E5A09">
        <w:t xml:space="preserve"> and Cl</w:t>
      </w:r>
      <w:r w:rsidRPr="009E5A09">
        <w:rPr>
          <w:vertAlign w:val="superscript"/>
        </w:rPr>
        <w:t>-</w:t>
      </w:r>
      <w:r w:rsidRPr="009E5A09">
        <w:t xml:space="preserve"> </w:t>
      </w:r>
      <w:r w:rsidRPr="00041162">
        <w:t>(Clark et al., 2014; Youngblut et al., 2016)</w:t>
      </w:r>
      <w:r w:rsidRPr="009E5A09">
        <w:t xml:space="preserve">. Halogens can also be incorporated into microbial natural products, such as antibiotics </w:t>
      </w:r>
      <w:r w:rsidRPr="00041162">
        <w:t>(Chen and van Pée, 2008)</w:t>
      </w:r>
      <w:r>
        <w:t xml:space="preserve"> which, due to their complexity, are strong indicators of biological synthesis</w:t>
      </w:r>
      <w:r w:rsidRPr="009E5A09">
        <w:t xml:space="preserve">. </w:t>
      </w:r>
      <w:r>
        <w:t>During preliminary PTR-MS experiments performed in complex media, w</w:t>
      </w:r>
      <w:r w:rsidRPr="009E5A09">
        <w:t>e detect</w:t>
      </w:r>
      <w:r>
        <w:t>ed</w:t>
      </w:r>
      <w:r w:rsidRPr="009E5A09">
        <w:t xml:space="preserve"> the production of chloromethane by BF02_Schw when grown under both aerobic and anaerobic conditions</w:t>
      </w:r>
      <w:r>
        <w:t xml:space="preserve">, </w:t>
      </w:r>
      <w:r w:rsidRPr="009E5A09">
        <w:t>as well as bromomethane during aerobic incubation</w:t>
      </w:r>
      <w:r>
        <w:t xml:space="preserve"> (see supplemental material</w:t>
      </w:r>
      <w:r w:rsidR="008420A0">
        <w:t xml:space="preserve"> in </w:t>
      </w:r>
      <w:r w:rsidR="008420A0">
        <w:rPr>
          <w:b/>
          <w:bCs/>
        </w:rPr>
        <w:t>Appendix</w:t>
      </w:r>
      <w:r>
        <w:t xml:space="preserve">; </w:t>
      </w:r>
      <w:r w:rsidR="008420A0" w:rsidRPr="008420A0">
        <w:rPr>
          <w:b/>
          <w:bCs/>
        </w:rPr>
        <w:t>Appendix</w:t>
      </w:r>
      <w:r w:rsidR="008420A0">
        <w:rPr>
          <w:b/>
          <w:bCs/>
        </w:rPr>
        <w:t>,</w:t>
      </w:r>
      <w:r w:rsidR="008420A0" w:rsidRPr="00F13F6D">
        <w:rPr>
          <w:rFonts w:cs="Times New Roman"/>
          <w:b/>
          <w:bCs/>
        </w:rPr>
        <w:t xml:space="preserve"> </w:t>
      </w:r>
      <w:r w:rsidRPr="00FA0ACD">
        <w:rPr>
          <w:b/>
          <w:bCs/>
        </w:rPr>
        <w:t>Fig</w:t>
      </w:r>
      <w:r w:rsidR="00FA0ACD" w:rsidRPr="00FA0ACD">
        <w:rPr>
          <w:b/>
          <w:bCs/>
        </w:rPr>
        <w:t>ure</w:t>
      </w:r>
      <w:r w:rsidRPr="00FA0ACD">
        <w:rPr>
          <w:b/>
          <w:bCs/>
        </w:rPr>
        <w:t xml:space="preserve"> </w:t>
      </w:r>
      <w:r w:rsidR="00FA0ACD" w:rsidRPr="00FA0ACD">
        <w:rPr>
          <w:b/>
          <w:bCs/>
        </w:rPr>
        <w:t>6.23</w:t>
      </w:r>
      <w:r>
        <w:t>)</w:t>
      </w:r>
      <w:r w:rsidRPr="009E5A09">
        <w:t>.</w:t>
      </w:r>
      <w:r>
        <w:t xml:space="preserve"> While the</w:t>
      </w:r>
      <w:r w:rsidRPr="009E5A09">
        <w:t xml:space="preserve"> </w:t>
      </w:r>
      <w:r w:rsidRPr="00D46507">
        <w:rPr>
          <w:i/>
          <w:iCs/>
        </w:rPr>
        <w:t>Viking</w:t>
      </w:r>
      <w:r w:rsidRPr="009E5A09">
        <w:t xml:space="preserve"> GC-MS</w:t>
      </w:r>
      <w:r>
        <w:t xml:space="preserve"> </w:t>
      </w:r>
      <w:r w:rsidRPr="009E5A09">
        <w:t>identifi</w:t>
      </w:r>
      <w:r>
        <w:t>ed</w:t>
      </w:r>
      <w:r w:rsidRPr="009E5A09">
        <w:t xml:space="preserve"> chloro- and dichloromethane</w:t>
      </w:r>
      <w:r>
        <w:t>,</w:t>
      </w:r>
      <w:r w:rsidRPr="009E5A09">
        <w:t xml:space="preserve"> </w:t>
      </w:r>
      <w:r>
        <w:t>e</w:t>
      </w:r>
      <w:r w:rsidRPr="009E5A09">
        <w:t xml:space="preserve">xperiments performed using </w:t>
      </w:r>
      <w:r w:rsidRPr="009E5A09">
        <w:lastRenderedPageBreak/>
        <w:t xml:space="preserve">terrestrial analog soils </w:t>
      </w:r>
      <w:r>
        <w:t>suggest</w:t>
      </w:r>
      <w:r w:rsidRPr="009E5A09">
        <w:t xml:space="preserve"> that these compounds likely fo</w:t>
      </w:r>
      <w:r>
        <w:t>r</w:t>
      </w:r>
      <w:r w:rsidRPr="009E5A09">
        <w:t>m</w:t>
      </w:r>
      <w:r>
        <w:t>ed from</w:t>
      </w:r>
      <w:r w:rsidRPr="009E5A09">
        <w:t xml:space="preserve"> reactions of organic matter with soil perchlorates,</w:t>
      </w:r>
      <w:r>
        <w:t xml:space="preserve"> which are abundant on Mars </w:t>
      </w:r>
      <w:r w:rsidRPr="00041162">
        <w:t>(Navarro-González et al., 2010)</w:t>
      </w:r>
      <w:r>
        <w:t>.</w:t>
      </w:r>
      <w:r w:rsidRPr="009E5A09">
        <w:t xml:space="preserve"> </w:t>
      </w:r>
      <w:r>
        <w:t>T</w:t>
      </w:r>
      <w:r w:rsidRPr="009E5A09">
        <w:t>hus</w:t>
      </w:r>
      <w:r>
        <w:t>,</w:t>
      </w:r>
      <w:r w:rsidRPr="009E5A09">
        <w:t xml:space="preserve"> </w:t>
      </w:r>
      <w:r>
        <w:t>v</w:t>
      </w:r>
      <w:r w:rsidRPr="009E5A09">
        <w:t xml:space="preserve">olatile organohalides </w:t>
      </w:r>
      <w:r>
        <w:t xml:space="preserve">alone </w:t>
      </w:r>
      <w:r w:rsidRPr="009E5A09">
        <w:t>would be challenging to interpret in a Martian setting.</w:t>
      </w:r>
    </w:p>
    <w:p w14:paraId="50EA4B4D" w14:textId="408D8D2F" w:rsidR="00743645" w:rsidRPr="009E5A09" w:rsidRDefault="00743645" w:rsidP="001A14AF">
      <w:r>
        <w:t>Interestingly, w</w:t>
      </w:r>
      <w:r w:rsidRPr="009E5A09">
        <w:t>e were also able to detect transcription of a putative tryptophan halogenase (</w:t>
      </w:r>
      <w:r w:rsidRPr="009E5A09">
        <w:rPr>
          <w:i/>
        </w:rPr>
        <w:t>prnA</w:t>
      </w:r>
      <w:r w:rsidRPr="009E5A09">
        <w:t>)</w:t>
      </w:r>
      <w:r>
        <w:t xml:space="preserve"> in minimal media treatments. </w:t>
      </w:r>
      <w:r w:rsidRPr="00696EE9">
        <w:t xml:space="preserve">Flavin-dependent halogenases have been shown to add halogen atoms to a variety of substrates </w:t>
      </w:r>
      <w:r w:rsidRPr="00041162">
        <w:t>(Chen and van Pée, 2008)</w:t>
      </w:r>
      <w:r w:rsidRPr="00696EE9">
        <w:t xml:space="preserve">. Of transcripts annotated as </w:t>
      </w:r>
      <w:r w:rsidRPr="00041162">
        <w:t xml:space="preserve">flavin-dependent halogenases, only </w:t>
      </w:r>
      <w:r w:rsidRPr="00041162">
        <w:rPr>
          <w:i/>
          <w:iCs/>
        </w:rPr>
        <w:t>prnA</w:t>
      </w:r>
      <w:r w:rsidRPr="00041162">
        <w:t xml:space="preserve"> contained conserved binding sites for tryptophan and FAD (as reviewed in Chen and van Pée, 2008</w:t>
      </w:r>
      <w:r w:rsidRPr="00041162">
        <w:rPr>
          <w:bCs/>
        </w:rPr>
        <w:t xml:space="preserve">; </w:t>
      </w:r>
      <w:r w:rsidR="008420A0" w:rsidRPr="008420A0">
        <w:rPr>
          <w:b/>
          <w:bCs/>
        </w:rPr>
        <w:t>Appendix</w:t>
      </w:r>
      <w:r w:rsidR="008420A0">
        <w:rPr>
          <w:b/>
          <w:bCs/>
        </w:rPr>
        <w:t>,</w:t>
      </w:r>
      <w:r w:rsidR="008420A0" w:rsidRPr="00F13F6D">
        <w:rPr>
          <w:rFonts w:cs="Times New Roman"/>
          <w:b/>
          <w:bCs/>
        </w:rPr>
        <w:t xml:space="preserve"> </w:t>
      </w:r>
      <w:r w:rsidRPr="00FA0ACD">
        <w:rPr>
          <w:b/>
        </w:rPr>
        <w:t>Fig</w:t>
      </w:r>
      <w:r w:rsidR="00FA0ACD" w:rsidRPr="00FA0ACD">
        <w:rPr>
          <w:b/>
        </w:rPr>
        <w:t>ure 6.24</w:t>
      </w:r>
      <w:r w:rsidRPr="00696EE9">
        <w:rPr>
          <w:bCs/>
        </w:rPr>
        <w:t>)</w:t>
      </w:r>
      <w:r>
        <w:rPr>
          <w:bCs/>
        </w:rPr>
        <w:t xml:space="preserve">, and </w:t>
      </w:r>
      <w:r w:rsidRPr="00696EE9">
        <w:rPr>
          <w:bCs/>
        </w:rPr>
        <w:t>ha</w:t>
      </w:r>
      <w:r>
        <w:rPr>
          <w:bCs/>
        </w:rPr>
        <w:t>d</w:t>
      </w:r>
      <w:r w:rsidRPr="00696EE9">
        <w:rPr>
          <w:bCs/>
        </w:rPr>
        <w:t xml:space="preserve"> high structural homology to characterized tryptophan halogenases (</w:t>
      </w:r>
      <w:r w:rsidR="008420A0" w:rsidRPr="008420A0">
        <w:rPr>
          <w:b/>
          <w:bCs/>
        </w:rPr>
        <w:t>Appendix</w:t>
      </w:r>
      <w:r w:rsidR="008420A0">
        <w:rPr>
          <w:b/>
          <w:bCs/>
        </w:rPr>
        <w:t>,</w:t>
      </w:r>
      <w:r w:rsidR="008420A0" w:rsidRPr="00F13F6D">
        <w:rPr>
          <w:rFonts w:cs="Times New Roman"/>
          <w:b/>
          <w:bCs/>
        </w:rPr>
        <w:t xml:space="preserve"> </w:t>
      </w:r>
      <w:r w:rsidRPr="00FA0ACD">
        <w:rPr>
          <w:b/>
        </w:rPr>
        <w:t>Fi</w:t>
      </w:r>
      <w:r w:rsidR="00FA0ACD" w:rsidRPr="00FA0ACD">
        <w:rPr>
          <w:b/>
        </w:rPr>
        <w:t>gure 6.2</w:t>
      </w:r>
      <w:r w:rsidR="00FA0ACD">
        <w:rPr>
          <w:b/>
        </w:rPr>
        <w:t>5</w:t>
      </w:r>
      <w:r w:rsidR="008420A0">
        <w:rPr>
          <w:bCs/>
        </w:rPr>
        <w:t xml:space="preserve"> and</w:t>
      </w:r>
      <w:r w:rsidRPr="00696EE9">
        <w:rPr>
          <w:bCs/>
        </w:rPr>
        <w:t xml:space="preserve"> </w:t>
      </w:r>
      <w:r w:rsidRPr="00A37246">
        <w:rPr>
          <w:b/>
        </w:rPr>
        <w:t>Table 6</w:t>
      </w:r>
      <w:r w:rsidR="00A37246" w:rsidRPr="00A37246">
        <w:rPr>
          <w:b/>
        </w:rPr>
        <w:t>.10</w:t>
      </w:r>
      <w:r w:rsidRPr="00696EE9">
        <w:rPr>
          <w:bCs/>
        </w:rPr>
        <w:t>).</w:t>
      </w:r>
      <w:r>
        <w:t xml:space="preserve"> </w:t>
      </w:r>
      <w:r w:rsidRPr="009E5A09">
        <w:t xml:space="preserve">While </w:t>
      </w:r>
      <w:r w:rsidRPr="009E5A09">
        <w:rPr>
          <w:i/>
        </w:rPr>
        <w:t>prnA</w:t>
      </w:r>
      <w:r w:rsidRPr="009E5A09">
        <w:t xml:space="preserve"> is likely not associated with the observed chloro- or bromomethane volatiles, halogenation of organic compounds by BF02_Schw appears to occu</w:t>
      </w:r>
      <w:r>
        <w:t>r</w:t>
      </w:r>
      <w:r w:rsidRPr="009E5A09">
        <w:t xml:space="preserve"> </w:t>
      </w:r>
      <w:r>
        <w:t>under</w:t>
      </w:r>
      <w:r w:rsidRPr="009E5A09">
        <w:t xml:space="preserve"> all examined conditions. Considering the hypothesized global distribution of halogenated compounds across the surface of Mars </w:t>
      </w:r>
      <w:r w:rsidRPr="00041162">
        <w:t>(Georgiou et al., 2017)</w:t>
      </w:r>
      <w:r w:rsidRPr="009E5A09">
        <w:t xml:space="preserve">, these results suggest that further investigation targeting the production of halogenated compounds in Martian contexts are certainly warranted. </w:t>
      </w:r>
    </w:p>
    <w:p w14:paraId="4757A3A3" w14:textId="77777777" w:rsidR="00743645" w:rsidRPr="00870799" w:rsidRDefault="00743645" w:rsidP="001A14AF">
      <w:pPr>
        <w:pStyle w:val="Heading2"/>
        <w:spacing w:before="0" w:after="0"/>
      </w:pPr>
      <w:bookmarkStart w:id="236" w:name="_Toc196256945"/>
      <w:r>
        <w:t>Conclusion</w:t>
      </w:r>
      <w:bookmarkEnd w:id="236"/>
    </w:p>
    <w:p w14:paraId="530D7EFC" w14:textId="7833364A" w:rsidR="00743645" w:rsidRDefault="00743645" w:rsidP="001A14AF">
      <w:r w:rsidRPr="009E5A09">
        <w:t xml:space="preserve">Microorganisms isolated from extreme environments can </w:t>
      </w:r>
      <w:r>
        <w:t>be utilized to validate</w:t>
      </w:r>
      <w:r w:rsidRPr="009E5A09">
        <w:t xml:space="preserve"> </w:t>
      </w:r>
      <w:r>
        <w:t xml:space="preserve">signals from </w:t>
      </w:r>
      <w:r w:rsidRPr="009E5A09">
        <w:t>astrobiologically</w:t>
      </w:r>
      <w:r>
        <w:t xml:space="preserve"> relevant</w:t>
      </w:r>
      <w:r w:rsidRPr="009E5A09">
        <w:t xml:space="preserve"> instrumentation</w:t>
      </w:r>
      <w:r>
        <w:t>, test how biosignatures vary under a range of environmental conditions, and potentially discover novel biosignatures</w:t>
      </w:r>
      <w:r w:rsidRPr="009E5A09">
        <w:t xml:space="preserve">. Life on Mars may have occurred early in its history under warmer, wetter conditions. In these early ecosystems, </w:t>
      </w:r>
      <w:r>
        <w:t>Fe</w:t>
      </w:r>
      <w:r w:rsidRPr="009E5A09">
        <w:t xml:space="preserve"> reduction may have been a dominant primitive metabolism, facilitated in part by the Martian sulfur cycle, leaving </w:t>
      </w:r>
      <w:r>
        <w:t xml:space="preserve">biologically </w:t>
      </w:r>
      <w:r w:rsidRPr="009E5A09">
        <w:t xml:space="preserve">altered </w:t>
      </w:r>
      <w:r>
        <w:t>Fe</w:t>
      </w:r>
      <w:r w:rsidRPr="009E5A09">
        <w:t xml:space="preserve"> minerals in the rock record. </w:t>
      </w:r>
      <w:r>
        <w:t>When grown under iron reducing conditions, BF02_Schw produced reduced Fe species including goethite and magnetite as well as VOCs including DMS and chloro- and bromomethane and the electron shuttle riboflavin.</w:t>
      </w:r>
      <w:r w:rsidRPr="000159F1">
        <w:t xml:space="preserve"> </w:t>
      </w:r>
      <w:r>
        <w:t>Simultaneous detection of multiple biosignatures associated with mineral transformations on another planetary body</w:t>
      </w:r>
      <w:r w:rsidRPr="000159F1">
        <w:t xml:space="preserve"> </w:t>
      </w:r>
      <w:r>
        <w:t xml:space="preserve">would </w:t>
      </w:r>
      <w:r w:rsidRPr="000159F1">
        <w:t>provide</w:t>
      </w:r>
      <w:r>
        <w:t xml:space="preserve"> </w:t>
      </w:r>
      <w:r w:rsidRPr="000159F1">
        <w:t>far more compe</w:t>
      </w:r>
      <w:r>
        <w:t>ll</w:t>
      </w:r>
      <w:r w:rsidRPr="000159F1">
        <w:t xml:space="preserve">ing evidence of </w:t>
      </w:r>
      <w:r>
        <w:t xml:space="preserve">life. However, detection of </w:t>
      </w:r>
      <w:r w:rsidRPr="009E5A09">
        <w:t xml:space="preserve">biosignatures such as volatiles or flavins with flight-ready instrumentation likely would require sample </w:t>
      </w:r>
      <w:r w:rsidRPr="009E5A09">
        <w:lastRenderedPageBreak/>
        <w:t xml:space="preserve">incubation for long-term headspace monitoring if utilizing </w:t>
      </w:r>
      <w:r>
        <w:t xml:space="preserve">methods such as </w:t>
      </w:r>
      <w:r w:rsidRPr="009E5A09">
        <w:t>PTR-MS. While not within the capabilities of current surface missions, future missions may endeavor to develop analyses that target biosignatures</w:t>
      </w:r>
      <w:r>
        <w:t xml:space="preserve"> that utilize incubation or extraction methodologies in high priority sampling locations or instrumentation to detect ambient volatiles to target sampling efforts for </w:t>
      </w:r>
      <w:r>
        <w:rPr>
          <w:i/>
          <w:iCs/>
        </w:rPr>
        <w:t xml:space="preserve">in situ </w:t>
      </w:r>
      <w:r>
        <w:t xml:space="preserve">experiments or even sample return. These methodologies are reminiscent of the experiments on the </w:t>
      </w:r>
      <w:r>
        <w:rPr>
          <w:i/>
          <w:iCs/>
        </w:rPr>
        <w:t>Viking 1</w:t>
      </w:r>
      <w:r>
        <w:t xml:space="preserve"> and </w:t>
      </w:r>
      <w:r>
        <w:rPr>
          <w:i/>
          <w:iCs/>
        </w:rPr>
        <w:t xml:space="preserve">2 </w:t>
      </w:r>
      <w:r>
        <w:t>landers and highlight the promise of deploying similar payloads, albeit with a modern approach.</w:t>
      </w:r>
    </w:p>
    <w:p w14:paraId="47CD5BE5" w14:textId="77777777" w:rsidR="00743645" w:rsidRPr="00075256" w:rsidRDefault="00743645" w:rsidP="001A14AF">
      <w:pPr>
        <w:pStyle w:val="Heading3"/>
        <w:spacing w:before="0" w:after="0"/>
      </w:pPr>
      <w:bookmarkStart w:id="237" w:name="_Toc196256946"/>
      <w:r w:rsidRPr="00075256">
        <w:t xml:space="preserve">Data </w:t>
      </w:r>
      <w:r w:rsidRPr="00743645">
        <w:t>availability</w:t>
      </w:r>
      <w:bookmarkEnd w:id="237"/>
    </w:p>
    <w:p w14:paraId="5AD34F89" w14:textId="5FB69BFC" w:rsidR="00743645" w:rsidRDefault="00743645" w:rsidP="001A14AF">
      <w:r w:rsidRPr="009E5A09">
        <w:t xml:space="preserve">The genomic sequence of BF02_Schw was published previously in Boles et al. (2021) under NCBI accession number JABKAW000000000, and transcripts from No Fh and +Fh treatments </w:t>
      </w:r>
      <w:r>
        <w:t xml:space="preserve">will be deposited as raw sequences on NCBI. </w:t>
      </w:r>
      <w:r w:rsidRPr="009E5A09">
        <w:t>Analysis scripts and raw data files are available upon request.</w:t>
      </w:r>
    </w:p>
    <w:p w14:paraId="779F3041" w14:textId="3F9352A7" w:rsidR="00743645" w:rsidRDefault="00743645" w:rsidP="001A14AF">
      <w:pPr>
        <w:pStyle w:val="Heading3"/>
        <w:spacing w:before="0" w:after="0"/>
      </w:pPr>
      <w:bookmarkStart w:id="238" w:name="_Toc196256947"/>
      <w:r>
        <w:t>Acknowledgements</w:t>
      </w:r>
      <w:bookmarkEnd w:id="238"/>
    </w:p>
    <w:p w14:paraId="13D58917" w14:textId="6750A14B" w:rsidR="00743645" w:rsidRPr="00121FFD" w:rsidRDefault="00743645" w:rsidP="001A14AF">
      <w:r w:rsidRPr="00C246F5">
        <w:t xml:space="preserve">This work was supported by </w:t>
      </w:r>
      <w:r>
        <w:t xml:space="preserve">the </w:t>
      </w:r>
      <w:r w:rsidRPr="00C246F5">
        <w:t xml:space="preserve">NASA </w:t>
      </w:r>
      <w:r>
        <w:t>Exobiology Program</w:t>
      </w:r>
      <w:r w:rsidRPr="00C246F5">
        <w:t xml:space="preserve"> </w:t>
      </w:r>
      <w:r>
        <w:t>(</w:t>
      </w:r>
      <w:r w:rsidRPr="00C246F5">
        <w:t>80NSSC17K0243</w:t>
      </w:r>
      <w:r>
        <w:t xml:space="preserve"> to JAM). Additional support came from the </w:t>
      </w:r>
      <w:r w:rsidRPr="00C246F5">
        <w:t xml:space="preserve">National Science Foundation </w:t>
      </w:r>
      <w:r>
        <w:t>Office of Polar Programs (ANT-</w:t>
      </w:r>
      <w:r w:rsidRPr="00C246F5">
        <w:t xml:space="preserve">2148730 </w:t>
      </w:r>
      <w:r>
        <w:t>t</w:t>
      </w:r>
      <w:r w:rsidRPr="00C246F5">
        <w:t xml:space="preserve">o JAM and </w:t>
      </w:r>
      <w:r>
        <w:t>ANT-</w:t>
      </w:r>
      <w:r w:rsidRPr="00C246F5">
        <w:t>2148731 to L-AG</w:t>
      </w:r>
      <w:r>
        <w:t>), Biological Oceanography (OCE-1436458 and OCE-1428915 to PAL) and Division of Biological Infrastructure (DBI-1757899 REU Site Award to Dr. Robert Podolsky, College of Charleston, which provided support to KM). We would like to thank E. Taylor for her work on preliminary experiments, as well as B. Boles and S. Mitchell for assistance with culture preparation.</w:t>
      </w:r>
    </w:p>
    <w:p w14:paraId="501A1FF7" w14:textId="77777777" w:rsidR="00121FFD" w:rsidRDefault="00121FFD" w:rsidP="001A14AF">
      <w:pPr>
        <w:ind w:firstLine="0"/>
        <w:rPr>
          <w:b/>
          <w:bCs/>
          <w:iCs/>
          <w:szCs w:val="28"/>
        </w:rPr>
      </w:pPr>
      <w:r>
        <w:br w:type="page"/>
      </w:r>
    </w:p>
    <w:p w14:paraId="01F8FD58" w14:textId="1B48BA27" w:rsidR="00743645" w:rsidRPr="00711A21" w:rsidRDefault="00743645" w:rsidP="00562BA2">
      <w:pPr>
        <w:pStyle w:val="Heading2"/>
      </w:pPr>
      <w:bookmarkStart w:id="239" w:name="_Toc196256948"/>
      <w:r w:rsidRPr="00711A21">
        <w:lastRenderedPageBreak/>
        <w:t>References</w:t>
      </w:r>
      <w:bookmarkEnd w:id="239"/>
    </w:p>
    <w:p w14:paraId="481BBF1B" w14:textId="11D91614" w:rsidR="00743645" w:rsidRDefault="00743645" w:rsidP="00562BA2">
      <w:pPr>
        <w:pStyle w:val="Rerences"/>
      </w:pPr>
      <w:r>
        <w:t xml:space="preserve">Abrahamsson, V., and Kanik, I. (2022). </w:t>
      </w:r>
      <w:r>
        <w:rPr>
          <w:i/>
          <w:iCs/>
        </w:rPr>
        <w:t>In situ</w:t>
      </w:r>
      <w:r w:rsidR="00C20B57">
        <w:rPr>
          <w:i/>
          <w:iCs/>
        </w:rPr>
        <w:t xml:space="preserve"> </w:t>
      </w:r>
      <w:r w:rsidR="00C20B57">
        <w:t>o</w:t>
      </w:r>
      <w:r>
        <w:t xml:space="preserve">rganic biosignature detection techniques for space applications. </w:t>
      </w:r>
      <w:r>
        <w:rPr>
          <w:i/>
          <w:iCs/>
        </w:rPr>
        <w:t>Front. Astron. Space Sci.</w:t>
      </w:r>
      <w:r>
        <w:t xml:space="preserve"> 9. doi: 10.3389/fspas.2022.959670</w:t>
      </w:r>
    </w:p>
    <w:p w14:paraId="6B7F5A1B" w14:textId="77777777" w:rsidR="00743645" w:rsidRDefault="00743645" w:rsidP="00562BA2">
      <w:pPr>
        <w:pStyle w:val="Rerences"/>
      </w:pPr>
      <w:r>
        <w:t xml:space="preserve">Allwood, A. C., Wade, L. A., Foote, M. C., Elam, W. T., Hurowitz, J. A., Battel, S., et al. (2020). PIXL: Planetary Instrument for X-Ray Lithochemistry. </w:t>
      </w:r>
      <w:r>
        <w:rPr>
          <w:i/>
          <w:iCs/>
        </w:rPr>
        <w:t>Space Sci Rev</w:t>
      </w:r>
      <w:r>
        <w:t xml:space="preserve"> 216, 134. doi: 10.1007/s11214-020-00767-7</w:t>
      </w:r>
    </w:p>
    <w:p w14:paraId="0FB0B2DA" w14:textId="77777777" w:rsidR="00743645" w:rsidRDefault="00743645" w:rsidP="00562BA2">
      <w:pPr>
        <w:pStyle w:val="Rerences"/>
      </w:pPr>
      <w:r>
        <w:t xml:space="preserve">Altschul, S. F., Gish, W., Miller, W., Myers, E. W., and Lipman, D. J. (1990). Basic local alignment search tool. </w:t>
      </w:r>
      <w:r>
        <w:rPr>
          <w:i/>
          <w:iCs/>
        </w:rPr>
        <w:t>J Mol Biol</w:t>
      </w:r>
      <w:r>
        <w:t xml:space="preserve"> 215, 403–410. doi: 10.1016/S0022-2836(05)80360-2</w:t>
      </w:r>
    </w:p>
    <w:p w14:paraId="08C9FE2F" w14:textId="77777777" w:rsidR="00743645" w:rsidRDefault="00743645" w:rsidP="00562BA2">
      <w:pPr>
        <w:pStyle w:val="Rerences"/>
      </w:pPr>
      <w:r>
        <w:t xml:space="preserve">Anders, S., and Huber, W. (2010). Differential expression analysis for sequence count data. </w:t>
      </w:r>
      <w:r>
        <w:rPr>
          <w:i/>
          <w:iCs/>
        </w:rPr>
        <w:t>Genome Biology</w:t>
      </w:r>
      <w:r>
        <w:t xml:space="preserve"> 11, R106. doi: 10.1186/gb-2010-11-10-r106</w:t>
      </w:r>
    </w:p>
    <w:p w14:paraId="48291243" w14:textId="77777777" w:rsidR="00743645" w:rsidRDefault="00743645" w:rsidP="00562BA2">
      <w:pPr>
        <w:pStyle w:val="Rerences"/>
      </w:pPr>
      <w:r>
        <w:t xml:space="preserve">Banfield, J. F., Moreau, J. W., Chan, C. S., Welch, S. A., and Little, B. (2001). Mineralogical Biosignatures and the Search for Life on Mars. </w:t>
      </w:r>
      <w:r>
        <w:rPr>
          <w:i/>
          <w:iCs/>
        </w:rPr>
        <w:t>Astrobiology</w:t>
      </w:r>
      <w:r>
        <w:t xml:space="preserve"> 1, 447–465. doi: 10.1089/153110701753593856</w:t>
      </w:r>
    </w:p>
    <w:p w14:paraId="6AAE6F3A" w14:textId="77777777" w:rsidR="00743645" w:rsidRDefault="00743645" w:rsidP="00562BA2">
      <w:pPr>
        <w:pStyle w:val="Rerences"/>
      </w:pPr>
      <w:r>
        <w:t xml:space="preserve">Beck, P., Pommerol, A., Zanda, B., Remusat, L., Lorand, J. P., Göpel, C., et al. (2015). A Noachian source region for the “Black Beauty” meteorite, and a source lithology for Mars surface hydrated dust? </w:t>
      </w:r>
      <w:r>
        <w:rPr>
          <w:i/>
          <w:iCs/>
        </w:rPr>
        <w:t>Earth and Planetary Science Letters</w:t>
      </w:r>
      <w:r>
        <w:t xml:space="preserve"> 427, 104–111. doi: 10.1016/j.epsl.2015.06.033</w:t>
      </w:r>
    </w:p>
    <w:p w14:paraId="40EDEA93" w14:textId="77777777" w:rsidR="00743645" w:rsidRDefault="00743645" w:rsidP="00562BA2">
      <w:pPr>
        <w:pStyle w:val="Rerences"/>
      </w:pPr>
      <w:r>
        <w:t xml:space="preserve">Beliaev, A. S., and Saffarini, D. A. (1998). </w:t>
      </w:r>
      <w:r>
        <w:rPr>
          <w:i/>
          <w:iCs/>
        </w:rPr>
        <w:t>Shewanella putrefaciens mtrB</w:t>
      </w:r>
      <w:r>
        <w:t xml:space="preserve"> Encodes an Outer Membrane Protein Required for Fe(III) and Mn(IV) Reduction. </w:t>
      </w:r>
      <w:r>
        <w:rPr>
          <w:i/>
          <w:iCs/>
        </w:rPr>
        <w:t>J Bacteriol</w:t>
      </w:r>
      <w:r>
        <w:t xml:space="preserve"> 180, 6292–6297.</w:t>
      </w:r>
    </w:p>
    <w:p w14:paraId="024CCF77" w14:textId="77777777" w:rsidR="00743645" w:rsidRDefault="00743645" w:rsidP="00562BA2">
      <w:pPr>
        <w:pStyle w:val="Rerences"/>
      </w:pPr>
      <w:r>
        <w:t xml:space="preserve">Bhartia, R., Beegle, L. W., DeFlores, L., Abbey, W., Razzell Hollis, J., Uckert, K., et al. (2021). Perseverance’s Scanning Habitable Environments with Raman and Luminescence for Organics and Chemicals (SHERLOC) Investigation. </w:t>
      </w:r>
      <w:r>
        <w:rPr>
          <w:i/>
          <w:iCs/>
        </w:rPr>
        <w:t>Space Sci Rev</w:t>
      </w:r>
      <w:r>
        <w:t xml:space="preserve"> 217, 58. doi: 10.1007/s11214-021-00812-z</w:t>
      </w:r>
    </w:p>
    <w:p w14:paraId="57BFB556" w14:textId="77777777" w:rsidR="00743645" w:rsidRDefault="00743645" w:rsidP="00562BA2">
      <w:pPr>
        <w:pStyle w:val="Rerences"/>
      </w:pPr>
      <w:r>
        <w:t xml:space="preserve">Bibring, J.-P., Arvidson, R. E., Gendrin, A., Gondet, B., Langevin, Y., Le Mouelic, S., et al. (2007). Coupled Ferric Oxides and Sulfates on the Martian Surface. </w:t>
      </w:r>
      <w:r>
        <w:rPr>
          <w:i/>
          <w:iCs/>
        </w:rPr>
        <w:t>Science</w:t>
      </w:r>
      <w:r>
        <w:t xml:space="preserve"> 317, 1206–1210. doi: 10.1126/science.1144174</w:t>
      </w:r>
    </w:p>
    <w:p w14:paraId="709C8B6B" w14:textId="77777777" w:rsidR="00743645" w:rsidRDefault="00743645" w:rsidP="00562BA2">
      <w:pPr>
        <w:pStyle w:val="Rerences"/>
      </w:pPr>
      <w:r>
        <w:lastRenderedPageBreak/>
        <w:t xml:space="preserve">Blake, D., Vaniman, D., Achilles, C., Anderson, R., Bish, D., Bristow, T., et al. (2012). Characterization and Calibration of the CheMin Mineralogical Instrument on Mars Science Laboratory. </w:t>
      </w:r>
      <w:r>
        <w:rPr>
          <w:i/>
          <w:iCs/>
        </w:rPr>
        <w:t>Space Sci Rev</w:t>
      </w:r>
      <w:r>
        <w:t xml:space="preserve"> 170, 341–399. doi: 10.1007/s11214-012-9905-1</w:t>
      </w:r>
    </w:p>
    <w:p w14:paraId="409D7D49" w14:textId="77777777" w:rsidR="00743645" w:rsidRDefault="00743645" w:rsidP="00562BA2">
      <w:pPr>
        <w:pStyle w:val="Rerences"/>
      </w:pPr>
      <w:r>
        <w:t xml:space="preserve">Boles, B. W., Murdoch, R. W., Ohlsson, I., and Mikucki, J. A. (2021). Draft Genome Sequence of </w:t>
      </w:r>
      <w:r>
        <w:rPr>
          <w:i/>
          <w:iCs/>
        </w:rPr>
        <w:t>Shewanella</w:t>
      </w:r>
      <w:r>
        <w:t xml:space="preserve"> sp. Strain BF02_Schw, Isolated from Blood Falls, a Feature Where Subglacial Brine Discharges to the Surface of Taylor Glacier, Antarctica. </w:t>
      </w:r>
      <w:r>
        <w:rPr>
          <w:i/>
          <w:iCs/>
        </w:rPr>
        <w:t>Microbiol. Resour. Announc.</w:t>
      </w:r>
      <w:r>
        <w:t xml:space="preserve"> 10, e01141-20. doi: 10.1128/MRA.01141-20</w:t>
      </w:r>
    </w:p>
    <w:p w14:paraId="74DC2545" w14:textId="77777777" w:rsidR="00743645" w:rsidRDefault="00743645" w:rsidP="00562BA2">
      <w:pPr>
        <w:pStyle w:val="Rerences"/>
      </w:pPr>
      <w:r>
        <w:t xml:space="preserve">Bullock, H. A., Luo, H., and Whitman, W. B. (2017). Evolution of Dimethylsulfoniopropionate Metabolism in Marine Phytoplankton and Bacteria. </w:t>
      </w:r>
      <w:r>
        <w:rPr>
          <w:i/>
          <w:iCs/>
        </w:rPr>
        <w:t>Front. Microbiol.</w:t>
      </w:r>
      <w:r>
        <w:t xml:space="preserve"> 8. doi: 10.3389/fmicb.2017.00637</w:t>
      </w:r>
    </w:p>
    <w:p w14:paraId="3C8EBA68" w14:textId="77777777" w:rsidR="00743645" w:rsidRDefault="00743645" w:rsidP="00562BA2">
      <w:pPr>
        <w:pStyle w:val="Rerences"/>
      </w:pPr>
      <w:r>
        <w:t xml:space="preserve">Burns, J. L., and DiChristina, T. J. (2009). Anaerobic Respiration of Elemental Sulfur and Thiosulfate by </w:t>
      </w:r>
      <w:r>
        <w:rPr>
          <w:i/>
          <w:iCs/>
        </w:rPr>
        <w:t>Shewanella oneidensis</w:t>
      </w:r>
      <w:r>
        <w:t xml:space="preserve"> MR-1 Requires </w:t>
      </w:r>
      <w:r>
        <w:rPr>
          <w:i/>
          <w:iCs/>
        </w:rPr>
        <w:t>psrA</w:t>
      </w:r>
      <w:r>
        <w:t xml:space="preserve"> , a Homolog of the </w:t>
      </w:r>
      <w:r>
        <w:rPr>
          <w:i/>
          <w:iCs/>
        </w:rPr>
        <w:t>phsA</w:t>
      </w:r>
      <w:r>
        <w:t xml:space="preserve"> Gene of </w:t>
      </w:r>
      <w:r>
        <w:rPr>
          <w:i/>
          <w:iCs/>
        </w:rPr>
        <w:t>Salmonella enterica</w:t>
      </w:r>
      <w:r>
        <w:t xml:space="preserve"> Serovar Typhimurium LT2. </w:t>
      </w:r>
      <w:r>
        <w:rPr>
          <w:i/>
          <w:iCs/>
        </w:rPr>
        <w:t>Appl Environ Microbiol</w:t>
      </w:r>
      <w:r>
        <w:t xml:space="preserve"> 75, 5209–5217. doi: 10.1128/AEM.00888-09</w:t>
      </w:r>
    </w:p>
    <w:p w14:paraId="4A9208D0" w14:textId="77777777" w:rsidR="00743645" w:rsidRDefault="00743645" w:rsidP="00562BA2">
      <w:pPr>
        <w:pStyle w:val="Rerences"/>
      </w:pPr>
      <w:r>
        <w:t xml:space="preserve">Case, N., Johnston, N., and Nadeau, J. (2024). Fluorescence Microscopy with Deep UV, Near UV, and Visible Excitation for </w:t>
      </w:r>
      <w:r>
        <w:rPr>
          <w:i/>
          <w:iCs/>
        </w:rPr>
        <w:t>In Situ</w:t>
      </w:r>
      <w:r>
        <w:t xml:space="preserve"> Detection of Microorganisms. </w:t>
      </w:r>
      <w:r>
        <w:rPr>
          <w:i/>
          <w:iCs/>
        </w:rPr>
        <w:t>Astrobiology</w:t>
      </w:r>
      <w:r>
        <w:t xml:space="preserve"> 24, 300–317. doi: 10.1089/ast.2023.0020</w:t>
      </w:r>
    </w:p>
    <w:p w14:paraId="5F68F604" w14:textId="77777777" w:rsidR="00743645" w:rsidRDefault="00743645" w:rsidP="00562BA2">
      <w:pPr>
        <w:pStyle w:val="Rerences"/>
      </w:pPr>
      <w:r>
        <w:t xml:space="preserve">Castelein, S. M., Aarts, T. F., Schleppi, J., Hendrikx, R., Böttger, A. J., Benz, D., et al. (2021). Iron can be microbially extracted from Lunar and Martian regolith simulants and 3D printed into tough structural materials. </w:t>
      </w:r>
      <w:r>
        <w:rPr>
          <w:i/>
          <w:iCs/>
        </w:rPr>
        <w:t>PLOS ONE</w:t>
      </w:r>
      <w:r>
        <w:t xml:space="preserve"> 16, e0249962. doi: 10.1371/journal.pone.0249962</w:t>
      </w:r>
    </w:p>
    <w:p w14:paraId="58B2EB37" w14:textId="77777777" w:rsidR="00743645" w:rsidRDefault="00743645" w:rsidP="00562BA2">
      <w:pPr>
        <w:pStyle w:val="Rerences"/>
      </w:pPr>
      <w:r>
        <w:t xml:space="preserve">Chen, X., and van Pée, K.-H. (2008). Catalytic mechanisms, basic roles, and biotechnological and environmental significance of halogenating enzymes. </w:t>
      </w:r>
      <w:r>
        <w:rPr>
          <w:i/>
          <w:iCs/>
        </w:rPr>
        <w:t>ABBS</w:t>
      </w:r>
      <w:r>
        <w:t xml:space="preserve"> 40, 183–193. doi: 10.1111/j.1745-7270.2008.00390.x</w:t>
      </w:r>
    </w:p>
    <w:p w14:paraId="62F68F2B" w14:textId="77777777" w:rsidR="00743645" w:rsidRDefault="00743645" w:rsidP="00562BA2">
      <w:pPr>
        <w:pStyle w:val="Rerences"/>
      </w:pPr>
      <w:r>
        <w:t xml:space="preserve">Christensen, P. R., Mehall, G. L., Silverman, S. H., Anwar, S., Cannon, G., Gorelick, N., et al. (2003). Miniature Thermal Emission Spectrometer for the Mars Exploration Rovers. </w:t>
      </w:r>
      <w:r>
        <w:rPr>
          <w:i/>
          <w:iCs/>
        </w:rPr>
        <w:t>J.</w:t>
      </w:r>
      <w:r>
        <w:rPr>
          <w:rFonts w:ascii="Cambria Math" w:hAnsi="Cambria Math" w:cs="Cambria Math"/>
          <w:i/>
          <w:iCs/>
        </w:rPr>
        <w:t>‐</w:t>
      </w:r>
      <w:r>
        <w:rPr>
          <w:i/>
          <w:iCs/>
        </w:rPr>
        <w:t>Geophys.</w:t>
      </w:r>
      <w:r>
        <w:rPr>
          <w:rFonts w:ascii="Cambria Math" w:hAnsi="Cambria Math" w:cs="Cambria Math"/>
          <w:i/>
          <w:iCs/>
        </w:rPr>
        <w:t>‐</w:t>
      </w:r>
      <w:r>
        <w:rPr>
          <w:i/>
          <w:iCs/>
        </w:rPr>
        <w:t>Res.</w:t>
      </w:r>
      <w:r>
        <w:t xml:space="preserve"> 108, 2003JE002117. doi: 10.1029/2003JE002117</w:t>
      </w:r>
    </w:p>
    <w:p w14:paraId="27DF5DEF" w14:textId="77777777" w:rsidR="00743645" w:rsidRDefault="00743645" w:rsidP="00562BA2">
      <w:pPr>
        <w:pStyle w:val="Rerences"/>
      </w:pPr>
      <w:r>
        <w:lastRenderedPageBreak/>
        <w:t xml:space="preserve">Clark, B. C., Kolb, V. M., Steele, A., House, C. H., Lanza, N. L., Gasda, P. J., et al. (2021). Origin of Life on Mars: Suitability and Opportunities. </w:t>
      </w:r>
      <w:r>
        <w:rPr>
          <w:i/>
          <w:iCs/>
        </w:rPr>
        <w:t>Life</w:t>
      </w:r>
      <w:r>
        <w:t xml:space="preserve"> 11, 539. doi: 10.3390/life11060539</w:t>
      </w:r>
    </w:p>
    <w:p w14:paraId="3F235039" w14:textId="77777777" w:rsidR="00743645" w:rsidRDefault="00743645" w:rsidP="00562BA2">
      <w:pPr>
        <w:pStyle w:val="Rerences"/>
      </w:pPr>
      <w:r>
        <w:t xml:space="preserve">Clark, I. C., Melnyk, R. A., Iavarone, A. T., Novichkov, P. S., and Coates, J. D. (2014). Chlorate reduction in </w:t>
      </w:r>
      <w:r>
        <w:rPr>
          <w:i/>
          <w:iCs/>
        </w:rPr>
        <w:t>Shewanella algae</w:t>
      </w:r>
      <w:r>
        <w:t xml:space="preserve"> ACDC is a recently acquired metabolism characterized by gene loss, suboptimal regulation and oxidative stress. </w:t>
      </w:r>
      <w:r>
        <w:rPr>
          <w:i/>
          <w:iCs/>
        </w:rPr>
        <w:t>Molecular Microbiology</w:t>
      </w:r>
      <w:r>
        <w:t xml:space="preserve"> 94, 107–125. doi: 10.1111/mmi.12746</w:t>
      </w:r>
    </w:p>
    <w:p w14:paraId="48C96F9A" w14:textId="77777777" w:rsidR="00743645" w:rsidRDefault="00743645" w:rsidP="00562BA2">
      <w:pPr>
        <w:pStyle w:val="Rerences"/>
      </w:pPr>
      <w:r>
        <w:t xml:space="preserve">Cockell, C. S. (2014). Trajectories of Martian Habitability. </w:t>
      </w:r>
      <w:r>
        <w:rPr>
          <w:i/>
          <w:iCs/>
        </w:rPr>
        <w:t>Astrobiology</w:t>
      </w:r>
      <w:r>
        <w:t xml:space="preserve"> 14, 182–203. doi: 10.1089/ast.2013.1106</w:t>
      </w:r>
    </w:p>
    <w:p w14:paraId="72CB3910" w14:textId="77777777" w:rsidR="00743645" w:rsidRDefault="00743645" w:rsidP="00562BA2">
      <w:pPr>
        <w:pStyle w:val="Rerences"/>
      </w:pPr>
      <w:r>
        <w:t xml:space="preserve">Cooper, R. E., Goff, J. L., Reed, B. C., Sekar, R., and Dichristina, T. J. (2016). “Breathing Iron: Molecular Mechanism of Microbial Iron Reduction by </w:t>
      </w:r>
      <w:r>
        <w:rPr>
          <w:i/>
          <w:iCs/>
        </w:rPr>
        <w:t>Shewanella oneidensis</w:t>
      </w:r>
      <w:r>
        <w:t xml:space="preserve">,” in </w:t>
      </w:r>
      <w:r>
        <w:rPr>
          <w:i/>
          <w:iCs/>
        </w:rPr>
        <w:t>Manual of Environmental Microbiology</w:t>
      </w:r>
      <w:r>
        <w:t>, (John Wiley &amp; Sons, Ltd), 5.2.1-1-5.2.1-13. doi: 10.1128/9781555818821.ch5.2.1</w:t>
      </w:r>
    </w:p>
    <w:p w14:paraId="79591E02" w14:textId="77777777" w:rsidR="00743645" w:rsidRDefault="00743645" w:rsidP="00562BA2">
      <w:pPr>
        <w:pStyle w:val="Rerences"/>
      </w:pPr>
      <w:r>
        <w:t xml:space="preserve">Czernuszewicz, R. S. (2000). Geochemistry of porphyrins: biological, industrial and environmental aspects. </w:t>
      </w:r>
      <w:r>
        <w:rPr>
          <w:i/>
          <w:iCs/>
        </w:rPr>
        <w:t>Journal of Porphyrins and Phthalocyanines</w:t>
      </w:r>
      <w:r>
        <w:t xml:space="preserve"> 4, 426–431. doi: 10.1002/(SICI)1099-1409(200006/07)4:4&lt;426::AID-JPP248&gt;3.0.CO;2-1</w:t>
      </w:r>
    </w:p>
    <w:p w14:paraId="6AE13506" w14:textId="77777777" w:rsidR="00743645" w:rsidRDefault="00743645" w:rsidP="00562BA2">
      <w:pPr>
        <w:pStyle w:val="Rerences"/>
      </w:pPr>
      <w:r>
        <w:t xml:space="preserve">Danecek, P., Bonfield, J. K., Liddle, J., Marshall, J., Ohan, V., Pollard, M. O., et al. (2021). Twelve years of SAMtools and BCFtools. </w:t>
      </w:r>
      <w:r>
        <w:rPr>
          <w:i/>
          <w:iCs/>
        </w:rPr>
        <w:t>Gigascience</w:t>
      </w:r>
      <w:r>
        <w:t xml:space="preserve"> 10, giab008. doi: 10.1093/gigascience/giab008</w:t>
      </w:r>
    </w:p>
    <w:p w14:paraId="5CBC2296" w14:textId="77777777" w:rsidR="00743645" w:rsidRDefault="00743645" w:rsidP="00562BA2">
      <w:pPr>
        <w:pStyle w:val="Rerences"/>
      </w:pPr>
      <w:r>
        <w:t xml:space="preserve">Djokic, T., Van Kranendonk, M. J., Campbell, K. A., Walter, M. R., and Ward, C. R. (2017). Earliest signs of life on land preserved in ca. 3.5 Ga hot spring deposits. </w:t>
      </w:r>
      <w:r>
        <w:rPr>
          <w:i/>
          <w:iCs/>
        </w:rPr>
        <w:t>Nat Commun</w:t>
      </w:r>
      <w:r>
        <w:t xml:space="preserve"> 8, 15263. doi: 10.1038/ncomms15263</w:t>
      </w:r>
    </w:p>
    <w:p w14:paraId="3887B4A0" w14:textId="77777777" w:rsidR="00743645" w:rsidRDefault="00743645" w:rsidP="00562BA2">
      <w:pPr>
        <w:pStyle w:val="Rerences"/>
      </w:pPr>
      <w:r>
        <w:t xml:space="preserve">Domagal-Goldman, S. D., Meadows, V. S., Claire, M. W., and Kasting, J. F. (2011). Using Biogenic Sulfur Gases as Remotely Detectable Biosignatures on Anoxic Planets. </w:t>
      </w:r>
      <w:r>
        <w:rPr>
          <w:i/>
          <w:iCs/>
        </w:rPr>
        <w:t>Astrobiology</w:t>
      </w:r>
      <w:r>
        <w:t xml:space="preserve"> 11, 419–441. doi: 10.1089/ast.2010.0509</w:t>
      </w:r>
    </w:p>
    <w:p w14:paraId="492939B0" w14:textId="77777777" w:rsidR="00743645" w:rsidRDefault="00743645" w:rsidP="00562BA2">
      <w:pPr>
        <w:pStyle w:val="Rerences"/>
      </w:pPr>
      <w:r>
        <w:t xml:space="preserve">Ducluzeau, A.-L., and Nitschke, W. (2016). “When Did Hemes Enter the Scene of Life? On the Natural History of Heme Cofactors and Heme-Containing Enzymes,” in </w:t>
      </w:r>
      <w:r>
        <w:rPr>
          <w:i/>
          <w:iCs/>
        </w:rPr>
        <w:t xml:space="preserve">Cytochrome Complexes: Evolution, Structures, Energy Transduction, and </w:t>
      </w:r>
      <w:r>
        <w:rPr>
          <w:i/>
          <w:iCs/>
        </w:rPr>
        <w:lastRenderedPageBreak/>
        <w:t>Signaling</w:t>
      </w:r>
      <w:r>
        <w:t>, eds. W. A. Cramer and T. Kallas (Dordrecht: Springer Netherlands), 13–24. doi: 10.1007/978-94-017-7481-9_2</w:t>
      </w:r>
    </w:p>
    <w:p w14:paraId="4D96ED6D" w14:textId="77777777" w:rsidR="00743645" w:rsidRDefault="00743645" w:rsidP="00562BA2">
      <w:pPr>
        <w:pStyle w:val="Rerences"/>
      </w:pPr>
      <w:r>
        <w:t xml:space="preserve">Edwards, A. M. (2014). Structure and general properties of flavins. </w:t>
      </w:r>
      <w:r>
        <w:rPr>
          <w:i/>
          <w:iCs/>
        </w:rPr>
        <w:t>Methods Mol Biol</w:t>
      </w:r>
      <w:r>
        <w:t xml:space="preserve"> 1146, 3–13. doi: 10.1007/978-1-4939-0452-5_1</w:t>
      </w:r>
    </w:p>
    <w:p w14:paraId="321F5C4B" w14:textId="77777777" w:rsidR="00743645" w:rsidRDefault="00743645" w:rsidP="00562BA2">
      <w:pPr>
        <w:pStyle w:val="Rerences"/>
      </w:pPr>
      <w:r>
        <w:t xml:space="preserve">Eigenbrode, J. L., Summons, R. E., Steele, A., Freissinet, C., Millan, M., Navarro-González, R., et al. (2018). Organic matter preserved in 3-billion-year-old mudstones at Gale crater, Mars. </w:t>
      </w:r>
      <w:r>
        <w:rPr>
          <w:i/>
          <w:iCs/>
        </w:rPr>
        <w:t>Science</w:t>
      </w:r>
      <w:r>
        <w:t xml:space="preserve"> 360, 1096–1101. doi: 10.1126/science.aas9185</w:t>
      </w:r>
    </w:p>
    <w:p w14:paraId="78248016" w14:textId="77777777" w:rsidR="00743645" w:rsidRDefault="00743645" w:rsidP="00562BA2">
      <w:pPr>
        <w:pStyle w:val="Rerences"/>
      </w:pPr>
      <w:r>
        <w:t xml:space="preserve">Eren, A. M., Esen, Ö. C., Quince, C., Vineis, J. H., Morrison, H. G., Sogin, M. L., et al. (2015). Anvi’o: an advanced analysis and visualization platform for ‘omics data. </w:t>
      </w:r>
      <w:r>
        <w:rPr>
          <w:i/>
          <w:iCs/>
        </w:rPr>
        <w:t>PeerJ</w:t>
      </w:r>
      <w:r>
        <w:t xml:space="preserve"> 3, e1319. doi: 10.7717/peerj.1319</w:t>
      </w:r>
    </w:p>
    <w:p w14:paraId="2B52B9D7" w14:textId="77777777" w:rsidR="00743645" w:rsidRDefault="00743645" w:rsidP="00562BA2">
      <w:pPr>
        <w:pStyle w:val="Rerences"/>
      </w:pPr>
      <w:r>
        <w:t xml:space="preserve">Falk, H., and Wolkenstein, K. (2017). “Natural Product Molecular Fossils,” in </w:t>
      </w:r>
      <w:r>
        <w:rPr>
          <w:i/>
          <w:iCs/>
        </w:rPr>
        <w:t>Progress in the Chemistry of Organic Natural Products</w:t>
      </w:r>
      <w:r>
        <w:t>, eds. A. D. Kinghorn, H. Falk, S. Gibbons, and J. Kobayashi (Cham: Springer International Publishing), 1–126. doi: 10.1007/978-3-319-45618-8_1</w:t>
      </w:r>
    </w:p>
    <w:p w14:paraId="1FB02BAC" w14:textId="77777777" w:rsidR="00743645" w:rsidRDefault="00743645" w:rsidP="00562BA2">
      <w:pPr>
        <w:pStyle w:val="Rerences"/>
      </w:pPr>
      <w:r>
        <w:t xml:space="preserve">Farley, K. A., Williford, K. H., Stack, K. M., Bhartia, R., Chen, A., de la Torre, M., et al. (2020). Mars 2020 Mission Overview. </w:t>
      </w:r>
      <w:r>
        <w:rPr>
          <w:i/>
          <w:iCs/>
        </w:rPr>
        <w:t>Space Sci Rev</w:t>
      </w:r>
      <w:r>
        <w:t xml:space="preserve"> 216, 142. doi: 10.1007/s11214-020-00762-y</w:t>
      </w:r>
    </w:p>
    <w:p w14:paraId="448832A9" w14:textId="77777777" w:rsidR="00743645" w:rsidRDefault="00743645" w:rsidP="00562BA2">
      <w:pPr>
        <w:pStyle w:val="Rerences"/>
      </w:pPr>
      <w:r>
        <w:t xml:space="preserve">Field, J. A. (2016). “Natural Production of Organohalide Compounds in the Environment,” in </w:t>
      </w:r>
      <w:r>
        <w:rPr>
          <w:i/>
          <w:iCs/>
        </w:rPr>
        <w:t>Organohalide-Respiring Bacteria</w:t>
      </w:r>
      <w:r>
        <w:t>, eds. L. Adrian and F. E. Löffler (Berlin, Heidelberg: Springer), 7–29. doi: 10.1007/978-3-662-49875-0_2</w:t>
      </w:r>
    </w:p>
    <w:p w14:paraId="380C5AAE" w14:textId="77777777" w:rsidR="00743645" w:rsidRDefault="00743645" w:rsidP="00562BA2">
      <w:pPr>
        <w:pStyle w:val="Rerences"/>
      </w:pPr>
      <w:r>
        <w:t xml:space="preserve">Fox, J., and Weisburg, S. (2019). </w:t>
      </w:r>
      <w:r>
        <w:rPr>
          <w:i/>
          <w:iCs/>
        </w:rPr>
        <w:t>An R Companion to Applied Regression</w:t>
      </w:r>
      <w:r>
        <w:t>., Third Edition. Thousand Oaks, CA: Sage. Available at: https://www.john-fox.ca/Companion/</w:t>
      </w:r>
    </w:p>
    <w:p w14:paraId="4CFFA485" w14:textId="77777777" w:rsidR="00743645" w:rsidRDefault="00743645" w:rsidP="00562BA2">
      <w:pPr>
        <w:pStyle w:val="Rerences"/>
      </w:pPr>
      <w:r>
        <w:t xml:space="preserve">Fredrickson, J. K., Romine, M. F., Beliaev, A. S., Auchtung, J. M., Driscoll, M. E., Gardner, T. S., et al. (2008). Towards environmental systems biology of </w:t>
      </w:r>
      <w:r>
        <w:rPr>
          <w:i/>
          <w:iCs/>
        </w:rPr>
        <w:t>Shewanella</w:t>
      </w:r>
      <w:r>
        <w:t xml:space="preserve">. </w:t>
      </w:r>
      <w:r>
        <w:rPr>
          <w:i/>
          <w:iCs/>
        </w:rPr>
        <w:t>Nat Rev Microbiol</w:t>
      </w:r>
      <w:r>
        <w:t xml:space="preserve"> 6, 592–603. doi: 10.1038/nrmicro1947</w:t>
      </w:r>
    </w:p>
    <w:p w14:paraId="06575DF5" w14:textId="77777777" w:rsidR="00743645" w:rsidRDefault="00743645" w:rsidP="00562BA2">
      <w:pPr>
        <w:pStyle w:val="Rerences"/>
      </w:pPr>
      <w:r>
        <w:t xml:space="preserve">Fuller, S. J., McMillan, D. G. G., Renz, M. B., Schmidt, M., Burke, I. T., and Stewart, D. I. (2014). Extracellular Electron Transport-Mediated Fe(III) Reduction by a </w:t>
      </w:r>
      <w:r>
        <w:lastRenderedPageBreak/>
        <w:t xml:space="preserve">Community of Alkaliphilic Bacteria That Use Flavins as Electron Shuttles. </w:t>
      </w:r>
      <w:r>
        <w:rPr>
          <w:i/>
          <w:iCs/>
        </w:rPr>
        <w:t>Appl Environ Microbiol</w:t>
      </w:r>
      <w:r>
        <w:t xml:space="preserve"> 80, 128–137. doi: 10.1128/AEM.02282-13</w:t>
      </w:r>
    </w:p>
    <w:p w14:paraId="60BC3919" w14:textId="77777777" w:rsidR="00743645" w:rsidRDefault="00743645" w:rsidP="00562BA2">
      <w:pPr>
        <w:pStyle w:val="Rerences"/>
      </w:pPr>
      <w:r>
        <w:t xml:space="preserve">Gaillard, F., Michalski, J., Berger, G., McLennan, S. M., and Scaillet, B. (2013). Geochemical Reservoirs and Timing of Sulfur Cycling on Mars. </w:t>
      </w:r>
      <w:r>
        <w:rPr>
          <w:i/>
          <w:iCs/>
        </w:rPr>
        <w:t>Space Sci Rev</w:t>
      </w:r>
      <w:r>
        <w:t xml:space="preserve"> 174, 251–300. doi: 10.1007/s11214-012-9947-4</w:t>
      </w:r>
    </w:p>
    <w:p w14:paraId="2FE75DA8" w14:textId="77777777" w:rsidR="00743645" w:rsidRDefault="00743645" w:rsidP="00562BA2">
      <w:pPr>
        <w:pStyle w:val="Rerences"/>
      </w:pPr>
      <w:r>
        <w:t xml:space="preserve">Georgiou, C. D., Zisimopoulos, D., Kalaitzopoulou, E., and Quinn, R. C. (2017). Radiation-Driven Formation of Reactive Oxygen Species in Oxychlorine-Containing Mars Surface Analogues. </w:t>
      </w:r>
      <w:r>
        <w:rPr>
          <w:i/>
          <w:iCs/>
        </w:rPr>
        <w:t>Astrobiology</w:t>
      </w:r>
      <w:r>
        <w:t xml:space="preserve"> 17, 319–336. doi: 10.1089/ast.2016.1539</w:t>
      </w:r>
    </w:p>
    <w:p w14:paraId="5A00CD3F" w14:textId="77777777" w:rsidR="00743645" w:rsidRDefault="00743645" w:rsidP="00562BA2">
      <w:pPr>
        <w:pStyle w:val="Rerences"/>
      </w:pPr>
      <w:r>
        <w:t xml:space="preserve">Grotzinger, J. P., Crisp, J., Vasavada, A. R., Anderson, R. C., Baker, C. J., Barry, R., et al. (2012). Mars Science Laboratory mission and science investigation. </w:t>
      </w:r>
      <w:r>
        <w:rPr>
          <w:i/>
          <w:iCs/>
        </w:rPr>
        <w:t>Space Science Reviews</w:t>
      </w:r>
      <w:r>
        <w:t xml:space="preserve"> 170, 5–56. doi: 10.1007/s11214-012-9892-2</w:t>
      </w:r>
    </w:p>
    <w:p w14:paraId="6BCED435" w14:textId="77777777" w:rsidR="00743645" w:rsidRDefault="00743645" w:rsidP="00562BA2">
      <w:pPr>
        <w:pStyle w:val="Rerences"/>
      </w:pPr>
      <w:r>
        <w:t xml:space="preserve">Grotzinger, J. P., Sumner, D. Y., Kah, L. C., Stack, K., Gupta, S., Edgar, L., et al. (2014). A habitable fluvio-lacustrine environment at Yellowknife Bay, Gale crater, Mars. </w:t>
      </w:r>
      <w:r>
        <w:rPr>
          <w:i/>
          <w:iCs/>
        </w:rPr>
        <w:t>Science</w:t>
      </w:r>
      <w:r>
        <w:t xml:space="preserve"> 343. doi: 10.1126/science.1242777</w:t>
      </w:r>
    </w:p>
    <w:p w14:paraId="78AFEBCA" w14:textId="77777777" w:rsidR="00743645" w:rsidRDefault="00743645" w:rsidP="00562BA2">
      <w:pPr>
        <w:pStyle w:val="Rerences"/>
      </w:pPr>
      <w:r>
        <w:t xml:space="preserve">Gueneli, N., McKenna, A. M., Ohkouchi, N., Boreham, C. J., Beghin, J., Javaux, E. J., et al. (2018). 1.1-billion-year-old porphyrins establish a marine ecosystem dominated by bacterial primary producers. </w:t>
      </w:r>
      <w:r>
        <w:rPr>
          <w:i/>
          <w:iCs/>
        </w:rPr>
        <w:t>Proceedings of the National Academy of Sciences</w:t>
      </w:r>
      <w:r>
        <w:t xml:space="preserve"> 115, E6978–E6986. doi: 10.1073/pnas.1803866115</w:t>
      </w:r>
    </w:p>
    <w:p w14:paraId="0FF58C03" w14:textId="77777777" w:rsidR="00743645" w:rsidRDefault="00743645" w:rsidP="00562BA2">
      <w:pPr>
        <w:pStyle w:val="Rerences"/>
      </w:pPr>
      <w:r>
        <w:t xml:space="preserve">Han, R., Liu, T., Li, F., Li, X., Chen, D., and Wu, Y. (2018). Dependence of Secondary Mineral Formation on Fe(II) Production from Ferrihydrite Reduction by </w:t>
      </w:r>
      <w:r>
        <w:rPr>
          <w:i/>
          <w:iCs/>
        </w:rPr>
        <w:t>Shewanella oneidensis</w:t>
      </w:r>
      <w:r>
        <w:t xml:space="preserve"> MR-1. </w:t>
      </w:r>
      <w:r>
        <w:rPr>
          <w:i/>
          <w:iCs/>
        </w:rPr>
        <w:t>ACS Earth Space Chem.</w:t>
      </w:r>
      <w:r>
        <w:t xml:space="preserve"> 2, 399–409. doi: 10.1021/acsearthspacechem.7b00132</w:t>
      </w:r>
    </w:p>
    <w:p w14:paraId="5A090AA8" w14:textId="77777777" w:rsidR="00743645" w:rsidRDefault="00743645" w:rsidP="00562BA2">
      <w:pPr>
        <w:pStyle w:val="Rerences"/>
      </w:pPr>
      <w:r>
        <w:t>Hänni, N., Altwegg, K., Müller, D., Rubin, M., and Wampfler, S. (2024). Is dimethylsulfide a good biomarker? doi: 10.5194/egusphere-egu24-16695</w:t>
      </w:r>
    </w:p>
    <w:p w14:paraId="27EAB862" w14:textId="77777777" w:rsidR="00743645" w:rsidRDefault="00743645" w:rsidP="00562BA2">
      <w:pPr>
        <w:pStyle w:val="Rerences"/>
      </w:pPr>
      <w:r>
        <w:t xml:space="preserve">Hodgson, G. W., and Baker, B. L. (1969). Porphyrins in meteorites: Metal complexes in Orgueil, Murray, Cold Bokkeveld, and Mokoia carbonaceous chondrites. </w:t>
      </w:r>
      <w:r>
        <w:rPr>
          <w:i/>
          <w:iCs/>
        </w:rPr>
        <w:t>Geochimica et Cosmochimica Acta</w:t>
      </w:r>
      <w:r>
        <w:t xml:space="preserve"> 33, 943–958. doi: 10.1016/0016-7037(69)90105-7</w:t>
      </w:r>
    </w:p>
    <w:p w14:paraId="72B049E9" w14:textId="77777777" w:rsidR="00743645" w:rsidRDefault="00743645" w:rsidP="00562BA2">
      <w:pPr>
        <w:pStyle w:val="Rerences"/>
      </w:pPr>
      <w:r>
        <w:lastRenderedPageBreak/>
        <w:t xml:space="preserve">Holland, S. M. (2016). The non-uniformity of fossil preservation. </w:t>
      </w:r>
      <w:r>
        <w:rPr>
          <w:i/>
          <w:iCs/>
        </w:rPr>
        <w:t>Philosophical Transactions of the Royal Society B: Biological Sciences</w:t>
      </w:r>
      <w:r>
        <w:t xml:space="preserve"> 371, 20150130. doi: 10.1098/rstb.2015.0130</w:t>
      </w:r>
    </w:p>
    <w:p w14:paraId="70106654" w14:textId="77777777" w:rsidR="00743645" w:rsidRDefault="00743645" w:rsidP="00562BA2">
      <w:pPr>
        <w:pStyle w:val="Rerences"/>
      </w:pPr>
      <w:r>
        <w:t xml:space="preserve">Holm, L. (2022). Dali server: structural unification of protein families. </w:t>
      </w:r>
      <w:r>
        <w:rPr>
          <w:i/>
          <w:iCs/>
        </w:rPr>
        <w:t>Nucleic Acids Research</w:t>
      </w:r>
      <w:r>
        <w:t xml:space="preserve"> 50, W210–W215. doi: 10.1093/nar/gkac387</w:t>
      </w:r>
    </w:p>
    <w:p w14:paraId="403299EE" w14:textId="77777777" w:rsidR="00743645" w:rsidRDefault="00743645" w:rsidP="00562BA2">
      <w:pPr>
        <w:pStyle w:val="Rerences"/>
      </w:pPr>
      <w:r>
        <w:t xml:space="preserve">Homann, M., Sansjofre, P., Van Zuilen, M., Heubeck, C., Gong, J., Killingsworth, B., et al. (2018). Microbial life and biogeochemical cycling on land 3,220 million years ago. </w:t>
      </w:r>
      <w:r>
        <w:rPr>
          <w:i/>
          <w:iCs/>
        </w:rPr>
        <w:t>Nature Geosci</w:t>
      </w:r>
      <w:r>
        <w:t xml:space="preserve"> 11, 665–671. doi: 10.1038/s41561-018-0190-9</w:t>
      </w:r>
    </w:p>
    <w:p w14:paraId="70480B36" w14:textId="77777777" w:rsidR="00743645" w:rsidRDefault="00743645" w:rsidP="00562BA2">
      <w:pPr>
        <w:pStyle w:val="Rerences"/>
      </w:pPr>
      <w:r>
        <w:t xml:space="preserve">Hothorn, T., Bretz, F., and Westfall, P. (2008). Simultaneous Inference in General Parametric Models. </w:t>
      </w:r>
      <w:r>
        <w:rPr>
          <w:i/>
          <w:iCs/>
        </w:rPr>
        <w:t>Biom J</w:t>
      </w:r>
      <w:r>
        <w:t xml:space="preserve"> 50, 346–363. doi: 10.1002/bimj.200810425</w:t>
      </w:r>
    </w:p>
    <w:p w14:paraId="16E308F6" w14:textId="77777777" w:rsidR="00743645" w:rsidRDefault="00743645" w:rsidP="00562BA2">
      <w:pPr>
        <w:pStyle w:val="Rerences"/>
      </w:pPr>
      <w:r>
        <w:t xml:space="preserve">Hurowitz, J. A., Grotzinger, J. P., Fischer, W. W., McLennan, S. M., Milliken, R. E., Stein, N., et al. (2017). Redox stratification of an ancient lake in Gale crater, Mars. </w:t>
      </w:r>
      <w:r>
        <w:rPr>
          <w:i/>
          <w:iCs/>
        </w:rPr>
        <w:t>Science</w:t>
      </w:r>
      <w:r>
        <w:t xml:space="preserve"> 356, eaah6849. doi: 10.1126/science.aah6849</w:t>
      </w:r>
    </w:p>
    <w:p w14:paraId="1EDB800A" w14:textId="77777777" w:rsidR="00743645" w:rsidRDefault="00743645" w:rsidP="00562BA2">
      <w:pPr>
        <w:pStyle w:val="Rerences"/>
      </w:pPr>
      <w:r>
        <w:t xml:space="preserve">Javaux, E. J. (2019). Challenges in evidencing the earliest traces of life. </w:t>
      </w:r>
      <w:r>
        <w:rPr>
          <w:i/>
          <w:iCs/>
        </w:rPr>
        <w:t>Nature</w:t>
      </w:r>
      <w:r>
        <w:t xml:space="preserve"> 572, 451–460. doi: 10.1038/s41586-019-1436-4</w:t>
      </w:r>
    </w:p>
    <w:p w14:paraId="65CBBBB9" w14:textId="77777777" w:rsidR="00743645" w:rsidRDefault="00743645" w:rsidP="00562BA2">
      <w:pPr>
        <w:pStyle w:val="Rerences"/>
      </w:pPr>
      <w:r>
        <w:t xml:space="preserve">Javaux, E. J., Marshall, C. P., and Bekker, A. (2010). Organic-walled microfossils in 3.2-billion-year-old shallow-marine siliciclastic deposits. </w:t>
      </w:r>
      <w:r>
        <w:rPr>
          <w:i/>
          <w:iCs/>
        </w:rPr>
        <w:t>Nature</w:t>
      </w:r>
      <w:r>
        <w:t xml:space="preserve"> 463, 934–938. doi: 10.1038/nature08793</w:t>
      </w:r>
    </w:p>
    <w:p w14:paraId="53ED9BF8" w14:textId="77777777" w:rsidR="00743645" w:rsidRDefault="00743645" w:rsidP="00562BA2">
      <w:pPr>
        <w:pStyle w:val="Rerences"/>
      </w:pPr>
      <w:r>
        <w:t xml:space="preserve">Jehlička, J., and Edwards, H. G. M. (2008). Raman spectroscopy as a tool for the non-destructive identification of organic minerals in the geological record. </w:t>
      </w:r>
      <w:r>
        <w:rPr>
          <w:i/>
          <w:iCs/>
        </w:rPr>
        <w:t>Organic Geochemistry</w:t>
      </w:r>
      <w:r>
        <w:t xml:space="preserve"> 39, 371–386. doi: 10.1016/j.orggeochem.2008.01.005</w:t>
      </w:r>
    </w:p>
    <w:p w14:paraId="5D856B48" w14:textId="77777777" w:rsidR="00743645" w:rsidRDefault="00743645" w:rsidP="00562BA2">
      <w:pPr>
        <w:pStyle w:val="Rerences"/>
      </w:pPr>
      <w:r>
        <w:t xml:space="preserve">Kanehisa, M., and Goto, S. (2000). KEGG: Kyoto Encyclopedia of Genes and Genomes. </w:t>
      </w:r>
      <w:r>
        <w:rPr>
          <w:i/>
          <w:iCs/>
        </w:rPr>
        <w:t>Nucleic Acids Research</w:t>
      </w:r>
      <w:r>
        <w:t xml:space="preserve"> 28, 27–30. doi: 10.1093/nar/28.1.27</w:t>
      </w:r>
    </w:p>
    <w:p w14:paraId="6271A277" w14:textId="77777777" w:rsidR="00743645" w:rsidRDefault="00743645" w:rsidP="00562BA2">
      <w:pPr>
        <w:pStyle w:val="Rerences"/>
      </w:pPr>
      <w:r>
        <w:t xml:space="preserve">Kanehisa, M., Sato, Y., and Morishima, K. (2016). BlastKOALA and GhostKOALA: KEGG Tools for Functional Characterization of Genome and Metagenome Sequences. </w:t>
      </w:r>
      <w:r>
        <w:rPr>
          <w:i/>
          <w:iCs/>
        </w:rPr>
        <w:t>Journal of Molecular Biology</w:t>
      </w:r>
      <w:r>
        <w:t xml:space="preserve"> 428, 726–731. doi: 10.1016/j.jmb.2015.11.006</w:t>
      </w:r>
    </w:p>
    <w:p w14:paraId="3C728BFE" w14:textId="77777777" w:rsidR="00743645" w:rsidRDefault="00743645" w:rsidP="00562BA2">
      <w:pPr>
        <w:pStyle w:val="Rerences"/>
      </w:pPr>
      <w:r>
        <w:t xml:space="preserve">Kearse, M., Moir, R., Wilson, A., Stones-Havas, S., Cheung, M., Sturrock, S., et al. (2012). Geneious Basic: An integrated and extendable desktop software platform </w:t>
      </w:r>
      <w:r>
        <w:lastRenderedPageBreak/>
        <w:t xml:space="preserve">for the organization and analysis of sequence data. </w:t>
      </w:r>
      <w:r>
        <w:rPr>
          <w:i/>
          <w:iCs/>
        </w:rPr>
        <w:t>Bioinformatics</w:t>
      </w:r>
      <w:r>
        <w:t xml:space="preserve"> 28, 1647–1649. doi: 10.1093/bioinformatics/bts199</w:t>
      </w:r>
    </w:p>
    <w:p w14:paraId="1171642C" w14:textId="77777777" w:rsidR="00743645" w:rsidRDefault="00743645" w:rsidP="00562BA2">
      <w:pPr>
        <w:pStyle w:val="Rerences"/>
      </w:pPr>
      <w:r>
        <w:t xml:space="preserve">Kettle, A. J., Rhee, T. S., von Hobe, M., Poulton, A., Aiken, J., and Andreae, M. O. (2001). Assessing the flux of different volatile sulfur gases from the ocean to the atmosphere. </w:t>
      </w:r>
      <w:r>
        <w:rPr>
          <w:i/>
          <w:iCs/>
        </w:rPr>
        <w:t>Journal of Geophysical Research: Atmospheres</w:t>
      </w:r>
      <w:r>
        <w:t xml:space="preserve"> 106, 12193–12209. doi: 10.1029/2000JD900630</w:t>
      </w:r>
    </w:p>
    <w:p w14:paraId="461C97BE" w14:textId="77777777" w:rsidR="00743645" w:rsidRDefault="00743645" w:rsidP="00562BA2">
      <w:pPr>
        <w:pStyle w:val="Rerences"/>
      </w:pPr>
      <w:r>
        <w:t xml:space="preserve">Klein, H. P. (1979). The Viking mission and the search for life on Mars. </w:t>
      </w:r>
      <w:r>
        <w:rPr>
          <w:i/>
          <w:iCs/>
        </w:rPr>
        <w:t>Reviews of Geophysics</w:t>
      </w:r>
      <w:r>
        <w:t xml:space="preserve"> 17, 1655–1662. doi: 10.1029/RG017i007p01655</w:t>
      </w:r>
    </w:p>
    <w:p w14:paraId="51F630DC" w14:textId="77777777" w:rsidR="00743645" w:rsidRDefault="00743645" w:rsidP="00562BA2">
      <w:pPr>
        <w:pStyle w:val="Rerences"/>
      </w:pPr>
      <w:r>
        <w:t xml:space="preserve">Klein, H. P. (1999). Did Viking discover life on Mars? </w:t>
      </w:r>
      <w:r>
        <w:rPr>
          <w:i/>
          <w:iCs/>
        </w:rPr>
        <w:t>Origins of Life and Evolution of the Biosphere</w:t>
      </w:r>
      <w:r>
        <w:t xml:space="preserve"> 29, 625–631. doi: 10.1023/A:1006514327249</w:t>
      </w:r>
    </w:p>
    <w:p w14:paraId="6CBD43C8" w14:textId="77777777" w:rsidR="00743645" w:rsidRDefault="00743645" w:rsidP="00562BA2">
      <w:pPr>
        <w:pStyle w:val="Rerences"/>
      </w:pPr>
      <w:r>
        <w:t xml:space="preserve">Klingelhöfer, G., Morris, R. V., Bernhardt, B., Rodionov, D., de Souza Jr., P. A., Squyres, S. W., et al. (2003). Athena MIMOS II Mössbauer spectrometer investigation. </w:t>
      </w:r>
      <w:r>
        <w:rPr>
          <w:i/>
          <w:iCs/>
        </w:rPr>
        <w:t>Journal of Geophysical Research: Planets</w:t>
      </w:r>
      <w:r>
        <w:t xml:space="preserve"> 108. doi: 10.1029/2003JE002138</w:t>
      </w:r>
    </w:p>
    <w:p w14:paraId="33DE4405" w14:textId="77777777" w:rsidR="00743645" w:rsidRDefault="00743645" w:rsidP="00562BA2">
      <w:pPr>
        <w:pStyle w:val="Rerences"/>
      </w:pPr>
      <w:r>
        <w:t>Kokaly, R. F., Clark, R. N., Swayze, G. A., Livo, K. E., Hoefen, T. M., Pearson, N. C., et al. (2017). USGS Spectral Library Version 7. U.S. Geological Survey. doi: 10.3133/ds1035</w:t>
      </w:r>
    </w:p>
    <w:p w14:paraId="70E45119" w14:textId="77777777" w:rsidR="00743645" w:rsidRDefault="00743645" w:rsidP="00562BA2">
      <w:pPr>
        <w:pStyle w:val="Rerences"/>
      </w:pPr>
      <w:r>
        <w:t xml:space="preserve">Kuznetsova, A., Brockhoff, P. B., and Christensen, R. H. B. (2017). lmerTest Package: Tests in Linear Mixed Effects Models. </w:t>
      </w:r>
      <w:r>
        <w:rPr>
          <w:i/>
          <w:iCs/>
        </w:rPr>
        <w:t>J. Stat. Softw.</w:t>
      </w:r>
      <w:r>
        <w:t xml:space="preserve"> 82, 1–26. doi: 10.18637/jss.v082.i13</w:t>
      </w:r>
    </w:p>
    <w:p w14:paraId="020831C2" w14:textId="77777777" w:rsidR="00743645" w:rsidRDefault="00743645" w:rsidP="00562BA2">
      <w:pPr>
        <w:pStyle w:val="Rerences"/>
      </w:pPr>
      <w:r>
        <w:t xml:space="preserve">Lafuente, B., Downs, R. T., Yang, H., and Stone, N. (2015). “The power of databases: the RRUFF project.,” in </w:t>
      </w:r>
      <w:r>
        <w:rPr>
          <w:i/>
          <w:iCs/>
        </w:rPr>
        <w:t>Highlights in Mineralogical Crystallography</w:t>
      </w:r>
      <w:r>
        <w:t>, (Berlin, Germany: De Gruyter), 1–30.</w:t>
      </w:r>
    </w:p>
    <w:p w14:paraId="0F6994C1" w14:textId="77777777" w:rsidR="00743645" w:rsidRDefault="00743645" w:rsidP="00562BA2">
      <w:pPr>
        <w:pStyle w:val="Rerences"/>
      </w:pPr>
      <w:r>
        <w:t xml:space="preserve">Langmead, B., and Salzberg, S. L. (2012). Fast gapped-read alignment with Bowtie 2. </w:t>
      </w:r>
      <w:r>
        <w:rPr>
          <w:i/>
          <w:iCs/>
        </w:rPr>
        <w:t>Nat Methods</w:t>
      </w:r>
      <w:r>
        <w:t xml:space="preserve"> 9, 357–359. doi: 10.1038/nmeth.1923</w:t>
      </w:r>
    </w:p>
    <w:p w14:paraId="607C6936" w14:textId="77777777" w:rsidR="00743645" w:rsidRDefault="00743645" w:rsidP="00562BA2">
      <w:pPr>
        <w:pStyle w:val="Rerences"/>
      </w:pPr>
      <w:r>
        <w:t xml:space="preserve">Levin, G. V., and Straat, P. A. (1976a). Labeled release — An experiment in radiorespirometry. </w:t>
      </w:r>
      <w:r>
        <w:rPr>
          <w:i/>
          <w:iCs/>
        </w:rPr>
        <w:t>Origins Life Evol Biosphere</w:t>
      </w:r>
      <w:r>
        <w:t xml:space="preserve"> 7, 293–311. doi: 10.1007/BF00926948</w:t>
      </w:r>
    </w:p>
    <w:p w14:paraId="1FDD16D5" w14:textId="77777777" w:rsidR="00743645" w:rsidRDefault="00743645" w:rsidP="00562BA2">
      <w:pPr>
        <w:pStyle w:val="Rerences"/>
      </w:pPr>
      <w:r>
        <w:lastRenderedPageBreak/>
        <w:t xml:space="preserve">Levin, G. V., and Straat, P. A. (1976b). Viking Labeled Release Biology Experiment: Interim Results. </w:t>
      </w:r>
      <w:r>
        <w:rPr>
          <w:i/>
          <w:iCs/>
        </w:rPr>
        <w:t>Science</w:t>
      </w:r>
      <w:r>
        <w:t xml:space="preserve"> 194, 1322–1329.</w:t>
      </w:r>
    </w:p>
    <w:p w14:paraId="7FC1B787" w14:textId="77777777" w:rsidR="00743645" w:rsidRDefault="00743645" w:rsidP="00562BA2">
      <w:pPr>
        <w:pStyle w:val="Rerences"/>
      </w:pPr>
      <w:r>
        <w:t xml:space="preserve">Levin, G. V., and Straat, P. A. (2016). The Case for Extant Life on Mars and Its Possible Detection by the Viking Labeled Release Experiment. </w:t>
      </w:r>
      <w:r>
        <w:rPr>
          <w:i/>
          <w:iCs/>
        </w:rPr>
        <w:t>Astrobiology</w:t>
      </w:r>
      <w:r>
        <w:t xml:space="preserve"> 16, 798–810. doi: 10.1089/ast.2015.1464</w:t>
      </w:r>
    </w:p>
    <w:p w14:paraId="45AAA131" w14:textId="77777777" w:rsidR="00743645" w:rsidRDefault="00743645" w:rsidP="00562BA2">
      <w:pPr>
        <w:pStyle w:val="Rerences"/>
      </w:pPr>
      <w:r>
        <w:t xml:space="preserve">Li, Y.-L., Konhauser, K. O., Cole, D. R., and Phelps, T. J. (2011). Mineral ecophysiological data provide growing evidence for microbial activity in banded-iron formations. </w:t>
      </w:r>
      <w:r>
        <w:rPr>
          <w:i/>
          <w:iCs/>
        </w:rPr>
        <w:t>Geology</w:t>
      </w:r>
      <w:r>
        <w:t xml:space="preserve"> 39, 707–710. doi: 10.1130/G32003.1</w:t>
      </w:r>
    </w:p>
    <w:p w14:paraId="3DF6A50D" w14:textId="77777777" w:rsidR="00743645" w:rsidRDefault="00743645" w:rsidP="00562BA2">
      <w:pPr>
        <w:pStyle w:val="Rerences"/>
      </w:pPr>
      <w:r>
        <w:t xml:space="preserve">Lomans, B. P., Smolders, A., Intven, L. M., Pol, A., Op, D., and Van Der Drift, C. (1997). Formation of dimethyl sulfide and methanethiol in anoxic freshwater sediments. </w:t>
      </w:r>
      <w:r>
        <w:rPr>
          <w:i/>
          <w:iCs/>
        </w:rPr>
        <w:t>Appl. Environ. Microbiol.</w:t>
      </w:r>
      <w:r>
        <w:t xml:space="preserve"> 63, 4741–4747. doi: 10.1128/aem.63.12.4741-4747.1997</w:t>
      </w:r>
    </w:p>
    <w:p w14:paraId="3A26ABCE" w14:textId="77777777" w:rsidR="00743645" w:rsidRDefault="00743645" w:rsidP="00562BA2">
      <w:pPr>
        <w:pStyle w:val="Rerences"/>
      </w:pPr>
      <w:r>
        <w:t xml:space="preserve">Lovley, D. R., and Phillips, E. J. P. (1986). Organic Matter Mineralization with Reduction of Ferric Iron in Anaerobic Sediments. </w:t>
      </w:r>
      <w:r>
        <w:rPr>
          <w:i/>
          <w:iCs/>
        </w:rPr>
        <w:t>Appl. Environ. Microbiol.</w:t>
      </w:r>
      <w:r>
        <w:t xml:space="preserve"> 51, 683–689. doi: 10.1128/aem.51.4.683-689.1986</w:t>
      </w:r>
    </w:p>
    <w:p w14:paraId="7899CDA2" w14:textId="77777777" w:rsidR="00743645" w:rsidRDefault="00743645" w:rsidP="00562BA2">
      <w:pPr>
        <w:pStyle w:val="Rerences"/>
      </w:pPr>
      <w:r>
        <w:t xml:space="preserve">Macey, M. C., Fox-Powell, M., Ramkissoon, N. K., Stephens, B. P., Barton, T., Schwenzer, S. P., et al. (2020). The identification of sulfide oxidation as a potential metabolism driving primary production on late Noachian Mars. </w:t>
      </w:r>
      <w:r>
        <w:rPr>
          <w:i/>
          <w:iCs/>
        </w:rPr>
        <w:t>Sci Rep</w:t>
      </w:r>
      <w:r>
        <w:t xml:space="preserve"> 10, 10941. doi: 10.1038/s41598-020-67815-8</w:t>
      </w:r>
    </w:p>
    <w:p w14:paraId="3F72AAD9" w14:textId="77777777" w:rsidR="00743645" w:rsidRDefault="00743645" w:rsidP="00562BA2">
      <w:pPr>
        <w:pStyle w:val="Rerences"/>
      </w:pPr>
      <w:r>
        <w:t xml:space="preserve">Magnuson, E., Altshuler, I., Freyria, N. J., Leveille, R. J., and Whyte, L. G. (2023). Sulfur-cycling chemolithoautotrophic microbial community dominates a cold, anoxic, hypersaline Arctic spring. </w:t>
      </w:r>
      <w:r>
        <w:rPr>
          <w:i/>
          <w:iCs/>
        </w:rPr>
        <w:t>Microbiome</w:t>
      </w:r>
      <w:r>
        <w:t xml:space="preserve"> 11, 203. doi: 10.1186/s40168-023-01628-5</w:t>
      </w:r>
    </w:p>
    <w:p w14:paraId="2D112F5C" w14:textId="77777777" w:rsidR="00743645" w:rsidRDefault="00743645" w:rsidP="00562BA2">
      <w:pPr>
        <w:pStyle w:val="Rerences"/>
      </w:pPr>
      <w:r>
        <w:t xml:space="preserve">Mahaffy, P. R., Webster, C. R., Cabane, M., Conrad, P. G., Coll, P., Atreya, S. K., et al. (2012). The Sample Analysis at Mars Investigation and Instrument Suite. </w:t>
      </w:r>
      <w:r>
        <w:rPr>
          <w:i/>
          <w:iCs/>
        </w:rPr>
        <w:t>Space Sci Rev</w:t>
      </w:r>
      <w:r>
        <w:t xml:space="preserve"> 170, 401–478. doi: 10.1007/s11214-012-9879-z</w:t>
      </w:r>
    </w:p>
    <w:p w14:paraId="07529ED0" w14:textId="77777777" w:rsidR="00743645" w:rsidRDefault="00743645" w:rsidP="00562BA2">
      <w:pPr>
        <w:pStyle w:val="Rerences"/>
      </w:pPr>
      <w:r>
        <w:t xml:space="preserve">Malas, J., Russo, D. C., Bollengier, O., Malaska, M. J., Lopes, R. M. C., Kenig, F., et al. (2024). Biological functions at high pressure: transcriptome response of </w:t>
      </w:r>
      <w:r>
        <w:rPr>
          <w:i/>
          <w:iCs/>
        </w:rPr>
        <w:t>Shewanella oneidensis</w:t>
      </w:r>
      <w:r>
        <w:t xml:space="preserve"> MR-1 to hydrostatic pressure relevant to Titan and other </w:t>
      </w:r>
      <w:r>
        <w:lastRenderedPageBreak/>
        <w:t xml:space="preserve">icy ocean worlds. </w:t>
      </w:r>
      <w:r>
        <w:rPr>
          <w:i/>
          <w:iCs/>
        </w:rPr>
        <w:t>Frontiers in Microbiology</w:t>
      </w:r>
      <w:r>
        <w:t xml:space="preserve"> 15. Available at: https://www.frontiersin.org/journals/microbiology/articles/10.3389/fmicb.2024.1293928 (Accessed February 26, 2024).</w:t>
      </w:r>
    </w:p>
    <w:p w14:paraId="07A3427F" w14:textId="77777777" w:rsidR="00743645" w:rsidRDefault="00743645" w:rsidP="00562BA2">
      <w:pPr>
        <w:pStyle w:val="Rerences"/>
      </w:pPr>
      <w:r>
        <w:t xml:space="preserve">Malin, G., Turner, S. M., and Liss, P. S. (1992). Sulfur: The Plankton/Climate Connection. </w:t>
      </w:r>
      <w:r>
        <w:rPr>
          <w:i/>
          <w:iCs/>
        </w:rPr>
        <w:t>Journal of Phycology</w:t>
      </w:r>
      <w:r>
        <w:t xml:space="preserve"> 28, 590–597. doi: 10.1111/j.0022-3646.1992.00590.x</w:t>
      </w:r>
    </w:p>
    <w:p w14:paraId="1D3AA6B4" w14:textId="77777777" w:rsidR="00743645" w:rsidRDefault="00743645" w:rsidP="00562BA2">
      <w:pPr>
        <w:pStyle w:val="Rerences"/>
      </w:pPr>
      <w:r>
        <w:t xml:space="preserve">Marsili, E., Baron, D. B., Shikhare, I. D., Coursolle, D., Gralnick, J. A., and Bond, D. R. (2008). </w:t>
      </w:r>
      <w:r>
        <w:rPr>
          <w:i/>
          <w:iCs/>
        </w:rPr>
        <w:t>Shewanella</w:t>
      </w:r>
      <w:r>
        <w:t xml:space="preserve"> secretes flavins that mediate extracellular electron transfer. </w:t>
      </w:r>
      <w:r>
        <w:rPr>
          <w:i/>
          <w:iCs/>
        </w:rPr>
        <w:t>Proceedings of the National Academy of Sciences</w:t>
      </w:r>
      <w:r>
        <w:t xml:space="preserve"> 105, 3968–3973. doi: 10.1073/pnas.0710525105</w:t>
      </w:r>
    </w:p>
    <w:p w14:paraId="6E1A1371" w14:textId="77777777" w:rsidR="00743645" w:rsidRDefault="00743645" w:rsidP="00562BA2">
      <w:pPr>
        <w:pStyle w:val="Rerences"/>
      </w:pPr>
      <w:r>
        <w:t xml:space="preserve">McKay, D. S., Gibson, E. K., Thomas-Keprta, K. L., Vali, H., Romanek, C. S., Clemett, S. J., et al. (1996). Search for Past Life on Mars: Possible Relic Biogenic Activity in Martian Meteorite ALH84001. </w:t>
      </w:r>
      <w:r>
        <w:rPr>
          <w:i/>
          <w:iCs/>
        </w:rPr>
        <w:t>Science</w:t>
      </w:r>
      <w:r>
        <w:t xml:space="preserve"> 273, 924–930.</w:t>
      </w:r>
    </w:p>
    <w:p w14:paraId="7968BDE6" w14:textId="77777777" w:rsidR="00743645" w:rsidRDefault="00743645" w:rsidP="00562BA2">
      <w:pPr>
        <w:pStyle w:val="Rerences"/>
      </w:pPr>
      <w:r>
        <w:t xml:space="preserve">McMahon, S., Bosak, T., Grotzinger, J. P., Milliken, R. E., Summons, R. E., Daye, M., et al. (2018). A Field Guide to Finding Fossils on Mars. </w:t>
      </w:r>
      <w:r>
        <w:rPr>
          <w:i/>
          <w:iCs/>
        </w:rPr>
        <w:t>JGR Planets</w:t>
      </w:r>
      <w:r>
        <w:t xml:space="preserve"> 123, 1012–1040. doi: 10.1029/2017JE005478</w:t>
      </w:r>
    </w:p>
    <w:p w14:paraId="424A1777" w14:textId="77777777" w:rsidR="00743645" w:rsidRDefault="00743645" w:rsidP="00562BA2">
      <w:pPr>
        <w:pStyle w:val="Rerences"/>
      </w:pPr>
      <w:r>
        <w:t xml:space="preserve">McMahon, S., and Cosmidis, J. (2022). False biosignatures on Mars: anticipating ambiguity. </w:t>
      </w:r>
      <w:r>
        <w:rPr>
          <w:i/>
          <w:iCs/>
        </w:rPr>
        <w:t>JGS</w:t>
      </w:r>
      <w:r>
        <w:t xml:space="preserve"> 179, jgs2021-050. doi: 10.1144/jgs2021-050</w:t>
      </w:r>
    </w:p>
    <w:p w14:paraId="2F731443" w14:textId="77777777" w:rsidR="00743645" w:rsidRDefault="00743645" w:rsidP="00562BA2">
      <w:pPr>
        <w:pStyle w:val="Rerences"/>
      </w:pPr>
      <w:r>
        <w:t xml:space="preserve">Mellon, M. T., Sizemore, H. G., Heldmann, J. L., McKay, C. P., and Stoker, C. R. (2024). The habitability conditions of possible Mars landing sites for life exploration. </w:t>
      </w:r>
      <w:r>
        <w:rPr>
          <w:i/>
          <w:iCs/>
        </w:rPr>
        <w:t>Icarus</w:t>
      </w:r>
      <w:r>
        <w:t xml:space="preserve"> 408, 115836. doi: 10.1016/j.icarus.2023.115836</w:t>
      </w:r>
    </w:p>
    <w:p w14:paraId="6CDD149F" w14:textId="77777777" w:rsidR="00743645" w:rsidRDefault="00743645" w:rsidP="00562BA2">
      <w:pPr>
        <w:pStyle w:val="Rerences"/>
      </w:pPr>
      <w:r>
        <w:t xml:space="preserve">Mikucki, J. A., and Priscu, J. C. (2007). Bacterial Diversity Associated with Blood Falls, a Subglacial Outflow from the Taylor Glacier, Antarctica. </w:t>
      </w:r>
      <w:r>
        <w:rPr>
          <w:i/>
          <w:iCs/>
        </w:rPr>
        <w:t>Applied and Environmental Microbiology</w:t>
      </w:r>
      <w:r>
        <w:t xml:space="preserve"> 73, 4029–4039. doi: 10.1128/AEM.01396-06</w:t>
      </w:r>
    </w:p>
    <w:p w14:paraId="786D0022" w14:textId="77777777" w:rsidR="00743645" w:rsidRDefault="00743645" w:rsidP="00562BA2">
      <w:pPr>
        <w:pStyle w:val="Rerences"/>
      </w:pPr>
      <w:r>
        <w:t xml:space="preserve">Millan, M., Williams, A. J., McAdam, A. C., Eigenbrode, J. L., Steele, A., Freissinet, C., et al. (2022). Sedimentary Organics in Glen Torridon, Gale Crater, Mars: Results From the SAM Instrument Suite and Supporting Laboratory Analyses. </w:t>
      </w:r>
      <w:r>
        <w:rPr>
          <w:i/>
          <w:iCs/>
        </w:rPr>
        <w:t>Journal of Geophysical Research: Planets</w:t>
      </w:r>
      <w:r>
        <w:t xml:space="preserve"> 127, e2021JE007107. doi: 10.1029/2021JE007107</w:t>
      </w:r>
    </w:p>
    <w:p w14:paraId="08AB199B" w14:textId="77777777" w:rsidR="00743645" w:rsidRDefault="00743645" w:rsidP="00562BA2">
      <w:pPr>
        <w:pStyle w:val="Rerences"/>
      </w:pPr>
      <w:r>
        <w:lastRenderedPageBreak/>
        <w:t xml:space="preserve">Mirdita, M., Schütze, K., Moriwaki, Y., Heo, L., Ovchinnikov, S., and Steinegger, M. (2022). ColabFold: Making Protein folding accessible to all. </w:t>
      </w:r>
      <w:r>
        <w:rPr>
          <w:i/>
          <w:iCs/>
        </w:rPr>
        <w:t>Nature Methods</w:t>
      </w:r>
      <w:r>
        <w:t>. doi: 10.1038/s41592-022-01488-1</w:t>
      </w:r>
    </w:p>
    <w:p w14:paraId="27020F86" w14:textId="77777777" w:rsidR="00743645" w:rsidRDefault="00743645" w:rsidP="00562BA2">
      <w:pPr>
        <w:pStyle w:val="Rerences"/>
      </w:pPr>
      <w:r>
        <w:t xml:space="preserve">Myers, C. R., and Nealson, K. H. (1990). Respiration-linked proton translocation coupled to anaerobic reduction of manganese(IV) and iron(III) in </w:t>
      </w:r>
      <w:r>
        <w:rPr>
          <w:i/>
          <w:iCs/>
        </w:rPr>
        <w:t>Shewanella putrefaciens</w:t>
      </w:r>
      <w:r>
        <w:t xml:space="preserve"> MR-1. </w:t>
      </w:r>
      <w:r>
        <w:rPr>
          <w:i/>
          <w:iCs/>
        </w:rPr>
        <w:t>J Bacteriol</w:t>
      </w:r>
      <w:r>
        <w:t xml:space="preserve"> 172, 6232–6238. doi: 10.1128/jb.172.11.6232-6238.1990</w:t>
      </w:r>
    </w:p>
    <w:p w14:paraId="151A54B5" w14:textId="77777777" w:rsidR="00743645" w:rsidRDefault="00743645" w:rsidP="00562BA2">
      <w:pPr>
        <w:pStyle w:val="Rerences"/>
      </w:pPr>
      <w:r>
        <w:t xml:space="preserve">Navarro-González, R., Vargas, E., de la Rosa, J., Raga, A. C., and McKay, C. P. (2010). Reanalysis of the Viking results suggests perchlorate and organics at midlatitudes on Mars. </w:t>
      </w:r>
      <w:r>
        <w:rPr>
          <w:i/>
          <w:iCs/>
        </w:rPr>
        <w:t>Journal of Geophysical Research: Planets</w:t>
      </w:r>
      <w:r>
        <w:t xml:space="preserve"> 115. doi: 10.1029/2010JE003599</w:t>
      </w:r>
    </w:p>
    <w:p w14:paraId="2E30731B" w14:textId="77777777" w:rsidR="00743645" w:rsidRDefault="00743645" w:rsidP="00562BA2">
      <w:pPr>
        <w:pStyle w:val="Rerences"/>
      </w:pPr>
      <w:r>
        <w:t xml:space="preserve">Nealson, K. H., and Myers, C. R. (1990). Iron reduction by bacteria: A potential role in the genesis of banded iron formations. </w:t>
      </w:r>
      <w:r>
        <w:rPr>
          <w:i/>
          <w:iCs/>
        </w:rPr>
        <w:t>Am. J. Sci.</w:t>
      </w:r>
      <w:r>
        <w:t xml:space="preserve"> 290, 35–45.</w:t>
      </w:r>
    </w:p>
    <w:p w14:paraId="13BC9400" w14:textId="77777777" w:rsidR="00743645" w:rsidRDefault="00743645" w:rsidP="00562BA2">
      <w:pPr>
        <w:pStyle w:val="Rerences"/>
      </w:pPr>
      <w:r>
        <w:t xml:space="preserve">Neveu, M., Hays, L. E., Voytek, M. A., New, M. H., and Schulte, M. D. (2018). The Ladder of Life Detection. </w:t>
      </w:r>
      <w:r>
        <w:rPr>
          <w:i/>
          <w:iCs/>
        </w:rPr>
        <w:t>Astrobiology</w:t>
      </w:r>
      <w:r>
        <w:t xml:space="preserve"> 18, 1375–1402. doi: 10.1089/ast.2017.1773</w:t>
      </w:r>
    </w:p>
    <w:p w14:paraId="44867886" w14:textId="77777777" w:rsidR="00743645" w:rsidRDefault="00743645" w:rsidP="00562BA2">
      <w:pPr>
        <w:pStyle w:val="Rerences"/>
      </w:pPr>
      <w:r>
        <w:t xml:space="preserve">Nims, C., and Johnson, J. E. (2022). Exploring the secondary mineral products generated by microbial iron respiration in Archean ocean simulations. </w:t>
      </w:r>
      <w:r>
        <w:rPr>
          <w:i/>
          <w:iCs/>
        </w:rPr>
        <w:t>Geobiology</w:t>
      </w:r>
      <w:r>
        <w:t xml:space="preserve"> 20, 743–763. doi: 10.1111/gbi.12523</w:t>
      </w:r>
    </w:p>
    <w:p w14:paraId="75CA932E" w14:textId="77777777" w:rsidR="00743645" w:rsidRDefault="00743645" w:rsidP="00562BA2">
      <w:pPr>
        <w:pStyle w:val="Rerences"/>
      </w:pPr>
      <w:r>
        <w:t xml:space="preserve">Nixon, S. L., Cockell, C. S., and Tranter, M. (2012). Limitations to a microbial iron cycle on Mars. </w:t>
      </w:r>
      <w:r>
        <w:rPr>
          <w:i/>
          <w:iCs/>
        </w:rPr>
        <w:t>Planet Space Sci</w:t>
      </w:r>
      <w:r>
        <w:t xml:space="preserve"> 72, 116–128. doi: 10.1016/j.pss.2012.04.003</w:t>
      </w:r>
    </w:p>
    <w:p w14:paraId="777D3821" w14:textId="77777777" w:rsidR="00743645" w:rsidRDefault="00743645" w:rsidP="00562BA2">
      <w:pPr>
        <w:pStyle w:val="Rerences"/>
      </w:pPr>
      <w:r>
        <w:t xml:space="preserve">Noffke, N. (2015). Ancient Sedimentary Structures in the &lt;3.7 Ga Gillespie Lake Member, Mars, That Resemble Macroscopic Morphology, Spatial Associations, and Temporal Succession in Terrestrial Microbialites. </w:t>
      </w:r>
      <w:r>
        <w:rPr>
          <w:i/>
          <w:iCs/>
        </w:rPr>
        <w:t>Astrobiology</w:t>
      </w:r>
      <w:r>
        <w:t xml:space="preserve"> 15, 169–192. doi: 10.1089/ast.2014.1218</w:t>
      </w:r>
    </w:p>
    <w:p w14:paraId="19DF43E6" w14:textId="77777777" w:rsidR="00743645" w:rsidRDefault="00743645" w:rsidP="00562BA2">
      <w:pPr>
        <w:pStyle w:val="Rerences"/>
      </w:pPr>
      <w:r>
        <w:t xml:space="preserve">Oba, Y., Koga, T., Takano, Y., Ogawa, N. O., Ohkouchi, N., Sasaki, K., et al. (2023). Uracil in the carbonaceous asteroid (162173) Ryugu. </w:t>
      </w:r>
      <w:r>
        <w:rPr>
          <w:i/>
          <w:iCs/>
        </w:rPr>
        <w:t>Nat Commun</w:t>
      </w:r>
      <w:r>
        <w:t xml:space="preserve"> 14, 1292. doi: 10.1038/s41467-023-36904-3</w:t>
      </w:r>
    </w:p>
    <w:p w14:paraId="253C966A" w14:textId="77777777" w:rsidR="00743645" w:rsidRDefault="00743645" w:rsidP="00562BA2">
      <w:pPr>
        <w:pStyle w:val="Rerences"/>
      </w:pPr>
      <w:r>
        <w:lastRenderedPageBreak/>
        <w:t xml:space="preserve">Okamoto, A., Nakamura, R., Nealson, K. H., and Hashimoto, K. (2014). Bound Flavin Model Suggests Similar Electron-Transfer Mechanisms in </w:t>
      </w:r>
      <w:r>
        <w:rPr>
          <w:i/>
          <w:iCs/>
        </w:rPr>
        <w:t>Shewanella</w:t>
      </w:r>
      <w:r>
        <w:t xml:space="preserve"> and </w:t>
      </w:r>
      <w:r>
        <w:rPr>
          <w:i/>
          <w:iCs/>
        </w:rPr>
        <w:t>Geobacter</w:t>
      </w:r>
      <w:r>
        <w:t xml:space="preserve">. </w:t>
      </w:r>
      <w:r>
        <w:rPr>
          <w:i/>
          <w:iCs/>
        </w:rPr>
        <w:t>ChemElectroChem</w:t>
      </w:r>
      <w:r>
        <w:t xml:space="preserve"> 1, 1808–1812. doi: 10.1002/celc.201402151</w:t>
      </w:r>
    </w:p>
    <w:p w14:paraId="20631B67" w14:textId="77777777" w:rsidR="00743645" w:rsidRDefault="00743645" w:rsidP="00562BA2">
      <w:pPr>
        <w:pStyle w:val="Rerences"/>
      </w:pPr>
      <w:r>
        <w:t xml:space="preserve">O’Loughlin, E. J., Boyanov, M. I., Gorski, C. A., Scherer, M. M., and Kemner, K. M. (2021). Effects of Fe(III) Oxide Mineralogy and Phosphate on Fe(II) Secondary Mineral Formation during Microbial Iron Reduction. </w:t>
      </w:r>
      <w:r>
        <w:rPr>
          <w:i/>
          <w:iCs/>
        </w:rPr>
        <w:t>Minerals</w:t>
      </w:r>
      <w:r>
        <w:t xml:space="preserve"> 11, 149. doi: 10.3390/min11020149</w:t>
      </w:r>
    </w:p>
    <w:p w14:paraId="151F0F6B" w14:textId="77777777" w:rsidR="00743645" w:rsidRDefault="00743645" w:rsidP="00562BA2">
      <w:pPr>
        <w:pStyle w:val="Rerences"/>
      </w:pPr>
      <w:r>
        <w:t xml:space="preserve">Patro, R., Duggal, G., Love, M. I., Irizarry, R. A., and Kingsford, C. (2017). Salmon provides fast and bias-aware quantification of transcript expression. </w:t>
      </w:r>
      <w:r>
        <w:rPr>
          <w:i/>
          <w:iCs/>
        </w:rPr>
        <w:t>Nat Methods</w:t>
      </w:r>
      <w:r>
        <w:t xml:space="preserve"> 14, 417–419. doi: 10.1038/nmeth.4197</w:t>
      </w:r>
    </w:p>
    <w:p w14:paraId="639F3CE8" w14:textId="77777777" w:rsidR="00743645" w:rsidRDefault="00743645" w:rsidP="00562BA2">
      <w:pPr>
        <w:pStyle w:val="Rerences"/>
      </w:pPr>
      <w:r>
        <w:t xml:space="preserve">Pertea, M., Pertea, G. M., Antonescu, C. M., Chang, T.-C., Mendell, J. T., and Salzberg, S. L. (2015). StringTie enables improved reconstruction of a transcriptome from RNA-seq reads. </w:t>
      </w:r>
      <w:r>
        <w:rPr>
          <w:i/>
          <w:iCs/>
        </w:rPr>
        <w:t>Nat Biotechnol</w:t>
      </w:r>
      <w:r>
        <w:t xml:space="preserve"> 33, 290–295. doi: 10.1038/nbt.3122</w:t>
      </w:r>
    </w:p>
    <w:p w14:paraId="6EF08398" w14:textId="77777777" w:rsidR="00743645" w:rsidRDefault="00743645" w:rsidP="00562BA2">
      <w:pPr>
        <w:pStyle w:val="Rerences"/>
      </w:pPr>
      <w:r>
        <w:t xml:space="preserve">Piercy, J. D., Bridges, J. C., and Hicks, L. J. (2022). Carbonate dissolution and replacement by odinite and saponite in the Lafayette nakhlite: Part of the CO2-CH4 cycle on Mars? </w:t>
      </w:r>
      <w:r>
        <w:rPr>
          <w:i/>
          <w:iCs/>
        </w:rPr>
        <w:t>Geochimica et Cosmochimica Acta</w:t>
      </w:r>
      <w:r>
        <w:t xml:space="preserve"> 326, 97–118. doi: 10.1016/j.gca.2022.02.003</w:t>
      </w:r>
    </w:p>
    <w:p w14:paraId="1BF54CF7" w14:textId="77777777" w:rsidR="00743645" w:rsidRDefault="00743645" w:rsidP="00562BA2">
      <w:pPr>
        <w:pStyle w:val="Rerences"/>
      </w:pPr>
      <w:r>
        <w:t xml:space="preserve">Pilcher, C. B. (2003). Biosignatures of Early Earths. </w:t>
      </w:r>
      <w:r>
        <w:rPr>
          <w:i/>
          <w:iCs/>
        </w:rPr>
        <w:t>Astrobiology</w:t>
      </w:r>
      <w:r>
        <w:t xml:space="preserve"> 3, 471–486. doi: 10.1089/153110703322610582</w:t>
      </w:r>
    </w:p>
    <w:p w14:paraId="2C966531" w14:textId="77777777" w:rsidR="00743645" w:rsidRDefault="00743645" w:rsidP="00562BA2">
      <w:pPr>
        <w:pStyle w:val="Rerences"/>
      </w:pPr>
      <w:r>
        <w:t>Prisecaru, I. (2009). WMOSS4 Mössbauer Spectral Analysis Software. Available at: http://www.wmoss.org/ (Accessed September 25, 2024).</w:t>
      </w:r>
    </w:p>
    <w:p w14:paraId="20B4CAE4" w14:textId="77777777" w:rsidR="00743645" w:rsidRDefault="00743645" w:rsidP="00562BA2">
      <w:pPr>
        <w:pStyle w:val="Rerences"/>
      </w:pPr>
      <w:r>
        <w:t>R Core Team (2023). R: A language and environment for statistical computing. Available at: https://www.R-project.org/</w:t>
      </w:r>
    </w:p>
    <w:p w14:paraId="52D8483F" w14:textId="77777777" w:rsidR="00743645" w:rsidRDefault="00743645" w:rsidP="00562BA2">
      <w:pPr>
        <w:pStyle w:val="Rerences"/>
      </w:pPr>
      <w:r>
        <w:t xml:space="preserve">Ramirez, R. M., and Craddock, R. A. (2018). The geological and climatological case for a warmer and wetter early Mars. </w:t>
      </w:r>
      <w:r>
        <w:rPr>
          <w:i/>
          <w:iCs/>
        </w:rPr>
        <w:t>Nature Geosci</w:t>
      </w:r>
      <w:r>
        <w:t xml:space="preserve"> 11, 230–237. doi: 10.1038/s41561-018-0093-9</w:t>
      </w:r>
    </w:p>
    <w:p w14:paraId="4E58744C" w14:textId="77777777" w:rsidR="00743645" w:rsidRDefault="00743645" w:rsidP="00562BA2">
      <w:pPr>
        <w:pStyle w:val="Rerences"/>
      </w:pPr>
      <w:r>
        <w:t xml:space="preserve">Rampe, E. B., Blake, D. F., Bristow, T. F., Ming, D. W., Vaniman, D. T., Morris, R. V., et al. (2020). Mineralogy and geochemistry of sedimentary rocks and eolian </w:t>
      </w:r>
      <w:r>
        <w:lastRenderedPageBreak/>
        <w:t xml:space="preserve">sediments in Gale crater, Mars: A review after six Earth years of exploration with </w:t>
      </w:r>
      <w:r>
        <w:rPr>
          <w:i/>
          <w:iCs/>
        </w:rPr>
        <w:t>Curiosity</w:t>
      </w:r>
      <w:r>
        <w:t xml:space="preserve">. </w:t>
      </w:r>
      <w:r>
        <w:rPr>
          <w:i/>
          <w:iCs/>
        </w:rPr>
        <w:t>Geochemistry</w:t>
      </w:r>
      <w:r>
        <w:t xml:space="preserve"> 80, 125605. doi: 10.1016/j.chemer.2020.125605</w:t>
      </w:r>
    </w:p>
    <w:p w14:paraId="32727887" w14:textId="77777777" w:rsidR="00743645" w:rsidRDefault="00743645" w:rsidP="00562BA2">
      <w:pPr>
        <w:pStyle w:val="Rerences"/>
      </w:pPr>
      <w:r>
        <w:t xml:space="preserve">Rasmussen, B., and Muhling, J. R. (2018). Making magnetite late again: Evidence for widespread magnetite growth by thermal decomposition of siderite in Hamersley banded iron formations. </w:t>
      </w:r>
      <w:r>
        <w:rPr>
          <w:i/>
          <w:iCs/>
        </w:rPr>
        <w:t>Precambrian Research</w:t>
      </w:r>
      <w:r>
        <w:t xml:space="preserve"> 306, 64–93. doi: 10.1016/j.precamres.2017.12.017</w:t>
      </w:r>
    </w:p>
    <w:p w14:paraId="6C86A29D" w14:textId="77777777" w:rsidR="00743645" w:rsidRDefault="00743645" w:rsidP="00562BA2">
      <w:pPr>
        <w:pStyle w:val="Rerences"/>
      </w:pPr>
      <w:r>
        <w:t xml:space="preserve">Robert, X., and Gouet, P. (2014). Deciphering key features in protein structures with the new ENDscript server. </w:t>
      </w:r>
      <w:r>
        <w:rPr>
          <w:i/>
          <w:iCs/>
        </w:rPr>
        <w:t>Nucleic Acids Research</w:t>
      </w:r>
      <w:r>
        <w:t xml:space="preserve"> 42, W320–W324. doi: 10.1093/nar/gku316</w:t>
      </w:r>
    </w:p>
    <w:p w14:paraId="04195D7F" w14:textId="77777777" w:rsidR="00743645" w:rsidRDefault="00743645" w:rsidP="00562BA2">
      <w:pPr>
        <w:pStyle w:val="Rerences"/>
      </w:pPr>
      <w:r>
        <w:t xml:space="preserve">Rodriguez, L. E., Altair, T., Hermis, N. Y., Jia, T. Z., Roche, T. P., Steller, L. H., et al. (2024). Chapter 4: A Geological and Chemical Context for the Origins of Life on Early Earth. </w:t>
      </w:r>
      <w:r>
        <w:rPr>
          <w:i/>
          <w:iCs/>
        </w:rPr>
        <w:t>Astrobiology</w:t>
      </w:r>
      <w:r>
        <w:t xml:space="preserve"> 24, S-76. doi: 10.1089/ast.2021.0139</w:t>
      </w:r>
    </w:p>
    <w:p w14:paraId="5C24795F" w14:textId="77777777" w:rsidR="00743645" w:rsidRDefault="00743645" w:rsidP="00562BA2">
      <w:pPr>
        <w:pStyle w:val="Rerences"/>
      </w:pPr>
      <w:r>
        <w:t xml:space="preserve">Ross, D. E., Ruebush, S. S., Brantley, S. L., Hartshorne, R. S., Clarke, T. A., Richardson, D. J., et al. (2007). Characterization of Protein-Protein Interactions Involved in Iron Reduction by </w:t>
      </w:r>
      <w:r>
        <w:rPr>
          <w:i/>
          <w:iCs/>
        </w:rPr>
        <w:t>Shewanella oneidensis</w:t>
      </w:r>
      <w:r>
        <w:t xml:space="preserve"> MR-1. </w:t>
      </w:r>
      <w:r>
        <w:rPr>
          <w:i/>
          <w:iCs/>
        </w:rPr>
        <w:t>Appl Environ Microbiol</w:t>
      </w:r>
      <w:r>
        <w:t xml:space="preserve"> 73, 5797–5808. doi: 10.1128/AEM.00146-07</w:t>
      </w:r>
    </w:p>
    <w:p w14:paraId="7E51201A" w14:textId="77777777" w:rsidR="00743645" w:rsidRDefault="00743645" w:rsidP="00562BA2">
      <w:pPr>
        <w:pStyle w:val="Rerences"/>
      </w:pPr>
      <w:r>
        <w:t xml:space="preserve">Rossetto, D., Cvjetan, N., Walde, P., and Mansy, S. S. (2024). Protocellular Heme and Iron–Sulfur Clusters. </w:t>
      </w:r>
      <w:r>
        <w:rPr>
          <w:i/>
          <w:iCs/>
        </w:rPr>
        <w:t>Acc. Chem. Res.</w:t>
      </w:r>
      <w:r>
        <w:t xml:space="preserve"> 57, 2293–2302. doi: 10.1021/acs.accounts.4c00254</w:t>
      </w:r>
    </w:p>
    <w:p w14:paraId="0949898C" w14:textId="77777777" w:rsidR="00743645" w:rsidRDefault="00743645" w:rsidP="00562BA2">
      <w:pPr>
        <w:pStyle w:val="Rerences"/>
      </w:pPr>
      <w:r>
        <w:t xml:space="preserve">Rummel, J., Beaty, D., Jones, M., Bakermans, C., Barlow, N., Boston, P., et al. (2014). A new analysis of Mars “Special Regions”: findings of the second MEPAG Special Regions Science Analysis Group (SR-SAG2). </w:t>
      </w:r>
      <w:r>
        <w:rPr>
          <w:i/>
          <w:iCs/>
        </w:rPr>
        <w:t>Astrobiology</w:t>
      </w:r>
      <w:r>
        <w:t xml:space="preserve"> 14, 887–968. doi: 10.1089/ast.2014.1227</w:t>
      </w:r>
    </w:p>
    <w:p w14:paraId="652E7C53" w14:textId="77777777" w:rsidR="00743645" w:rsidRDefault="00743645" w:rsidP="00562BA2">
      <w:pPr>
        <w:pStyle w:val="Rerences"/>
      </w:pPr>
      <w:r>
        <w:t xml:space="preserve">Samples, R. M., Puckett, S. P., and Balunas, M. J. (2023). Metabolomics Peak Analysis Computational Tool (MPACT): An Advanced Informatics Tool for Metabolomics and Data Visualization of Molecules from Complex Biological Samples. </w:t>
      </w:r>
      <w:r>
        <w:rPr>
          <w:i/>
          <w:iCs/>
        </w:rPr>
        <w:t>Anal. Chem.</w:t>
      </w:r>
      <w:r>
        <w:t xml:space="preserve"> 95, 8770–8779. doi: 10.1021/acs.analchem.2c04632</w:t>
      </w:r>
    </w:p>
    <w:p w14:paraId="43646C65" w14:textId="77777777" w:rsidR="00743645" w:rsidRDefault="00743645" w:rsidP="00562BA2">
      <w:pPr>
        <w:pStyle w:val="Rerences"/>
      </w:pPr>
      <w:r>
        <w:t xml:space="preserve">Schanke, N. L., Bolinesi, F., Mangoni, O., Katlein, C., Anhaus, P., Hoppmann, M., et al. (2021). Biogeochemical and ecological variability during the late summer–early </w:t>
      </w:r>
      <w:r>
        <w:lastRenderedPageBreak/>
        <w:t>autumn transition at an ice</w:t>
      </w:r>
      <w:r>
        <w:rPr>
          <w:rFonts w:ascii="Cambria Math" w:hAnsi="Cambria Math" w:cs="Cambria Math"/>
        </w:rPr>
        <w:t>‐</w:t>
      </w:r>
      <w:r>
        <w:t xml:space="preserve">floe drift station in the Central Arctic Ocean. </w:t>
      </w:r>
      <w:r>
        <w:rPr>
          <w:i/>
          <w:iCs/>
        </w:rPr>
        <w:t>Limnology &amp; Oceanography</w:t>
      </w:r>
      <w:r>
        <w:t xml:space="preserve"> 66. doi: 10.1002/lno.11676</w:t>
      </w:r>
    </w:p>
    <w:p w14:paraId="7E9F3C46" w14:textId="77777777" w:rsidR="00743645" w:rsidRDefault="00743645" w:rsidP="00562BA2">
      <w:pPr>
        <w:pStyle w:val="Rerences"/>
      </w:pPr>
      <w:r>
        <w:t xml:space="preserve">Seager, S., Bains, W., and Petkowski, J. J. (2016). Toward a List of Molecules as Potential Biosignature Gases for the Search for Life on Exoplanets and Applications to Terrestrial Biochemistry. </w:t>
      </w:r>
      <w:r>
        <w:rPr>
          <w:i/>
          <w:iCs/>
        </w:rPr>
        <w:t>Astrobiol</w:t>
      </w:r>
      <w:r>
        <w:t xml:space="preserve"> 16, 465–485. doi: 10.1089/ast.2015.1404</w:t>
      </w:r>
    </w:p>
    <w:p w14:paraId="3DD8449D" w14:textId="77777777" w:rsidR="00743645" w:rsidRDefault="00743645" w:rsidP="00562BA2">
      <w:pPr>
        <w:pStyle w:val="Rerences"/>
      </w:pPr>
      <w:r>
        <w:t xml:space="preserve">Seager, S., Schrenk, M., and Bains, W. (2012). An Astrophysical View of Earth-Based Metabolic Biosignature Gases. </w:t>
      </w:r>
      <w:r>
        <w:rPr>
          <w:i/>
          <w:iCs/>
        </w:rPr>
        <w:t>Astrobiology</w:t>
      </w:r>
      <w:r>
        <w:t xml:space="preserve"> 12, 61–82. doi: 10.1089/ast.2010.0489</w:t>
      </w:r>
    </w:p>
    <w:p w14:paraId="2CCD0631" w14:textId="77777777" w:rsidR="00743645" w:rsidRDefault="00743645" w:rsidP="00562BA2">
      <w:pPr>
        <w:pStyle w:val="Rerences"/>
      </w:pPr>
      <w:r>
        <w:t xml:space="preserve">Seemann, T. (2014). Prokka: rapid prokaryotic genome annotation. </w:t>
      </w:r>
      <w:r>
        <w:rPr>
          <w:i/>
          <w:iCs/>
        </w:rPr>
        <w:t>Bioinformatics</w:t>
      </w:r>
      <w:r>
        <w:t xml:space="preserve"> 30, 2068–2069. doi: 10.1093/bioinformatics/btu153</w:t>
      </w:r>
    </w:p>
    <w:p w14:paraId="50734065" w14:textId="77777777" w:rsidR="00743645" w:rsidRDefault="00743645" w:rsidP="00562BA2">
      <w:pPr>
        <w:pStyle w:val="Rerences"/>
      </w:pPr>
      <w:r>
        <w:t xml:space="preserve">Sheraz, M. A., Kazi, S. H., Ahmed, S., Anwar, Z., and Ahmad, I. (2014). Photo, thermal and chemical degradation of riboflavin. </w:t>
      </w:r>
      <w:r>
        <w:rPr>
          <w:i/>
          <w:iCs/>
        </w:rPr>
        <w:t>Beilstein J. Org. Chem.</w:t>
      </w:r>
      <w:r>
        <w:t xml:space="preserve"> 10, 1999–2012. doi: 10.3762/bjoc.10.208</w:t>
      </w:r>
    </w:p>
    <w:p w14:paraId="707A3E2D" w14:textId="77777777" w:rsidR="00743645" w:rsidRDefault="00743645" w:rsidP="00562BA2">
      <w:pPr>
        <w:pStyle w:val="Rerences"/>
      </w:pPr>
      <w:r>
        <w:t xml:space="preserve">Shi, L., Rosso, K., Clarke, T., Richardson, D., Zachara, J., and Fredrickson, J. (2012). Molecular Underpinnings of Fe(III) Oxide Reduction by </w:t>
      </w:r>
      <w:r>
        <w:rPr>
          <w:i/>
          <w:iCs/>
        </w:rPr>
        <w:t xml:space="preserve">Shewanella oneidensis </w:t>
      </w:r>
      <w:r>
        <w:t xml:space="preserve">MR-1. </w:t>
      </w:r>
      <w:r>
        <w:rPr>
          <w:i/>
          <w:iCs/>
        </w:rPr>
        <w:t>Front Microbiol</w:t>
      </w:r>
      <w:r>
        <w:t xml:space="preserve"> 3. doi: 10.3389/fmicb.2012.00050</w:t>
      </w:r>
    </w:p>
    <w:p w14:paraId="1CB03C3C" w14:textId="77777777" w:rsidR="00743645" w:rsidRDefault="00743645" w:rsidP="00562BA2">
      <w:pPr>
        <w:pStyle w:val="Rerences"/>
      </w:pPr>
      <w:r>
        <w:t xml:space="preserve">Simó, R. (2001). Production of atmospheric sulfur by oceanic plankton: biogeochemical, ecological and evolutionary links. </w:t>
      </w:r>
      <w:r>
        <w:rPr>
          <w:i/>
          <w:iCs/>
        </w:rPr>
        <w:t>Trends in Ecology &amp; Evolution</w:t>
      </w:r>
      <w:r>
        <w:t xml:space="preserve"> 16, 287–294. doi: 10.1016/S0169-5347(01)02152-8</w:t>
      </w:r>
    </w:p>
    <w:p w14:paraId="30039540" w14:textId="77777777" w:rsidR="00743645" w:rsidRDefault="00743645" w:rsidP="00562BA2">
      <w:pPr>
        <w:pStyle w:val="Rerences"/>
      </w:pPr>
      <w:r>
        <w:t xml:space="preserve">Simó, R., Grimalt, J. O., Pedrós-Alió, C., and Albaigés, J. (1995). Occurrence and transformation of dissolved dimethyl sulfur species in stratified seawater (western Mediterranean Sea). </w:t>
      </w:r>
      <w:r>
        <w:rPr>
          <w:i/>
          <w:iCs/>
        </w:rPr>
        <w:t>Marine Ecology Progress Series</w:t>
      </w:r>
      <w:r>
        <w:t xml:space="preserve"> 127, 291–299. doi: 10.3354/meps127291</w:t>
      </w:r>
    </w:p>
    <w:p w14:paraId="14818EB8" w14:textId="77777777" w:rsidR="00743645" w:rsidRDefault="00743645" w:rsidP="00562BA2">
      <w:pPr>
        <w:pStyle w:val="Rerences"/>
      </w:pPr>
      <w:r>
        <w:t xml:space="preserve">Singh, T., Kshirsagar, P. R., Das, A., Yadav, K., Mallik, S., Mascarenhas-Pereira, M. B. L., et al. (2019). Implications of Microbial Thiosulfate Utilization in Red Clay Sediments of the Central Indian Basin: The Martian Analogy. </w:t>
      </w:r>
      <w:r>
        <w:rPr>
          <w:i/>
          <w:iCs/>
        </w:rPr>
        <w:t>Geochemistry, Geophysics, Geosystems</w:t>
      </w:r>
      <w:r>
        <w:t xml:space="preserve"> 20, 708–729. doi: 10.1029/2018GC007640</w:t>
      </w:r>
    </w:p>
    <w:p w14:paraId="494CF3D9" w14:textId="77777777" w:rsidR="00743645" w:rsidRDefault="00743645" w:rsidP="00562BA2">
      <w:pPr>
        <w:pStyle w:val="Rerences"/>
      </w:pPr>
      <w:r>
        <w:lastRenderedPageBreak/>
        <w:t xml:space="preserve">Sklute, E. C., Kashyap, S., Dyar, M. D., Holden, J. F., Tague, T., Wang, P., et al. (2018). Spectral and morphological characteristics of synthetic nanophase iron (oxyhydr)oxides. </w:t>
      </w:r>
      <w:r>
        <w:rPr>
          <w:i/>
          <w:iCs/>
        </w:rPr>
        <w:t>Phys Chem Minerals</w:t>
      </w:r>
      <w:r>
        <w:t xml:space="preserve"> 45, 1–26. doi: 10.1007/s00269-017-0897-y</w:t>
      </w:r>
    </w:p>
    <w:p w14:paraId="28339EDB" w14:textId="77777777" w:rsidR="00743645" w:rsidRDefault="00743645" w:rsidP="00562BA2">
      <w:pPr>
        <w:pStyle w:val="Rerences"/>
      </w:pPr>
      <w:r>
        <w:t xml:space="preserve">Sklute, E. C., Mikucki, J. A., Dyar, M. D., Lee, P. A., Livi, K. J. T., and Mitchell, S. (2022). A Multi-Technique Analysis of Surface Materials From Blood Falls, Antarctica. </w:t>
      </w:r>
      <w:r>
        <w:rPr>
          <w:i/>
          <w:iCs/>
        </w:rPr>
        <w:t>Frontiers in Astronomy and Space Sciences</w:t>
      </w:r>
      <w:r>
        <w:t xml:space="preserve"> 9. doi: 10.3389/fspas.2022.843174</w:t>
      </w:r>
    </w:p>
    <w:p w14:paraId="5F61F4EC" w14:textId="77777777" w:rsidR="00743645" w:rsidRDefault="00743645" w:rsidP="00562BA2">
      <w:pPr>
        <w:pStyle w:val="Rerences"/>
      </w:pPr>
      <w:r>
        <w:t xml:space="preserve">Squyres, S. W., Arvidson, R. E., Baumgartner, E. T., Bell III, J. F., Christensen, P. R., Gorevan, S., et al. (2003). Athena Mars rover science investigation. </w:t>
      </w:r>
      <w:r>
        <w:rPr>
          <w:i/>
          <w:iCs/>
        </w:rPr>
        <w:t>Journal of Geophysical Research: Planets</w:t>
      </w:r>
      <w:r>
        <w:t xml:space="preserve"> 108. doi: 10.1029/2003JE002121</w:t>
      </w:r>
    </w:p>
    <w:p w14:paraId="4BFDF8DF" w14:textId="77777777" w:rsidR="00743645" w:rsidRPr="00CE4E6D" w:rsidRDefault="00743645" w:rsidP="00562BA2">
      <w:pPr>
        <w:pStyle w:val="Rerences"/>
      </w:pPr>
      <w:r w:rsidRPr="00CE4E6D">
        <w:t xml:space="preserve">Swenson, T. L., Bowen, B. P., Nico, P. S., and Northen, T. R. (2015). Competitive sorption of microbial metabolites on an iron oxide mineral. </w:t>
      </w:r>
      <w:r w:rsidRPr="00CE4E6D">
        <w:rPr>
          <w:i/>
          <w:iCs/>
        </w:rPr>
        <w:t>Soil Biology and Biochemistry</w:t>
      </w:r>
      <w:r w:rsidRPr="00CE4E6D">
        <w:t xml:space="preserve"> 90, 34–41. doi: 10.1016/j.soilbio.2015.07.022</w:t>
      </w:r>
    </w:p>
    <w:p w14:paraId="69415581" w14:textId="77777777" w:rsidR="00743645" w:rsidRPr="00CE4E6D" w:rsidRDefault="00743645" w:rsidP="00562BA2">
      <w:pPr>
        <w:pStyle w:val="Rerences"/>
      </w:pPr>
      <w:r w:rsidRPr="00CE4E6D">
        <w:t xml:space="preserve">Teixeira, N. L., Caxito, F. A., Rosière, C. A., Pecoits, E., Vieira, L., Frei, R., et al. (2017). Trace elements and isotope geochemistry (C, O, Fe, Cr) of the Cauê iron formation, Quadrilátero Ferrífero, Brazil: Evidence for widespread microbial dissimilatory iron reduction at the Archean/Paleoproterozoic transition. </w:t>
      </w:r>
      <w:r w:rsidRPr="00CE4E6D">
        <w:rPr>
          <w:i/>
          <w:iCs/>
        </w:rPr>
        <w:t>Precambrian Research</w:t>
      </w:r>
      <w:r w:rsidRPr="00CE4E6D">
        <w:t xml:space="preserve"> 298, 39–55. doi: 10.1016/j.precamres.2017.05.009</w:t>
      </w:r>
    </w:p>
    <w:p w14:paraId="0A7A358B" w14:textId="77777777" w:rsidR="00743645" w:rsidRPr="00CE4E6D" w:rsidRDefault="00743645" w:rsidP="00562BA2">
      <w:pPr>
        <w:pStyle w:val="Rerences"/>
      </w:pPr>
      <w:r w:rsidRPr="00CE4E6D">
        <w:t xml:space="preserve">The UniProt Consortium (2023). UniProt: the Universal Protein Knowledgebase in 2023. </w:t>
      </w:r>
      <w:r w:rsidRPr="00CE4E6D">
        <w:rPr>
          <w:i/>
          <w:iCs/>
        </w:rPr>
        <w:t>Nucleic Acids Research</w:t>
      </w:r>
      <w:r w:rsidRPr="00CE4E6D">
        <w:t xml:space="preserve"> 51, D523–D531. doi: 10.1093/nar/gkac1052</w:t>
      </w:r>
    </w:p>
    <w:p w14:paraId="0D64DCC2" w14:textId="77777777" w:rsidR="00743645" w:rsidRPr="00CE4E6D" w:rsidRDefault="00743645" w:rsidP="00562BA2">
      <w:pPr>
        <w:pStyle w:val="Rerences"/>
      </w:pPr>
      <w:r w:rsidRPr="00CE4E6D">
        <w:t xml:space="preserve">Tsugawa, H., Cajka, T., Kind, T., Ma, Y., Higgins, B., Ikeda, K., et al. (2015). MS-DIAL: data-independent MS/MS deconvolution for comprehensive metabolome analysis. </w:t>
      </w:r>
      <w:r w:rsidRPr="00CE4E6D">
        <w:rPr>
          <w:i/>
          <w:iCs/>
        </w:rPr>
        <w:t>Nat Methods</w:t>
      </w:r>
      <w:r w:rsidRPr="00CE4E6D">
        <w:t xml:space="preserve"> 12, 523–526. doi: 10.1038/nmeth.3393</w:t>
      </w:r>
    </w:p>
    <w:p w14:paraId="7175A7FC" w14:textId="77777777" w:rsidR="00743645" w:rsidRPr="00CE4E6D" w:rsidRDefault="00743645" w:rsidP="00562BA2">
      <w:pPr>
        <w:pStyle w:val="Rerences"/>
      </w:pPr>
      <w:r w:rsidRPr="00CE4E6D">
        <w:t xml:space="preserve">Vargas, M., Kashefi, K., Blunt-Harris, E. L., and Lovley, D. R. (1998). Microbiological evidence for Fe(III) reduction on early Earth. </w:t>
      </w:r>
      <w:r w:rsidRPr="00CE4E6D">
        <w:rPr>
          <w:i/>
          <w:iCs/>
        </w:rPr>
        <w:t>Nature</w:t>
      </w:r>
      <w:r w:rsidRPr="00CE4E6D">
        <w:t xml:space="preserve"> 395, 65–67. doi: 10.1038/25720</w:t>
      </w:r>
    </w:p>
    <w:p w14:paraId="49BA6083" w14:textId="77777777" w:rsidR="00743645" w:rsidRPr="00CE4E6D" w:rsidRDefault="00743645" w:rsidP="00562BA2">
      <w:pPr>
        <w:pStyle w:val="Rerences"/>
      </w:pPr>
      <w:r w:rsidRPr="00CE4E6D">
        <w:t xml:space="preserve">Visscher, P. T., Baumgartner, L. K., Buckley, D. H., Rogers, D. R., Hogan, M. E., Raleigh, C. D., et al. (2003). Dimethyl sulphide and methanethiol formation in </w:t>
      </w:r>
      <w:r w:rsidRPr="00CE4E6D">
        <w:lastRenderedPageBreak/>
        <w:t xml:space="preserve">microbial mats: potential pathways for biogenic signatures. </w:t>
      </w:r>
      <w:r w:rsidRPr="00CE4E6D">
        <w:rPr>
          <w:i/>
          <w:iCs/>
        </w:rPr>
        <w:t>Environ. Microbiol.</w:t>
      </w:r>
      <w:r w:rsidRPr="00CE4E6D">
        <w:t xml:space="preserve"> 5, 296–308. doi: 10.1046/j.1462-2920.2003.00418.x</w:t>
      </w:r>
    </w:p>
    <w:p w14:paraId="0E156612" w14:textId="77777777" w:rsidR="00743645" w:rsidRPr="00CE4E6D" w:rsidRDefault="00743645" w:rsidP="00562BA2">
      <w:pPr>
        <w:pStyle w:val="Rerences"/>
      </w:pPr>
      <w:r w:rsidRPr="00CE4E6D">
        <w:t xml:space="preserve">Visscher, P. T., Taylor, B. F., and Kiene, R. P. (1995). Microbial consumption of dimethyl sulfide and methanethiol in coastal marine sediments. </w:t>
      </w:r>
      <w:r w:rsidRPr="00CE4E6D">
        <w:rPr>
          <w:i/>
          <w:iCs/>
        </w:rPr>
        <w:t>FEMS Microbiol Ecol</w:t>
      </w:r>
      <w:r w:rsidRPr="00CE4E6D">
        <w:t xml:space="preserve"> 18, 145–153. doi: 10.1111/j.1574-6941.1995.tb00172.x</w:t>
      </w:r>
    </w:p>
    <w:p w14:paraId="65F98A44" w14:textId="77777777" w:rsidR="00743645" w:rsidRPr="00CE4E6D" w:rsidRDefault="00743645" w:rsidP="00562BA2">
      <w:pPr>
        <w:pStyle w:val="Rerences"/>
      </w:pPr>
      <w:r w:rsidRPr="00CE4E6D">
        <w:t xml:space="preserve">Walker, J. C. G. (1984). Suboxic diagenesis in banded iron formations. </w:t>
      </w:r>
      <w:r w:rsidRPr="00CE4E6D">
        <w:rPr>
          <w:i/>
          <w:iCs/>
        </w:rPr>
        <w:t>Nature</w:t>
      </w:r>
      <w:r w:rsidRPr="00CE4E6D">
        <w:t xml:space="preserve"> 309, 340–342. doi: 10.1038/309340a0</w:t>
      </w:r>
    </w:p>
    <w:p w14:paraId="313A48B7" w14:textId="77777777" w:rsidR="00743645" w:rsidRPr="00CE4E6D" w:rsidRDefault="00743645" w:rsidP="00562BA2">
      <w:pPr>
        <w:pStyle w:val="Rerences"/>
      </w:pPr>
      <w:r w:rsidRPr="00CE4E6D">
        <w:t xml:space="preserve">Wallace, M. L., Tallarida, N., Schubert, W. W., and Lambert, J. (2024). Life Detection on Icy Moons Using Flow Cytometry and Intrinsically Fluorescent Biomolecules. </w:t>
      </w:r>
      <w:r w:rsidRPr="00CE4E6D">
        <w:rPr>
          <w:i/>
          <w:iCs/>
        </w:rPr>
        <w:t>Astrobiology</w:t>
      </w:r>
      <w:r w:rsidRPr="00CE4E6D">
        <w:t xml:space="preserve"> 24, 710–720. doi: 10.1089/ast.2023.0050</w:t>
      </w:r>
    </w:p>
    <w:p w14:paraId="2404718B" w14:textId="77777777" w:rsidR="00743645" w:rsidRPr="00CE4E6D" w:rsidRDefault="00743645" w:rsidP="00562BA2">
      <w:pPr>
        <w:pStyle w:val="Rerences"/>
      </w:pPr>
      <w:r w:rsidRPr="00CE4E6D">
        <w:t xml:space="preserve">Watts, S. F. (2000). The mass budgets of carbonyl sulfide, dimethyl sulfide, carbon disulfide and hydrogen sulfide. </w:t>
      </w:r>
      <w:r w:rsidRPr="00CE4E6D">
        <w:rPr>
          <w:i/>
          <w:iCs/>
        </w:rPr>
        <w:t>Atmospheric Environment</w:t>
      </w:r>
      <w:r w:rsidRPr="00CE4E6D">
        <w:t xml:space="preserve"> 34, 761–779. doi: 10.1016/S1352-2310(99)00342-8</w:t>
      </w:r>
    </w:p>
    <w:p w14:paraId="5984ABE6" w14:textId="77777777" w:rsidR="00743645" w:rsidRPr="00CE4E6D" w:rsidRDefault="00743645" w:rsidP="00562BA2">
      <w:pPr>
        <w:pStyle w:val="Rerences"/>
      </w:pPr>
      <w:r w:rsidRPr="00CE4E6D">
        <w:t xml:space="preserve">Woltering, M., Tulipani, S., Boreham, C. J., Walshe, J., Schwark, L., and Grice, K. (2016). Simultaneous quantitative analysis of Ni, VO, Cu, Zn and Mn geoporphyrins by liquid chromatography-high resolution multistage mass spectrometry: Method development and validation. </w:t>
      </w:r>
      <w:r w:rsidRPr="00CE4E6D">
        <w:rPr>
          <w:i/>
          <w:iCs/>
        </w:rPr>
        <w:t>Chemical Geology</w:t>
      </w:r>
      <w:r w:rsidRPr="00CE4E6D">
        <w:t xml:space="preserve"> 441, 81–91. doi: 10.1016/j.chemgeo.2016.08.005</w:t>
      </w:r>
    </w:p>
    <w:p w14:paraId="51C37E8E" w14:textId="77777777" w:rsidR="00743645" w:rsidRPr="00CE4E6D" w:rsidRDefault="00743645" w:rsidP="00562BA2">
      <w:pPr>
        <w:pStyle w:val="Rerences"/>
      </w:pPr>
      <w:r w:rsidRPr="00CE4E6D">
        <w:t xml:space="preserve">Wordsworth, R. D. (2016). The Climate of Early Mars. </w:t>
      </w:r>
      <w:r w:rsidRPr="00CE4E6D">
        <w:rPr>
          <w:i/>
          <w:iCs/>
        </w:rPr>
        <w:t>Annual Review of Earth and Planetary Sciences</w:t>
      </w:r>
      <w:r w:rsidRPr="00CE4E6D">
        <w:t xml:space="preserve"> 44, 381–408. doi: 10.1146/annurev-earth-060115-012355</w:t>
      </w:r>
    </w:p>
    <w:p w14:paraId="53DAEBEB" w14:textId="77777777" w:rsidR="00743645" w:rsidRPr="00CE4E6D" w:rsidRDefault="00743645" w:rsidP="00562BA2">
      <w:pPr>
        <w:pStyle w:val="Rerences"/>
      </w:pPr>
      <w:r w:rsidRPr="00CE4E6D">
        <w:t xml:space="preserve">Wu, G., Li, N., Mao, Y., Zhou, G., and Gao, H. (2015). Endogenous generation of hydrogen sulfide and its regulation in Shewanella oneidensis. </w:t>
      </w:r>
      <w:r w:rsidRPr="00CE4E6D">
        <w:rPr>
          <w:i/>
          <w:iCs/>
        </w:rPr>
        <w:t>Front. Microbiol.</w:t>
      </w:r>
      <w:r w:rsidRPr="00CE4E6D">
        <w:t xml:space="preserve"> 6. doi: 10.3389/fmicb.2015.00374</w:t>
      </w:r>
    </w:p>
    <w:p w14:paraId="10998A83" w14:textId="77777777" w:rsidR="00743645" w:rsidRPr="00CE4E6D" w:rsidRDefault="00743645" w:rsidP="00562BA2">
      <w:pPr>
        <w:pStyle w:val="Rerences"/>
      </w:pPr>
      <w:r w:rsidRPr="00CE4E6D">
        <w:t xml:space="preserve">Xiong, L., Jian, H., Zhang, Y., and Xiao, X. (2016). The Two Sets of DMSO Respiratory Systems of </w:t>
      </w:r>
      <w:r w:rsidRPr="00CE4E6D">
        <w:rPr>
          <w:i/>
          <w:iCs/>
        </w:rPr>
        <w:t xml:space="preserve">Shewanella piezotolerans </w:t>
      </w:r>
      <w:r w:rsidRPr="00CE4E6D">
        <w:t xml:space="preserve">WP3 Are Involved in Deep Sea Environmental Adaptation. </w:t>
      </w:r>
      <w:r w:rsidRPr="00CE4E6D">
        <w:rPr>
          <w:i/>
          <w:iCs/>
        </w:rPr>
        <w:t>Front Microbiol</w:t>
      </w:r>
      <w:r w:rsidRPr="00CE4E6D">
        <w:t xml:space="preserve"> 7, 1418. doi: 10.3389/fmicb.2016.01418</w:t>
      </w:r>
    </w:p>
    <w:p w14:paraId="6D638BE5" w14:textId="77777777" w:rsidR="00743645" w:rsidRPr="00CE4E6D" w:rsidRDefault="00743645" w:rsidP="00562BA2">
      <w:pPr>
        <w:pStyle w:val="Rerences"/>
      </w:pPr>
      <w:r w:rsidRPr="00CE4E6D">
        <w:lastRenderedPageBreak/>
        <w:t xml:space="preserve">Youngblut, M. D., Wang, O., Barnum, T. P., and Coates, J. D. (2016). (Per)chlorate in Biology on Earth and Beyond. </w:t>
      </w:r>
      <w:r w:rsidRPr="00CE4E6D">
        <w:rPr>
          <w:i/>
          <w:iCs/>
        </w:rPr>
        <w:t>Annu. Rev. Microbiol.</w:t>
      </w:r>
      <w:r w:rsidRPr="00CE4E6D">
        <w:t xml:space="preserve"> 70, 435–457. doi: 10.1146/annurev-micro-102215-095406</w:t>
      </w:r>
    </w:p>
    <w:p w14:paraId="1EFAB4E6" w14:textId="77777777" w:rsidR="00743645" w:rsidRPr="00CE4E6D" w:rsidRDefault="00743645" w:rsidP="00562BA2">
      <w:pPr>
        <w:pStyle w:val="Rerences"/>
      </w:pPr>
      <w:r w:rsidRPr="00CE4E6D">
        <w:t xml:space="preserve">Yu, Q., Sun, W., and Gao, H. (2021). Thiosulfate oxidation in sulfur-reducing </w:t>
      </w:r>
      <w:r w:rsidRPr="00CE4E6D">
        <w:rPr>
          <w:i/>
          <w:iCs/>
        </w:rPr>
        <w:t>Shewanella oneidensis</w:t>
      </w:r>
      <w:r w:rsidRPr="00CE4E6D">
        <w:t xml:space="preserve"> and its unexpected influences on the cytochrome c content. </w:t>
      </w:r>
      <w:r w:rsidRPr="00CE4E6D">
        <w:rPr>
          <w:i/>
          <w:iCs/>
        </w:rPr>
        <w:t>Environ. Microbiol.</w:t>
      </w:r>
      <w:r w:rsidRPr="00CE4E6D">
        <w:t xml:space="preserve"> 23, 7056–7072. doi: 10.1111/1462-2920.15807</w:t>
      </w:r>
    </w:p>
    <w:p w14:paraId="12FA93D4" w14:textId="77777777" w:rsidR="00743645" w:rsidRPr="00CE4E6D" w:rsidRDefault="00743645" w:rsidP="00562BA2">
      <w:pPr>
        <w:pStyle w:val="Rerences"/>
      </w:pPr>
      <w:r w:rsidRPr="00CE4E6D">
        <w:t xml:space="preserve">Zachara, J. M., Kukkadapu, R. K., Fredrickson, J. K., Gorby, Y. A., and Smith, S. C. (2002). Biomineralization of Poorly Crystalline Fe(III) Oxides by Dissimilatory Metal Reducing Bacteria (DMRB). </w:t>
      </w:r>
      <w:r w:rsidRPr="00CE4E6D">
        <w:rPr>
          <w:i/>
          <w:iCs/>
        </w:rPr>
        <w:t>Geomicrobiology Journal</w:t>
      </w:r>
      <w:r w:rsidRPr="00CE4E6D">
        <w:t xml:space="preserve"> 19, 179–207. doi: 10.1080/01490450252864271</w:t>
      </w:r>
    </w:p>
    <w:p w14:paraId="3205EF4D" w14:textId="77777777" w:rsidR="00743645" w:rsidRPr="00CE4E6D" w:rsidRDefault="00743645" w:rsidP="00562BA2">
      <w:pPr>
        <w:pStyle w:val="Rerences"/>
      </w:pPr>
      <w:r w:rsidRPr="00CE4E6D">
        <w:t xml:space="preserve">Zhang, Y., Sun, C., Guo, Z., Liu, L., Zhang, X., Sun, K., et al. (2024). An S-methyltransferase that produces the climate-active gas dimethylsulfide is widespread across diverse marine bacteria. </w:t>
      </w:r>
      <w:r w:rsidRPr="00CE4E6D">
        <w:rPr>
          <w:i/>
          <w:iCs/>
        </w:rPr>
        <w:t>Nat Microbiol</w:t>
      </w:r>
      <w:r w:rsidRPr="00CE4E6D">
        <w:t xml:space="preserve"> 9, 2614–2625. doi: 10.1038/s41564-024-01788-6</w:t>
      </w:r>
    </w:p>
    <w:p w14:paraId="28BA3B29" w14:textId="77777777" w:rsidR="00743645" w:rsidRPr="00CE4E6D" w:rsidRDefault="00743645" w:rsidP="00562BA2">
      <w:pPr>
        <w:pStyle w:val="Rerences"/>
      </w:pPr>
      <w:r w:rsidRPr="00CE4E6D">
        <w:t xml:space="preserve">Zhao, G., Li, E., Li, J., Liu, F., Yang, X., and Xu, M. (2019). Effects of Flavin-Goethite Interaction on Goethite Reduction by </w:t>
      </w:r>
      <w:r w:rsidRPr="00CE4E6D">
        <w:rPr>
          <w:i/>
          <w:iCs/>
        </w:rPr>
        <w:t>Shewanella decolorationis</w:t>
      </w:r>
      <w:r w:rsidRPr="00CE4E6D">
        <w:t xml:space="preserve"> S12. </w:t>
      </w:r>
      <w:r w:rsidRPr="00CE4E6D">
        <w:rPr>
          <w:i/>
          <w:iCs/>
        </w:rPr>
        <w:t>Front Microbiol</w:t>
      </w:r>
      <w:r w:rsidRPr="00CE4E6D">
        <w:t xml:space="preserve"> 10, 1623. doi: 10.3389/fmicb.2019.01623</w:t>
      </w:r>
    </w:p>
    <w:p w14:paraId="0B7C53BD" w14:textId="77777777" w:rsidR="00743645" w:rsidRPr="00CE4E6D" w:rsidRDefault="00743645" w:rsidP="00562BA2">
      <w:pPr>
        <w:pStyle w:val="Rerences"/>
      </w:pPr>
      <w:r w:rsidRPr="00CE4E6D">
        <w:t xml:space="preserve">Zhu, F., Huang, Y., Ni, H., Tang, J., Zhu, Q., Long, Z., et al. (2022). Biogenic iron sulfide functioning as electron-mediating interface to accelerate dissimilatory ferrihydrite reduction by </w:t>
      </w:r>
      <w:r w:rsidRPr="00CE4E6D">
        <w:rPr>
          <w:i/>
          <w:iCs/>
        </w:rPr>
        <w:t>Shewanella oneidensis</w:t>
      </w:r>
      <w:r w:rsidRPr="00CE4E6D">
        <w:t xml:space="preserve"> MR-1. </w:t>
      </w:r>
      <w:r w:rsidRPr="00CE4E6D">
        <w:rPr>
          <w:i/>
          <w:iCs/>
        </w:rPr>
        <w:t>Chemosphere</w:t>
      </w:r>
      <w:r w:rsidRPr="00CE4E6D">
        <w:t xml:space="preserve"> 288, 132661. doi: 10.1016/j.chemosphere.2021.132661</w:t>
      </w:r>
    </w:p>
    <w:p w14:paraId="3DFD57A4" w14:textId="722396B4" w:rsidR="008C5889" w:rsidRPr="00CE4E6D" w:rsidRDefault="008C5889">
      <w:pPr>
        <w:spacing w:line="240" w:lineRule="auto"/>
        <w:ind w:firstLine="0"/>
        <w:rPr>
          <w:rFonts w:cs="Times New Roman"/>
          <w:b/>
          <w:bCs/>
          <w:iCs/>
          <w:szCs w:val="28"/>
        </w:rPr>
      </w:pPr>
      <w:r w:rsidRPr="00CE4E6D">
        <w:rPr>
          <w:rFonts w:cs="Times New Roman"/>
        </w:rPr>
        <w:br w:type="page"/>
      </w:r>
    </w:p>
    <w:p w14:paraId="37557179" w14:textId="77777777" w:rsidR="001D6E31" w:rsidRPr="001D6E31" w:rsidRDefault="001D6E31" w:rsidP="001D6E31">
      <w:pPr>
        <w:pStyle w:val="Heading2"/>
        <w:rPr>
          <w:rStyle w:val="Strong"/>
          <w:b/>
          <w:bCs/>
        </w:rPr>
      </w:pPr>
      <w:bookmarkStart w:id="240" w:name="_Toc196256949"/>
      <w:bookmarkStart w:id="241" w:name="_Toc193668460"/>
      <w:r w:rsidRPr="001D6E31">
        <w:rPr>
          <w:rStyle w:val="Strong"/>
          <w:b/>
          <w:bCs/>
        </w:rPr>
        <w:lastRenderedPageBreak/>
        <w:t>Appendix: Tables and Figures</w:t>
      </w:r>
      <w:bookmarkEnd w:id="240"/>
    </w:p>
    <w:p w14:paraId="56010689" w14:textId="5E7C62A2" w:rsidR="00121FFD" w:rsidRPr="00CE4E6D" w:rsidRDefault="00A578C7" w:rsidP="00F13F6D">
      <w:pPr>
        <w:pStyle w:val="Caption"/>
        <w:rPr>
          <w:rFonts w:cs="Times New Roman"/>
          <w:szCs w:val="24"/>
        </w:rPr>
      </w:pPr>
      <w:r>
        <w:t xml:space="preserve">Table </w:t>
      </w:r>
      <w:fldSimple w:instr=" STYLEREF 1 \s ">
        <w:r w:rsidR="00971287">
          <w:rPr>
            <w:noProof/>
          </w:rPr>
          <w:t>4</w:t>
        </w:r>
      </w:fldSimple>
      <w:r w:rsidR="00A46B68">
        <w:t>.</w:t>
      </w:r>
      <w:fldSimple w:instr=" SEQ Table \* ARABIC \s 1 ">
        <w:r w:rsidR="00971287">
          <w:rPr>
            <w:noProof/>
          </w:rPr>
          <w:t>1</w:t>
        </w:r>
      </w:fldSimple>
      <w:r w:rsidRPr="00CE4E6D">
        <w:rPr>
          <w:rFonts w:cs="Times New Roman"/>
        </w:rPr>
        <w:t xml:space="preserve"> </w:t>
      </w:r>
      <w:r w:rsidRPr="00CE4E6D">
        <w:rPr>
          <w:rFonts w:cs="Times New Roman"/>
          <w:szCs w:val="24"/>
        </w:rPr>
        <w:t>Summary of utilized treatments</w:t>
      </w:r>
      <w:bookmarkEnd w:id="241"/>
    </w:p>
    <w:p w14:paraId="626B1F83" w14:textId="006496A8" w:rsidR="00121FFD" w:rsidRPr="00CE4E6D" w:rsidRDefault="00121FFD" w:rsidP="00F13F6D">
      <w:pPr>
        <w:pStyle w:val="Caption"/>
      </w:pPr>
    </w:p>
    <w:tbl>
      <w:tblPr>
        <w:tblStyle w:val="ListTable6Colorful"/>
        <w:tblW w:w="8655" w:type="dxa"/>
        <w:tblLook w:val="06A0" w:firstRow="1" w:lastRow="0" w:firstColumn="1" w:lastColumn="0" w:noHBand="1" w:noVBand="1"/>
      </w:tblPr>
      <w:tblGrid>
        <w:gridCol w:w="2443"/>
        <w:gridCol w:w="6212"/>
      </w:tblGrid>
      <w:tr w:rsidR="00121FFD" w:rsidRPr="00CE4E6D" w14:paraId="7D807C48" w14:textId="77777777" w:rsidTr="00121FFD">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2443" w:type="dxa"/>
            <w:vAlign w:val="bottom"/>
          </w:tcPr>
          <w:p w14:paraId="44CCEB17" w14:textId="77777777" w:rsidR="00121FFD" w:rsidRPr="00CE4E6D" w:rsidRDefault="00121FFD" w:rsidP="00EC45B2">
            <w:pPr>
              <w:spacing w:line="240" w:lineRule="auto"/>
              <w:ind w:firstLine="0"/>
              <w:rPr>
                <w:rFonts w:ascii="Times New Roman" w:eastAsia="Times New Roman" w:hAnsi="Times New Roman" w:cs="Times New Roman"/>
                <w:sz w:val="24"/>
                <w:szCs w:val="24"/>
                <w:lang w:val="en-US"/>
              </w:rPr>
            </w:pPr>
            <w:r w:rsidRPr="00CE4E6D">
              <w:rPr>
                <w:rFonts w:ascii="Times New Roman" w:eastAsia="Times New Roman" w:hAnsi="Times New Roman" w:cs="Times New Roman"/>
                <w:sz w:val="24"/>
                <w:szCs w:val="24"/>
                <w:lang w:val="en-US"/>
              </w:rPr>
              <w:t>Treatments</w:t>
            </w:r>
          </w:p>
        </w:tc>
        <w:tc>
          <w:tcPr>
            <w:tcW w:w="6212" w:type="dxa"/>
            <w:vAlign w:val="bottom"/>
          </w:tcPr>
          <w:p w14:paraId="0463A368" w14:textId="77777777" w:rsidR="00121FFD" w:rsidRPr="00CE4E6D" w:rsidRDefault="00121FFD" w:rsidP="00EC45B2">
            <w:pPr>
              <w:spacing w:line="240" w:lineRule="auto"/>
              <w:ind w:firstLine="0"/>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CE4E6D">
              <w:rPr>
                <w:rFonts w:ascii="Times New Roman" w:eastAsia="Times New Roman" w:hAnsi="Times New Roman" w:cs="Times New Roman"/>
                <w:sz w:val="24"/>
                <w:szCs w:val="24"/>
                <w:lang w:val="en-US"/>
              </w:rPr>
              <w:t>Components</w:t>
            </w:r>
          </w:p>
        </w:tc>
      </w:tr>
      <w:tr w:rsidR="00121FFD" w:rsidRPr="00CE4E6D" w14:paraId="4D7F9203" w14:textId="77777777" w:rsidTr="00121FFD">
        <w:trPr>
          <w:trHeight w:val="485"/>
        </w:trPr>
        <w:tc>
          <w:tcPr>
            <w:cnfStyle w:val="001000000000" w:firstRow="0" w:lastRow="0" w:firstColumn="1" w:lastColumn="0" w:oddVBand="0" w:evenVBand="0" w:oddHBand="0" w:evenHBand="0" w:firstRowFirstColumn="0" w:firstRowLastColumn="0" w:lastRowFirstColumn="0" w:lastRowLastColumn="0"/>
            <w:tcW w:w="2443" w:type="dxa"/>
            <w:tcBorders>
              <w:bottom w:val="nil"/>
            </w:tcBorders>
            <w:vAlign w:val="center"/>
          </w:tcPr>
          <w:p w14:paraId="452CDC81" w14:textId="77777777" w:rsidR="00121FFD" w:rsidRPr="00CE4E6D" w:rsidRDefault="00121FFD" w:rsidP="00EC45B2">
            <w:pPr>
              <w:spacing w:line="240" w:lineRule="auto"/>
              <w:ind w:firstLine="0"/>
              <w:rPr>
                <w:rFonts w:ascii="Times New Roman" w:eastAsia="Times New Roman" w:hAnsi="Times New Roman" w:cs="Times New Roman"/>
                <w:b w:val="0"/>
                <w:bCs w:val="0"/>
                <w:sz w:val="24"/>
                <w:szCs w:val="24"/>
                <w:lang w:val="en-US"/>
              </w:rPr>
            </w:pPr>
            <w:r w:rsidRPr="00CE4E6D">
              <w:rPr>
                <w:rFonts w:ascii="Times New Roman" w:eastAsia="Times New Roman" w:hAnsi="Times New Roman" w:cs="Times New Roman"/>
                <w:b w:val="0"/>
                <w:bCs w:val="0"/>
                <w:sz w:val="24"/>
                <w:szCs w:val="24"/>
                <w:lang w:val="en-US"/>
              </w:rPr>
              <w:t>+Fh</w:t>
            </w:r>
          </w:p>
        </w:tc>
        <w:tc>
          <w:tcPr>
            <w:tcW w:w="6212" w:type="dxa"/>
            <w:tcBorders>
              <w:bottom w:val="nil"/>
            </w:tcBorders>
            <w:vAlign w:val="center"/>
          </w:tcPr>
          <w:p w14:paraId="65140E90" w14:textId="77777777" w:rsidR="00121FFD" w:rsidRPr="00CE4E6D" w:rsidRDefault="00121FFD" w:rsidP="00EC45B2">
            <w:pPr>
              <w:spacing w:line="240"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CE4E6D">
              <w:rPr>
                <w:rFonts w:ascii="Times New Roman" w:eastAsia="Times New Roman" w:hAnsi="Times New Roman" w:cs="Times New Roman"/>
                <w:sz w:val="24"/>
                <w:szCs w:val="24"/>
                <w:lang w:val="en-US"/>
              </w:rPr>
              <w:t>Minimal medium + Fh + lactate + thiosulfate</w:t>
            </w:r>
          </w:p>
        </w:tc>
      </w:tr>
      <w:tr w:rsidR="00121FFD" w:rsidRPr="00CE4E6D" w14:paraId="1B343DE0" w14:textId="77777777" w:rsidTr="00121FFD">
        <w:trPr>
          <w:trHeight w:val="485"/>
        </w:trPr>
        <w:tc>
          <w:tcPr>
            <w:cnfStyle w:val="001000000000" w:firstRow="0" w:lastRow="0" w:firstColumn="1" w:lastColumn="0" w:oddVBand="0" w:evenVBand="0" w:oddHBand="0" w:evenHBand="0" w:firstRowFirstColumn="0" w:firstRowLastColumn="0" w:lastRowFirstColumn="0" w:lastRowLastColumn="0"/>
            <w:tcW w:w="2443" w:type="dxa"/>
            <w:tcBorders>
              <w:top w:val="nil"/>
              <w:bottom w:val="single" w:sz="4" w:space="0" w:color="auto"/>
            </w:tcBorders>
            <w:vAlign w:val="center"/>
          </w:tcPr>
          <w:p w14:paraId="321165EA" w14:textId="77777777" w:rsidR="00121FFD" w:rsidRPr="00CE4E6D" w:rsidRDefault="00121FFD" w:rsidP="00EC45B2">
            <w:pPr>
              <w:spacing w:line="240" w:lineRule="auto"/>
              <w:ind w:firstLine="0"/>
              <w:rPr>
                <w:rFonts w:ascii="Times New Roman" w:eastAsia="Times New Roman" w:hAnsi="Times New Roman" w:cs="Times New Roman"/>
                <w:b w:val="0"/>
                <w:bCs w:val="0"/>
                <w:sz w:val="24"/>
                <w:szCs w:val="24"/>
                <w:lang w:val="en-US"/>
              </w:rPr>
            </w:pPr>
            <w:r w:rsidRPr="00CE4E6D">
              <w:rPr>
                <w:rFonts w:ascii="Times New Roman" w:eastAsia="Times New Roman" w:hAnsi="Times New Roman" w:cs="Times New Roman"/>
                <w:b w:val="0"/>
                <w:bCs w:val="0"/>
                <w:sz w:val="24"/>
                <w:szCs w:val="24"/>
                <w:lang w:val="en-US"/>
              </w:rPr>
              <w:t>No Fh</w:t>
            </w:r>
          </w:p>
        </w:tc>
        <w:tc>
          <w:tcPr>
            <w:tcW w:w="6212" w:type="dxa"/>
            <w:tcBorders>
              <w:top w:val="nil"/>
              <w:bottom w:val="single" w:sz="4" w:space="0" w:color="auto"/>
            </w:tcBorders>
            <w:vAlign w:val="center"/>
          </w:tcPr>
          <w:p w14:paraId="607FA044" w14:textId="77777777" w:rsidR="00121FFD" w:rsidRPr="00CE4E6D" w:rsidRDefault="00121FFD" w:rsidP="00EC45B2">
            <w:pPr>
              <w:spacing w:line="240"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CE4E6D">
              <w:rPr>
                <w:rFonts w:ascii="Times New Roman" w:eastAsia="Times New Roman" w:hAnsi="Times New Roman" w:cs="Times New Roman"/>
                <w:sz w:val="24"/>
                <w:szCs w:val="24"/>
                <w:lang w:val="en-US"/>
              </w:rPr>
              <w:t>Minimal medium + lactate + thiosulfate</w:t>
            </w:r>
          </w:p>
        </w:tc>
      </w:tr>
      <w:tr w:rsidR="00121FFD" w:rsidRPr="00CE4E6D" w14:paraId="06E87CA2" w14:textId="77777777" w:rsidTr="00121FFD">
        <w:trPr>
          <w:trHeight w:val="485"/>
        </w:trPr>
        <w:tc>
          <w:tcPr>
            <w:cnfStyle w:val="001000000000" w:firstRow="0" w:lastRow="0" w:firstColumn="1" w:lastColumn="0" w:oddVBand="0" w:evenVBand="0" w:oddHBand="0" w:evenHBand="0" w:firstRowFirstColumn="0" w:firstRowLastColumn="0" w:lastRowFirstColumn="0" w:lastRowLastColumn="0"/>
            <w:tcW w:w="2443" w:type="dxa"/>
            <w:tcBorders>
              <w:top w:val="single" w:sz="4" w:space="0" w:color="auto"/>
              <w:bottom w:val="single" w:sz="4" w:space="0" w:color="auto"/>
            </w:tcBorders>
            <w:vAlign w:val="center"/>
          </w:tcPr>
          <w:p w14:paraId="3E3686CD" w14:textId="77777777" w:rsidR="00121FFD" w:rsidRPr="00CE4E6D" w:rsidRDefault="00121FFD" w:rsidP="00EC45B2">
            <w:pPr>
              <w:spacing w:line="240" w:lineRule="auto"/>
              <w:ind w:firstLine="0"/>
              <w:rPr>
                <w:rFonts w:ascii="Times New Roman" w:eastAsia="Times New Roman" w:hAnsi="Times New Roman" w:cs="Times New Roman"/>
                <w:b w:val="0"/>
                <w:bCs w:val="0"/>
                <w:sz w:val="24"/>
                <w:szCs w:val="24"/>
                <w:lang w:val="en-US"/>
              </w:rPr>
            </w:pPr>
            <w:r w:rsidRPr="00CE4E6D">
              <w:rPr>
                <w:rFonts w:ascii="Times New Roman" w:eastAsia="Times New Roman" w:hAnsi="Times New Roman" w:cs="Times New Roman"/>
                <w:b w:val="0"/>
                <w:bCs w:val="0"/>
                <w:sz w:val="24"/>
                <w:szCs w:val="24"/>
                <w:lang w:val="en-US"/>
              </w:rPr>
              <w:t>Additional mineralogy controls</w:t>
            </w:r>
          </w:p>
        </w:tc>
        <w:tc>
          <w:tcPr>
            <w:tcW w:w="6212" w:type="dxa"/>
            <w:tcBorders>
              <w:top w:val="single" w:sz="4" w:space="0" w:color="auto"/>
              <w:bottom w:val="single" w:sz="4" w:space="0" w:color="auto"/>
            </w:tcBorders>
            <w:vAlign w:val="center"/>
          </w:tcPr>
          <w:p w14:paraId="4CDE4ACD" w14:textId="77777777" w:rsidR="00121FFD" w:rsidRPr="00CE4E6D" w:rsidRDefault="00121FFD" w:rsidP="00EC45B2">
            <w:pPr>
              <w:spacing w:line="240" w:lineRule="auto"/>
              <w:ind w:firstLine="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CE4E6D">
              <w:rPr>
                <w:rFonts w:ascii="Times New Roman" w:eastAsia="Times New Roman" w:hAnsi="Times New Roman" w:cs="Times New Roman"/>
                <w:sz w:val="24"/>
                <w:szCs w:val="24"/>
                <w:lang w:val="en-US"/>
              </w:rPr>
              <w:t>Minimal medium + Fh + lactate</w:t>
            </w:r>
          </w:p>
        </w:tc>
      </w:tr>
    </w:tbl>
    <w:p w14:paraId="276FD4B7" w14:textId="77777777" w:rsidR="00121FFD" w:rsidRPr="00CE4E6D" w:rsidRDefault="00121FFD" w:rsidP="00EC45B2">
      <w:pPr>
        <w:ind w:firstLine="0"/>
        <w:rPr>
          <w:rFonts w:cs="Times New Roman"/>
          <w:i/>
          <w:iCs/>
        </w:rPr>
      </w:pPr>
      <w:r w:rsidRPr="00CE4E6D">
        <w:rPr>
          <w:rFonts w:cs="Times New Roman"/>
          <w:i/>
          <w:iCs/>
        </w:rPr>
        <w:t>Fh – ferrihydrite</w:t>
      </w:r>
    </w:p>
    <w:p w14:paraId="27261490" w14:textId="77777777" w:rsidR="00121FFD" w:rsidRPr="00CE4E6D" w:rsidRDefault="00121FFD" w:rsidP="00EC45B2">
      <w:pPr>
        <w:ind w:firstLine="0"/>
        <w:rPr>
          <w:rFonts w:cs="Times New Roman"/>
          <w:i/>
          <w:iCs/>
        </w:rPr>
      </w:pPr>
    </w:p>
    <w:p w14:paraId="25431CB6" w14:textId="77777777" w:rsidR="00121FFD" w:rsidRPr="00CE4E6D" w:rsidRDefault="00121FFD" w:rsidP="00EC45B2">
      <w:pPr>
        <w:spacing w:line="240" w:lineRule="auto"/>
        <w:ind w:firstLine="0"/>
        <w:rPr>
          <w:rFonts w:cs="Times New Roman"/>
          <w:b/>
          <w:bCs/>
        </w:rPr>
      </w:pPr>
      <w:r w:rsidRPr="00CE4E6D">
        <w:rPr>
          <w:rFonts w:cs="Times New Roman"/>
          <w:b/>
          <w:bCs/>
        </w:rPr>
        <w:br w:type="page"/>
      </w:r>
    </w:p>
    <w:p w14:paraId="6984A6B0" w14:textId="206D3990" w:rsidR="00121FFD" w:rsidRPr="00CE4E6D" w:rsidRDefault="002631CA" w:rsidP="00EC45B2">
      <w:pPr>
        <w:spacing w:line="480" w:lineRule="auto"/>
        <w:ind w:firstLine="0"/>
        <w:rPr>
          <w:rFonts w:cs="Times New Roman"/>
          <w:b/>
          <w:bCs/>
        </w:rPr>
      </w:pPr>
      <w:r w:rsidRPr="00CE4E6D">
        <w:rPr>
          <w:rFonts w:cs="Times New Roman"/>
          <w:b/>
          <w:bCs/>
          <w:noProof/>
        </w:rPr>
        <w:lastRenderedPageBreak/>
        <w:drawing>
          <wp:anchor distT="0" distB="0" distL="114300" distR="114300" simplePos="0" relativeHeight="251734016" behindDoc="0" locked="0" layoutInCell="1" allowOverlap="1" wp14:anchorId="4036ADEB" wp14:editId="7F02BBD6">
            <wp:simplePos x="0" y="0"/>
            <wp:positionH relativeFrom="column">
              <wp:posOffset>-11430</wp:posOffset>
            </wp:positionH>
            <wp:positionV relativeFrom="paragraph">
              <wp:posOffset>342900</wp:posOffset>
            </wp:positionV>
            <wp:extent cx="5469255" cy="3992880"/>
            <wp:effectExtent l="0" t="0" r="0" b="7620"/>
            <wp:wrapSquare wrapText="bothSides"/>
            <wp:docPr id="8035678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67894" name="Picture 4"/>
                    <pic:cNvPicPr/>
                  </pic:nvPicPr>
                  <pic:blipFill>
                    <a:blip r:embed="rId401" cstate="print">
                      <a:extLst>
                        <a:ext uri="{28A0092B-C50C-407E-A947-70E740481C1C}">
                          <a14:useLocalDpi xmlns:a14="http://schemas.microsoft.com/office/drawing/2010/main" val="0"/>
                        </a:ext>
                      </a:extLst>
                    </a:blip>
                    <a:stretch>
                      <a:fillRect/>
                    </a:stretch>
                  </pic:blipFill>
                  <pic:spPr>
                    <a:xfrm>
                      <a:off x="0" y="0"/>
                      <a:ext cx="5469255" cy="3992880"/>
                    </a:xfrm>
                    <a:prstGeom prst="rect">
                      <a:avLst/>
                    </a:prstGeom>
                  </pic:spPr>
                </pic:pic>
              </a:graphicData>
            </a:graphic>
            <wp14:sizeRelH relativeFrom="margin">
              <wp14:pctWidth>0</wp14:pctWidth>
            </wp14:sizeRelH>
            <wp14:sizeRelV relativeFrom="margin">
              <wp14:pctHeight>0</wp14:pctHeight>
            </wp14:sizeRelV>
          </wp:anchor>
        </w:drawing>
      </w:r>
      <w:r w:rsidR="00A16CD3" w:rsidRPr="00CE4E6D">
        <w:rPr>
          <w:rFonts w:cs="Times New Roman"/>
          <w:noProof/>
        </w:rPr>
        <mc:AlternateContent>
          <mc:Choice Requires="wps">
            <w:drawing>
              <wp:anchor distT="0" distB="0" distL="114300" distR="114300" simplePos="0" relativeHeight="251740160" behindDoc="0" locked="0" layoutInCell="1" allowOverlap="1" wp14:anchorId="1B6EA5E8" wp14:editId="19460482">
                <wp:simplePos x="0" y="0"/>
                <wp:positionH relativeFrom="column">
                  <wp:posOffset>118745</wp:posOffset>
                </wp:positionH>
                <wp:positionV relativeFrom="paragraph">
                  <wp:posOffset>4391660</wp:posOffset>
                </wp:positionV>
                <wp:extent cx="5226685" cy="635"/>
                <wp:effectExtent l="0" t="0" r="0" b="3810"/>
                <wp:wrapSquare wrapText="bothSides"/>
                <wp:docPr id="828204857" name="Text Box 1"/>
                <wp:cNvGraphicFramePr/>
                <a:graphic xmlns:a="http://schemas.openxmlformats.org/drawingml/2006/main">
                  <a:graphicData uri="http://schemas.microsoft.com/office/word/2010/wordprocessingShape">
                    <wps:wsp>
                      <wps:cNvSpPr txBox="1"/>
                      <wps:spPr>
                        <a:xfrm>
                          <a:off x="0" y="0"/>
                          <a:ext cx="5226685" cy="635"/>
                        </a:xfrm>
                        <a:prstGeom prst="rect">
                          <a:avLst/>
                        </a:prstGeom>
                        <a:solidFill>
                          <a:prstClr val="white"/>
                        </a:solidFill>
                        <a:ln>
                          <a:noFill/>
                        </a:ln>
                      </wps:spPr>
                      <wps:txbx>
                        <w:txbxContent>
                          <w:p w14:paraId="240F0E6B" w14:textId="69FDEB9E" w:rsidR="00121FFD" w:rsidRPr="00EC45B2" w:rsidRDefault="00121FFD" w:rsidP="00F13F6D">
                            <w:pPr>
                              <w:pStyle w:val="Caption"/>
                              <w:rPr>
                                <w:noProof/>
                              </w:rPr>
                            </w:pPr>
                            <w:bookmarkStart w:id="242" w:name="_Toc193695182"/>
                            <w:r>
                              <w:t xml:space="preserve">Figure </w:t>
                            </w:r>
                            <w:fldSimple w:instr=" STYLEREF 1 \s ">
                              <w:r w:rsidR="00971287">
                                <w:rPr>
                                  <w:noProof/>
                                </w:rPr>
                                <w:t>4</w:t>
                              </w:r>
                            </w:fldSimple>
                            <w:r w:rsidR="00F13F6D">
                              <w:t>.</w:t>
                            </w:r>
                            <w:fldSimple w:instr=" SEQ Figure \* ARABIC \s 1 ">
                              <w:r w:rsidR="00971287">
                                <w:rPr>
                                  <w:noProof/>
                                </w:rPr>
                                <w:t>1</w:t>
                              </w:r>
                            </w:fldSimple>
                            <w:r w:rsidRPr="00820DC8">
                              <w:t xml:space="preserve">. Summary of mineralogical changes during incubation. </w:t>
                            </w:r>
                            <w:r w:rsidRPr="00560FAB">
                              <w:rPr>
                                <w:b w:val="0"/>
                                <w:bCs w:val="0"/>
                              </w:rPr>
                              <w:t>(a) Mössbauer spectra for all Live Cell treatments. Vertical lines highlight the shift in peaks consistent with the presence of Fe</w:t>
                            </w:r>
                            <w:r w:rsidRPr="00560FAB">
                              <w:rPr>
                                <w:b w:val="0"/>
                                <w:bCs w:val="0"/>
                                <w:vertAlign w:val="superscript"/>
                              </w:rPr>
                              <w:t>2+</w:t>
                            </w:r>
                            <w:r w:rsidRPr="00560FAB">
                              <w:rPr>
                                <w:b w:val="0"/>
                                <w:bCs w:val="0"/>
                              </w:rPr>
                              <w:t xml:space="preserve">. (b) Visual and near infrared (VNIR) spectra for +Fh treatments. Two Live Cell +Fh treatments are shown due to slight differences in absorption. (c) X-ray diffraction (XRD) spectra for Live cells in +Fh medium compared to averaged Dead and No Cell controls. Observed features are largely consistent with Fh. (d) Fourier transform infrared (FTIR) spectra of +Fh treatments. Standard peaks consistent with observed features in treatments are highlighted with arrows. </w:t>
                            </w:r>
                            <w:r w:rsidRPr="00560FAB">
                              <w:rPr>
                                <w:b w:val="0"/>
                                <w:bCs w:val="0"/>
                                <w:i/>
                              </w:rPr>
                              <w:t>+Fh medium contains Fh + lactate + thiosulfate</w:t>
                            </w:r>
                            <w:r w:rsidRPr="00560FAB">
                              <w:rPr>
                                <w:b w:val="0"/>
                                <w:bCs w:val="0"/>
                              </w:rPr>
                              <w:t>.</w:t>
                            </w:r>
                            <w:bookmarkEnd w:id="2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B6EA5E8" id="_x0000_s1034" type="#_x0000_t202" style="position:absolute;margin-left:9.35pt;margin-top:345.8pt;width:411.55pt;height:.05pt;z-index:251740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" stroked="f">
                <v:textbox style="mso-fit-shape-to-text:t" inset="0,0,0,0">
                  <w:txbxContent>
                    <w:p w14:paraId="240F0E6B" w14:textId="69FDEB9E" w:rsidR="00121FFD" w:rsidRPr="00EC45B2" w:rsidRDefault="00121FFD" w:rsidP="00F13F6D">
                      <w:pPr>
                        <w:pStyle w:val="Caption"/>
                        <w:rPr>
                          <w:noProof/>
                        </w:rPr>
                      </w:pPr>
                      <w:bookmarkStart w:id="251" w:name="_Toc193695182"/>
                      <w:r>
                        <w:t xml:space="preserve">Figure </w:t>
                      </w:r>
                      <w:r w:rsidR="00971287">
                        <w:fldChar w:fldCharType="begin"/>
                      </w:r>
                      <w:r w:rsidR="00971287">
                        <w:instrText xml:space="preserve"> STYLEREF 1 \s </w:instrText>
                      </w:r>
                      <w:r w:rsidR="00971287">
                        <w:fldChar w:fldCharType="separate"/>
                      </w:r>
                      <w:r w:rsidR="00971287">
                        <w:rPr>
                          <w:noProof/>
                        </w:rPr>
                        <w:t>4</w:t>
                      </w:r>
                      <w:r w:rsidR="00971287">
                        <w:rPr>
                          <w:noProof/>
                        </w:rPr>
                        <w:fldChar w:fldCharType="end"/>
                      </w:r>
                      <w:r w:rsidR="00F13F6D">
                        <w:t>.</w:t>
                      </w:r>
                      <w:r w:rsidR="00971287">
                        <w:fldChar w:fldCharType="begin"/>
                      </w:r>
                      <w:r w:rsidR="00971287">
                        <w:instrText xml:space="preserve"> SEQ Figure \* ARABIC \s 1 </w:instrText>
                      </w:r>
                      <w:r w:rsidR="00971287">
                        <w:fldChar w:fldCharType="separate"/>
                      </w:r>
                      <w:r w:rsidR="00971287">
                        <w:rPr>
                          <w:noProof/>
                        </w:rPr>
                        <w:t>1</w:t>
                      </w:r>
                      <w:r w:rsidR="00971287">
                        <w:rPr>
                          <w:noProof/>
                        </w:rPr>
                        <w:fldChar w:fldCharType="end"/>
                      </w:r>
                      <w:r w:rsidRPr="00820DC8">
                        <w:t xml:space="preserve">. Summary of mineralogical changes during incubation. </w:t>
                      </w:r>
                      <w:r w:rsidRPr="00560FAB">
                        <w:rPr>
                          <w:b w:val="0"/>
                          <w:bCs w:val="0"/>
                        </w:rPr>
                        <w:t>(a) Mössbauer spectra for all Live Cell treatments. Vertical lines highlight the shift in peaks consistent with the presence of Fe</w:t>
                      </w:r>
                      <w:r w:rsidRPr="00560FAB">
                        <w:rPr>
                          <w:b w:val="0"/>
                          <w:bCs w:val="0"/>
                          <w:vertAlign w:val="superscript"/>
                        </w:rPr>
                        <w:t>2+</w:t>
                      </w:r>
                      <w:r w:rsidRPr="00560FAB">
                        <w:rPr>
                          <w:b w:val="0"/>
                          <w:bCs w:val="0"/>
                        </w:rPr>
                        <w:t xml:space="preserve">. (b) Visual and near infrared (VNIR) spectra for +Fh treatments. Two Live Cell +Fh treatments are shown due to slight differences in absorption. (c) X-ray diffraction (XRD) spectra for Live cells in +Fh medium compared to averaged Dead and No Cell controls. Observed features are largely consistent with Fh. (d) Fourier transform infrared (FTIR) spectra of +Fh treatments. Standard peaks consistent with observed features in treatments are highlighted with arrows. </w:t>
                      </w:r>
                      <w:r w:rsidRPr="00560FAB">
                        <w:rPr>
                          <w:b w:val="0"/>
                          <w:bCs w:val="0"/>
                          <w:i/>
                        </w:rPr>
                        <w:t>+Fh medium contains Fh + lactate + thiosulfate</w:t>
                      </w:r>
                      <w:r w:rsidRPr="00560FAB">
                        <w:rPr>
                          <w:b w:val="0"/>
                          <w:bCs w:val="0"/>
                        </w:rPr>
                        <w:t>.</w:t>
                      </w:r>
                      <w:bookmarkEnd w:id="251"/>
                    </w:p>
                  </w:txbxContent>
                </v:textbox>
                <w10:wrap type="square"/>
              </v:shape>
            </w:pict>
          </mc:Fallback>
        </mc:AlternateContent>
      </w:r>
    </w:p>
    <w:p w14:paraId="20FB8B13" w14:textId="64D60BA6" w:rsidR="00121FFD" w:rsidRPr="00CE4E6D" w:rsidRDefault="00121FFD" w:rsidP="00EC45B2">
      <w:pPr>
        <w:spacing w:line="480" w:lineRule="auto"/>
        <w:ind w:firstLine="0"/>
        <w:rPr>
          <w:rFonts w:cs="Times New Roman"/>
        </w:rPr>
      </w:pPr>
    </w:p>
    <w:p w14:paraId="6D132946" w14:textId="6CEA470F" w:rsidR="00121FFD" w:rsidRPr="00CE4E6D" w:rsidRDefault="002631CA" w:rsidP="00EC45B2">
      <w:pPr>
        <w:spacing w:line="480" w:lineRule="auto"/>
        <w:ind w:firstLine="0"/>
        <w:rPr>
          <w:rFonts w:cs="Times New Roman"/>
        </w:rPr>
      </w:pPr>
      <w:r w:rsidRPr="00CE4E6D">
        <w:rPr>
          <w:rFonts w:cs="Times New Roman"/>
          <w:noProof/>
        </w:rPr>
        <w:lastRenderedPageBreak/>
        <w:drawing>
          <wp:anchor distT="0" distB="0" distL="114300" distR="114300" simplePos="0" relativeHeight="251735040" behindDoc="0" locked="0" layoutInCell="1" allowOverlap="1" wp14:anchorId="773CA7DE" wp14:editId="07012435">
            <wp:simplePos x="0" y="0"/>
            <wp:positionH relativeFrom="column">
              <wp:posOffset>635</wp:posOffset>
            </wp:positionH>
            <wp:positionV relativeFrom="paragraph">
              <wp:posOffset>320040</wp:posOffset>
            </wp:positionV>
            <wp:extent cx="5464175" cy="3695065"/>
            <wp:effectExtent l="0" t="0" r="3175" b="635"/>
            <wp:wrapSquare wrapText="bothSides"/>
            <wp:docPr id="11620968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096836" name="Picture 2"/>
                    <pic:cNvPicPr/>
                  </pic:nvPicPr>
                  <pic:blipFill>
                    <a:blip r:embed="rId402">
                      <a:extLst>
                        <a:ext uri="{28A0092B-C50C-407E-A947-70E740481C1C}">
                          <a14:useLocalDpi xmlns:a14="http://schemas.microsoft.com/office/drawing/2010/main" val="0"/>
                        </a:ext>
                      </a:extLst>
                    </a:blip>
                    <a:stretch>
                      <a:fillRect/>
                    </a:stretch>
                  </pic:blipFill>
                  <pic:spPr>
                    <a:xfrm>
                      <a:off x="0" y="0"/>
                      <a:ext cx="5464175" cy="3695065"/>
                    </a:xfrm>
                    <a:prstGeom prst="rect">
                      <a:avLst/>
                    </a:prstGeom>
                  </pic:spPr>
                </pic:pic>
              </a:graphicData>
            </a:graphic>
            <wp14:sizeRelH relativeFrom="margin">
              <wp14:pctWidth>0</wp14:pctWidth>
            </wp14:sizeRelH>
            <wp14:sizeRelV relativeFrom="margin">
              <wp14:pctHeight>0</wp14:pctHeight>
            </wp14:sizeRelV>
          </wp:anchor>
        </w:drawing>
      </w:r>
      <w:r w:rsidR="00A16CD3" w:rsidRPr="00CE4E6D">
        <w:rPr>
          <w:rFonts w:cs="Times New Roman"/>
          <w:noProof/>
        </w:rPr>
        <mc:AlternateContent>
          <mc:Choice Requires="wps">
            <w:drawing>
              <wp:anchor distT="0" distB="0" distL="114300" distR="114300" simplePos="0" relativeHeight="251742208" behindDoc="0" locked="0" layoutInCell="1" allowOverlap="1" wp14:anchorId="02F672B3" wp14:editId="72B50627">
                <wp:simplePos x="0" y="0"/>
                <wp:positionH relativeFrom="column">
                  <wp:posOffset>114300</wp:posOffset>
                </wp:positionH>
                <wp:positionV relativeFrom="paragraph">
                  <wp:posOffset>4076700</wp:posOffset>
                </wp:positionV>
                <wp:extent cx="5347970" cy="635"/>
                <wp:effectExtent l="0" t="0" r="5080" b="3810"/>
                <wp:wrapSquare wrapText="bothSides"/>
                <wp:docPr id="667938762" name="Text Box 1"/>
                <wp:cNvGraphicFramePr/>
                <a:graphic xmlns:a="http://schemas.openxmlformats.org/drawingml/2006/main">
                  <a:graphicData uri="http://schemas.microsoft.com/office/word/2010/wordprocessingShape">
                    <wps:wsp>
                      <wps:cNvSpPr txBox="1"/>
                      <wps:spPr>
                        <a:xfrm>
                          <a:off x="0" y="0"/>
                          <a:ext cx="5347970" cy="635"/>
                        </a:xfrm>
                        <a:prstGeom prst="rect">
                          <a:avLst/>
                        </a:prstGeom>
                        <a:solidFill>
                          <a:prstClr val="white"/>
                        </a:solidFill>
                        <a:ln>
                          <a:noFill/>
                        </a:ln>
                      </wps:spPr>
                      <wps:txbx>
                        <w:txbxContent>
                          <w:p w14:paraId="11D3AACC" w14:textId="5D218970" w:rsidR="00EC45B2" w:rsidRPr="00EC45B2" w:rsidRDefault="00EC45B2" w:rsidP="00F13F6D">
                            <w:pPr>
                              <w:pStyle w:val="Caption"/>
                              <w:rPr>
                                <w:noProof/>
                              </w:rPr>
                            </w:pPr>
                            <w:bookmarkStart w:id="243" w:name="_Toc193695183"/>
                            <w:r>
                              <w:t xml:space="preserve">Figure </w:t>
                            </w:r>
                            <w:fldSimple w:instr=" STYLEREF 1 \s ">
                              <w:r w:rsidR="00971287">
                                <w:rPr>
                                  <w:noProof/>
                                </w:rPr>
                                <w:t>4</w:t>
                              </w:r>
                            </w:fldSimple>
                            <w:r w:rsidR="00F13F6D">
                              <w:t>.</w:t>
                            </w:r>
                            <w:fldSimple w:instr=" SEQ Figure \* ARABIC \s 1 ">
                              <w:r w:rsidR="00971287">
                                <w:rPr>
                                  <w:noProof/>
                                </w:rPr>
                                <w:t>2</w:t>
                              </w:r>
                            </w:fldSimple>
                            <w:r>
                              <w:t xml:space="preserve">. </w:t>
                            </w:r>
                            <w:r w:rsidRPr="00820DC8">
                              <w:t xml:space="preserve">Identification of mineralogy of +Fh Live </w:t>
                            </w:r>
                            <w:r w:rsidRPr="00EC45B2">
                              <w:t xml:space="preserve">Cells following two weeks (a, b, and c) and eight weeks of incubation (d, e, and f) by transmission electron microscopy (TEM) and selected area electron diffraction (SAED). </w:t>
                            </w:r>
                            <w:r w:rsidRPr="00560FAB">
                              <w:rPr>
                                <w:b w:val="0"/>
                                <w:bCs w:val="0"/>
                              </w:rPr>
                              <w:t>(a) Two-week incubations feature peaks consistent with both magnetite and Fh, with minor peaks associated with goethite, as seen in both (b)TEM images and (c) SAED diffraction patterns. (d) Eight-week incubations show an increase in features consistent with goethite, in addition to the presence of magnetite and the appearance of peaks consistent with halite formation, which are consistent with both (e) TEM images and (f) SAED patterns.</w:t>
                            </w:r>
                            <w:bookmarkEnd w:id="24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2F672B3" id="_x0000_s1035" type="#_x0000_t202" style="position:absolute;margin-left:9pt;margin-top:321pt;width:421.1pt;height:.0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" stroked="f">
                <v:textbox style="mso-fit-shape-to-text:t" inset="0,0,0,0">
                  <w:txbxContent>
                    <w:p w14:paraId="11D3AACC" w14:textId="5D218970" w:rsidR="00EC45B2" w:rsidRPr="00EC45B2" w:rsidRDefault="00EC45B2" w:rsidP="00F13F6D">
                      <w:pPr>
                        <w:pStyle w:val="Caption"/>
                        <w:rPr>
                          <w:noProof/>
                        </w:rPr>
                      </w:pPr>
                      <w:bookmarkStart w:id="253" w:name="_Toc193695183"/>
                      <w:r>
                        <w:t xml:space="preserve">Figure </w:t>
                      </w:r>
                      <w:r w:rsidR="00971287">
                        <w:fldChar w:fldCharType="begin"/>
                      </w:r>
                      <w:r w:rsidR="00971287">
                        <w:instrText xml:space="preserve"> STYLEREF 1 \s </w:instrText>
                      </w:r>
                      <w:r w:rsidR="00971287">
                        <w:fldChar w:fldCharType="separate"/>
                      </w:r>
                      <w:r w:rsidR="00971287">
                        <w:rPr>
                          <w:noProof/>
                        </w:rPr>
                        <w:t>4</w:t>
                      </w:r>
                      <w:r w:rsidR="00971287">
                        <w:rPr>
                          <w:noProof/>
                        </w:rPr>
                        <w:fldChar w:fldCharType="end"/>
                      </w:r>
                      <w:r w:rsidR="00F13F6D">
                        <w:t>.</w:t>
                      </w:r>
                      <w:r w:rsidR="00971287">
                        <w:fldChar w:fldCharType="begin"/>
                      </w:r>
                      <w:r w:rsidR="00971287">
                        <w:instrText xml:space="preserve"> SEQ Figure \* ARABIC \s 1 </w:instrText>
                      </w:r>
                      <w:r w:rsidR="00971287">
                        <w:fldChar w:fldCharType="separate"/>
                      </w:r>
                      <w:r w:rsidR="00971287">
                        <w:rPr>
                          <w:noProof/>
                        </w:rPr>
                        <w:t>2</w:t>
                      </w:r>
                      <w:r w:rsidR="00971287">
                        <w:rPr>
                          <w:noProof/>
                        </w:rPr>
                        <w:fldChar w:fldCharType="end"/>
                      </w:r>
                      <w:r>
                        <w:t xml:space="preserve">. </w:t>
                      </w:r>
                      <w:r w:rsidRPr="00820DC8">
                        <w:t xml:space="preserve">Identification of mineralogy of +Fh Live </w:t>
                      </w:r>
                      <w:r w:rsidRPr="00EC45B2">
                        <w:t xml:space="preserve">Cells following two weeks (a, b, and c) and eight weeks of incubation (d, e, and f) by transmission electron microscopy (TEM) and selected area electron diffraction (SAED). </w:t>
                      </w:r>
                      <w:r w:rsidRPr="00560FAB">
                        <w:rPr>
                          <w:b w:val="0"/>
                          <w:bCs w:val="0"/>
                        </w:rPr>
                        <w:t>(a) Two-week incubations feature peaks consistent with both magnetite and Fh, with minor peaks associated with goethite, as seen in both (b)TEM images and (c) SAED diffraction patterns. (d) Eight-week incubations show an increase in features consistent with goethite, in addition to the presence of magnetite and the appearance of peaks consistent with halite formation, which are consistent with both (e) TEM images and (f) SAED patterns.</w:t>
                      </w:r>
                      <w:bookmarkEnd w:id="253"/>
                    </w:p>
                  </w:txbxContent>
                </v:textbox>
                <w10:wrap type="square"/>
              </v:shape>
            </w:pict>
          </mc:Fallback>
        </mc:AlternateContent>
      </w:r>
    </w:p>
    <w:p w14:paraId="13234650" w14:textId="13216B6B" w:rsidR="00121FFD" w:rsidRPr="00CE4E6D" w:rsidRDefault="00121FFD" w:rsidP="00EC45B2">
      <w:pPr>
        <w:spacing w:line="480" w:lineRule="auto"/>
        <w:ind w:firstLine="0"/>
        <w:rPr>
          <w:rFonts w:cs="Times New Roman"/>
          <w:i/>
          <w:iCs/>
        </w:rPr>
      </w:pPr>
      <w:r w:rsidRPr="00CE4E6D">
        <w:rPr>
          <w:rFonts w:cs="Times New Roman"/>
          <w:i/>
          <w:iCs/>
        </w:rPr>
        <w:br w:type="page"/>
      </w:r>
    </w:p>
    <w:p w14:paraId="27CAE5DE" w14:textId="77777777" w:rsidR="00EC45B2" w:rsidRPr="00CE4E6D" w:rsidRDefault="00121FFD" w:rsidP="00EC45B2">
      <w:pPr>
        <w:keepNext/>
        <w:spacing w:line="480" w:lineRule="auto"/>
        <w:ind w:firstLine="0"/>
        <w:jc w:val="center"/>
        <w:rPr>
          <w:rFonts w:cs="Times New Roman"/>
        </w:rPr>
      </w:pPr>
      <w:r w:rsidRPr="00CE4E6D">
        <w:rPr>
          <w:rFonts w:cs="Times New Roman"/>
          <w:noProof/>
        </w:rPr>
        <w:lastRenderedPageBreak/>
        <w:drawing>
          <wp:inline distT="0" distB="0" distL="0" distR="0" wp14:anchorId="566EC1D8" wp14:editId="00DED0F3">
            <wp:extent cx="4270786" cy="6192264"/>
            <wp:effectExtent l="0" t="0" r="0" b="0"/>
            <wp:docPr id="925693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693212" name="Picture 1"/>
                    <pic:cNvPicPr/>
                  </pic:nvPicPr>
                  <pic:blipFill>
                    <a:blip r:embed="rId403" cstate="print">
                      <a:extLst>
                        <a:ext uri="{28A0092B-C50C-407E-A947-70E740481C1C}">
                          <a14:useLocalDpi xmlns:a14="http://schemas.microsoft.com/office/drawing/2010/main" val="0"/>
                        </a:ext>
                      </a:extLst>
                    </a:blip>
                    <a:stretch>
                      <a:fillRect/>
                    </a:stretch>
                  </pic:blipFill>
                  <pic:spPr>
                    <a:xfrm>
                      <a:off x="0" y="0"/>
                      <a:ext cx="4270786" cy="6192264"/>
                    </a:xfrm>
                    <a:prstGeom prst="rect">
                      <a:avLst/>
                    </a:prstGeom>
                  </pic:spPr>
                </pic:pic>
              </a:graphicData>
            </a:graphic>
          </wp:inline>
        </w:drawing>
      </w:r>
    </w:p>
    <w:p w14:paraId="4B4D237C" w14:textId="47CE00FF" w:rsidR="00121FFD" w:rsidRPr="00CE4E6D" w:rsidRDefault="00EC45B2" w:rsidP="00F13F6D">
      <w:pPr>
        <w:pStyle w:val="Caption"/>
      </w:pPr>
      <w:bookmarkStart w:id="244" w:name="_Toc193695184"/>
      <w:r w:rsidRPr="00CE4E6D">
        <w:t xml:space="preserve">Figure </w:t>
      </w:r>
      <w:fldSimple w:instr=" STYLEREF 1 \s ">
        <w:r w:rsidR="00971287">
          <w:rPr>
            <w:noProof/>
          </w:rPr>
          <w:t>4</w:t>
        </w:r>
      </w:fldSimple>
      <w:r w:rsidR="00F13F6D">
        <w:t>.</w:t>
      </w:r>
      <w:fldSimple w:instr=" SEQ Figure \* ARABIC \s 1 ">
        <w:r w:rsidR="00971287">
          <w:rPr>
            <w:noProof/>
          </w:rPr>
          <w:t>3</w:t>
        </w:r>
      </w:fldSimple>
      <w:r w:rsidRPr="00CE4E6D">
        <w:t xml:space="preserve"> Abundance of transcripts of interest between +Fh and No Fh treatments. </w:t>
      </w:r>
      <w:r w:rsidRPr="00560FAB">
        <w:rPr>
          <w:b w:val="0"/>
          <w:bCs w:val="0"/>
        </w:rPr>
        <w:t>Transcript identities were determined based on both annotation by Prokka (120) and sequence alignment to characterized genes and are grouped by putative function. Numeric values for each sample represent normalized transcript abundance (median of ratios) per thousand transcripts. Shading represents the Z-score for each gene (standard deviations from mean).</w:t>
      </w:r>
      <w:bookmarkEnd w:id="244"/>
    </w:p>
    <w:p w14:paraId="69571D44" w14:textId="62345A70" w:rsidR="00121FFD" w:rsidRPr="00CE4E6D" w:rsidRDefault="00121FFD" w:rsidP="00EC45B2">
      <w:pPr>
        <w:spacing w:line="480" w:lineRule="auto"/>
        <w:ind w:firstLine="0"/>
        <w:rPr>
          <w:rFonts w:cs="Times New Roman"/>
        </w:rPr>
      </w:pPr>
      <w:r w:rsidRPr="00CE4E6D">
        <w:rPr>
          <w:rFonts w:cs="Times New Roman"/>
        </w:rPr>
        <w:t xml:space="preserve"> </w:t>
      </w:r>
      <w:r w:rsidRPr="00CE4E6D">
        <w:rPr>
          <w:rFonts w:cs="Times New Roman"/>
        </w:rPr>
        <w:br w:type="page"/>
      </w:r>
    </w:p>
    <w:p w14:paraId="4181F372" w14:textId="77777777" w:rsidR="00EC45B2" w:rsidRPr="00CE4E6D" w:rsidRDefault="00121FFD" w:rsidP="00EC45B2">
      <w:pPr>
        <w:keepNext/>
        <w:spacing w:line="480" w:lineRule="auto"/>
        <w:ind w:firstLine="0"/>
        <w:rPr>
          <w:rFonts w:cs="Times New Roman"/>
        </w:rPr>
      </w:pPr>
      <w:r w:rsidRPr="00CE4E6D">
        <w:rPr>
          <w:rFonts w:cs="Times New Roman"/>
          <w:noProof/>
        </w:rPr>
        <w:drawing>
          <wp:inline distT="0" distB="0" distL="0" distR="0" wp14:anchorId="50D58E8B" wp14:editId="6FA75117">
            <wp:extent cx="5462028" cy="4903470"/>
            <wp:effectExtent l="0" t="0" r="5715" b="0"/>
            <wp:docPr id="6032732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273296" name="Picture 4"/>
                    <pic:cNvPicPr>
                      <a:picLocks noChangeAspect="1" noChangeArrowheads="1"/>
                    </pic:cNvPicPr>
                  </pic:nvPicPr>
                  <pic:blipFill rotWithShape="1">
                    <a:blip r:embed="rId404" cstate="print">
                      <a:extLst>
                        <a:ext uri="{28A0092B-C50C-407E-A947-70E740481C1C}">
                          <a14:useLocalDpi xmlns:a14="http://schemas.microsoft.com/office/drawing/2010/main" val="0"/>
                        </a:ext>
                      </a:extLst>
                    </a:blip>
                    <a:srcRect l="1636" r="5035" b="3148"/>
                    <a:stretch/>
                  </pic:blipFill>
                  <pic:spPr bwMode="auto">
                    <a:xfrm>
                      <a:off x="0" y="0"/>
                      <a:ext cx="5462028" cy="4903470"/>
                    </a:xfrm>
                    <a:prstGeom prst="rect">
                      <a:avLst/>
                    </a:prstGeom>
                    <a:noFill/>
                    <a:ln>
                      <a:noFill/>
                    </a:ln>
                    <a:extLst>
                      <a:ext uri="{53640926-AAD7-44D8-BBD7-CCE9431645EC}">
                        <a14:shadowObscured xmlns:a14="http://schemas.microsoft.com/office/drawing/2010/main"/>
                      </a:ext>
                    </a:extLst>
                  </pic:spPr>
                </pic:pic>
              </a:graphicData>
            </a:graphic>
          </wp:inline>
        </w:drawing>
      </w:r>
    </w:p>
    <w:p w14:paraId="4E0AB602" w14:textId="4C873C47" w:rsidR="00121FFD" w:rsidRPr="001D6E31" w:rsidRDefault="00A578C7" w:rsidP="00F13F6D">
      <w:pPr>
        <w:pStyle w:val="Caption"/>
        <w:rPr>
          <w:b w:val="0"/>
          <w:bCs w:val="0"/>
          <w:szCs w:val="24"/>
        </w:rPr>
      </w:pPr>
      <w:bookmarkStart w:id="245" w:name="_Toc193695185"/>
      <w:r>
        <w:t xml:space="preserve">Figure </w:t>
      </w:r>
      <w:fldSimple w:instr=" STYLEREF 1 \s ">
        <w:r w:rsidR="00971287">
          <w:rPr>
            <w:noProof/>
          </w:rPr>
          <w:t>4</w:t>
        </w:r>
      </w:fldSimple>
      <w:r w:rsidR="00F13F6D">
        <w:t>.</w:t>
      </w:r>
      <w:fldSimple w:instr=" SEQ Figure \* ARABIC \s 1 ">
        <w:r w:rsidR="00971287">
          <w:rPr>
            <w:noProof/>
          </w:rPr>
          <w:t>4</w:t>
        </w:r>
      </w:fldSimple>
      <w:r w:rsidRPr="00CE4E6D">
        <w:t xml:space="preserve"> Differential abundance of riboflavin detected via UHPLC-MS</w:t>
      </w:r>
      <w:r w:rsidRPr="001D6E31">
        <w:rPr>
          <w:b w:val="0"/>
          <w:bCs w:val="0"/>
        </w:rPr>
        <w:t>. (a) Extracted Ion Chromatograms (EIC) for a feature with m/z 377.1461. (b) Mirrored MS/MS fragmentation patterns for predicted riboflavin feature mirrored with a known standard for riboflavin. (c) Raw abundance of putative riboflavin feature across the examined supernatants. (inset) Molecular structure of riboflavin.</w:t>
      </w:r>
      <w:bookmarkEnd w:id="245"/>
    </w:p>
    <w:p w14:paraId="0BF551AE" w14:textId="326B9E66" w:rsidR="00121FFD" w:rsidRPr="00CE4E6D" w:rsidRDefault="00121FFD" w:rsidP="00EC45B2">
      <w:pPr>
        <w:spacing w:line="480" w:lineRule="auto"/>
        <w:ind w:firstLine="0"/>
        <w:rPr>
          <w:rFonts w:cs="Times New Roman"/>
        </w:rPr>
      </w:pPr>
    </w:p>
    <w:p w14:paraId="02226771" w14:textId="77777777" w:rsidR="00EC45B2" w:rsidRPr="00CE4E6D" w:rsidRDefault="00121FFD" w:rsidP="00EC45B2">
      <w:pPr>
        <w:keepNext/>
        <w:spacing w:line="480" w:lineRule="auto"/>
        <w:ind w:firstLine="0"/>
        <w:jc w:val="center"/>
        <w:rPr>
          <w:rFonts w:cs="Times New Roman"/>
        </w:rPr>
      </w:pPr>
      <w:r w:rsidRPr="00CE4E6D">
        <w:rPr>
          <w:rFonts w:cs="Times New Roman"/>
          <w:noProof/>
        </w:rPr>
        <w:lastRenderedPageBreak/>
        <w:drawing>
          <wp:inline distT="0" distB="0" distL="0" distR="0" wp14:anchorId="0B55D5C7" wp14:editId="63D14DEC">
            <wp:extent cx="5465975" cy="2314274"/>
            <wp:effectExtent l="0" t="0" r="1905" b="0"/>
            <wp:docPr id="14600247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24762" name="Picture 6"/>
                    <pic:cNvPicPr>
                      <a:picLocks noChangeAspect="1" noChangeArrowheads="1"/>
                    </pic:cNvPicPr>
                  </pic:nvPicPr>
                  <pic:blipFill>
                    <a:blip r:embed="rId405" cstate="print">
                      <a:extLst>
                        <a:ext uri="{28A0092B-C50C-407E-A947-70E740481C1C}">
                          <a14:useLocalDpi xmlns:a14="http://schemas.microsoft.com/office/drawing/2010/main" val="0"/>
                        </a:ext>
                      </a:extLst>
                    </a:blip>
                    <a:stretch>
                      <a:fillRect/>
                    </a:stretch>
                  </pic:blipFill>
                  <pic:spPr bwMode="auto">
                    <a:xfrm>
                      <a:off x="0" y="0"/>
                      <a:ext cx="5465975" cy="2314274"/>
                    </a:xfrm>
                    <a:prstGeom prst="rect">
                      <a:avLst/>
                    </a:prstGeom>
                    <a:noFill/>
                    <a:ln>
                      <a:noFill/>
                    </a:ln>
                  </pic:spPr>
                </pic:pic>
              </a:graphicData>
            </a:graphic>
          </wp:inline>
        </w:drawing>
      </w:r>
    </w:p>
    <w:p w14:paraId="596FA029" w14:textId="6B60CF7A" w:rsidR="00121FFD" w:rsidRPr="00CE4E6D" w:rsidRDefault="00EC45B2" w:rsidP="00F13F6D">
      <w:pPr>
        <w:pStyle w:val="Caption"/>
      </w:pPr>
      <w:bookmarkStart w:id="246" w:name="_Toc193695186"/>
      <w:r w:rsidRPr="00CE4E6D">
        <w:t xml:space="preserve">Figure </w:t>
      </w:r>
      <w:fldSimple w:instr=" STYLEREF 1 \s ">
        <w:r w:rsidR="00971287">
          <w:rPr>
            <w:noProof/>
          </w:rPr>
          <w:t>4</w:t>
        </w:r>
      </w:fldSimple>
      <w:r w:rsidR="00F13F6D">
        <w:t>.</w:t>
      </w:r>
      <w:fldSimple w:instr=" SEQ Figure \* ARABIC \s 1 ">
        <w:r w:rsidR="00971287">
          <w:rPr>
            <w:noProof/>
          </w:rPr>
          <w:t>5</w:t>
        </w:r>
      </w:fldSimple>
      <w:r w:rsidRPr="00CE4E6D">
        <w:t xml:space="preserve"> Volatile organic compounds (VOCs) detected in microcosm headspace following eight weeks of incubation. </w:t>
      </w:r>
      <w:r w:rsidRPr="001D6E31">
        <w:rPr>
          <w:b w:val="0"/>
          <w:bCs w:val="0"/>
        </w:rPr>
        <w:t xml:space="preserve">(a) PCA plot showing differences between treatments. Polygons represent range of observed scores within a treatment group. (b) Differential abundance of feature with </w:t>
      </w:r>
      <w:r w:rsidRPr="001D6E31">
        <w:rPr>
          <w:b w:val="0"/>
          <w:bCs w:val="0"/>
          <w:i/>
        </w:rPr>
        <w:t>m/z</w:t>
      </w:r>
      <w:r w:rsidRPr="001D6E31">
        <w:rPr>
          <w:b w:val="0"/>
          <w:bCs w:val="0"/>
        </w:rPr>
        <w:t xml:space="preserve"> 63.71, putatively identified as dimethyl sulfide (DMS). </w:t>
      </w:r>
      <w:r w:rsidRPr="001D6E31">
        <w:rPr>
          <w:b w:val="0"/>
          <w:bCs w:val="0"/>
          <w:i/>
        </w:rPr>
        <w:t>ns – not significant</w:t>
      </w:r>
      <w:r w:rsidRPr="001D6E31">
        <w:rPr>
          <w:b w:val="0"/>
          <w:bCs w:val="0"/>
        </w:rPr>
        <w:t>.</w:t>
      </w:r>
      <w:bookmarkEnd w:id="246"/>
    </w:p>
    <w:p w14:paraId="4830F9CF" w14:textId="77777777" w:rsidR="00121FFD" w:rsidRPr="00CE4E6D" w:rsidRDefault="00121FFD" w:rsidP="00EC45B2">
      <w:pPr>
        <w:ind w:firstLine="0"/>
        <w:rPr>
          <w:rFonts w:cs="Times New Roman"/>
          <w:i/>
          <w:iCs/>
        </w:rPr>
      </w:pPr>
    </w:p>
    <w:p w14:paraId="2F6A7896" w14:textId="20020462" w:rsidR="00121FFD" w:rsidRPr="008C5889" w:rsidRDefault="00121FFD" w:rsidP="00121FFD">
      <w:pPr>
        <w:ind w:firstLine="0"/>
        <w:sectPr w:rsidR="00121FFD" w:rsidRPr="008C5889" w:rsidSect="00A23FDC">
          <w:pgSz w:w="12240" w:h="15840" w:code="1"/>
          <w:pgMar w:top="1440" w:right="1800" w:bottom="1872" w:left="1800" w:header="720" w:footer="1440" w:gutter="0"/>
          <w:cols w:space="720"/>
          <w:noEndnote/>
          <w:docGrid w:linePitch="360"/>
        </w:sectPr>
      </w:pPr>
    </w:p>
    <w:p w14:paraId="4FCA2AB9" w14:textId="77777777" w:rsidR="00743645" w:rsidRDefault="002D12B0" w:rsidP="008420A0">
      <w:pPr>
        <w:pStyle w:val="Heading1"/>
      </w:pPr>
      <w:bookmarkStart w:id="247" w:name="_Toc196256950"/>
      <w:r w:rsidRPr="002D12B0">
        <w:lastRenderedPageBreak/>
        <w:t>CONCLUSION</w:t>
      </w:r>
      <w:bookmarkEnd w:id="247"/>
    </w:p>
    <w:p w14:paraId="3A38AC18" w14:textId="31A81D11" w:rsidR="009B445E" w:rsidRDefault="00743645">
      <w:pPr>
        <w:spacing w:line="240" w:lineRule="auto"/>
        <w:ind w:firstLine="0"/>
      </w:pPr>
      <w:r>
        <w:br w:type="page"/>
      </w:r>
    </w:p>
    <w:p w14:paraId="526A4EB2" w14:textId="2BFAED3D" w:rsidR="00776A21" w:rsidRPr="00D0143D" w:rsidRDefault="00776A21" w:rsidP="00776A21">
      <w:pPr>
        <w:rPr>
          <w:b/>
          <w:bCs/>
        </w:rPr>
      </w:pPr>
      <w:r w:rsidRPr="001672B7">
        <w:lastRenderedPageBreak/>
        <w:t>This dissertation</w:t>
      </w:r>
      <w:r>
        <w:t xml:space="preserve"> addressed how three representative and cultivated bacteria from the Antarctic polar desert interact with their environment. Earth’s cryosphere plays a significant role in global climate and biogeochemical cycling </w:t>
      </w:r>
      <w:r w:rsidRPr="00F168FA">
        <w:t>(Meredith, 2022)</w:t>
      </w:r>
      <w:r>
        <w:t xml:space="preserve">, and efforts to describe the responses of polar communities to change are a high priority for the international cryosphere research community </w:t>
      </w:r>
      <w:r w:rsidRPr="00317E04">
        <w:t>(Kennicutt et al., 2015; NAESM, 2024)</w:t>
      </w:r>
      <w:r>
        <w:t xml:space="preserve">. Microbial life in the McMurdo Dry Valleys (MDV) are exposed to a wide range of extremes (e.g., temperature, salinity, UV radiation) that may serve as useful analogs for studying life on other planets </w:t>
      </w:r>
      <w:r w:rsidRPr="0098325F">
        <w:t>(Salvatore and Levy, 2021)</w:t>
      </w:r>
      <w:r>
        <w:t xml:space="preserve">. Environmental changes actively occurring within the MDV are already altering community structure and function </w:t>
      </w:r>
      <w:r w:rsidRPr="00F168FA">
        <w:t>(Cary et al., 2010; Fountain et al., 2014; Gooseff et al., 2017; Barrett et al., 2024)</w:t>
      </w:r>
      <w:r>
        <w:t>. Given the rapid pace of change in the cryosphere, studies into the role of microbial life in these environments, and how biosignatures are imprinted under analogous conditions, are more urgent than ever.</w:t>
      </w:r>
    </w:p>
    <w:p w14:paraId="3C474142" w14:textId="3033271D" w:rsidR="009B445E" w:rsidRDefault="009B445E" w:rsidP="00B8170A">
      <w:pPr>
        <w:rPr>
          <w:i/>
          <w:iCs/>
        </w:rPr>
      </w:pPr>
      <w:r>
        <w:t>Due the thin ozone layer and high solar radiation at extreme latitudes, microbial communities in the MDV are exposed to large amounts of UV radiation</w:t>
      </w:r>
      <w:r w:rsidR="00776A21">
        <w:t xml:space="preserve"> during the austral summer</w:t>
      </w:r>
      <w:r>
        <w:t xml:space="preserve"> </w:t>
      </w:r>
      <w:r w:rsidRPr="007C5B00">
        <w:t>(Frederick and Snell, 1988)</w:t>
      </w:r>
      <w:r>
        <w:t xml:space="preserve">. Long term climate monitoring has identified that solar radiation in the MDV is increasing in variability </w:t>
      </w:r>
      <w:r w:rsidRPr="007C5B00">
        <w:t>(Obryk et al., 2018)</w:t>
      </w:r>
      <w:r>
        <w:t xml:space="preserve">, thus efficient mechanisms of UV protection will become </w:t>
      </w:r>
      <w:r w:rsidR="00776A21">
        <w:t>more</w:t>
      </w:r>
      <w:r>
        <w:t xml:space="preserve"> important for both individuals and communities. The genome of </w:t>
      </w:r>
      <w:r w:rsidRPr="001672B7">
        <w:rPr>
          <w:i/>
          <w:iCs/>
        </w:rPr>
        <w:t xml:space="preserve">Massilia frigida </w:t>
      </w:r>
      <w:r w:rsidRPr="001672B7">
        <w:t>DJPM01</w:t>
      </w:r>
      <w:r>
        <w:t xml:space="preserve">, </w:t>
      </w:r>
      <w:r w:rsidR="00776A21">
        <w:t>described</w:t>
      </w:r>
      <w:r w:rsidRPr="001672B7">
        <w:t xml:space="preserve"> in </w:t>
      </w:r>
      <w:r w:rsidRPr="001672B7">
        <w:rPr>
          <w:b/>
          <w:bCs/>
        </w:rPr>
        <w:t>Chapter Two</w:t>
      </w:r>
      <w:r w:rsidRPr="00D0143D">
        <w:t>,</w:t>
      </w:r>
      <w:r w:rsidRPr="001672B7">
        <w:t xml:space="preserve"> </w:t>
      </w:r>
      <w:r>
        <w:t xml:space="preserve">encoded </w:t>
      </w:r>
      <w:r w:rsidRPr="001672B7">
        <w:t>numerous putative genomic adaptations to life in cold environments</w:t>
      </w:r>
      <w:r>
        <w:t>, including fatty acid desaturases and chaperones for protein folding.</w:t>
      </w:r>
      <w:r w:rsidRPr="009E3BBB">
        <w:rPr>
          <w:b/>
          <w:bCs/>
        </w:rPr>
        <w:t xml:space="preserve"> </w:t>
      </w:r>
      <w:r w:rsidR="00B8170A">
        <w:t>A</w:t>
      </w:r>
      <w:r w:rsidR="00B8170A" w:rsidRPr="001672B7">
        <w:t xml:space="preserve"> host of secondary metabolite biosynthetic gene clusters (BGCs)</w:t>
      </w:r>
      <w:r w:rsidR="00B8170A">
        <w:t xml:space="preserve"> were coded for in the genome and w</w:t>
      </w:r>
      <w:r w:rsidR="00B8170A" w:rsidRPr="001672B7">
        <w:t>e conclusively identif</w:t>
      </w:r>
      <w:r w:rsidR="00B8170A">
        <w:t>ied</w:t>
      </w:r>
      <w:r w:rsidR="00B8170A" w:rsidRPr="001672B7">
        <w:t xml:space="preserve"> the </w:t>
      </w:r>
      <w:r w:rsidR="00B8170A">
        <w:t xml:space="preserve">synthesis of a </w:t>
      </w:r>
      <w:r w:rsidR="00B8170A" w:rsidRPr="001672B7">
        <w:t>red pigment as prodigiosin, which degraded following constant incubation with UV-A radiation</w:t>
      </w:r>
      <w:r w:rsidR="00B8170A">
        <w:t xml:space="preserve">. We concluded that in Antarctic </w:t>
      </w:r>
      <w:r w:rsidR="00B8170A" w:rsidRPr="000D4ACC">
        <w:rPr>
          <w:i/>
          <w:iCs/>
        </w:rPr>
        <w:t>Massilia</w:t>
      </w:r>
      <w:r w:rsidR="00B8170A">
        <w:t>, this pigment</w:t>
      </w:r>
      <w:r w:rsidR="00B8170A" w:rsidRPr="001672B7">
        <w:t xml:space="preserve"> </w:t>
      </w:r>
      <w:r w:rsidR="00B8170A">
        <w:t xml:space="preserve">may function as an </w:t>
      </w:r>
      <w:r w:rsidR="00B8170A" w:rsidRPr="001672B7">
        <w:t>UV protect</w:t>
      </w:r>
      <w:r w:rsidR="00B8170A">
        <w:t>ant</w:t>
      </w:r>
      <w:r w:rsidR="00B8170A" w:rsidRPr="001672B7">
        <w:t xml:space="preserve"> for the </w:t>
      </w:r>
      <w:r w:rsidR="00B8170A">
        <w:t>larger microbial mat community in which it was isolated from</w:t>
      </w:r>
      <w:r w:rsidR="00B8170A" w:rsidRPr="001672B7">
        <w:t xml:space="preserve"> (Gareia-Pichel and Castenholz, 1994; Borić et al., 2011), as a bactericidal or nematocidal agent (Danevčič et al., 2016; Habash et al., 2020), or as a yet-undefined player in the modulation of low-temperature energetics (Amato and Christner, 2009; Haddix and Shanks, 2018).</w:t>
      </w:r>
    </w:p>
    <w:p w14:paraId="149F65C2" w14:textId="35705A74" w:rsidR="009B445E" w:rsidRPr="001672B7" w:rsidRDefault="009B445E" w:rsidP="00562BA2">
      <w:r w:rsidRPr="001672B7">
        <w:rPr>
          <w:i/>
          <w:iCs/>
        </w:rPr>
        <w:t xml:space="preserve">M. frigida </w:t>
      </w:r>
      <w:r w:rsidRPr="001672B7">
        <w:t>DJPM01 has potential</w:t>
      </w:r>
      <w:r>
        <w:t xml:space="preserve"> as</w:t>
      </w:r>
      <w:r w:rsidRPr="001672B7">
        <w:t xml:space="preserve"> a model organism for studying the role of secondary metabolism in Antarctic bacteria. In general, extreme environments are of strong interest by the natural products communities due to their potential to shape the evolution of novel bioactive compounds (Giddings and Newman, 2015), and investigation of Antarctic microorganisms have </w:t>
      </w:r>
      <w:r w:rsidRPr="001672B7">
        <w:lastRenderedPageBreak/>
        <w:t xml:space="preserve">already revealed a wide variety of novel compounds and enzymes with pharmaceutical and industrial applications (Silva et al., 2018; Correa and Abreu, 2020). However, the ecological function of secondary metabolites in these systems remains poorly constrained (Medeiros et al., 2025). As a culturable bacterial isolate with significant potential for secondary metabolite production, </w:t>
      </w:r>
      <w:r w:rsidRPr="001672B7">
        <w:rPr>
          <w:i/>
          <w:iCs/>
        </w:rPr>
        <w:t xml:space="preserve">M. frigida </w:t>
      </w:r>
      <w:r w:rsidRPr="001672B7">
        <w:t>DJPM01 provides a unique opportunity for elucidating the ecological function of these compounds.</w:t>
      </w:r>
    </w:p>
    <w:p w14:paraId="420F82B7" w14:textId="2776922E" w:rsidR="009B445E" w:rsidRDefault="009B445E" w:rsidP="00562BA2">
      <w:r w:rsidRPr="001672B7">
        <w:t>Several unknowns remain regarding the function of prodigiosin in</w:t>
      </w:r>
      <w:r w:rsidRPr="001672B7">
        <w:rPr>
          <w:i/>
          <w:iCs/>
        </w:rPr>
        <w:t xml:space="preserve"> </w:t>
      </w:r>
      <w:r w:rsidRPr="001672B7">
        <w:t xml:space="preserve">the Antarctic. While we were able to identify </w:t>
      </w:r>
      <w:r w:rsidR="00F51F9F">
        <w:t xml:space="preserve">compound </w:t>
      </w:r>
      <w:r w:rsidRPr="001672B7">
        <w:t>photolysis</w:t>
      </w:r>
      <w:r w:rsidR="00F51F9F">
        <w:t>,</w:t>
      </w:r>
      <w:r w:rsidRPr="001672B7">
        <w:t xml:space="preserve"> alteration in pigment production remain</w:t>
      </w:r>
      <w:r>
        <w:t>s</w:t>
      </w:r>
      <w:r w:rsidRPr="001672B7">
        <w:t xml:space="preserve"> uncharacterized. Additionally, </w:t>
      </w:r>
      <w:r w:rsidR="00B42F87">
        <w:t xml:space="preserve">the impact of </w:t>
      </w:r>
      <w:r w:rsidRPr="001672B7">
        <w:t xml:space="preserve">other wavelengths of UV radiation should be investigated, particularly UV-B, which has increased in recent decades as a result of </w:t>
      </w:r>
      <w:r w:rsidR="00F51F9F">
        <w:t>Antarctic</w:t>
      </w:r>
      <w:r w:rsidR="00F51F9F" w:rsidRPr="001672B7">
        <w:t xml:space="preserve"> </w:t>
      </w:r>
      <w:r w:rsidRPr="001672B7">
        <w:t xml:space="preserve">ozone thinning (Robinson et al., 2024). While the utility of genetic tools for generating mutant strains of </w:t>
      </w:r>
      <w:r w:rsidRPr="001672B7">
        <w:rPr>
          <w:i/>
          <w:iCs/>
        </w:rPr>
        <w:t xml:space="preserve">M. frigida </w:t>
      </w:r>
      <w:r w:rsidRPr="001672B7">
        <w:t>DJPM01 remains unknown, long-term incubations (&gt;1 yr at 4 °C) has resulted in the isolation of a visually unpigmented strain, as well as a purple pigmented strain</w:t>
      </w:r>
      <w:r>
        <w:t xml:space="preserve"> (Shaffer, unpublished data)</w:t>
      </w:r>
      <w:r w:rsidRPr="001672B7">
        <w:t xml:space="preserve">. Through a targeted metabolomics approach, we were able to confirm that the purple-pigmented strain produces the pigment violacein, which was hypothesized based on the presence of the violacein BGC in the </w:t>
      </w:r>
      <w:r w:rsidRPr="001672B7">
        <w:rPr>
          <w:i/>
          <w:iCs/>
        </w:rPr>
        <w:t xml:space="preserve">M. frigida </w:t>
      </w:r>
      <w:r w:rsidRPr="001672B7">
        <w:t xml:space="preserve">DJPM01 genome, as well as the isolation of purple-pigmented </w:t>
      </w:r>
      <w:r w:rsidRPr="001672B7">
        <w:rPr>
          <w:i/>
          <w:iCs/>
        </w:rPr>
        <w:t xml:space="preserve">Massilia </w:t>
      </w:r>
      <w:r w:rsidRPr="001672B7">
        <w:t>spp. from other Antarctic and glaciated regions (Agematu et al., 2011; Wang et al., 2018; Sedláček et al., 2022).</w:t>
      </w:r>
      <w:r>
        <w:t xml:space="preserve"> While initial genomic characterization of these strains is required to identify any mutations within pigment BGCs or in other coding sequences, the existence of a prodigiosin-producing, a violacein-producing, and non-pigmented strain of </w:t>
      </w:r>
      <w:r>
        <w:rPr>
          <w:i/>
          <w:iCs/>
        </w:rPr>
        <w:t xml:space="preserve">M. frigida </w:t>
      </w:r>
      <w:r>
        <w:t>DJPM01 provides nearly limitless opportunities for laboratory studies investigating the ecological functions of these compounds and the relative fitness of these strains.</w:t>
      </w:r>
    </w:p>
    <w:p w14:paraId="44060749" w14:textId="12814FAE" w:rsidR="009B445E" w:rsidRDefault="009B445E" w:rsidP="00562BA2">
      <w:r>
        <w:t xml:space="preserve">The melting of buried permafrost within the MDV leads to the formation of meltwater seeps </w:t>
      </w:r>
      <w:r w:rsidRPr="0098325F">
        <w:t>(Ball et al., 2011; Ball and Virginia, 2012)</w:t>
      </w:r>
      <w:r>
        <w:t xml:space="preserve">. Wicking processes mobilize salts upwards to the surface, where they are left behind as the water evaporates. Warmer conditions within the MDV will lead to greater melt of near surface permafrost, and thus an increased abundance of saline soil patches </w:t>
      </w:r>
      <w:r w:rsidRPr="00032DAC">
        <w:t>(Ball et al., 2011; Fountain et al., 2014)</w:t>
      </w:r>
      <w:r>
        <w:t xml:space="preserve">. </w:t>
      </w:r>
      <w:r w:rsidR="00776A21">
        <w:t xml:space="preserve">In </w:t>
      </w:r>
      <w:r w:rsidR="00776A21" w:rsidRPr="00776A21">
        <w:rPr>
          <w:b/>
          <w:bCs/>
        </w:rPr>
        <w:t>Chapter Three</w:t>
      </w:r>
      <w:r w:rsidR="00776A21">
        <w:t xml:space="preserve">, </w:t>
      </w:r>
      <w:r>
        <w:t xml:space="preserve">we identified that community structure within </w:t>
      </w:r>
      <w:r w:rsidR="00F51F9F">
        <w:t>a</w:t>
      </w:r>
      <w:r>
        <w:t xml:space="preserve"> Fryxell basin seep d</w:t>
      </w:r>
      <w:r w:rsidR="00F51F9F">
        <w:t>id</w:t>
      </w:r>
      <w:r>
        <w:t xml:space="preserve"> not have large, phylum-level </w:t>
      </w:r>
      <w:r w:rsidR="00F51F9F">
        <w:t xml:space="preserve">differences </w:t>
      </w:r>
      <w:r>
        <w:t xml:space="preserve">as seen </w:t>
      </w:r>
      <w:r w:rsidR="00F51F9F">
        <w:t>across</w:t>
      </w:r>
      <w:r>
        <w:t xml:space="preserve"> other MDV </w:t>
      </w:r>
      <w:r w:rsidR="00F51F9F">
        <w:t xml:space="preserve">soil salinity gradients </w:t>
      </w:r>
      <w:r w:rsidRPr="00032DAC">
        <w:t>(</w:t>
      </w:r>
      <w:r w:rsidR="00F51F9F">
        <w:t xml:space="preserve">Geyer et al., 2014; </w:t>
      </w:r>
      <w:r w:rsidRPr="00032DAC">
        <w:t xml:space="preserve">Van Horn et al., 2014; George et al., 2021; </w:t>
      </w:r>
      <w:r w:rsidR="00F51F9F">
        <w:t xml:space="preserve">Jiang et al., 2022; </w:t>
      </w:r>
      <w:r w:rsidRPr="00032DAC">
        <w:t>Monteiro et al., 2022)</w:t>
      </w:r>
      <w:r>
        <w:t xml:space="preserve">, though the phyla Bacillota and </w:t>
      </w:r>
      <w:r>
        <w:lastRenderedPageBreak/>
        <w:t xml:space="preserve">Bacteroidota </w:t>
      </w:r>
      <w:r w:rsidR="00F51F9F">
        <w:t>were</w:t>
      </w:r>
      <w:r>
        <w:t xml:space="preserve"> positively correlate</w:t>
      </w:r>
      <w:r w:rsidR="00F51F9F">
        <w:t>d</w:t>
      </w:r>
      <w:r>
        <w:t xml:space="preserve"> with soil conductivity. Metagenomic sequencing identified several putative salt-response genes that were in greater abundance in </w:t>
      </w:r>
      <w:r w:rsidR="004F0C8A">
        <w:t xml:space="preserve">the </w:t>
      </w:r>
      <w:r>
        <w:t xml:space="preserve">moderately conductive soil </w:t>
      </w:r>
      <w:r w:rsidR="004F0C8A">
        <w:t>metagenome</w:t>
      </w:r>
      <w:r>
        <w:t xml:space="preserve">. Growing </w:t>
      </w:r>
      <w:r>
        <w:rPr>
          <w:i/>
          <w:iCs/>
        </w:rPr>
        <w:t xml:space="preserve">Gillisia </w:t>
      </w:r>
      <w:r>
        <w:t>sp. FRX26, an isolate positively correlated with salinity in the seep and present in several MDV basins, in 0.2 M and 0.5 M NaCl elicited several transcriptional and metabolic changes, many of which were hypothesized to be related to the production of extracellular polymeric substances (EPS).</w:t>
      </w:r>
    </w:p>
    <w:p w14:paraId="36525E33" w14:textId="2C6E043E" w:rsidR="009B445E" w:rsidRPr="00D22078" w:rsidRDefault="009B445E" w:rsidP="00562BA2">
      <w:r>
        <w:t xml:space="preserve">As soils throughout the MDV are extremely heterogeneous, additional efforts in describing seep communities are required to build a more comprehensive picture of the impacts of seep formation. In addition to other archived materials collected from within this same seep, further sequencing and bacterial culturing should be directed at soils collected from other seeps for comparisons at basin, valley, and inter-valley scale. As biofilm formation has been identified as a possible response to increases in salinity within the seep, efforts to identify the distribution of cells within the soil matrix, as well as the quantification of any extant biofilms, should also be performed. Similarly, further experimentation with </w:t>
      </w:r>
      <w:r>
        <w:rPr>
          <w:i/>
          <w:iCs/>
        </w:rPr>
        <w:t xml:space="preserve">Gillisia </w:t>
      </w:r>
      <w:r>
        <w:t xml:space="preserve">sp. FRX26 should focus on quantification and identification of synthesized EPS components. Microbial life adapted to cold conditions can produce EPS and capsule components with unique characteristics, such as interactions with ice for the sea ice-associated </w:t>
      </w:r>
      <w:r>
        <w:rPr>
          <w:i/>
          <w:iCs/>
        </w:rPr>
        <w:t xml:space="preserve">Colwellia </w:t>
      </w:r>
      <w:r w:rsidRPr="00576DE0">
        <w:rPr>
          <w:i/>
          <w:iCs/>
        </w:rPr>
        <w:t>psychrerythraea</w:t>
      </w:r>
      <w:r w:rsidRPr="00576DE0">
        <w:t xml:space="preserve"> </w:t>
      </w:r>
      <w:r>
        <w:t xml:space="preserve">34H </w:t>
      </w:r>
      <w:r w:rsidRPr="00576DE0">
        <w:t>(Marx et al., 2009; Carillo et al., 2015)</w:t>
      </w:r>
      <w:r>
        <w:t xml:space="preserve">, thus description of </w:t>
      </w:r>
      <w:r w:rsidR="00B8170A">
        <w:t xml:space="preserve">the </w:t>
      </w:r>
      <w:r>
        <w:t xml:space="preserve">EPS components </w:t>
      </w:r>
      <w:r w:rsidR="00B8170A">
        <w:t xml:space="preserve">of strain FRX26 </w:t>
      </w:r>
      <w:r>
        <w:t xml:space="preserve">may reveal additional insight into responses to salinity. Finally, as experiments performed </w:t>
      </w:r>
      <w:r>
        <w:rPr>
          <w:i/>
          <w:iCs/>
        </w:rPr>
        <w:t xml:space="preserve">in vitro </w:t>
      </w:r>
      <w:r>
        <w:t xml:space="preserve">are an abstraction from the natural conditions of the soil matrix, investigation of both </w:t>
      </w:r>
      <w:r>
        <w:rPr>
          <w:i/>
          <w:iCs/>
        </w:rPr>
        <w:t xml:space="preserve">Gillisia </w:t>
      </w:r>
      <w:r>
        <w:t xml:space="preserve">and whole community responses to seep formation can be explored in soil microcosms, similar to </w:t>
      </w:r>
      <w:r w:rsidRPr="00D22078">
        <w:t xml:space="preserve">Shaw and Wall </w:t>
      </w:r>
      <w:r>
        <w:t>(</w:t>
      </w:r>
      <w:r w:rsidRPr="00D22078">
        <w:t>2019)</w:t>
      </w:r>
      <w:r>
        <w:t xml:space="preserve"> and </w:t>
      </w:r>
      <w:r w:rsidRPr="00D22078">
        <w:t xml:space="preserve">Monteiro et al. </w:t>
      </w:r>
      <w:r>
        <w:t>(</w:t>
      </w:r>
      <w:r w:rsidRPr="00D22078">
        <w:t>2023)</w:t>
      </w:r>
      <w:r>
        <w:t xml:space="preserve">. Using a sterile soil matrix approximating the physicochemistry of Fryxell basin soils, seep formation can be simulated via addition of water with a range of salinities. These microcosms can be utilized to explore production of EPS in a soil matrix through microscopy and multi-omics approaches to provide a more environmentally-relevant understanding of how community members respond to the </w:t>
      </w:r>
      <w:r w:rsidR="00B8170A">
        <w:t>physicochemistry</w:t>
      </w:r>
      <w:r>
        <w:t xml:space="preserve"> of seeps with</w:t>
      </w:r>
      <w:r w:rsidR="004F0C8A">
        <w:t>in</w:t>
      </w:r>
      <w:r>
        <w:t xml:space="preserve"> the MDV.</w:t>
      </w:r>
    </w:p>
    <w:p w14:paraId="15974D36" w14:textId="3EE0BD1A" w:rsidR="009B445E" w:rsidRDefault="009B445E" w:rsidP="00562BA2">
      <w:r w:rsidRPr="004719D6">
        <w:rPr>
          <w:i/>
          <w:iCs/>
        </w:rPr>
        <w:t xml:space="preserve">Shewanella </w:t>
      </w:r>
      <w:r w:rsidRPr="004719D6">
        <w:t>sp. BF02_Schw</w:t>
      </w:r>
      <w:r>
        <w:t xml:space="preserve">, isolated from Blood Falls, Antarctica </w:t>
      </w:r>
      <w:r w:rsidRPr="004719D6">
        <w:t>(Mikucki and Priscu, 2007; Boles et al., 2021)</w:t>
      </w:r>
      <w:r>
        <w:t xml:space="preserve"> was utilized as a model analog extremophile in </w:t>
      </w:r>
      <w:r>
        <w:rPr>
          <w:b/>
          <w:bCs/>
        </w:rPr>
        <w:t>Chapter Four</w:t>
      </w:r>
      <w:r>
        <w:t xml:space="preserve"> to explore biosignature detection </w:t>
      </w:r>
      <w:r w:rsidR="004F0C8A">
        <w:t>via</w:t>
      </w:r>
      <w:r>
        <w:t xml:space="preserve"> Mars-relevant instrumentation. A suite of spectral and microscopic analyses identified that ferrihydrite was reduced to form biogenic goethite and </w:t>
      </w:r>
      <w:r>
        <w:lastRenderedPageBreak/>
        <w:t>magnetite, and possibly small amounts of akaganéite. Riboflavin concentrations were elevated in microcosm supernatants as detected via liquid chromatography-mass spectrometry.</w:t>
      </w:r>
      <w:r w:rsidR="00C20B57">
        <w:t xml:space="preserve"> </w:t>
      </w:r>
      <w:r>
        <w:t xml:space="preserve">Signals consistent with the mass of volatile compounds dimethyl sulfide, chloromethane, and bromomethane were detected in the headspace of incubations. Detected biosignatures were validated with abiotic controls and transcriptomic analyses. </w:t>
      </w:r>
    </w:p>
    <w:p w14:paraId="6879BE52" w14:textId="7948650E" w:rsidR="009B445E" w:rsidRDefault="009B445E" w:rsidP="00562BA2">
      <w:r>
        <w:t xml:space="preserve">Incubations with </w:t>
      </w:r>
      <w:r w:rsidRPr="004719D6">
        <w:rPr>
          <w:i/>
          <w:iCs/>
        </w:rPr>
        <w:t xml:space="preserve">Shewanella </w:t>
      </w:r>
      <w:r w:rsidRPr="004719D6">
        <w:t>sp. BF02_Schw</w:t>
      </w:r>
      <w:r>
        <w:t xml:space="preserve"> produced identifiable biogenic mineral species and organic compounds. However, no detected biosignature would be considered conclusive, and thus we would be unable to definitively report a positive result for life detection </w:t>
      </w:r>
      <w:r w:rsidRPr="0005294D">
        <w:t>(Neveu et al., 2018)</w:t>
      </w:r>
      <w:r>
        <w:t xml:space="preserve">. In part, this is due to the inherent challenge of the search for life, which is built on the premise that the presence of life must always be a hypothesis of last resort. As outlined by </w:t>
      </w:r>
      <w:r w:rsidRPr="00A8132D">
        <w:t xml:space="preserve">Neveu et al. </w:t>
      </w:r>
      <w:r>
        <w:t>(</w:t>
      </w:r>
      <w:r w:rsidRPr="00A8132D">
        <w:t>2018)</w:t>
      </w:r>
      <w:r>
        <w:t>, a positive detection for life requires spectral evidence for pigments, detection of complex nucleic acids, or evidence for at least structural preference (e.g., chirality) or patterns of complexity</w:t>
      </w:r>
      <w:r w:rsidR="00D01EC2">
        <w:t xml:space="preserve"> in organics</w:t>
      </w:r>
      <w:r>
        <w:t xml:space="preserve"> (e.g., specific C chain lengths). Interestingly, patterns of complexity may have been detected in our microcosms via Raman spectroscopy </w:t>
      </w:r>
      <w:r w:rsidRPr="00A8132D">
        <w:t>(Sapers et al., 2019)</w:t>
      </w:r>
      <w:r>
        <w:t xml:space="preserve">, though the high concentrations of Fe required for the suite of mineral analyses overwhelmed any organic signatures. Thus, future attempts at </w:t>
      </w:r>
      <w:r>
        <w:rPr>
          <w:i/>
          <w:iCs/>
        </w:rPr>
        <w:t xml:space="preserve">Shewanella </w:t>
      </w:r>
      <w:r>
        <w:t>sp. BF02_Schw microcosms should include treatments with lower concentrations of Fe.</w:t>
      </w:r>
    </w:p>
    <w:p w14:paraId="079A5BE6" w14:textId="7B5C1882" w:rsidR="00B8170A" w:rsidRDefault="009B445E" w:rsidP="00B8170A">
      <w:r>
        <w:t xml:space="preserve">As execution of these microcosms occurred over several years of observation and refinement, many tangential findings excluded from the final narrative are worth future investigation. Rates of ferrihydrite reduction significantly increased in treatments containing thiosulfate compared to those without. In </w:t>
      </w:r>
      <w:r>
        <w:rPr>
          <w:i/>
          <w:iCs/>
        </w:rPr>
        <w:t xml:space="preserve">Shewanella oneidensis </w:t>
      </w:r>
      <w:r>
        <w:t xml:space="preserve">MR-1¸ this acceleration was demonstrated to be mediated by the production of biogenic mackinawite following thiosulfate reduction </w:t>
      </w:r>
      <w:r w:rsidRPr="00CD7086">
        <w:t>(Zhu et al., 2022)</w:t>
      </w:r>
      <w:r>
        <w:t xml:space="preserve">. However, we were unable to conclusively identify any FeS minerals in </w:t>
      </w:r>
      <w:r>
        <w:rPr>
          <w:i/>
          <w:iCs/>
        </w:rPr>
        <w:t xml:space="preserve">Shewanella </w:t>
      </w:r>
      <w:r>
        <w:t>sp. BF02_Schw microcosms</w:t>
      </w:r>
      <w:r w:rsidR="00D01EC2">
        <w:t>,</w:t>
      </w:r>
      <w:r>
        <w:t xml:space="preserve"> though we did observe significantly increased transcription of the </w:t>
      </w:r>
      <w:r>
        <w:rPr>
          <w:i/>
          <w:iCs/>
        </w:rPr>
        <w:t>psr</w:t>
      </w:r>
      <w:r>
        <w:t xml:space="preserve"> pathway in treatments with both ferrihydrite and thiosulfate, as was observed in </w:t>
      </w:r>
      <w:r>
        <w:rPr>
          <w:i/>
          <w:iCs/>
        </w:rPr>
        <w:t>S. oneidensis</w:t>
      </w:r>
      <w:r>
        <w:t xml:space="preserve">. In addition to the description of any biogenic FeS minerals, future studies should be conducted to characterize the distribution of this synergistic metabolism, especially in light of the high concentrations of Fe and S observed at Blood Falls </w:t>
      </w:r>
      <w:r w:rsidRPr="00C3377F">
        <w:t>(Mikucki et al., 2009</w:t>
      </w:r>
      <w:r w:rsidR="00B8170A">
        <w:t>; Lyons et al., 2019</w:t>
      </w:r>
      <w:r w:rsidRPr="00C3377F">
        <w:t>)</w:t>
      </w:r>
      <w:r>
        <w:t xml:space="preserve"> and the relevance of Fe and S to both early Earth </w:t>
      </w:r>
      <w:r w:rsidRPr="00C3377F">
        <w:t>(Wächtershäuser, 1990)</w:t>
      </w:r>
      <w:r>
        <w:t xml:space="preserve"> and Mars </w:t>
      </w:r>
      <w:r w:rsidRPr="006917D6">
        <w:t>(Magnuson et al., 2023)</w:t>
      </w:r>
      <w:r>
        <w:t>.</w:t>
      </w:r>
    </w:p>
    <w:p w14:paraId="4394B075" w14:textId="730450BD" w:rsidR="009B445E" w:rsidRPr="00173169" w:rsidRDefault="00DE67A9" w:rsidP="00B8170A">
      <w:r>
        <w:lastRenderedPageBreak/>
        <w:t xml:space="preserve">Together, these chapters highlight how culture-based laboratory experiments provide insight into the ecology of the MDV and how microorganisms interact with their environment. The use of untargeted metabolomic approaches </w:t>
      </w:r>
      <w:r w:rsidR="006B2695">
        <w:t>can</w:t>
      </w:r>
      <w:r>
        <w:t xml:space="preserve"> identify compounds of interest </w:t>
      </w:r>
      <w:r w:rsidR="006B2695">
        <w:t>in</w:t>
      </w:r>
      <w:r>
        <w:t xml:space="preserve"> ecological (</w:t>
      </w:r>
      <w:r>
        <w:rPr>
          <w:b/>
          <w:bCs/>
        </w:rPr>
        <w:t xml:space="preserve">Chapter </w:t>
      </w:r>
      <w:r w:rsidRPr="006B2695">
        <w:rPr>
          <w:b/>
          <w:bCs/>
        </w:rPr>
        <w:t>Three</w:t>
      </w:r>
      <w:r>
        <w:t xml:space="preserve">) </w:t>
      </w:r>
      <w:r w:rsidRPr="00DE67A9">
        <w:t>or</w:t>
      </w:r>
      <w:r>
        <w:t xml:space="preserve"> astrobiological contexts (</w:t>
      </w:r>
      <w:r w:rsidRPr="00173169">
        <w:rPr>
          <w:b/>
          <w:bCs/>
        </w:rPr>
        <w:t>Chapter Four</w:t>
      </w:r>
      <w:r>
        <w:t>), which can be further analyzed via targeted approaches (</w:t>
      </w:r>
      <w:r>
        <w:rPr>
          <w:b/>
          <w:bCs/>
        </w:rPr>
        <w:t>Chapter Two</w:t>
      </w:r>
      <w:r>
        <w:t>).</w:t>
      </w:r>
      <w:r w:rsidR="009C68E9">
        <w:t xml:space="preserve"> T</w:t>
      </w:r>
      <w:r>
        <w:t xml:space="preserve">arget molecules </w:t>
      </w:r>
      <w:r w:rsidR="009C68E9">
        <w:t>serving</w:t>
      </w:r>
      <w:r>
        <w:t xml:space="preserve"> as biomarkers for respon</w:t>
      </w:r>
      <w:r w:rsidR="009C68E9">
        <w:t>se</w:t>
      </w:r>
      <w:r>
        <w:t xml:space="preserve"> to environment</w:t>
      </w:r>
      <w:r w:rsidR="009C68E9">
        <w:t xml:space="preserve">al change </w:t>
      </w:r>
      <w:r>
        <w:t xml:space="preserve">(e.g., compatible solutes, EPS, </w:t>
      </w:r>
      <w:r w:rsidR="009C68E9">
        <w:t xml:space="preserve">or </w:t>
      </w:r>
      <w:r>
        <w:t xml:space="preserve">pigments) can be quantitatively identified via field-portable methodologies, such as </w:t>
      </w:r>
      <w:r w:rsidR="009C68E9">
        <w:t xml:space="preserve">the detection of antibiotics in MDV soils via </w:t>
      </w:r>
      <w:r w:rsidR="006B2695">
        <w:t xml:space="preserve">colorimetric </w:t>
      </w:r>
      <w:r>
        <w:t>immunoassays</w:t>
      </w:r>
      <w:r w:rsidR="00D01EC2">
        <w:t xml:space="preserve"> (Shaffer, unpublished data)</w:t>
      </w:r>
      <w:r w:rsidR="009C68E9">
        <w:t>. These techniques can be utilized</w:t>
      </w:r>
      <w:r w:rsidR="00D01EC2">
        <w:t xml:space="preserve"> </w:t>
      </w:r>
      <w:r w:rsidR="006B2695">
        <w:t>to</w:t>
      </w:r>
      <w:r w:rsidR="00BB0840">
        <w:t xml:space="preserve"> both monitor the impacts of climate change and to guide sampling efforts for more in depth, laboratory-based experimentation</w:t>
      </w:r>
      <w:r w:rsidR="006B2695">
        <w:t xml:space="preserve">. </w:t>
      </w:r>
      <w:r w:rsidR="00BB0840">
        <w:t xml:space="preserve">Additionally, the use of cultivatable bacteria from extreme environments can be utilized to identify changes to subtle or gradual perturbations that might not be detectable in the environment. In a rapidly changing </w:t>
      </w:r>
      <w:r w:rsidR="009B445E">
        <w:t>cryosphere</w:t>
      </w:r>
      <w:r w:rsidR="006B2695">
        <w:t>, u</w:t>
      </w:r>
      <w:r w:rsidR="006B2695" w:rsidRPr="002633B4">
        <w:t xml:space="preserve">nderstanding how individual organisms respond to subtle environmental </w:t>
      </w:r>
      <w:r w:rsidR="00BB0840">
        <w:t>challenges</w:t>
      </w:r>
      <w:r w:rsidR="006B2695" w:rsidRPr="002633B4">
        <w:t xml:space="preserve"> is critical for understanding</w:t>
      </w:r>
      <w:r w:rsidR="006B2695">
        <w:t xml:space="preserve"> the</w:t>
      </w:r>
      <w:r w:rsidR="006B2695" w:rsidRPr="002633B4">
        <w:t xml:space="preserve"> impact of climate change on </w:t>
      </w:r>
      <w:r w:rsidR="00BB0840">
        <w:t>entire</w:t>
      </w:r>
      <w:r w:rsidR="006B2695" w:rsidRPr="002633B4">
        <w:t xml:space="preserve"> ecosystems</w:t>
      </w:r>
      <w:r w:rsidR="00BB0840">
        <w:t>.</w:t>
      </w:r>
    </w:p>
    <w:p w14:paraId="542D66A8" w14:textId="77777777" w:rsidR="009B445E" w:rsidRDefault="009B445E" w:rsidP="00562BA2">
      <w:pPr>
        <w:ind w:firstLine="0"/>
        <w:rPr>
          <w:b/>
          <w:bCs/>
          <w:iCs/>
          <w:szCs w:val="28"/>
        </w:rPr>
      </w:pPr>
      <w:r>
        <w:br w:type="page"/>
      </w:r>
    </w:p>
    <w:p w14:paraId="3A4246E1" w14:textId="7C228AA2" w:rsidR="009B445E" w:rsidRDefault="009B445E" w:rsidP="00562BA2">
      <w:pPr>
        <w:pStyle w:val="Heading2"/>
      </w:pPr>
      <w:bookmarkStart w:id="248" w:name="_Toc196256951"/>
      <w:r>
        <w:lastRenderedPageBreak/>
        <w:t>References</w:t>
      </w:r>
      <w:bookmarkEnd w:id="248"/>
    </w:p>
    <w:p w14:paraId="1BA5FF6E" w14:textId="77777777" w:rsidR="009B445E" w:rsidRPr="00D22078" w:rsidRDefault="009B445E" w:rsidP="00562BA2">
      <w:pPr>
        <w:pStyle w:val="Rerences"/>
      </w:pPr>
      <w:r w:rsidRPr="00D22078">
        <w:t xml:space="preserve">Agematu, H., Suzuki, K., and Tsuya, H. (2011). </w:t>
      </w:r>
      <w:r w:rsidRPr="00D22078">
        <w:rPr>
          <w:i/>
          <w:iCs/>
        </w:rPr>
        <w:t>Massilia</w:t>
      </w:r>
      <w:r w:rsidRPr="00D22078">
        <w:t xml:space="preserve"> sp. BS-1, a Novel Violacein-Producing Bacterium Isolated from Soil. </w:t>
      </w:r>
      <w:r w:rsidRPr="00D22078">
        <w:rPr>
          <w:i/>
          <w:iCs/>
        </w:rPr>
        <w:t>Bioscience, Biotechnology, and Biochemistry</w:t>
      </w:r>
      <w:r w:rsidRPr="00D22078">
        <w:t xml:space="preserve"> 75, 2008–2010. doi: 10.1271/bbb.100729</w:t>
      </w:r>
    </w:p>
    <w:p w14:paraId="4A44E2B2" w14:textId="77777777" w:rsidR="009B445E" w:rsidRPr="00D22078" w:rsidRDefault="009B445E" w:rsidP="00562BA2">
      <w:pPr>
        <w:pStyle w:val="Rerences"/>
      </w:pPr>
      <w:r w:rsidRPr="00D22078">
        <w:t xml:space="preserve">Amato, P., and Christner, B. C. (2009). Energy Metabolism Response to Low-Temperature and Frozen Conditions in </w:t>
      </w:r>
      <w:r w:rsidRPr="00D22078">
        <w:rPr>
          <w:i/>
          <w:iCs/>
        </w:rPr>
        <w:t>Psychrobacter cryohalolentis</w:t>
      </w:r>
      <w:r w:rsidRPr="00D22078">
        <w:t xml:space="preserve">. </w:t>
      </w:r>
      <w:r w:rsidRPr="00D22078">
        <w:rPr>
          <w:i/>
          <w:iCs/>
        </w:rPr>
        <w:t>Appl Environ Microbiol</w:t>
      </w:r>
      <w:r w:rsidRPr="00D22078">
        <w:t xml:space="preserve"> 75, 711–718. doi: 10.1128/AEM.02193-08</w:t>
      </w:r>
    </w:p>
    <w:p w14:paraId="4FB9A84C" w14:textId="77777777" w:rsidR="009B445E" w:rsidRPr="00D22078" w:rsidRDefault="009B445E" w:rsidP="00562BA2">
      <w:pPr>
        <w:pStyle w:val="Rerences"/>
      </w:pPr>
      <w:r w:rsidRPr="00D22078">
        <w:t xml:space="preserve">Ball, B. A., Barrett, J. E., Gooseff, M. N., Virginia, R. A., and Wall, D. H. (2011). Implications of meltwater pulse events for soil biology and biogeochemical cycling in a polar desert. </w:t>
      </w:r>
      <w:r w:rsidRPr="00D22078">
        <w:rPr>
          <w:i/>
          <w:iCs/>
        </w:rPr>
        <w:t>Polar Research</w:t>
      </w:r>
      <w:r w:rsidRPr="00D22078">
        <w:t xml:space="preserve"> 30, 14555. doi: 10.3402/polar.v30i0.14555</w:t>
      </w:r>
    </w:p>
    <w:p w14:paraId="207A3916" w14:textId="77777777" w:rsidR="009B445E" w:rsidRPr="00D22078" w:rsidRDefault="009B445E" w:rsidP="00562BA2">
      <w:pPr>
        <w:pStyle w:val="Rerences"/>
      </w:pPr>
      <w:r w:rsidRPr="00D22078">
        <w:t xml:space="preserve">Ball, B. A., and Virginia, R. A. (2012). Meltwater seep patches increase heterogeneity of soil geochemistry and therefore habitat suitability. </w:t>
      </w:r>
      <w:r w:rsidRPr="00D22078">
        <w:rPr>
          <w:i/>
          <w:iCs/>
        </w:rPr>
        <w:t>Geoderma</w:t>
      </w:r>
      <w:r w:rsidRPr="00D22078">
        <w:t xml:space="preserve"> 189–190, 652–660. doi: 10.1016/j.geoderma.2012.06.028</w:t>
      </w:r>
    </w:p>
    <w:p w14:paraId="0BECD3CB" w14:textId="77777777" w:rsidR="009B445E" w:rsidRPr="00D22078" w:rsidRDefault="009B445E" w:rsidP="00562BA2">
      <w:pPr>
        <w:pStyle w:val="Rerences"/>
      </w:pPr>
      <w:r w:rsidRPr="00D22078">
        <w:t xml:space="preserve">Barrett, J. E., Adams, B. J., Doran, P. T., Dugan, H. A., Myers, K. F., Salvatore, M. R., et al. (2024). Response of a Terrestrial Polar Ecosystem to the March 2022 Antarctic Weather Anomaly. </w:t>
      </w:r>
      <w:r w:rsidRPr="00D22078">
        <w:rPr>
          <w:i/>
          <w:iCs/>
        </w:rPr>
        <w:t>Earth’s Future</w:t>
      </w:r>
      <w:r w:rsidRPr="00D22078">
        <w:t xml:space="preserve"> 12, e2023EF004306. doi: 10.1029/2023EF004306</w:t>
      </w:r>
    </w:p>
    <w:p w14:paraId="1785BB36" w14:textId="77777777" w:rsidR="009B445E" w:rsidRPr="00D22078" w:rsidRDefault="009B445E" w:rsidP="00562BA2">
      <w:pPr>
        <w:pStyle w:val="Rerences"/>
      </w:pPr>
      <w:r w:rsidRPr="00D22078">
        <w:t xml:space="preserve">Boles, B. W., Murdoch, R. W., Ohlsson, I., and Mikucki, J. A. (2021). Draft Genome Sequence of </w:t>
      </w:r>
      <w:r w:rsidRPr="00D22078">
        <w:rPr>
          <w:i/>
          <w:iCs/>
        </w:rPr>
        <w:t>Shewanella</w:t>
      </w:r>
      <w:r w:rsidRPr="00D22078">
        <w:t xml:space="preserve"> sp. Strain BF02_Schw, Isolated from Blood Falls, a Feature Where Subglacial Brine Discharges to the Surface of Taylor Glacier, Antarctica. </w:t>
      </w:r>
      <w:r w:rsidRPr="00D22078">
        <w:rPr>
          <w:i/>
          <w:iCs/>
        </w:rPr>
        <w:t>Microbiol. Resour. Announc.</w:t>
      </w:r>
      <w:r w:rsidRPr="00D22078">
        <w:t xml:space="preserve"> 10, e01141-20. doi: 10.1128/MRA.01141-20</w:t>
      </w:r>
    </w:p>
    <w:p w14:paraId="006BBD65" w14:textId="77777777" w:rsidR="009B445E" w:rsidRPr="00D22078" w:rsidRDefault="009B445E" w:rsidP="00562BA2">
      <w:pPr>
        <w:pStyle w:val="Rerences"/>
      </w:pPr>
      <w:r w:rsidRPr="00D22078">
        <w:t xml:space="preserve">Borić, M., Danevčič, T., and Stopar, D. (2011). Prodigiosin from </w:t>
      </w:r>
      <w:r w:rsidRPr="00D22078">
        <w:rPr>
          <w:i/>
          <w:iCs/>
        </w:rPr>
        <w:t>Vibrio</w:t>
      </w:r>
      <w:r w:rsidRPr="00D22078">
        <w:t xml:space="preserve"> sp. DSM 14379; A New UV-Protective Pigment. </w:t>
      </w:r>
      <w:r w:rsidRPr="00D22078">
        <w:rPr>
          <w:i/>
          <w:iCs/>
        </w:rPr>
        <w:t>Microb Ecol</w:t>
      </w:r>
      <w:r w:rsidRPr="00D22078">
        <w:t xml:space="preserve"> 62, 528–536. doi: 10.1007/s00248-011-9857-0</w:t>
      </w:r>
    </w:p>
    <w:p w14:paraId="404D76B3" w14:textId="77777777" w:rsidR="009B445E" w:rsidRPr="00D22078" w:rsidRDefault="009B445E" w:rsidP="00562BA2">
      <w:pPr>
        <w:pStyle w:val="Rerences"/>
      </w:pPr>
      <w:r w:rsidRPr="00D22078">
        <w:t xml:space="preserve">Carillo, S., Casillo, A., Pieretti, G., Parrilli, E., Sannino, F., Bayer-Giraldi, M., et al. (2015). A Unique Capsular Polysaccharide Structure from the Psychrophilic Marine Bacterium </w:t>
      </w:r>
      <w:r w:rsidRPr="00D22078">
        <w:rPr>
          <w:i/>
          <w:iCs/>
        </w:rPr>
        <w:t>Colwellia psychrerythraea</w:t>
      </w:r>
      <w:r w:rsidRPr="00D22078">
        <w:t xml:space="preserve"> 34H That Mimics Antifreeze (Glyco)proteins. </w:t>
      </w:r>
      <w:r w:rsidRPr="00D22078">
        <w:rPr>
          <w:i/>
          <w:iCs/>
        </w:rPr>
        <w:t>J. Am. Chem. Soc.</w:t>
      </w:r>
      <w:r w:rsidRPr="00D22078">
        <w:t xml:space="preserve"> 137, 179–189. doi: 10.1021/ja5075954</w:t>
      </w:r>
    </w:p>
    <w:p w14:paraId="76CF94E8" w14:textId="77777777" w:rsidR="009B445E" w:rsidRPr="00D22078" w:rsidRDefault="009B445E" w:rsidP="00562BA2">
      <w:pPr>
        <w:pStyle w:val="Rerences"/>
      </w:pPr>
      <w:r w:rsidRPr="00D22078">
        <w:t xml:space="preserve">Cary, S. C., McDonald, I. R., Barrett, J. E., and Cowan, D. A. (2010). On the rocks: the microbiology of Antarctic Dry Valley soils. </w:t>
      </w:r>
      <w:r w:rsidRPr="00D22078">
        <w:rPr>
          <w:i/>
          <w:iCs/>
        </w:rPr>
        <w:t>Nature Reviews Microbiology</w:t>
      </w:r>
      <w:r w:rsidRPr="00D22078">
        <w:t xml:space="preserve"> 8, 129–138. doi: 10.1038/nrmicro2281</w:t>
      </w:r>
    </w:p>
    <w:p w14:paraId="14907275" w14:textId="77777777" w:rsidR="009B445E" w:rsidRPr="00D22078" w:rsidRDefault="009B445E" w:rsidP="00562BA2">
      <w:pPr>
        <w:pStyle w:val="Rerences"/>
      </w:pPr>
      <w:r w:rsidRPr="00D22078">
        <w:t xml:space="preserve">Correa, T., and Abreu, F. (2020). “Antarctic microorganisms as sources of biotechnological products,” in </w:t>
      </w:r>
      <w:r w:rsidRPr="00D22078">
        <w:rPr>
          <w:i/>
          <w:iCs/>
        </w:rPr>
        <w:t>Physiological and Biotechnological Aspects of Extremophiles</w:t>
      </w:r>
      <w:r w:rsidRPr="00D22078">
        <w:t xml:space="preserve">, eds. R. </w:t>
      </w:r>
      <w:r w:rsidRPr="00D22078">
        <w:lastRenderedPageBreak/>
        <w:t>Salwan and V. Sharma (Cambridge, Massachusetts: Academic Press), 269–284. doi: 10.1016/B978-0-12-818322-9.00020-4</w:t>
      </w:r>
    </w:p>
    <w:p w14:paraId="0483B4D2" w14:textId="77777777" w:rsidR="009B445E" w:rsidRPr="00D22078" w:rsidRDefault="009B445E" w:rsidP="00562BA2">
      <w:pPr>
        <w:pStyle w:val="Rerences"/>
      </w:pPr>
      <w:r w:rsidRPr="00D22078">
        <w:t xml:space="preserve">Danevčič, T., Vezjak, M. B., Zorec, M., and Stopar, D. (2016). Prodigiosin - A Multifaceted </w:t>
      </w:r>
      <w:r w:rsidRPr="00D22078">
        <w:rPr>
          <w:i/>
          <w:iCs/>
        </w:rPr>
        <w:t>Escherichia coli</w:t>
      </w:r>
      <w:r w:rsidRPr="00D22078">
        <w:t xml:space="preserve"> Antimicrobial Agent. </w:t>
      </w:r>
      <w:r w:rsidRPr="00D22078">
        <w:rPr>
          <w:i/>
          <w:iCs/>
        </w:rPr>
        <w:t>PLOS ONE</w:t>
      </w:r>
      <w:r w:rsidRPr="00D22078">
        <w:t xml:space="preserve"> 11, e0162412. doi: 10.1371/journal.pone.0162412</w:t>
      </w:r>
    </w:p>
    <w:p w14:paraId="4BBC8640" w14:textId="77777777" w:rsidR="009B445E" w:rsidRPr="00D22078" w:rsidRDefault="009B445E" w:rsidP="00562BA2">
      <w:pPr>
        <w:pStyle w:val="Rerences"/>
      </w:pPr>
      <w:r w:rsidRPr="00D22078">
        <w:t xml:space="preserve">Fountain, A. G., Levy, J. S., Gooseff, M. N., and Van Horn, D. (2014). The McMurdo Dry Valleys: A landscape on the threshold of change. </w:t>
      </w:r>
      <w:r w:rsidRPr="00D22078">
        <w:rPr>
          <w:i/>
          <w:iCs/>
        </w:rPr>
        <w:t>Geomorphology</w:t>
      </w:r>
      <w:r w:rsidRPr="00D22078">
        <w:t xml:space="preserve"> 225, 25–35. doi: 10.1016/j.geomorph.2014.03.044</w:t>
      </w:r>
    </w:p>
    <w:p w14:paraId="1A77144D" w14:textId="77777777" w:rsidR="009B445E" w:rsidRPr="00D22078" w:rsidRDefault="009B445E" w:rsidP="00562BA2">
      <w:pPr>
        <w:pStyle w:val="Rerences"/>
      </w:pPr>
      <w:r w:rsidRPr="00D22078">
        <w:t xml:space="preserve">Frederick, J. E., and Snell, H. E. (1988). Ultraviolet Radiation Levels During the Antarctic Spring. </w:t>
      </w:r>
      <w:r w:rsidRPr="00D22078">
        <w:rPr>
          <w:i/>
          <w:iCs/>
        </w:rPr>
        <w:t>Science</w:t>
      </w:r>
      <w:r w:rsidRPr="00D22078">
        <w:t xml:space="preserve"> 241, 438.</w:t>
      </w:r>
    </w:p>
    <w:p w14:paraId="655299A6" w14:textId="77777777" w:rsidR="009B445E" w:rsidRPr="00D22078" w:rsidRDefault="009B445E" w:rsidP="00562BA2">
      <w:pPr>
        <w:pStyle w:val="Rerences"/>
      </w:pPr>
      <w:r w:rsidRPr="00D22078">
        <w:t xml:space="preserve">Gareia-Pichel, F., and Castenholz, R. W. (1994). On the significance of solar ultraviolet radiation for the ecology of microbial mats., in </w:t>
      </w:r>
      <w:r w:rsidRPr="00D22078">
        <w:rPr>
          <w:i/>
          <w:iCs/>
        </w:rPr>
        <w:t>Microbial Mats</w:t>
      </w:r>
      <w:r w:rsidRPr="00D22078">
        <w:t>, eds. L. J. Stal and P. Caumette (Berlin, Heidelberg: Springer), 77–84. doi: 10.1007/978-3-642-78991-5_8</w:t>
      </w:r>
    </w:p>
    <w:p w14:paraId="2CDD60AE" w14:textId="77777777" w:rsidR="009B445E" w:rsidRDefault="009B445E" w:rsidP="00562BA2">
      <w:pPr>
        <w:pStyle w:val="Rerences"/>
      </w:pPr>
      <w:r w:rsidRPr="00D22078">
        <w:t xml:space="preserve">George, S. F., Fierer, N., Levy, J. S., and Adams, B. (2021). Antarctic Water Tracks: Microbial Community Responses to Variation in Soil Moisture, pH, and Salinity. </w:t>
      </w:r>
      <w:r w:rsidRPr="00D22078">
        <w:rPr>
          <w:i/>
          <w:iCs/>
        </w:rPr>
        <w:t>Front. Microbiol.</w:t>
      </w:r>
      <w:r w:rsidRPr="00D22078">
        <w:t xml:space="preserve"> 12. doi: 10.3389/fmicb.2021.616730</w:t>
      </w:r>
    </w:p>
    <w:p w14:paraId="5D680D05" w14:textId="62E97760" w:rsidR="00F51F9F" w:rsidRPr="00D22078" w:rsidRDefault="00F51F9F" w:rsidP="00562BA2">
      <w:pPr>
        <w:pStyle w:val="Rerences"/>
      </w:pPr>
      <w:r w:rsidRPr="00F51F9F">
        <w:t xml:space="preserve">Geyer, K. M., Altrichter, A. E., Takacs-Vesbach, C. D., Van Horn, D. J., Gooseff, M. N., and Barrett, J. E. (2014). Bacterial community composition of divergent soil habitats in a polar desert. </w:t>
      </w:r>
      <w:r w:rsidRPr="00173169">
        <w:rPr>
          <w:i/>
          <w:iCs/>
        </w:rPr>
        <w:t>FEMS Microbiol. Ecol</w:t>
      </w:r>
      <w:r w:rsidRPr="00F51F9F">
        <w:t xml:space="preserve"> 89, 490–494. doi: 10.1111/1574-6941.12306</w:t>
      </w:r>
    </w:p>
    <w:p w14:paraId="43D2B1DA" w14:textId="77777777" w:rsidR="009B445E" w:rsidRPr="00D22078" w:rsidRDefault="009B445E" w:rsidP="00562BA2">
      <w:pPr>
        <w:pStyle w:val="Rerences"/>
      </w:pPr>
      <w:r w:rsidRPr="00D22078">
        <w:t xml:space="preserve">Giddings, L.-A., and Newman, D. J. (2015). “Bioactive Compounds from Terrestrial Extremophiles,” in </w:t>
      </w:r>
      <w:r w:rsidRPr="00D22078">
        <w:rPr>
          <w:i/>
          <w:iCs/>
        </w:rPr>
        <w:t>Bioactive Compounds from Terrestrial Extremophiles</w:t>
      </w:r>
      <w:r w:rsidRPr="00D22078">
        <w:t>, eds. L.-A. Giddings and D. J. Newman (Cham: Springer International Publishing), 1–75. doi: 10.1007/978-3-319-13260-0_1</w:t>
      </w:r>
    </w:p>
    <w:p w14:paraId="04FDCC58" w14:textId="77777777" w:rsidR="009B445E" w:rsidRPr="00D22078" w:rsidRDefault="009B445E" w:rsidP="00562BA2">
      <w:pPr>
        <w:pStyle w:val="Rerences"/>
      </w:pPr>
      <w:r w:rsidRPr="00D22078">
        <w:t xml:space="preserve">Gooseff, M. N., Barrett, J. E., Adams, B. J., Doran, P. T., Fountain, A. G., Lyons, W. B., et al. (2017). Decadal ecosystem response to an anomalous melt season in a polar desert in Antarctica. </w:t>
      </w:r>
      <w:r w:rsidRPr="00D22078">
        <w:rPr>
          <w:i/>
          <w:iCs/>
        </w:rPr>
        <w:t>Nat Ecol Evol</w:t>
      </w:r>
      <w:r w:rsidRPr="00D22078">
        <w:t xml:space="preserve"> 1, 1334–1338. doi: 10.1038/s41559-017-0253-0</w:t>
      </w:r>
    </w:p>
    <w:p w14:paraId="1794FEC6" w14:textId="77777777" w:rsidR="009B445E" w:rsidRPr="00D22078" w:rsidRDefault="009B445E" w:rsidP="00562BA2">
      <w:pPr>
        <w:pStyle w:val="Rerences"/>
      </w:pPr>
      <w:r w:rsidRPr="00D22078">
        <w:t xml:space="preserve">Habash, S. S., Brass, H. U. C., Klein, A. S., Klebl, D. P., Weber, T. M., Classen, T., et al. (2020). Novel Prodiginine Derivatives Demonstrate Bioactivities on Plants, Nematodes, and Fungi. </w:t>
      </w:r>
      <w:r w:rsidRPr="00D22078">
        <w:rPr>
          <w:i/>
          <w:iCs/>
        </w:rPr>
        <w:t>Frontiers in Plant Science</w:t>
      </w:r>
      <w:r w:rsidRPr="00D22078">
        <w:t xml:space="preserve"> 11. Available at: https://www.frontiersin.org/articles/10.3389/fpls.2020.579807 (Accessed January 27, 2023).</w:t>
      </w:r>
    </w:p>
    <w:p w14:paraId="49FEAB40" w14:textId="77777777" w:rsidR="009B445E" w:rsidRDefault="009B445E" w:rsidP="00562BA2">
      <w:pPr>
        <w:pStyle w:val="Rerences"/>
      </w:pPr>
      <w:r w:rsidRPr="00D22078">
        <w:lastRenderedPageBreak/>
        <w:t xml:space="preserve">Haddix, P. L., and Shanks, R. M. Q. (2018). Prodigiosin pigment of </w:t>
      </w:r>
      <w:r w:rsidRPr="00D22078">
        <w:rPr>
          <w:i/>
          <w:iCs/>
        </w:rPr>
        <w:t>Serratia marcescens</w:t>
      </w:r>
      <w:r w:rsidRPr="00D22078">
        <w:t xml:space="preserve"> is associated with increased biomass production. </w:t>
      </w:r>
      <w:r w:rsidRPr="00D22078">
        <w:rPr>
          <w:i/>
          <w:iCs/>
        </w:rPr>
        <w:t>Arch Microbiol</w:t>
      </w:r>
      <w:r w:rsidRPr="00D22078">
        <w:t xml:space="preserve"> 200, 989–999. doi: 10.1007/s00203-018-1508-0</w:t>
      </w:r>
    </w:p>
    <w:p w14:paraId="4D3C899E" w14:textId="7E750E02" w:rsidR="00F51F9F" w:rsidRPr="00D22078" w:rsidRDefault="00F51F9F" w:rsidP="00562BA2">
      <w:pPr>
        <w:pStyle w:val="Rerences"/>
      </w:pPr>
      <w:r w:rsidRPr="00F51F9F">
        <w:t xml:space="preserve">Jiang, X., Van Horn, D. J., Okie, J. G., Buelow, H. N., Schwartz, E., Colman, D. R., et al. (2022). Limits to the three domains of life: lessons from community assembly along an Antarctic salinity gradient. </w:t>
      </w:r>
      <w:r w:rsidRPr="00173169">
        <w:rPr>
          <w:i/>
          <w:iCs/>
        </w:rPr>
        <w:t>Extremophiles</w:t>
      </w:r>
      <w:r w:rsidRPr="00F51F9F">
        <w:t xml:space="preserve"> 26, 1–14. doi: 10.1007/s00792-022-01262-3</w:t>
      </w:r>
    </w:p>
    <w:p w14:paraId="78EE7700" w14:textId="77777777" w:rsidR="009B445E" w:rsidRPr="00D22078" w:rsidRDefault="009B445E" w:rsidP="00562BA2">
      <w:pPr>
        <w:pStyle w:val="Rerences"/>
      </w:pPr>
      <w:r w:rsidRPr="00D22078">
        <w:t xml:space="preserve">Kennicutt, M. C., Chown, S. L., Cassano, J. J., Liggett, D., Peck, L. S., Massom, R., et al. (2015). A roadmap for Antarctic and Southern Ocean science for the next two decades and beyond. </w:t>
      </w:r>
      <w:r w:rsidRPr="00D22078">
        <w:rPr>
          <w:i/>
          <w:iCs/>
        </w:rPr>
        <w:t>Antartic science</w:t>
      </w:r>
      <w:r w:rsidRPr="00D22078">
        <w:t xml:space="preserve"> 27, 3–18. doi: 10.1017/S0954102014000674</w:t>
      </w:r>
    </w:p>
    <w:p w14:paraId="0A6946BE" w14:textId="6B93D72C" w:rsidR="00B8170A" w:rsidRDefault="00B8170A" w:rsidP="00562BA2">
      <w:pPr>
        <w:pStyle w:val="Rerences"/>
      </w:pPr>
      <w:r w:rsidRPr="00B8170A">
        <w:t xml:space="preserve">Lyons, W. B., Mikucki, J. A., German, L. A., Welch, K. A., Welch, S. A., Gardner, C. B., et al. (2019). The Geochemistry of Englacial Brine From Taylor Glacier, Antarctica. </w:t>
      </w:r>
      <w:r w:rsidRPr="00B8170A">
        <w:rPr>
          <w:i/>
          <w:iCs/>
        </w:rPr>
        <w:t>Journal of Geophysical Research: Biogeosciences</w:t>
      </w:r>
      <w:r w:rsidRPr="00B8170A">
        <w:t xml:space="preserve"> 124, 633–648. doi: 10.1029/2018JG004411</w:t>
      </w:r>
    </w:p>
    <w:p w14:paraId="6F582672" w14:textId="17253B86" w:rsidR="009B445E" w:rsidRPr="00D22078" w:rsidRDefault="009B445E" w:rsidP="00562BA2">
      <w:pPr>
        <w:pStyle w:val="Rerences"/>
      </w:pPr>
      <w:r w:rsidRPr="00D22078">
        <w:t xml:space="preserve">Magnuson, E., Altshuler, I., Freyria, N. J., Leveille, R. J., and Whyte, L. G. (2023). Sulfur-cycling chemolithoautotrophic microbial community dominates a cold, anoxic, hypersaline Arctic spring. </w:t>
      </w:r>
      <w:r w:rsidRPr="00D22078">
        <w:rPr>
          <w:i/>
          <w:iCs/>
        </w:rPr>
        <w:t>Microbiome</w:t>
      </w:r>
      <w:r w:rsidRPr="00D22078">
        <w:t xml:space="preserve"> 11, 203. doi: 10.1186/s40168-023-01628-5</w:t>
      </w:r>
    </w:p>
    <w:p w14:paraId="23C7CF8A" w14:textId="77777777" w:rsidR="009B445E" w:rsidRPr="00D22078" w:rsidRDefault="009B445E" w:rsidP="00562BA2">
      <w:pPr>
        <w:pStyle w:val="Rerences"/>
      </w:pPr>
      <w:r w:rsidRPr="00D22078">
        <w:t xml:space="preserve">Marx, J. G., Carpenter, S. D., and Deming, J. W. (2009). Production of cryoprotectant extracellular polysaccharide substances (EPS) by the marine psychrophilic bacterium </w:t>
      </w:r>
      <w:r w:rsidRPr="00D22078">
        <w:rPr>
          <w:i/>
          <w:iCs/>
        </w:rPr>
        <w:t>Colwellia psychrerythraea</w:t>
      </w:r>
      <w:r w:rsidRPr="00D22078">
        <w:t xml:space="preserve"> strain 34H under extreme conditions. </w:t>
      </w:r>
      <w:r w:rsidRPr="00D22078">
        <w:rPr>
          <w:i/>
          <w:iCs/>
        </w:rPr>
        <w:t>Can. J. Microbiol.</w:t>
      </w:r>
      <w:r w:rsidRPr="00D22078">
        <w:t xml:space="preserve"> 55, 63–72. doi: 10.1139/W08-130</w:t>
      </w:r>
    </w:p>
    <w:p w14:paraId="437198CE" w14:textId="77777777" w:rsidR="009B445E" w:rsidRPr="00D22078" w:rsidRDefault="009B445E" w:rsidP="00562BA2">
      <w:pPr>
        <w:pStyle w:val="Rerences"/>
      </w:pPr>
      <w:r w:rsidRPr="00D22078">
        <w:t xml:space="preserve">Medeiros, W., Kralova, S., Oliveira, V., Ziemert, N., and Sehnal, L. (2025). Antarctic bacterial natural products: from genomic insights to drug discovery. </w:t>
      </w:r>
      <w:r w:rsidRPr="00D22078">
        <w:rPr>
          <w:i/>
          <w:iCs/>
        </w:rPr>
        <w:t>Natural Product Reports</w:t>
      </w:r>
      <w:r w:rsidRPr="00D22078">
        <w:t>. doi: 10.1039/D4NP00045E</w:t>
      </w:r>
    </w:p>
    <w:p w14:paraId="77FFEF19" w14:textId="77777777" w:rsidR="009B445E" w:rsidRPr="00D22078" w:rsidRDefault="009B445E" w:rsidP="00562BA2">
      <w:pPr>
        <w:pStyle w:val="Rerences"/>
      </w:pPr>
      <w:r w:rsidRPr="00D22078">
        <w:t xml:space="preserve">Meredith, M. P. (2022). Carbon storage shifts around Antarctica. </w:t>
      </w:r>
      <w:r w:rsidRPr="00D22078">
        <w:rPr>
          <w:i/>
          <w:iCs/>
        </w:rPr>
        <w:t>Nat Commun</w:t>
      </w:r>
      <w:r w:rsidRPr="00D22078">
        <w:t xml:space="preserve"> 13, 3400. doi: 10.1038/s41467-022-31152-3</w:t>
      </w:r>
    </w:p>
    <w:p w14:paraId="3084913D" w14:textId="77777777" w:rsidR="009B445E" w:rsidRPr="00D22078" w:rsidRDefault="009B445E" w:rsidP="00562BA2">
      <w:pPr>
        <w:pStyle w:val="Rerences"/>
      </w:pPr>
      <w:r w:rsidRPr="00D22078">
        <w:t xml:space="preserve">Mikucki, J. A., Pearson, A., Johnston, D. T., Turchyn, A. V., Farquhar, J., Schrag, D. P., et al. (2009). A Contemporary Microbially Maintained Subglacial Ferrous “Ocean.” </w:t>
      </w:r>
      <w:r w:rsidRPr="00D22078">
        <w:rPr>
          <w:i/>
          <w:iCs/>
        </w:rPr>
        <w:t>Science</w:t>
      </w:r>
      <w:r w:rsidRPr="00D22078">
        <w:t xml:space="preserve"> 324, 397–400. doi: 10.1126/science.1167350</w:t>
      </w:r>
    </w:p>
    <w:p w14:paraId="68C48E13" w14:textId="77777777" w:rsidR="009B445E" w:rsidRPr="00D22078" w:rsidRDefault="009B445E" w:rsidP="00562BA2">
      <w:pPr>
        <w:pStyle w:val="Rerences"/>
      </w:pPr>
      <w:r w:rsidRPr="00D22078">
        <w:t xml:space="preserve">Mikucki, J. A., and Priscu, J. C. (2007). Bacterial Diversity Associated with Blood Falls, a Subglacial Outflow from the Taylor Glacier, Antarctica. </w:t>
      </w:r>
      <w:r w:rsidRPr="00D22078">
        <w:rPr>
          <w:i/>
          <w:iCs/>
        </w:rPr>
        <w:t>Applied and Environmental Microbiology</w:t>
      </w:r>
      <w:r w:rsidRPr="00D22078">
        <w:t xml:space="preserve"> 73, 4029–4039. doi: 10.1128/AEM.01396-06</w:t>
      </w:r>
    </w:p>
    <w:p w14:paraId="578B6297" w14:textId="77777777" w:rsidR="009B445E" w:rsidRPr="00D22078" w:rsidRDefault="009B445E" w:rsidP="00562BA2">
      <w:pPr>
        <w:pStyle w:val="Rerences"/>
      </w:pPr>
      <w:r w:rsidRPr="00D22078">
        <w:lastRenderedPageBreak/>
        <w:t xml:space="preserve">Monteiro, M. R., Marshall, A. J., Hawes, I., Lee, C. K., McDonald, I. R., and Cary, S. C. (2022). Geochemically Defined Space-for-Time Transects Successfully Capture Microbial Dynamics Along Lacustrine Chronosequences in a Polar Desert. </w:t>
      </w:r>
      <w:r w:rsidRPr="00D22078">
        <w:rPr>
          <w:i/>
          <w:iCs/>
        </w:rPr>
        <w:t>Front. Microbiol.</w:t>
      </w:r>
      <w:r w:rsidRPr="00D22078">
        <w:t xml:space="preserve"> 12. doi: 10.3389/fmicb.2021.783767</w:t>
      </w:r>
    </w:p>
    <w:p w14:paraId="19522615" w14:textId="77777777" w:rsidR="009B445E" w:rsidRPr="00D22078" w:rsidRDefault="009B445E" w:rsidP="00562BA2">
      <w:pPr>
        <w:pStyle w:val="Rerences"/>
      </w:pPr>
      <w:r w:rsidRPr="00D22078">
        <w:t xml:space="preserve">Monteiro, M. R., Marshall, A. J., Lee, C. K., McDonald, I. R., and Cary, S. C. (2023). Bringing Antarctica to the lab: a polar desert environmental chamber to study the response of Antarctic microbial communities to climate change. </w:t>
      </w:r>
      <w:r w:rsidRPr="00D22078">
        <w:rPr>
          <w:i/>
          <w:iCs/>
        </w:rPr>
        <w:t>Polar Biol</w:t>
      </w:r>
      <w:r w:rsidRPr="00D22078">
        <w:t xml:space="preserve"> 46, 445–459. doi: 10.1007/s00300-023-03135-7</w:t>
      </w:r>
    </w:p>
    <w:p w14:paraId="7F8BA454" w14:textId="77777777" w:rsidR="009B445E" w:rsidRPr="00D22078" w:rsidRDefault="009B445E" w:rsidP="00562BA2">
      <w:pPr>
        <w:pStyle w:val="Rerences"/>
      </w:pPr>
      <w:r w:rsidRPr="00D22078">
        <w:t xml:space="preserve">NAESM (2024). </w:t>
      </w:r>
      <w:r w:rsidRPr="00D22078">
        <w:rPr>
          <w:i/>
          <w:iCs/>
        </w:rPr>
        <w:t>Future Directions for Southern Ocean and Antarctic Nearshore and Coastal Research</w:t>
      </w:r>
      <w:r w:rsidRPr="00D22078">
        <w:t>. Washington, D.C.: National Academies Press. doi: 10.17226/27160</w:t>
      </w:r>
    </w:p>
    <w:p w14:paraId="2B2C2D44" w14:textId="77777777" w:rsidR="009B445E" w:rsidRPr="00D22078" w:rsidRDefault="009B445E" w:rsidP="00562BA2">
      <w:pPr>
        <w:pStyle w:val="Rerences"/>
      </w:pPr>
      <w:r w:rsidRPr="00D22078">
        <w:t xml:space="preserve">Neveu, M., Hays, L. E., Voytek, M. A., New, M. H., and Schulte, M. D. (2018). The Ladder of Life Detection. </w:t>
      </w:r>
      <w:r w:rsidRPr="00D22078">
        <w:rPr>
          <w:i/>
          <w:iCs/>
        </w:rPr>
        <w:t>Astrobiology</w:t>
      </w:r>
      <w:r w:rsidRPr="00D22078">
        <w:t xml:space="preserve"> 18, 1375–1402. doi: 10.1089/ast.2017.1773</w:t>
      </w:r>
    </w:p>
    <w:p w14:paraId="58D16231" w14:textId="77777777" w:rsidR="009B445E" w:rsidRPr="00D22078" w:rsidRDefault="009B445E" w:rsidP="00562BA2">
      <w:pPr>
        <w:pStyle w:val="Rerences"/>
      </w:pPr>
      <w:r w:rsidRPr="00D22078">
        <w:t xml:space="preserve">Obryk, M. K., Fountain, A. G., Doran, P. T., Lyons, W. B., and Eastman, R. (2018). Drivers of solar radiation variability in the McMurdo Dry Valleys, Antarctica. </w:t>
      </w:r>
      <w:r w:rsidRPr="00D22078">
        <w:rPr>
          <w:i/>
          <w:iCs/>
        </w:rPr>
        <w:t>Sci Rep</w:t>
      </w:r>
      <w:r w:rsidRPr="00D22078">
        <w:t xml:space="preserve"> 8, 5002. doi: 10.1038/s41598-018-23390-7</w:t>
      </w:r>
    </w:p>
    <w:p w14:paraId="73B0DF7E" w14:textId="77777777" w:rsidR="009B445E" w:rsidRPr="00D22078" w:rsidRDefault="009B445E" w:rsidP="00562BA2">
      <w:pPr>
        <w:pStyle w:val="Rerences"/>
      </w:pPr>
      <w:r w:rsidRPr="00D22078">
        <w:t xml:space="preserve">Robinson, S. A., Revell, L. E., Mackenzie, R., and Ossola, R. (2024). Extended ozone depletion and reduced snow and ice cover—Consequences for Antarctic biota. </w:t>
      </w:r>
      <w:r w:rsidRPr="00D22078">
        <w:rPr>
          <w:i/>
          <w:iCs/>
        </w:rPr>
        <w:t>Global Change Biology</w:t>
      </w:r>
      <w:r w:rsidRPr="00D22078">
        <w:t xml:space="preserve"> 30, e17283. doi: 10.1111/gcb.17283</w:t>
      </w:r>
    </w:p>
    <w:p w14:paraId="637AE1FA" w14:textId="77777777" w:rsidR="009B445E" w:rsidRPr="00D22078" w:rsidRDefault="009B445E" w:rsidP="00562BA2">
      <w:pPr>
        <w:pStyle w:val="Rerences"/>
      </w:pPr>
      <w:r w:rsidRPr="00D22078">
        <w:t xml:space="preserve">Salvatore, M. R., and Levy, J. S. (2021). “The McMurdo Dry Valleys of Antarctica: a geological, environmental, and ecological analog to the Martian surface and near surface,” in </w:t>
      </w:r>
      <w:r w:rsidRPr="00D22078">
        <w:rPr>
          <w:i/>
          <w:iCs/>
        </w:rPr>
        <w:t>Mars Geological Enigmas</w:t>
      </w:r>
      <w:r w:rsidRPr="00D22078">
        <w:t>, (Elsevier), 291–332. doi: 10.1016/B978-0-12-820245-6.00011-2</w:t>
      </w:r>
    </w:p>
    <w:p w14:paraId="7C3C21BD" w14:textId="77777777" w:rsidR="009B445E" w:rsidRPr="00D22078" w:rsidRDefault="009B445E" w:rsidP="00562BA2">
      <w:pPr>
        <w:pStyle w:val="Rerences"/>
      </w:pPr>
      <w:r w:rsidRPr="00D22078">
        <w:t xml:space="preserve">Sapers, H. M., Razzell Hollis, J., Bhartia, R., Beegle, L. W., Orphan, V. J., and Amend, J. P. (2019). The Cell and the Sum of Its Parts: Patterns of Complexity in Biosignatures as Revealed by Deep UV Raman Spectroscopy. </w:t>
      </w:r>
      <w:r w:rsidRPr="00D22078">
        <w:rPr>
          <w:i/>
          <w:iCs/>
        </w:rPr>
        <w:t>Front. Microbiol.</w:t>
      </w:r>
      <w:r w:rsidRPr="00D22078">
        <w:t xml:space="preserve"> 10. doi: 10.3389/fmicb.2019.00679</w:t>
      </w:r>
    </w:p>
    <w:p w14:paraId="29E73B69" w14:textId="77777777" w:rsidR="009B445E" w:rsidRPr="00D22078" w:rsidRDefault="009B445E" w:rsidP="00562BA2">
      <w:pPr>
        <w:pStyle w:val="Rerences"/>
      </w:pPr>
      <w:r w:rsidRPr="00D22078">
        <w:t xml:space="preserve">Sedláček, I., Holochová, P., Busse, H.-J., Koublová, V., Králová, S., Švec, P., et al. (2022). Characterisation of Waterborne Psychrophilic </w:t>
      </w:r>
      <w:r w:rsidRPr="00D22078">
        <w:rPr>
          <w:i/>
          <w:iCs/>
        </w:rPr>
        <w:t>Massilia</w:t>
      </w:r>
      <w:r w:rsidRPr="00D22078">
        <w:t xml:space="preserve"> Isolates with Violacein Production and Description of </w:t>
      </w:r>
      <w:r w:rsidRPr="00D22078">
        <w:rPr>
          <w:i/>
          <w:iCs/>
        </w:rPr>
        <w:t>Massilia antarctica</w:t>
      </w:r>
      <w:r w:rsidRPr="00D22078">
        <w:t xml:space="preserve"> sp. nov. </w:t>
      </w:r>
      <w:r w:rsidRPr="00D22078">
        <w:rPr>
          <w:i/>
          <w:iCs/>
        </w:rPr>
        <w:t>Microorganisms</w:t>
      </w:r>
      <w:r w:rsidRPr="00D22078">
        <w:t xml:space="preserve"> 10, 704. doi: 10.3390/microorganisms10040704</w:t>
      </w:r>
    </w:p>
    <w:p w14:paraId="26DEE66A" w14:textId="77777777" w:rsidR="009B445E" w:rsidRPr="00D22078" w:rsidRDefault="009B445E" w:rsidP="00562BA2">
      <w:pPr>
        <w:pStyle w:val="Rerences"/>
      </w:pPr>
      <w:r w:rsidRPr="00D22078">
        <w:lastRenderedPageBreak/>
        <w:t xml:space="preserve">Shaw, E. A., and Wall, D. H. (2019). Biotic Interactions in Experimental Antarctic Soil Microcosms Vary with Abiotic Stress. </w:t>
      </w:r>
      <w:r w:rsidRPr="00D22078">
        <w:rPr>
          <w:i/>
          <w:iCs/>
        </w:rPr>
        <w:t>Soil Systems</w:t>
      </w:r>
      <w:r w:rsidRPr="00D22078">
        <w:t xml:space="preserve"> 3, 57. doi: 10.3390/soilsystems3030057</w:t>
      </w:r>
    </w:p>
    <w:p w14:paraId="503A3DFC" w14:textId="77777777" w:rsidR="009B445E" w:rsidRPr="00D22078" w:rsidRDefault="009B445E" w:rsidP="00562BA2">
      <w:pPr>
        <w:pStyle w:val="Rerences"/>
      </w:pPr>
      <w:r w:rsidRPr="00D22078">
        <w:t xml:space="preserve">Silva, T. R., Duarte, A. W. F., Passarini, M. R. Z., Ruiz, A. L. T. G., Franco, C. H., Moraes, C. B., et al. (2018). Bacteria from Antarctic environments: diversity and detection of antimicrobial, antiproliferative, and antiparasitic activities. </w:t>
      </w:r>
      <w:r w:rsidRPr="00D22078">
        <w:rPr>
          <w:i/>
          <w:iCs/>
        </w:rPr>
        <w:t>Polar Biol</w:t>
      </w:r>
      <w:r w:rsidRPr="00D22078">
        <w:t xml:space="preserve"> 41, 1505–1519. doi: 10.1007/s00300-018-2300-y</w:t>
      </w:r>
    </w:p>
    <w:p w14:paraId="6568BF57" w14:textId="77777777" w:rsidR="009B445E" w:rsidRPr="00D22078" w:rsidRDefault="009B445E" w:rsidP="00562BA2">
      <w:pPr>
        <w:pStyle w:val="Rerences"/>
      </w:pPr>
      <w:r w:rsidRPr="00D22078">
        <w:t xml:space="preserve">Van Horn, D. J., Okie, J. G., Buelow, H. N., Gooseff, M. N., Barrett, J. E., and Takacs-Vesbach, C. D. (2014). Soil Microbial Responses to Increased Moisture and Organic Resources along a Salinity Gradient in a Polar Desert. </w:t>
      </w:r>
      <w:r w:rsidRPr="00D22078">
        <w:rPr>
          <w:i/>
          <w:iCs/>
        </w:rPr>
        <w:t>Appl. Environ. Microbiol.</w:t>
      </w:r>
      <w:r w:rsidRPr="00D22078">
        <w:t xml:space="preserve"> 80, 3034–3043. doi: 10.1128/AEM.03414-13</w:t>
      </w:r>
    </w:p>
    <w:p w14:paraId="7E8161CA" w14:textId="77777777" w:rsidR="009B445E" w:rsidRPr="00D22078" w:rsidRDefault="009B445E" w:rsidP="00562BA2">
      <w:pPr>
        <w:pStyle w:val="Rerences"/>
      </w:pPr>
      <w:r w:rsidRPr="00D22078">
        <w:t xml:space="preserve">Wächtershäuser, G. (1990). The case for the chemoautotrophic origin of life in an iron-sulfur world. </w:t>
      </w:r>
      <w:r w:rsidRPr="00D22078">
        <w:rPr>
          <w:i/>
          <w:iCs/>
        </w:rPr>
        <w:t>Origins Life Evol Biosphere</w:t>
      </w:r>
      <w:r w:rsidRPr="00D22078">
        <w:t xml:space="preserve"> 20, 173–176. doi: 10.1007/BF01808279</w:t>
      </w:r>
    </w:p>
    <w:p w14:paraId="449185E2" w14:textId="77777777" w:rsidR="009B445E" w:rsidRPr="00D22078" w:rsidRDefault="009B445E" w:rsidP="00562BA2">
      <w:pPr>
        <w:pStyle w:val="Rerences"/>
      </w:pPr>
      <w:r w:rsidRPr="00D22078">
        <w:t xml:space="preserve">Wang, H., Zhang, X., Wang, S., Zhao, B., Lou, K., and Xing, X.-H. (2018). </w:t>
      </w:r>
      <w:r w:rsidRPr="00D22078">
        <w:rPr>
          <w:i/>
          <w:iCs/>
        </w:rPr>
        <w:t>Massilia violaceinigra</w:t>
      </w:r>
      <w:r w:rsidRPr="00D22078">
        <w:t xml:space="preserve"> sp. nov., a novel purple-pigmented bacterium isolated from glacier permafrost. </w:t>
      </w:r>
      <w:r w:rsidRPr="00D22078">
        <w:rPr>
          <w:i/>
          <w:iCs/>
        </w:rPr>
        <w:t>International Journal of Systematic and Evolutionary Microbiology</w:t>
      </w:r>
      <w:r w:rsidRPr="00D22078">
        <w:t xml:space="preserve"> 68, 2271–2278. doi: 10.1099/ijsem.0.002826</w:t>
      </w:r>
    </w:p>
    <w:p w14:paraId="1DCA008D" w14:textId="77777777" w:rsidR="009B445E" w:rsidRPr="00D22078" w:rsidRDefault="009B445E" w:rsidP="00562BA2">
      <w:pPr>
        <w:pStyle w:val="Rerences"/>
      </w:pPr>
      <w:r w:rsidRPr="00D22078">
        <w:t xml:space="preserve">Zhu, F., Huang, Y., Ni, H., Tang, J., Zhu, Q., Long, Z., et al. (2022). Biogenic iron sulfide functioning as electron-mediating interface to accelerate dissimilatory ferrihydrite reduction by </w:t>
      </w:r>
      <w:r w:rsidRPr="00D22078">
        <w:rPr>
          <w:i/>
          <w:iCs/>
        </w:rPr>
        <w:t>Shewanella oneidensis</w:t>
      </w:r>
      <w:r w:rsidRPr="00D22078">
        <w:t xml:space="preserve"> MR-1. </w:t>
      </w:r>
      <w:r w:rsidRPr="00D22078">
        <w:rPr>
          <w:i/>
          <w:iCs/>
        </w:rPr>
        <w:t>Chemosphere</w:t>
      </w:r>
      <w:r w:rsidRPr="00D22078">
        <w:t xml:space="preserve"> 288, 132661. doi: 10.1016/j.chemosphere.2021.132661</w:t>
      </w:r>
    </w:p>
    <w:p w14:paraId="560CC421" w14:textId="77777777" w:rsidR="009B445E" w:rsidRDefault="009B445E" w:rsidP="00562BA2">
      <w:pPr>
        <w:ind w:firstLine="0"/>
        <w:rPr>
          <w:rFonts w:cs="Times New Roman"/>
          <w:b/>
          <w:bCs/>
          <w:caps/>
          <w:color w:val="000000" w:themeColor="text1"/>
        </w:rPr>
        <w:sectPr w:rsidR="009B445E" w:rsidSect="009C7D45">
          <w:footerReference w:type="default" r:id="rId406"/>
          <w:pgSz w:w="12240" w:h="15840"/>
          <w:pgMar w:top="1440" w:right="1440" w:bottom="1440" w:left="1440" w:header="720" w:footer="720" w:gutter="0"/>
          <w:cols w:space="720"/>
          <w:docGrid w:linePitch="299"/>
        </w:sectPr>
      </w:pPr>
    </w:p>
    <w:p w14:paraId="5017597A" w14:textId="538BEE65" w:rsidR="00743645" w:rsidRDefault="00C53499" w:rsidP="00C53499">
      <w:pPr>
        <w:pStyle w:val="Heading1"/>
      </w:pPr>
      <w:bookmarkStart w:id="249" w:name="_Toc196256952"/>
      <w:r>
        <w:lastRenderedPageBreak/>
        <w:t xml:space="preserve">APPENDIX: </w:t>
      </w:r>
      <w:r w:rsidR="001D6E31">
        <w:t>SUPPLEMENTARY MATERIALS</w:t>
      </w:r>
      <w:bookmarkEnd w:id="249"/>
    </w:p>
    <w:p w14:paraId="1A52D340" w14:textId="77777777" w:rsidR="00743645" w:rsidRDefault="00743645" w:rsidP="00562BA2">
      <w:pPr>
        <w:ind w:firstLine="0"/>
        <w:rPr>
          <w:rFonts w:cs="Times New Roman"/>
          <w:b/>
          <w:bCs/>
          <w:caps/>
          <w:color w:val="000000" w:themeColor="text1"/>
        </w:rPr>
      </w:pPr>
      <w:r>
        <w:br w:type="page"/>
      </w:r>
    </w:p>
    <w:p w14:paraId="4C3BAA9C" w14:textId="2EE9223A" w:rsidR="001F17B6" w:rsidRDefault="00743645" w:rsidP="001D6E31">
      <w:pPr>
        <w:pStyle w:val="Heading2"/>
      </w:pPr>
      <w:bookmarkStart w:id="250" w:name="_Toc196256953"/>
      <w:r>
        <w:lastRenderedPageBreak/>
        <w:t xml:space="preserve">Chapter Two Supplementary </w:t>
      </w:r>
      <w:r w:rsidR="001F17B6">
        <w:t>Material</w:t>
      </w:r>
      <w:bookmarkEnd w:id="250"/>
      <w:r w:rsidR="00953C9A">
        <w:t>s</w:t>
      </w:r>
    </w:p>
    <w:p w14:paraId="280D0F9F" w14:textId="0F19BD98" w:rsidR="001F17B6" w:rsidRDefault="001F17B6" w:rsidP="00F13F6D">
      <w:pPr>
        <w:pStyle w:val="Caption"/>
        <w:rPr>
          <w:b w:val="0"/>
          <w:bCs w:val="0"/>
        </w:rPr>
      </w:pPr>
      <w:bookmarkStart w:id="251" w:name="_Toc193668461"/>
      <w:r w:rsidRPr="00586891">
        <w:t xml:space="preserve">Table </w:t>
      </w:r>
      <w:fldSimple w:instr=" STYLEREF 1 \s ">
        <w:r w:rsidR="00971287">
          <w:rPr>
            <w:noProof/>
          </w:rPr>
          <w:t>6</w:t>
        </w:r>
      </w:fldSimple>
      <w:r w:rsidR="00A46B68">
        <w:t>.</w:t>
      </w:r>
      <w:fldSimple w:instr=" SEQ Table \* ARABIC \s 1 ">
        <w:r w:rsidR="00971287">
          <w:rPr>
            <w:noProof/>
          </w:rPr>
          <w:t>1</w:t>
        </w:r>
      </w:fldSimple>
      <w:r w:rsidRPr="00586891">
        <w:t xml:space="preserve"> RefSeq</w:t>
      </w:r>
      <w:r w:rsidRPr="00794A4D">
        <w:t xml:space="preserve"> </w:t>
      </w:r>
      <w:r w:rsidRPr="00794A4D">
        <w:rPr>
          <w:i/>
        </w:rPr>
        <w:t xml:space="preserve">Massilia </w:t>
      </w:r>
      <w:r w:rsidRPr="00794A4D">
        <w:t xml:space="preserve">genomes used in comparative analysis. </w:t>
      </w:r>
      <w:r w:rsidRPr="00F13F6D">
        <w:rPr>
          <w:b w:val="0"/>
          <w:bCs w:val="0"/>
        </w:rPr>
        <w:t xml:space="preserve">Average nucleotide identity (ANI) was calculated using the enviomics collection (Rodriguez-R and Konstantinidis, 2016) and digital DNA-DNA hybridization (dDDH) was performed using Genome-to-Genome Distance Calculator v3.0 (Meier-Kolthoff et al., 2022). </w:t>
      </w:r>
      <w:r w:rsidRPr="00F13F6D">
        <w:rPr>
          <w:b w:val="0"/>
          <w:bCs w:val="0"/>
          <w:i/>
        </w:rPr>
        <w:t>C.I. – confidence interval</w:t>
      </w:r>
      <w:r w:rsidRPr="00F13F6D">
        <w:rPr>
          <w:b w:val="0"/>
          <w:bCs w:val="0"/>
        </w:rPr>
        <w:t>.</w:t>
      </w:r>
      <w:bookmarkEnd w:id="251"/>
    </w:p>
    <w:p w14:paraId="0A87E365" w14:textId="1ACED894" w:rsidR="00B4348B" w:rsidRPr="00B4348B" w:rsidRDefault="00B4348B" w:rsidP="00B4348B">
      <w:pPr>
        <w:rPr>
          <w:sz w:val="8"/>
          <w:szCs w:val="8"/>
        </w:rPr>
      </w:pPr>
      <w:r>
        <w:rPr>
          <w:noProof/>
        </w:rPr>
        <mc:AlternateContent>
          <mc:Choice Requires="wps">
            <w:drawing>
              <wp:anchor distT="0" distB="0" distL="114300" distR="114300" simplePos="0" relativeHeight="251755520" behindDoc="0" locked="0" layoutInCell="1" allowOverlap="1" wp14:anchorId="28810DB8" wp14:editId="3BFC9D4C">
                <wp:simplePos x="0" y="0"/>
                <wp:positionH relativeFrom="column">
                  <wp:posOffset>138701</wp:posOffset>
                </wp:positionH>
                <wp:positionV relativeFrom="paragraph">
                  <wp:posOffset>15112</wp:posOffset>
                </wp:positionV>
                <wp:extent cx="1482832" cy="221615"/>
                <wp:effectExtent l="0" t="0" r="22225" b="26035"/>
                <wp:wrapNone/>
                <wp:docPr id="1197479308" name="Oval 17"/>
                <wp:cNvGraphicFramePr/>
                <a:graphic xmlns:a="http://schemas.openxmlformats.org/drawingml/2006/main">
                  <a:graphicData uri="http://schemas.microsoft.com/office/word/2010/wordprocessingShape">
                    <wps:wsp>
                      <wps:cNvSpPr/>
                      <wps:spPr>
                        <a:xfrm>
                          <a:off x="0" y="0"/>
                          <a:ext cx="1482832" cy="22161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E5DA3" id="Oval 17" o:spid="_x0000_s1026" style="position:absolute;margin-left:10.9pt;margin-top:1.2pt;width:116.75pt;height:17.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" fillcolor="white [3212]" strokecolor="white [3212]" strokeweight="2pt"/>
            </w:pict>
          </mc:Fallback>
        </mc:AlternateContent>
      </w:r>
    </w:p>
    <w:tbl>
      <w:tblPr>
        <w:tblW w:w="8805" w:type="dxa"/>
        <w:jc w:val="center"/>
        <w:tblCellMar>
          <w:left w:w="0" w:type="dxa"/>
          <w:right w:w="0" w:type="dxa"/>
        </w:tblCellMar>
        <w:tblLook w:val="0600" w:firstRow="0" w:lastRow="0" w:firstColumn="0" w:lastColumn="0" w:noHBand="1" w:noVBand="1"/>
      </w:tblPr>
      <w:tblGrid>
        <w:gridCol w:w="3083"/>
        <w:gridCol w:w="2076"/>
        <w:gridCol w:w="1915"/>
        <w:gridCol w:w="1731"/>
      </w:tblGrid>
      <w:tr w:rsidR="00B4348B" w:rsidRPr="006256FC" w14:paraId="5CDF71CB" w14:textId="77777777" w:rsidTr="00B4348B">
        <w:trPr>
          <w:trHeight w:val="20"/>
          <w:tblHeader/>
          <w:jc w:val="center"/>
        </w:trPr>
        <w:tc>
          <w:tcPr>
            <w:tcW w:w="0" w:type="auto"/>
            <w:tcBorders>
              <w:top w:val="single" w:sz="6" w:space="0" w:color="FFFFFF"/>
              <w:left w:val="single" w:sz="6" w:space="0" w:color="FFFFFF"/>
              <w:bottom w:val="single" w:sz="6" w:space="0" w:color="000000"/>
              <w:right w:val="single" w:sz="6" w:space="0" w:color="FFFFFF"/>
            </w:tcBorders>
            <w:shd w:val="clear" w:color="auto" w:fill="auto"/>
            <w:tcMar>
              <w:top w:w="6" w:type="dxa"/>
              <w:left w:w="6" w:type="dxa"/>
              <w:bottom w:w="0" w:type="dxa"/>
              <w:right w:w="6" w:type="dxa"/>
            </w:tcMar>
            <w:vAlign w:val="bottom"/>
          </w:tcPr>
          <w:p w14:paraId="0D5D7571" w14:textId="2A1EE1F7" w:rsidR="00B4348B" w:rsidRPr="006256FC" w:rsidRDefault="00B4348B" w:rsidP="002E3F44">
            <w:pPr>
              <w:spacing w:line="240" w:lineRule="auto"/>
              <w:ind w:firstLine="0"/>
              <w:rPr>
                <w:rFonts w:eastAsia="Calibri" w:cs="Times New Roman"/>
                <w:b/>
                <w:bCs/>
                <w:color w:val="000000"/>
              </w:rPr>
            </w:pPr>
            <w:r w:rsidRPr="006256FC">
              <w:rPr>
                <w:rFonts w:eastAsia="Calibri" w:cs="Times New Roman"/>
                <w:b/>
                <w:bCs/>
                <w:color w:val="000000"/>
              </w:rPr>
              <w:t>Table 6.1 (continued)</w:t>
            </w:r>
          </w:p>
        </w:tc>
        <w:tc>
          <w:tcPr>
            <w:tcW w:w="2076" w:type="dxa"/>
            <w:tcBorders>
              <w:top w:val="single" w:sz="6" w:space="0" w:color="FFFFFF"/>
              <w:left w:val="single" w:sz="6" w:space="0" w:color="FFFFFF"/>
              <w:bottom w:val="single" w:sz="4" w:space="0" w:color="auto"/>
              <w:right w:val="single" w:sz="6" w:space="0" w:color="FFFFFF"/>
            </w:tcBorders>
            <w:shd w:val="clear" w:color="auto" w:fill="auto"/>
            <w:tcMar>
              <w:top w:w="6" w:type="dxa"/>
              <w:left w:w="6" w:type="dxa"/>
              <w:bottom w:w="0" w:type="dxa"/>
              <w:right w:w="6" w:type="dxa"/>
            </w:tcMar>
            <w:vAlign w:val="bottom"/>
          </w:tcPr>
          <w:p w14:paraId="556F29BF" w14:textId="77777777" w:rsidR="00B4348B" w:rsidRPr="006256FC" w:rsidRDefault="00B4348B" w:rsidP="002E3F44">
            <w:pPr>
              <w:spacing w:line="240" w:lineRule="auto"/>
              <w:ind w:firstLine="0"/>
              <w:jc w:val="center"/>
              <w:rPr>
                <w:rFonts w:eastAsia="Calibri" w:cs="Times New Roman"/>
                <w:b/>
                <w:bCs/>
                <w:color w:val="000000"/>
              </w:rPr>
            </w:pPr>
          </w:p>
        </w:tc>
        <w:tc>
          <w:tcPr>
            <w:tcW w:w="3503" w:type="dxa"/>
            <w:gridSpan w:val="2"/>
            <w:tcBorders>
              <w:top w:val="single" w:sz="6" w:space="0" w:color="FFFFFF"/>
              <w:left w:val="single" w:sz="6" w:space="0" w:color="FFFFFF"/>
              <w:bottom w:val="single" w:sz="4" w:space="0" w:color="auto"/>
              <w:right w:val="single" w:sz="6" w:space="0" w:color="FFFFFF"/>
            </w:tcBorders>
            <w:shd w:val="clear" w:color="auto" w:fill="auto"/>
            <w:tcMar>
              <w:top w:w="6" w:type="dxa"/>
              <w:left w:w="6" w:type="dxa"/>
              <w:bottom w:w="0" w:type="dxa"/>
              <w:right w:w="6" w:type="dxa"/>
            </w:tcMar>
            <w:vAlign w:val="bottom"/>
          </w:tcPr>
          <w:p w14:paraId="24A158FC" w14:textId="77777777" w:rsidR="00B4348B" w:rsidRPr="006256FC" w:rsidRDefault="00B4348B" w:rsidP="002E3F44">
            <w:pPr>
              <w:spacing w:line="240" w:lineRule="auto"/>
              <w:ind w:firstLine="0"/>
              <w:jc w:val="center"/>
              <w:rPr>
                <w:rFonts w:eastAsia="Calibri" w:cs="Times New Roman"/>
                <w:b/>
                <w:bCs/>
                <w:color w:val="000000"/>
              </w:rPr>
            </w:pPr>
          </w:p>
        </w:tc>
      </w:tr>
      <w:tr w:rsidR="001F17B6" w:rsidRPr="006256FC" w14:paraId="4FFC886D" w14:textId="77777777" w:rsidTr="00B4348B">
        <w:trPr>
          <w:trHeight w:val="20"/>
          <w:tblHeader/>
          <w:jc w:val="center"/>
        </w:trPr>
        <w:tc>
          <w:tcPr>
            <w:tcW w:w="0" w:type="auto"/>
            <w:vMerge w:val="restart"/>
            <w:tcBorders>
              <w:top w:val="single" w:sz="6" w:space="0" w:color="FFFFFF"/>
              <w:left w:val="single" w:sz="6" w:space="0" w:color="FFFFFF"/>
              <w:bottom w:val="single" w:sz="6" w:space="0" w:color="000000"/>
              <w:right w:val="single" w:sz="6" w:space="0" w:color="FFFFFF"/>
            </w:tcBorders>
            <w:shd w:val="clear" w:color="auto" w:fill="auto"/>
            <w:tcMar>
              <w:top w:w="6" w:type="dxa"/>
              <w:left w:w="6" w:type="dxa"/>
              <w:bottom w:w="0" w:type="dxa"/>
              <w:right w:w="6" w:type="dxa"/>
            </w:tcMar>
            <w:vAlign w:val="bottom"/>
            <w:hideMark/>
          </w:tcPr>
          <w:p w14:paraId="2B5400DA" w14:textId="0675CFDB" w:rsidR="001F17B6" w:rsidRPr="006256FC" w:rsidRDefault="001F17B6" w:rsidP="002E3F44">
            <w:pPr>
              <w:spacing w:line="240" w:lineRule="auto"/>
              <w:ind w:firstLine="0"/>
              <w:rPr>
                <w:rFonts w:eastAsia="Calibri" w:cs="Times New Roman"/>
                <w:b/>
                <w:bCs/>
                <w:color w:val="000000"/>
              </w:rPr>
            </w:pPr>
            <w:r w:rsidRPr="006256FC">
              <w:rPr>
                <w:rFonts w:eastAsia="Calibri" w:cs="Times New Roman"/>
                <w:b/>
                <w:bCs/>
                <w:color w:val="000000"/>
              </w:rPr>
              <w:t xml:space="preserve">RefSeq Genome </w:t>
            </w:r>
          </w:p>
          <w:p w14:paraId="50B165DD" w14:textId="77777777" w:rsidR="001F17B6" w:rsidRPr="006256FC" w:rsidRDefault="001F17B6" w:rsidP="002E3F44">
            <w:pPr>
              <w:spacing w:line="240" w:lineRule="auto"/>
              <w:ind w:firstLine="0"/>
              <w:rPr>
                <w:rFonts w:cs="Times New Roman"/>
              </w:rPr>
            </w:pPr>
            <w:r w:rsidRPr="006256FC">
              <w:rPr>
                <w:rFonts w:eastAsia="Calibri" w:cs="Times New Roman"/>
                <w:b/>
                <w:bCs/>
                <w:color w:val="000000"/>
              </w:rPr>
              <w:t>(Accession Number)</w:t>
            </w:r>
          </w:p>
        </w:tc>
        <w:tc>
          <w:tcPr>
            <w:tcW w:w="2076" w:type="dxa"/>
            <w:vMerge w:val="restart"/>
            <w:tcBorders>
              <w:top w:val="single" w:sz="4" w:space="0" w:color="auto"/>
              <w:left w:val="single" w:sz="6" w:space="0" w:color="FFFFFF"/>
              <w:bottom w:val="single" w:sz="6" w:space="0" w:color="000000"/>
              <w:right w:val="single" w:sz="6" w:space="0" w:color="FFFFFF"/>
            </w:tcBorders>
            <w:shd w:val="clear" w:color="auto" w:fill="auto"/>
            <w:tcMar>
              <w:top w:w="6" w:type="dxa"/>
              <w:left w:w="6" w:type="dxa"/>
              <w:bottom w:w="0" w:type="dxa"/>
              <w:right w:w="6" w:type="dxa"/>
            </w:tcMar>
            <w:vAlign w:val="bottom"/>
            <w:hideMark/>
          </w:tcPr>
          <w:p w14:paraId="409DB1BE" w14:textId="77777777" w:rsidR="001F17B6" w:rsidRPr="006256FC" w:rsidRDefault="001F17B6" w:rsidP="002E3F44">
            <w:pPr>
              <w:spacing w:line="240" w:lineRule="auto"/>
              <w:ind w:firstLine="0"/>
              <w:jc w:val="center"/>
              <w:rPr>
                <w:rFonts w:cs="Times New Roman"/>
              </w:rPr>
            </w:pPr>
            <w:r w:rsidRPr="006256FC">
              <w:rPr>
                <w:rFonts w:eastAsia="Calibri" w:cs="Times New Roman"/>
                <w:b/>
                <w:bCs/>
                <w:color w:val="000000"/>
              </w:rPr>
              <w:t>Isolation Site</w:t>
            </w:r>
          </w:p>
        </w:tc>
        <w:tc>
          <w:tcPr>
            <w:tcW w:w="3503" w:type="dxa"/>
            <w:gridSpan w:val="2"/>
            <w:tcBorders>
              <w:top w:val="single" w:sz="4" w:space="0" w:color="auto"/>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7CB8936C" w14:textId="77777777" w:rsidR="001F17B6" w:rsidRPr="006256FC" w:rsidRDefault="001F17B6" w:rsidP="002E3F44">
            <w:pPr>
              <w:spacing w:line="240" w:lineRule="auto"/>
              <w:ind w:firstLine="0"/>
              <w:jc w:val="center"/>
              <w:rPr>
                <w:rFonts w:cs="Times New Roman"/>
              </w:rPr>
            </w:pPr>
            <w:r w:rsidRPr="006256FC">
              <w:rPr>
                <w:rFonts w:eastAsia="Calibri" w:cs="Times New Roman"/>
                <w:b/>
                <w:bCs/>
                <w:color w:val="000000"/>
              </w:rPr>
              <w:t>Comparison to strain DJPM01</w:t>
            </w:r>
          </w:p>
        </w:tc>
      </w:tr>
      <w:tr w:rsidR="001F17B6" w:rsidRPr="006256FC" w14:paraId="361D7B0F" w14:textId="77777777" w:rsidTr="00B4348B">
        <w:trPr>
          <w:trHeight w:val="20"/>
          <w:tblHeader/>
          <w:jc w:val="center"/>
        </w:trPr>
        <w:tc>
          <w:tcPr>
            <w:tcW w:w="0" w:type="auto"/>
            <w:vMerge/>
            <w:tcBorders>
              <w:top w:val="single" w:sz="6" w:space="0" w:color="FFFFFF"/>
              <w:left w:val="single" w:sz="6" w:space="0" w:color="FFFFFF"/>
              <w:bottom w:val="single" w:sz="6" w:space="0" w:color="000000"/>
              <w:right w:val="single" w:sz="6" w:space="0" w:color="FFFFFF"/>
            </w:tcBorders>
            <w:vAlign w:val="bottom"/>
            <w:hideMark/>
          </w:tcPr>
          <w:p w14:paraId="260A908C" w14:textId="77777777" w:rsidR="001F17B6" w:rsidRPr="006256FC" w:rsidRDefault="001F17B6" w:rsidP="002E3F44">
            <w:pPr>
              <w:spacing w:line="240" w:lineRule="auto"/>
              <w:ind w:firstLine="0"/>
              <w:jc w:val="center"/>
              <w:rPr>
                <w:rFonts w:cs="Times New Roman"/>
              </w:rPr>
            </w:pPr>
          </w:p>
        </w:tc>
        <w:tc>
          <w:tcPr>
            <w:tcW w:w="2076" w:type="dxa"/>
            <w:vMerge/>
            <w:tcBorders>
              <w:top w:val="single" w:sz="6" w:space="0" w:color="FFFFFF"/>
              <w:left w:val="single" w:sz="6" w:space="0" w:color="FFFFFF"/>
              <w:bottom w:val="single" w:sz="6" w:space="0" w:color="000000"/>
              <w:right w:val="single" w:sz="6" w:space="0" w:color="FFFFFF"/>
            </w:tcBorders>
            <w:vAlign w:val="bottom"/>
            <w:hideMark/>
          </w:tcPr>
          <w:p w14:paraId="7E580141" w14:textId="77777777" w:rsidR="001F17B6" w:rsidRPr="006256FC" w:rsidRDefault="001F17B6" w:rsidP="002E3F44">
            <w:pPr>
              <w:spacing w:line="240" w:lineRule="auto"/>
              <w:ind w:firstLine="0"/>
              <w:jc w:val="center"/>
              <w:rPr>
                <w:rFonts w:cs="Times New Roman"/>
              </w:rPr>
            </w:pPr>
          </w:p>
        </w:tc>
        <w:tc>
          <w:tcPr>
            <w:tcW w:w="1915" w:type="dxa"/>
            <w:tcBorders>
              <w:top w:val="single" w:sz="6" w:space="0" w:color="FFFFFF"/>
              <w:left w:val="single" w:sz="6" w:space="0" w:color="FFFFFF"/>
              <w:bottom w:val="single" w:sz="6" w:space="0" w:color="000000"/>
              <w:right w:val="single" w:sz="6" w:space="0" w:color="FFFFFF"/>
            </w:tcBorders>
            <w:shd w:val="clear" w:color="auto" w:fill="auto"/>
            <w:tcMar>
              <w:top w:w="6" w:type="dxa"/>
              <w:left w:w="6" w:type="dxa"/>
              <w:bottom w:w="0" w:type="dxa"/>
              <w:right w:w="6" w:type="dxa"/>
            </w:tcMar>
            <w:vAlign w:val="bottom"/>
            <w:hideMark/>
          </w:tcPr>
          <w:p w14:paraId="113515E0" w14:textId="77777777" w:rsidR="001F17B6" w:rsidRPr="006256FC" w:rsidRDefault="001F17B6" w:rsidP="002E3F44">
            <w:pPr>
              <w:spacing w:line="240" w:lineRule="auto"/>
              <w:ind w:firstLine="0"/>
              <w:jc w:val="center"/>
              <w:rPr>
                <w:rFonts w:cs="Times New Roman"/>
                <w:b/>
                <w:bCs/>
              </w:rPr>
            </w:pPr>
            <w:r w:rsidRPr="006256FC">
              <w:rPr>
                <w:rFonts w:eastAsia="Calibri" w:cs="Times New Roman"/>
                <w:b/>
                <w:bCs/>
                <w:color w:val="000000"/>
              </w:rPr>
              <w:t>ANI (%)</w:t>
            </w:r>
          </w:p>
        </w:tc>
        <w:tc>
          <w:tcPr>
            <w:tcW w:w="0" w:type="auto"/>
            <w:tcBorders>
              <w:top w:val="single" w:sz="6" w:space="0" w:color="FFFFFF"/>
              <w:left w:val="single" w:sz="6" w:space="0" w:color="FFFFFF"/>
              <w:bottom w:val="single" w:sz="6" w:space="0" w:color="000000"/>
              <w:right w:val="single" w:sz="6" w:space="0" w:color="FFFFFF"/>
            </w:tcBorders>
            <w:shd w:val="clear" w:color="auto" w:fill="auto"/>
            <w:tcMar>
              <w:top w:w="6" w:type="dxa"/>
              <w:left w:w="6" w:type="dxa"/>
              <w:bottom w:w="0" w:type="dxa"/>
              <w:right w:w="6" w:type="dxa"/>
            </w:tcMar>
            <w:vAlign w:val="bottom"/>
            <w:hideMark/>
          </w:tcPr>
          <w:p w14:paraId="3C94DE35" w14:textId="77777777" w:rsidR="001F17B6" w:rsidRPr="006256FC" w:rsidRDefault="001F17B6" w:rsidP="002E3F44">
            <w:pPr>
              <w:spacing w:line="240" w:lineRule="auto"/>
              <w:ind w:firstLine="0"/>
              <w:jc w:val="center"/>
              <w:rPr>
                <w:rFonts w:eastAsia="Calibri" w:cs="Times New Roman"/>
                <w:b/>
                <w:bCs/>
                <w:color w:val="000000"/>
              </w:rPr>
            </w:pPr>
            <w:r w:rsidRPr="006256FC">
              <w:rPr>
                <w:rFonts w:eastAsia="Calibri" w:cs="Times New Roman"/>
                <w:b/>
                <w:bCs/>
                <w:color w:val="000000"/>
              </w:rPr>
              <w:t>dDDH [CI] (%)</w:t>
            </w:r>
          </w:p>
        </w:tc>
      </w:tr>
      <w:tr w:rsidR="001F17B6" w:rsidRPr="006256FC" w14:paraId="33D66822" w14:textId="77777777" w:rsidTr="002E3F44">
        <w:trPr>
          <w:trHeight w:val="11"/>
          <w:jc w:val="center"/>
        </w:trPr>
        <w:tc>
          <w:tcPr>
            <w:tcW w:w="0" w:type="auto"/>
            <w:tcBorders>
              <w:top w:val="single" w:sz="6" w:space="0" w:color="000000"/>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406C631" w14:textId="69B3B8C8"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agilis</w:t>
            </w:r>
            <w:r w:rsidRPr="006256FC">
              <w:rPr>
                <w:rFonts w:eastAsia="Calibri" w:cs="Times New Roman"/>
                <w:color w:val="000000"/>
              </w:rPr>
              <w:t xml:space="preserve"> JCM 31605</w:t>
            </w:r>
          </w:p>
          <w:p w14:paraId="32EE142D"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024756255)</w:t>
            </w:r>
          </w:p>
        </w:tc>
        <w:tc>
          <w:tcPr>
            <w:tcW w:w="2076" w:type="dxa"/>
            <w:tcBorders>
              <w:top w:val="single" w:sz="6" w:space="0" w:color="000000"/>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7288DC09"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Forest soil; Suwon, South Korea</w:t>
            </w:r>
          </w:p>
        </w:tc>
        <w:tc>
          <w:tcPr>
            <w:tcW w:w="1915" w:type="dxa"/>
            <w:tcBorders>
              <w:top w:val="single" w:sz="6" w:space="0" w:color="000000"/>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76E2F5F"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79.41</w:t>
            </w:r>
          </w:p>
        </w:tc>
        <w:tc>
          <w:tcPr>
            <w:tcW w:w="0" w:type="auto"/>
            <w:tcBorders>
              <w:top w:val="single" w:sz="6" w:space="0" w:color="000000"/>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91C0AC8"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21.1 [18.9 - 23.6}</w:t>
            </w:r>
          </w:p>
        </w:tc>
      </w:tr>
      <w:tr w:rsidR="001F17B6" w:rsidRPr="006256FC" w14:paraId="6006BF29"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4365B326" w14:textId="59974214"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agri</w:t>
            </w:r>
            <w:r w:rsidRPr="006256FC">
              <w:rPr>
                <w:rFonts w:eastAsia="Calibri" w:cs="Times New Roman"/>
                <w:color w:val="000000"/>
              </w:rPr>
              <w:t xml:space="preserve"> JCM 31661</w:t>
            </w:r>
          </w:p>
          <w:p w14:paraId="2F9687A1"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024753255)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CDE08A0"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Grassland Soil; Morang, Nepal</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CFDB380"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79.02</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BDBF305"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20.6 [18.4 - 23]</w:t>
            </w:r>
          </w:p>
        </w:tc>
      </w:tr>
      <w:tr w:rsidR="001F17B6" w:rsidRPr="006256FC" w14:paraId="1CE35124"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7DE07882" w14:textId="7BCC467A" w:rsidR="001F17B6" w:rsidRPr="006256FC" w:rsidRDefault="001F17B6" w:rsidP="002E3F44">
            <w:pPr>
              <w:spacing w:line="240" w:lineRule="auto"/>
              <w:ind w:firstLine="0"/>
              <w:rPr>
                <w:rFonts w:cs="Times New Roman"/>
              </w:rPr>
            </w:pPr>
            <w:r w:rsidRPr="006256FC">
              <w:rPr>
                <w:rFonts w:eastAsia="Calibri" w:cs="Times New Roman"/>
                <w:i/>
                <w:iCs/>
                <w:color w:val="000000"/>
              </w:rPr>
              <w:t>Massilia alkalitolerans</w:t>
            </w:r>
            <w:r w:rsidRPr="006256FC">
              <w:rPr>
                <w:rFonts w:eastAsia="Calibri" w:cs="Times New Roman"/>
                <w:color w:val="000000"/>
              </w:rPr>
              <w:t xml:space="preserve"> DSM 17462 (GCF 000427785)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77C13A8"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Soil; Yunnan Province China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E0AD465"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79.25</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08301A7"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20.8 [18.6 - 23.2]</w:t>
            </w:r>
          </w:p>
        </w:tc>
      </w:tr>
      <w:tr w:rsidR="001F17B6" w:rsidRPr="006256FC" w14:paraId="23C45269"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7AC9404"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antarctica</w:t>
            </w:r>
            <w:r w:rsidRPr="006256FC">
              <w:rPr>
                <w:rFonts w:eastAsia="Calibri" w:cs="Times New Roman"/>
                <w:color w:val="000000"/>
              </w:rPr>
              <w:t xml:space="preserve"> P9640</w:t>
            </w:r>
          </w:p>
          <w:p w14:paraId="12B7314D"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015689335)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8EB1444"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Brook water; James Ross Island, Antarctica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D753E83"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91.92</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5EBD7D7"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46.5 [44 - 49.1]</w:t>
            </w:r>
          </w:p>
        </w:tc>
      </w:tr>
      <w:tr w:rsidR="001F17B6" w:rsidRPr="006256FC" w14:paraId="24C15942"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D9A50EC"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aquatica</w:t>
            </w:r>
            <w:r w:rsidRPr="006256FC">
              <w:rPr>
                <w:rFonts w:eastAsia="Calibri" w:cs="Times New Roman"/>
                <w:color w:val="000000"/>
              </w:rPr>
              <w:t xml:space="preserve"> CCM 8693</w:t>
            </w:r>
          </w:p>
          <w:p w14:paraId="641F5236"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011682045)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0A1D1B6"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Small stones; James Ross Island, Antarctica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7AF702C3"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87.94</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7131F643"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34.4 [31.9 - 36.9]</w:t>
            </w:r>
          </w:p>
        </w:tc>
      </w:tr>
      <w:tr w:rsidR="001F17B6" w:rsidRPr="006256FC" w14:paraId="2FBB5138"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88A08A1"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arenae</w:t>
            </w:r>
            <w:r w:rsidRPr="006256FC">
              <w:rPr>
                <w:rFonts w:eastAsia="Calibri" w:cs="Times New Roman"/>
                <w:color w:val="000000"/>
              </w:rPr>
              <w:t xml:space="preserve"> GEM5</w:t>
            </w:r>
          </w:p>
          <w:p w14:paraId="5279BF2F"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008014745)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3A85ED8"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Sand; Qinghai Province, China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D4B461C"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79.06</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BCD5825"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20.5 [18.3 - 23]</w:t>
            </w:r>
          </w:p>
        </w:tc>
      </w:tr>
      <w:tr w:rsidR="001F17B6" w:rsidRPr="006256FC" w14:paraId="7F44CB68"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402799A6"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arenosa</w:t>
            </w:r>
            <w:r w:rsidRPr="006256FC">
              <w:rPr>
                <w:rFonts w:eastAsia="Calibri" w:cs="Times New Roman"/>
                <w:color w:val="000000"/>
              </w:rPr>
              <w:t xml:space="preserve"> MC02</w:t>
            </w:r>
          </w:p>
          <w:p w14:paraId="4A3E5A02"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004614185.1)</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50FDD5C"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Sandy-loam maize soil; United States</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CABFC12"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79.07</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4CF21CB9"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20.6 [18.4 - 23]</w:t>
            </w:r>
          </w:p>
        </w:tc>
      </w:tr>
      <w:tr w:rsidR="001F17B6" w:rsidRPr="006256FC" w14:paraId="3FAB12E1"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D3C4BB2" w14:textId="77777777" w:rsidR="001F17B6" w:rsidRPr="006256FC" w:rsidRDefault="001F17B6" w:rsidP="002E3F44">
            <w:pPr>
              <w:spacing w:line="240" w:lineRule="auto"/>
              <w:ind w:firstLine="0"/>
              <w:rPr>
                <w:rFonts w:cs="Times New Roman"/>
              </w:rPr>
            </w:pPr>
            <w:r w:rsidRPr="006256FC">
              <w:rPr>
                <w:rFonts w:eastAsia="Calibri" w:cs="Times New Roman"/>
                <w:i/>
                <w:iCs/>
                <w:color w:val="000000"/>
              </w:rPr>
              <w:t>Massilia aromaticivorans</w:t>
            </w:r>
            <w:r w:rsidRPr="006256FC">
              <w:rPr>
                <w:rFonts w:eastAsia="Calibri" w:cs="Times New Roman"/>
                <w:color w:val="000000"/>
              </w:rPr>
              <w:t xml:space="preserve"> ML15P13 (GCF 013003915)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D30A954"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Arctic Soil; Svalbard, Norway</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EDCE82A"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79.19</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BC35544"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21.1 [18.8 - 23.5]</w:t>
            </w:r>
          </w:p>
        </w:tc>
      </w:tr>
      <w:tr w:rsidR="001F17B6" w:rsidRPr="006256FC" w14:paraId="4FAA09E9"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1002146"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atriviolacea</w:t>
            </w:r>
            <w:r w:rsidRPr="006256FC">
              <w:rPr>
                <w:rFonts w:eastAsia="Calibri" w:cs="Times New Roman"/>
                <w:color w:val="000000"/>
              </w:rPr>
              <w:t xml:space="preserve"> SOD</w:t>
            </w:r>
          </w:p>
          <w:p w14:paraId="1D09449C"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003953935)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799E7C5"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Soil; Hefei, China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65D34E7"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88.04</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0C34E92"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34.5 [32.1 - 37]</w:t>
            </w:r>
          </w:p>
        </w:tc>
      </w:tr>
      <w:tr w:rsidR="001F17B6" w:rsidRPr="006256FC" w14:paraId="7B80AFDA"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494B0570"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aurea</w:t>
            </w:r>
            <w:r w:rsidRPr="006256FC">
              <w:rPr>
                <w:rFonts w:eastAsia="Calibri" w:cs="Times New Roman"/>
                <w:color w:val="000000"/>
              </w:rPr>
              <w:t xml:space="preserve"> JCM 13879</w:t>
            </w:r>
          </w:p>
          <w:p w14:paraId="5E1C72B3"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024753205)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4693524"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Drinking water distribution system; Seville, Spain</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3286012"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78.92</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4EFA8301"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20.3 [18.1 - 22.7]</w:t>
            </w:r>
          </w:p>
        </w:tc>
      </w:tr>
      <w:tr w:rsidR="001F17B6" w:rsidRPr="006256FC" w14:paraId="688BED80"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2E72D04"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cavernae</w:t>
            </w:r>
            <w:r w:rsidRPr="006256FC">
              <w:rPr>
                <w:rFonts w:eastAsia="Calibri" w:cs="Times New Roman"/>
                <w:color w:val="000000"/>
              </w:rPr>
              <w:t xml:space="preserve"> K1S02-61</w:t>
            </w:r>
          </w:p>
          <w:p w14:paraId="49B6BECE"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003590855)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2C2C233"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Soil from karst cave; Guizhou, China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4A0DE72"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81.25</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A826C92"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23.2 [20.9 - 25.7]</w:t>
            </w:r>
          </w:p>
        </w:tc>
      </w:tr>
      <w:tr w:rsidR="001F17B6" w:rsidRPr="006256FC" w14:paraId="54784F76"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B233B9A"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eburnea</w:t>
            </w:r>
            <w:r w:rsidRPr="006256FC">
              <w:rPr>
                <w:rFonts w:eastAsia="Calibri" w:cs="Times New Roman"/>
                <w:color w:val="000000"/>
              </w:rPr>
              <w:t xml:space="preserve"> JCM 31587</w:t>
            </w:r>
          </w:p>
          <w:p w14:paraId="71B25AE9"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009720745)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2567FEC"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Lagoon sediments; Japan</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B767480"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78.53</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7A601E53"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20 [17.8 - 22.4]</w:t>
            </w:r>
          </w:p>
        </w:tc>
      </w:tr>
      <w:tr w:rsidR="001F17B6" w:rsidRPr="006256FC" w14:paraId="3EE9873A"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68D3EB5" w14:textId="77777777" w:rsidR="001F17B6" w:rsidRPr="006256FC" w:rsidRDefault="001F17B6" w:rsidP="002E3F44">
            <w:pPr>
              <w:spacing w:line="240" w:lineRule="auto"/>
              <w:ind w:firstLine="0"/>
              <w:rPr>
                <w:rFonts w:cs="Times New Roman"/>
              </w:rPr>
            </w:pPr>
            <w:r w:rsidRPr="006256FC">
              <w:rPr>
                <w:rFonts w:eastAsia="Calibri" w:cs="Times New Roman"/>
                <w:i/>
                <w:iCs/>
                <w:color w:val="000000"/>
              </w:rPr>
              <w:t>Massilia eurypsychrophila</w:t>
            </w:r>
            <w:r w:rsidRPr="006256FC">
              <w:rPr>
                <w:rFonts w:eastAsia="Calibri" w:cs="Times New Roman"/>
                <w:color w:val="000000"/>
              </w:rPr>
              <w:t xml:space="preserve"> JCM 30074 (GCF 002760655)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3AB5B41"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Ice core; Muztagh Glacier, Xinjiang, China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FD89A9D"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81.41</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3B0563F"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23.1 [20.8 - 25.6]</w:t>
            </w:r>
          </w:p>
        </w:tc>
      </w:tr>
      <w:tr w:rsidR="001F17B6" w:rsidRPr="006256FC" w14:paraId="32BB7F52"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FF59BD5"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forsythiae</w:t>
            </w:r>
            <w:r w:rsidRPr="006256FC">
              <w:rPr>
                <w:rFonts w:eastAsia="Calibri" w:cs="Times New Roman"/>
                <w:color w:val="000000"/>
              </w:rPr>
              <w:t xml:space="preserve"> GN2-R2</w:t>
            </w:r>
          </w:p>
          <w:p w14:paraId="2C67F31A"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012849555)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AE5F32E"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 xml:space="preserve">Flower of </w:t>
            </w:r>
            <w:r w:rsidRPr="006256FC">
              <w:rPr>
                <w:rFonts w:eastAsia="Calibri" w:cs="Times New Roman"/>
                <w:i/>
                <w:iCs/>
                <w:color w:val="000000"/>
              </w:rPr>
              <w:t>Forsythia koreana</w:t>
            </w:r>
            <w:r w:rsidRPr="006256FC">
              <w:rPr>
                <w:rFonts w:eastAsia="Calibri" w:cs="Times New Roman"/>
                <w:color w:val="000000"/>
              </w:rPr>
              <w:t>; Gongju-si, South Korea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2AEF12B"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79.47</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C66E713"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21.5 [19.3 - 24]</w:t>
            </w:r>
          </w:p>
        </w:tc>
      </w:tr>
      <w:tr w:rsidR="001F17B6" w:rsidRPr="006256FC" w14:paraId="391D1117"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E104833"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 xml:space="preserve">Massilia frigida </w:t>
            </w:r>
            <w:r w:rsidRPr="006256FC">
              <w:rPr>
                <w:rFonts w:eastAsia="Calibri" w:cs="Times New Roman"/>
                <w:color w:val="000000"/>
              </w:rPr>
              <w:t>CCM 8695</w:t>
            </w:r>
          </w:p>
          <w:p w14:paraId="31AEBD72"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011682175)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7A68DFE"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Water; James Ross Island, Antarctica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BA1F900"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97.36</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FDA69E3"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75.6 [72.6 - 78.4]</w:t>
            </w:r>
          </w:p>
        </w:tc>
      </w:tr>
      <w:tr w:rsidR="001F17B6" w:rsidRPr="006256FC" w14:paraId="28C7D749"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B258137"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lastRenderedPageBreak/>
              <w:t>Massilia glaciei</w:t>
            </w:r>
            <w:r w:rsidRPr="006256FC">
              <w:rPr>
                <w:rFonts w:eastAsia="Calibri" w:cs="Times New Roman"/>
                <w:color w:val="000000"/>
              </w:rPr>
              <w:t xml:space="preserve"> B448-2</w:t>
            </w:r>
          </w:p>
          <w:p w14:paraId="58DAD6FF"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003011895)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E76E16E"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Thawed water; Muztagh Glacier, Xinjiang, China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1B32F47"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81.21</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2296301"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23.2 [21 - 25.7]</w:t>
            </w:r>
          </w:p>
        </w:tc>
      </w:tr>
      <w:tr w:rsidR="001F17B6" w:rsidRPr="006256FC" w14:paraId="0A3D7E4F"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59ACEA8" w14:textId="2FA011F8"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Massila horti</w:t>
            </w:r>
            <w:r w:rsidRPr="006256FC">
              <w:rPr>
                <w:rFonts w:eastAsia="Calibri" w:cs="Times New Roman"/>
                <w:color w:val="000000"/>
              </w:rPr>
              <w:t xml:space="preserve"> ONC3</w:t>
            </w:r>
          </w:p>
          <w:p w14:paraId="6EF6D347"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004614195)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E14393E"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Garden soil subsurface; United States</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8E4A91C"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79.39</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73869BE"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21.2 [19 - 23.6]</w:t>
            </w:r>
          </w:p>
        </w:tc>
      </w:tr>
      <w:tr w:rsidR="001F17B6" w:rsidRPr="006256FC" w14:paraId="52211C72"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74235FD5" w14:textId="77777777" w:rsidR="001F17B6" w:rsidRPr="006256FC" w:rsidRDefault="001F17B6" w:rsidP="002E3F44">
            <w:pPr>
              <w:spacing w:line="240" w:lineRule="auto"/>
              <w:ind w:firstLine="0"/>
              <w:rPr>
                <w:rFonts w:cs="Times New Roman"/>
              </w:rPr>
            </w:pPr>
            <w:r w:rsidRPr="006256FC">
              <w:rPr>
                <w:rFonts w:eastAsia="Calibri" w:cs="Times New Roman"/>
                <w:i/>
                <w:iCs/>
                <w:color w:val="000000"/>
              </w:rPr>
              <w:t>Massilia mucilaginosa</w:t>
            </w:r>
            <w:r w:rsidRPr="006256FC">
              <w:rPr>
                <w:rFonts w:eastAsia="Calibri" w:cs="Times New Roman"/>
                <w:color w:val="000000"/>
              </w:rPr>
              <w:t xml:space="preserve"> CCM 8733 (GCF 011682145)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C2064FE"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Water; James Ross Island, Antarctica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1CF2C6E"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88.41</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3E84EBB"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35.2 [32.8 - 37.7]</w:t>
            </w:r>
          </w:p>
        </w:tc>
      </w:tr>
      <w:tr w:rsidR="001F17B6" w:rsidRPr="006256FC" w14:paraId="633A7460"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B4D2A50"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 xml:space="preserve">Massilia niastensis </w:t>
            </w:r>
            <w:r w:rsidRPr="006256FC">
              <w:rPr>
                <w:rFonts w:eastAsia="Calibri" w:cs="Times New Roman"/>
                <w:color w:val="000000"/>
              </w:rPr>
              <w:t>DSM 21313</w:t>
            </w:r>
          </w:p>
          <w:p w14:paraId="3A5D244B"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000382345)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24613EF"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Air Sample; Suwon, South Korea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7577849F"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79.88</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527CEF0"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21.4 [19.2 - 23.9]</w:t>
            </w:r>
          </w:p>
        </w:tc>
      </w:tr>
      <w:tr w:rsidR="001F17B6" w:rsidRPr="006256FC" w14:paraId="6D0B0DBB"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48F60A3" w14:textId="77777777" w:rsidR="001F17B6" w:rsidRPr="006256FC" w:rsidRDefault="001F17B6" w:rsidP="002E3F44">
            <w:pPr>
              <w:spacing w:line="240" w:lineRule="auto"/>
              <w:ind w:firstLine="0"/>
              <w:rPr>
                <w:rFonts w:cs="Times New Roman"/>
              </w:rPr>
            </w:pPr>
            <w:r w:rsidRPr="006256FC">
              <w:rPr>
                <w:rFonts w:eastAsia="Calibri" w:cs="Times New Roman"/>
                <w:i/>
                <w:iCs/>
                <w:color w:val="000000"/>
              </w:rPr>
              <w:t>Massilia norwichensis</w:t>
            </w:r>
            <w:r w:rsidRPr="006256FC">
              <w:rPr>
                <w:rFonts w:eastAsia="Calibri" w:cs="Times New Roman"/>
                <w:color w:val="000000"/>
              </w:rPr>
              <w:t xml:space="preserve"> LMG 28164 (GCF 024753245)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B7B3E49"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Air sample; Norwich, United Kingdom</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2112DAA"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79.20</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4811C6F9"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20.8 [18.6 - 23.3]</w:t>
            </w:r>
          </w:p>
        </w:tc>
      </w:tr>
      <w:tr w:rsidR="001F17B6" w:rsidRPr="006256FC" w14:paraId="41552942"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C1A9F84"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 xml:space="preserve">Massilia oculi </w:t>
            </w:r>
            <w:r w:rsidRPr="006256FC">
              <w:rPr>
                <w:rFonts w:eastAsia="Calibri" w:cs="Times New Roman"/>
                <w:color w:val="000000"/>
              </w:rPr>
              <w:t>CCUG 43427</w:t>
            </w:r>
          </w:p>
          <w:p w14:paraId="04666A0B"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003143515)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7FEC85D"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themeColor="dark1"/>
              </w:rPr>
              <w:t>Human eye; Linköping, Sweden</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459839C"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79.10</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91AB9C2"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20.8 [18.6 - 23.3]</w:t>
            </w:r>
          </w:p>
        </w:tc>
      </w:tr>
      <w:tr w:rsidR="001F17B6" w:rsidRPr="006256FC" w14:paraId="0D2DF9BC"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7B1CA463"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pinisoli</w:t>
            </w:r>
            <w:r w:rsidRPr="006256FC">
              <w:rPr>
                <w:rFonts w:eastAsia="Calibri" w:cs="Times New Roman"/>
                <w:color w:val="000000"/>
              </w:rPr>
              <w:t xml:space="preserve"> JCM 31316</w:t>
            </w:r>
          </w:p>
          <w:p w14:paraId="14DB5AE2"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024753285)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E3A5FC0"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Forest soil; Suwon, South Korea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07825CF"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78.55</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7C4F66F7"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20.4 [18.1 - 22.8]</w:t>
            </w:r>
          </w:p>
        </w:tc>
      </w:tr>
      <w:tr w:rsidR="001F17B6" w:rsidRPr="006256FC" w14:paraId="5DE186B2"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7D25945"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polaris</w:t>
            </w:r>
            <w:r w:rsidRPr="006256FC">
              <w:rPr>
                <w:rFonts w:eastAsia="Calibri" w:cs="Times New Roman"/>
                <w:color w:val="000000"/>
              </w:rPr>
              <w:t xml:space="preserve"> RP-1-19</w:t>
            </w:r>
          </w:p>
          <w:p w14:paraId="1BB779D8"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012927275)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8CA1BC6"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Arctic Soil; Svalbard, Norway</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C985FA3"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81.30</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C99A87C"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22.9 [20.6 - 25.4]</w:t>
            </w:r>
          </w:p>
        </w:tc>
      </w:tr>
      <w:tr w:rsidR="001F17B6" w:rsidRPr="006256FC" w14:paraId="3245FAD1"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FF93900"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psychrophila</w:t>
            </w:r>
            <w:r w:rsidRPr="006256FC">
              <w:rPr>
                <w:rFonts w:eastAsia="Calibri" w:cs="Times New Roman"/>
                <w:color w:val="000000"/>
              </w:rPr>
              <w:t xml:space="preserve"> JCM 30813</w:t>
            </w:r>
          </w:p>
          <w:p w14:paraId="070C82C8"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002760665)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601D49A"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Ice core; Muztagh Glacier, Xinjiang, China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F45D64A"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80.81</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53A8D28"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22.4 [20.2 - 24.9]</w:t>
            </w:r>
          </w:p>
        </w:tc>
      </w:tr>
      <w:tr w:rsidR="001F17B6" w:rsidRPr="006256FC" w14:paraId="05C2BBC7"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41B4021C"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puerhi</w:t>
            </w:r>
            <w:r w:rsidRPr="006256FC">
              <w:rPr>
                <w:rFonts w:eastAsia="Calibri" w:cs="Times New Roman"/>
                <w:color w:val="000000"/>
              </w:rPr>
              <w:t xml:space="preserve"> SJY3</w:t>
            </w:r>
          </w:p>
          <w:p w14:paraId="31C1D260"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009861485)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73B07D6C"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Soil; China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4C87C30"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79.41</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A512344"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20.7 [18.5 - 23.2]</w:t>
            </w:r>
          </w:p>
        </w:tc>
      </w:tr>
      <w:tr w:rsidR="001F17B6" w:rsidRPr="006256FC" w14:paraId="451212ED"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AAA6D21"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putida</w:t>
            </w:r>
            <w:r w:rsidRPr="006256FC">
              <w:rPr>
                <w:rFonts w:eastAsia="Calibri" w:cs="Times New Roman"/>
                <w:color w:val="000000"/>
              </w:rPr>
              <w:t xml:space="preserve"> 6NM-7</w:t>
            </w:r>
          </w:p>
          <w:p w14:paraId="1729486F"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001941825)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5CC7BB4"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Wolfram mining tailing; Jiangxi, China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0B276C4"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78.81</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498316E4"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20.9 [18.7 - 23.4]</w:t>
            </w:r>
          </w:p>
        </w:tc>
      </w:tr>
      <w:tr w:rsidR="001F17B6" w:rsidRPr="006256FC" w14:paraId="22E6B803"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16CEFBA" w14:textId="77777777" w:rsidR="001F17B6" w:rsidRPr="006256FC" w:rsidRDefault="001F17B6" w:rsidP="002E3F44">
            <w:pPr>
              <w:spacing w:line="240" w:lineRule="auto"/>
              <w:ind w:firstLine="0"/>
              <w:rPr>
                <w:rFonts w:cs="Times New Roman"/>
              </w:rPr>
            </w:pPr>
            <w:r w:rsidRPr="006256FC">
              <w:rPr>
                <w:rFonts w:eastAsia="Calibri" w:cs="Times New Roman"/>
                <w:i/>
                <w:iCs/>
                <w:color w:val="000000"/>
              </w:rPr>
              <w:t>Massilia rhizosphaerae</w:t>
            </w:r>
            <w:r w:rsidRPr="006256FC">
              <w:rPr>
                <w:rFonts w:eastAsia="Calibri" w:cs="Times New Roman"/>
                <w:color w:val="000000"/>
              </w:rPr>
              <w:t xml:space="preserve"> NEAU-GH312 (GCF 016093545)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B35A669"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Soil; Heilongjiang, China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443DDCF1"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78.65</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451D861"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20.4 [18.2 - 22.8]</w:t>
            </w:r>
          </w:p>
        </w:tc>
      </w:tr>
      <w:tr w:rsidR="001F17B6" w:rsidRPr="006256FC" w14:paraId="65D364E9"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82E1C77"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 xml:space="preserve">Massilia rubra </w:t>
            </w:r>
            <w:r w:rsidRPr="006256FC">
              <w:rPr>
                <w:rFonts w:eastAsia="Calibri" w:cs="Times New Roman"/>
                <w:color w:val="000000"/>
              </w:rPr>
              <w:t>CCM 8692</w:t>
            </w:r>
          </w:p>
          <w:p w14:paraId="6C06BEBF"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011682065)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9D08418"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Stone; James Ross Island, Antarctica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2F687D56"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88.31</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69D264E"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35.1 [32.6 - 37.6]</w:t>
            </w:r>
          </w:p>
        </w:tc>
      </w:tr>
      <w:tr w:rsidR="001F17B6" w:rsidRPr="006256FC" w14:paraId="3F901F1A"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79D33208"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soli</w:t>
            </w:r>
            <w:r w:rsidRPr="006256FC">
              <w:rPr>
                <w:rFonts w:eastAsia="Calibri" w:cs="Times New Roman"/>
                <w:color w:val="000000"/>
              </w:rPr>
              <w:t xml:space="preserve"> R798</w:t>
            </w:r>
          </w:p>
          <w:p w14:paraId="3633529F"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016809835)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69F55F06"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Soil; South Korea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54B4B0A"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81.09</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48A7AA7"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22.8 [20.5 - 25.2]</w:t>
            </w:r>
          </w:p>
        </w:tc>
      </w:tr>
      <w:tr w:rsidR="001F17B6" w:rsidRPr="006256FC" w14:paraId="597D2EEF"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705F866"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solisilvae</w:t>
            </w:r>
            <w:r w:rsidRPr="006256FC">
              <w:rPr>
                <w:rFonts w:eastAsia="Calibri" w:cs="Times New Roman"/>
                <w:color w:val="000000"/>
              </w:rPr>
              <w:t xml:space="preserve"> JCM 31607</w:t>
            </w:r>
          </w:p>
          <w:p w14:paraId="5B170D43"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024753215)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E64A3A0"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Forest soil; Suwon, South Korea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5E5F443"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79.47</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1D87E97"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21.2 [18.9 - 23.6]</w:t>
            </w:r>
          </w:p>
        </w:tc>
      </w:tr>
      <w:tr w:rsidR="001F17B6" w:rsidRPr="006256FC" w14:paraId="2FE31506"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27E7CFD"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terrae</w:t>
            </w:r>
            <w:r w:rsidRPr="006256FC">
              <w:rPr>
                <w:rFonts w:eastAsia="Calibri" w:cs="Times New Roman"/>
                <w:color w:val="000000"/>
              </w:rPr>
              <w:t xml:space="preserve"> JCM 31606</w:t>
            </w:r>
          </w:p>
          <w:p w14:paraId="398DBA8C"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024753145)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0D3A4F06"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Forest soil; Suwon, South Korea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0F65B92"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79.42</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623A0F7"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21.3 [19.1 - 23.8]</w:t>
            </w:r>
          </w:p>
        </w:tc>
      </w:tr>
      <w:tr w:rsidR="001F17B6" w:rsidRPr="006256FC" w14:paraId="583D5BD9"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35AA533C"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t>Massilia timonae</w:t>
            </w:r>
            <w:r w:rsidRPr="006256FC">
              <w:rPr>
                <w:rFonts w:eastAsia="Calibri" w:cs="Times New Roman"/>
                <w:color w:val="000000"/>
              </w:rPr>
              <w:t xml:space="preserve"> NEU</w:t>
            </w:r>
          </w:p>
          <w:p w14:paraId="6247E648"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001866515)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7B5A4EEA"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Forest soil; Neuchatel, Switzerland</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2926363"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79.26</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4FBBAE2"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21 [18.7 - 23.4]</w:t>
            </w:r>
          </w:p>
        </w:tc>
      </w:tr>
      <w:tr w:rsidR="001F17B6" w:rsidRPr="006256FC" w14:paraId="747775B1" w14:textId="77777777" w:rsidTr="002E3F44">
        <w:trPr>
          <w:trHeight w:val="11"/>
          <w:jc w:val="center"/>
        </w:trPr>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44F97550" w14:textId="77777777" w:rsidR="001F17B6" w:rsidRPr="006256FC" w:rsidRDefault="001F17B6" w:rsidP="002E3F44">
            <w:pPr>
              <w:spacing w:line="240" w:lineRule="auto"/>
              <w:ind w:firstLine="0"/>
              <w:rPr>
                <w:rFonts w:eastAsia="Calibri" w:cs="Times New Roman"/>
                <w:color w:val="000000"/>
              </w:rPr>
            </w:pPr>
            <w:r w:rsidRPr="006256FC">
              <w:rPr>
                <w:rFonts w:eastAsia="Calibri" w:cs="Times New Roman"/>
                <w:i/>
                <w:iCs/>
                <w:color w:val="000000"/>
              </w:rPr>
              <w:lastRenderedPageBreak/>
              <w:t>Massilia violaceinigra</w:t>
            </w:r>
            <w:r w:rsidRPr="006256FC">
              <w:rPr>
                <w:rFonts w:eastAsia="Calibri" w:cs="Times New Roman"/>
                <w:color w:val="000000"/>
              </w:rPr>
              <w:t xml:space="preserve"> B2</w:t>
            </w:r>
          </w:p>
          <w:p w14:paraId="311663F7" w14:textId="77777777" w:rsidR="001F17B6" w:rsidRPr="006256FC" w:rsidRDefault="001F17B6" w:rsidP="002E3F44">
            <w:pPr>
              <w:spacing w:line="240" w:lineRule="auto"/>
              <w:ind w:firstLine="0"/>
              <w:rPr>
                <w:rFonts w:cs="Times New Roman"/>
              </w:rPr>
            </w:pPr>
            <w:r w:rsidRPr="006256FC">
              <w:rPr>
                <w:rFonts w:eastAsia="Calibri" w:cs="Times New Roman"/>
                <w:color w:val="000000"/>
              </w:rPr>
              <w:t>(GCF 002752675)</w:t>
            </w:r>
          </w:p>
        </w:tc>
        <w:tc>
          <w:tcPr>
            <w:tcW w:w="2076"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4305D5C5"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Glacial permafrost; Tianshan Glacier, Xinjian, China</w:t>
            </w:r>
          </w:p>
        </w:tc>
        <w:tc>
          <w:tcPr>
            <w:tcW w:w="1915"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51E6B4A4"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91.38</w:t>
            </w:r>
          </w:p>
        </w:tc>
        <w:tc>
          <w:tcPr>
            <w:tcW w:w="0" w:type="auto"/>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center"/>
            <w:hideMark/>
          </w:tcPr>
          <w:p w14:paraId="1AACDBC3"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44.5 [42 - 47.1]</w:t>
            </w:r>
          </w:p>
        </w:tc>
      </w:tr>
      <w:tr w:rsidR="001F17B6" w:rsidRPr="006256FC" w14:paraId="1DED514A" w14:textId="77777777" w:rsidTr="002E3F44">
        <w:trPr>
          <w:trHeight w:val="11"/>
          <w:jc w:val="center"/>
        </w:trPr>
        <w:tc>
          <w:tcPr>
            <w:tcW w:w="0" w:type="auto"/>
            <w:tcBorders>
              <w:top w:val="single" w:sz="6" w:space="0" w:color="FFFFFF"/>
              <w:left w:val="single" w:sz="6" w:space="0" w:color="FFFFFF"/>
              <w:bottom w:val="single" w:sz="6" w:space="0" w:color="000000"/>
              <w:right w:val="single" w:sz="6" w:space="0" w:color="FFFFFF"/>
            </w:tcBorders>
            <w:shd w:val="clear" w:color="auto" w:fill="auto"/>
            <w:tcMar>
              <w:top w:w="6" w:type="dxa"/>
              <w:left w:w="6" w:type="dxa"/>
              <w:bottom w:w="0" w:type="dxa"/>
              <w:right w:w="6" w:type="dxa"/>
            </w:tcMar>
            <w:vAlign w:val="center"/>
            <w:hideMark/>
          </w:tcPr>
          <w:p w14:paraId="25EB0DCD" w14:textId="77777777" w:rsidR="001F17B6" w:rsidRPr="006256FC" w:rsidRDefault="001F17B6" w:rsidP="002E3F44">
            <w:pPr>
              <w:spacing w:line="240" w:lineRule="auto"/>
              <w:ind w:firstLine="0"/>
              <w:rPr>
                <w:rFonts w:cs="Times New Roman"/>
              </w:rPr>
            </w:pPr>
            <w:r w:rsidRPr="006256FC">
              <w:rPr>
                <w:rFonts w:eastAsia="Calibri" w:cs="Times New Roman"/>
                <w:i/>
                <w:iCs/>
                <w:color w:val="000000"/>
              </w:rPr>
              <w:t>Massilia yuzhufengensis</w:t>
            </w:r>
            <w:r w:rsidRPr="006256FC">
              <w:rPr>
                <w:rFonts w:eastAsia="Calibri" w:cs="Times New Roman"/>
                <w:color w:val="000000"/>
              </w:rPr>
              <w:t xml:space="preserve"> CGMCC 1.12041 (GCF 900112225)</w:t>
            </w:r>
          </w:p>
        </w:tc>
        <w:tc>
          <w:tcPr>
            <w:tcW w:w="2076" w:type="dxa"/>
            <w:tcBorders>
              <w:top w:val="single" w:sz="6" w:space="0" w:color="FFFFFF"/>
              <w:left w:val="single" w:sz="6" w:space="0" w:color="FFFFFF"/>
              <w:bottom w:val="single" w:sz="6" w:space="0" w:color="000000"/>
              <w:right w:val="single" w:sz="6" w:space="0" w:color="FFFFFF"/>
            </w:tcBorders>
            <w:shd w:val="clear" w:color="auto" w:fill="auto"/>
            <w:tcMar>
              <w:top w:w="6" w:type="dxa"/>
              <w:left w:w="6" w:type="dxa"/>
              <w:bottom w:w="0" w:type="dxa"/>
              <w:right w:w="6" w:type="dxa"/>
            </w:tcMar>
            <w:vAlign w:val="center"/>
            <w:hideMark/>
          </w:tcPr>
          <w:p w14:paraId="457D26BF" w14:textId="36D5891A" w:rsidR="001F17B6" w:rsidRPr="006256FC" w:rsidRDefault="001F17B6" w:rsidP="002E3F44">
            <w:pPr>
              <w:spacing w:line="240" w:lineRule="auto"/>
              <w:ind w:firstLine="0"/>
              <w:jc w:val="center"/>
              <w:rPr>
                <w:rFonts w:cs="Times New Roman"/>
              </w:rPr>
            </w:pPr>
            <w:r w:rsidRPr="006256FC">
              <w:rPr>
                <w:rFonts w:eastAsia="Calibri" w:cs="Times New Roman"/>
                <w:color w:val="000000"/>
              </w:rPr>
              <w:t>Ice core;</w:t>
            </w:r>
            <w:r w:rsidR="00C20B57">
              <w:rPr>
                <w:rFonts w:eastAsia="Calibri" w:cs="Times New Roman"/>
                <w:color w:val="000000"/>
              </w:rPr>
              <w:t xml:space="preserve"> </w:t>
            </w:r>
            <w:r w:rsidRPr="006256FC">
              <w:rPr>
                <w:rFonts w:eastAsia="Calibri" w:cs="Times New Roman"/>
                <w:color w:val="000000"/>
              </w:rPr>
              <w:t>Yuzhufeng Glacier, China</w:t>
            </w:r>
          </w:p>
        </w:tc>
        <w:tc>
          <w:tcPr>
            <w:tcW w:w="1915" w:type="dxa"/>
            <w:tcBorders>
              <w:top w:val="single" w:sz="6" w:space="0" w:color="FFFFFF"/>
              <w:left w:val="single" w:sz="6" w:space="0" w:color="FFFFFF"/>
              <w:bottom w:val="single" w:sz="6" w:space="0" w:color="000000"/>
              <w:right w:val="single" w:sz="6" w:space="0" w:color="FFFFFF"/>
            </w:tcBorders>
            <w:shd w:val="clear" w:color="auto" w:fill="auto"/>
            <w:tcMar>
              <w:top w:w="6" w:type="dxa"/>
              <w:left w:w="6" w:type="dxa"/>
              <w:bottom w:w="0" w:type="dxa"/>
              <w:right w:w="6" w:type="dxa"/>
            </w:tcMar>
            <w:vAlign w:val="center"/>
            <w:hideMark/>
          </w:tcPr>
          <w:p w14:paraId="6D444CD8"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79.29</w:t>
            </w:r>
          </w:p>
        </w:tc>
        <w:tc>
          <w:tcPr>
            <w:tcW w:w="0" w:type="auto"/>
            <w:tcBorders>
              <w:top w:val="single" w:sz="6" w:space="0" w:color="FFFFFF"/>
              <w:left w:val="single" w:sz="6" w:space="0" w:color="FFFFFF"/>
              <w:bottom w:val="single" w:sz="6" w:space="0" w:color="000000"/>
              <w:right w:val="single" w:sz="6" w:space="0" w:color="FFFFFF"/>
            </w:tcBorders>
            <w:shd w:val="clear" w:color="auto" w:fill="auto"/>
            <w:tcMar>
              <w:top w:w="6" w:type="dxa"/>
              <w:left w:w="6" w:type="dxa"/>
              <w:bottom w:w="0" w:type="dxa"/>
              <w:right w:w="6" w:type="dxa"/>
            </w:tcMar>
            <w:vAlign w:val="center"/>
            <w:hideMark/>
          </w:tcPr>
          <w:p w14:paraId="7044E40A" w14:textId="77777777" w:rsidR="001F17B6" w:rsidRPr="006256FC" w:rsidRDefault="001F17B6" w:rsidP="002E3F44">
            <w:pPr>
              <w:spacing w:line="240" w:lineRule="auto"/>
              <w:ind w:firstLine="0"/>
              <w:jc w:val="center"/>
              <w:rPr>
                <w:rFonts w:cs="Times New Roman"/>
              </w:rPr>
            </w:pPr>
            <w:r w:rsidRPr="006256FC">
              <w:rPr>
                <w:rFonts w:eastAsia="Calibri" w:cs="Times New Roman"/>
                <w:color w:val="000000"/>
              </w:rPr>
              <w:t>21 [18.8 - 23.4]</w:t>
            </w:r>
          </w:p>
        </w:tc>
      </w:tr>
    </w:tbl>
    <w:p w14:paraId="34544EE3" w14:textId="77777777" w:rsidR="001F17B6" w:rsidRDefault="001F17B6" w:rsidP="001F17B6">
      <w:pPr>
        <w:spacing w:line="240" w:lineRule="auto"/>
        <w:ind w:firstLine="0"/>
        <w:rPr>
          <w:i/>
          <w:iCs/>
        </w:rPr>
      </w:pPr>
    </w:p>
    <w:p w14:paraId="21632D7D" w14:textId="77777777" w:rsidR="001F17B6" w:rsidRPr="00794A4D" w:rsidRDefault="001F17B6" w:rsidP="001F17B6">
      <w:pPr>
        <w:spacing w:line="240" w:lineRule="auto"/>
        <w:ind w:firstLine="0"/>
        <w:rPr>
          <w:b/>
          <w:bCs/>
        </w:rPr>
      </w:pPr>
    </w:p>
    <w:p w14:paraId="74D4D1C6" w14:textId="77777777" w:rsidR="001F17B6" w:rsidRDefault="001F17B6" w:rsidP="001F17B6">
      <w:pPr>
        <w:spacing w:line="240" w:lineRule="auto"/>
        <w:ind w:firstLine="0"/>
        <w:rPr>
          <w:rFonts w:cs="Times New Roman"/>
        </w:rPr>
      </w:pPr>
      <w:r>
        <w:br w:type="page"/>
      </w:r>
    </w:p>
    <w:p w14:paraId="23809011" w14:textId="27D21DF0" w:rsidR="001F17B6" w:rsidRPr="00F13F6D" w:rsidRDefault="001F17B6" w:rsidP="00F13F6D">
      <w:pPr>
        <w:pStyle w:val="Caption"/>
        <w:rPr>
          <w:b w:val="0"/>
          <w:bCs w:val="0"/>
        </w:rPr>
      </w:pPr>
      <w:bookmarkStart w:id="252" w:name="_Toc193668462"/>
      <w:r w:rsidRPr="006256FC">
        <w:lastRenderedPageBreak/>
        <w:t xml:space="preserve">Table </w:t>
      </w:r>
      <w:fldSimple w:instr=" STYLEREF 1 \s ">
        <w:r w:rsidR="00971287">
          <w:rPr>
            <w:noProof/>
          </w:rPr>
          <w:t>6</w:t>
        </w:r>
      </w:fldSimple>
      <w:r w:rsidR="00A46B68">
        <w:t>.</w:t>
      </w:r>
      <w:fldSimple w:instr=" SEQ Table \* ARABIC \s 1 ">
        <w:r w:rsidR="00971287">
          <w:rPr>
            <w:noProof/>
          </w:rPr>
          <w:t>2</w:t>
        </w:r>
      </w:fldSimple>
      <w:r w:rsidRPr="006256FC">
        <w:t xml:space="preserve"> Summary of genomic adaptations present in DJPM01. </w:t>
      </w:r>
      <w:r w:rsidRPr="00F13F6D">
        <w:rPr>
          <w:b w:val="0"/>
          <w:bCs w:val="0"/>
        </w:rPr>
        <w:t>Coding sequences were identified using Prokka, and KEGG identities were provided using GhostKOALA.</w:t>
      </w:r>
      <w:bookmarkEnd w:id="252"/>
    </w:p>
    <w:tbl>
      <w:tblPr>
        <w:tblW w:w="0" w:type="auto"/>
        <w:jc w:val="center"/>
        <w:tblCellMar>
          <w:left w:w="0" w:type="dxa"/>
          <w:right w:w="0" w:type="dxa"/>
        </w:tblCellMar>
        <w:tblLook w:val="0600" w:firstRow="0" w:lastRow="0" w:firstColumn="0" w:lastColumn="0" w:noHBand="1" w:noVBand="1"/>
      </w:tblPr>
      <w:tblGrid>
        <w:gridCol w:w="2440"/>
        <w:gridCol w:w="2134"/>
        <w:gridCol w:w="974"/>
        <w:gridCol w:w="2769"/>
        <w:gridCol w:w="774"/>
        <w:gridCol w:w="6"/>
      </w:tblGrid>
      <w:tr w:rsidR="001F17B6" w:rsidRPr="006256FC" w14:paraId="36C9567C" w14:textId="77777777" w:rsidTr="002E3F44">
        <w:trPr>
          <w:trHeight w:val="20"/>
          <w:tblHeader/>
          <w:jc w:val="center"/>
        </w:trPr>
        <w:tc>
          <w:tcPr>
            <w:tcW w:w="2253" w:type="dxa"/>
            <w:tcBorders>
              <w:bottom w:val="single" w:sz="4" w:space="0" w:color="auto"/>
            </w:tcBorders>
            <w:shd w:val="clear" w:color="auto" w:fill="auto"/>
            <w:tcMar>
              <w:top w:w="100" w:type="dxa"/>
              <w:left w:w="100" w:type="dxa"/>
              <w:bottom w:w="100" w:type="dxa"/>
              <w:right w:w="100" w:type="dxa"/>
            </w:tcMar>
            <w:vAlign w:val="bottom"/>
            <w:hideMark/>
          </w:tcPr>
          <w:p w14:paraId="1623AED3" w14:textId="3178AAFE" w:rsidR="001F17B6" w:rsidRPr="006256FC" w:rsidRDefault="001F17B6" w:rsidP="002E3F44">
            <w:pPr>
              <w:spacing w:line="240" w:lineRule="auto"/>
              <w:ind w:firstLine="0"/>
              <w:rPr>
                <w:rFonts w:eastAsia="Cambria" w:cs="Times New Roman"/>
                <w:b/>
                <w:bCs/>
                <w:color w:val="000000"/>
              </w:rPr>
            </w:pPr>
            <w:r w:rsidRPr="006256FC">
              <w:rPr>
                <w:rFonts w:eastAsia="Cambria" w:cs="Times New Roman"/>
                <w:b/>
                <w:bCs/>
                <w:color w:val="000000"/>
              </w:rPr>
              <w:t xml:space="preserve">Table </w:t>
            </w:r>
            <w:r w:rsidR="006256FC" w:rsidRPr="006256FC">
              <w:rPr>
                <w:rFonts w:eastAsia="Cambria" w:cs="Times New Roman"/>
                <w:b/>
                <w:bCs/>
                <w:color w:val="000000"/>
              </w:rPr>
              <w:t>6</w:t>
            </w:r>
            <w:r w:rsidRPr="006256FC">
              <w:rPr>
                <w:rFonts w:eastAsia="Cambria" w:cs="Times New Roman"/>
                <w:b/>
                <w:bCs/>
                <w:color w:val="000000"/>
              </w:rPr>
              <w:t>.2 (continued)</w:t>
            </w:r>
          </w:p>
          <w:p w14:paraId="71F6958A" w14:textId="253D6192" w:rsidR="001F17B6" w:rsidRPr="006256FC" w:rsidRDefault="001F17B6" w:rsidP="002E3F44">
            <w:pPr>
              <w:spacing w:line="240" w:lineRule="auto"/>
              <w:ind w:firstLine="0"/>
              <w:rPr>
                <w:rFonts w:cs="Times New Roman"/>
              </w:rPr>
            </w:pPr>
            <w:r w:rsidRPr="006256FC">
              <w:rPr>
                <w:rFonts w:eastAsia="Cambria" w:cs="Times New Roman"/>
                <w:b/>
                <w:bCs/>
                <w:color w:val="000000"/>
              </w:rPr>
              <w:t>Gene Product name</w:t>
            </w:r>
          </w:p>
        </w:tc>
        <w:tc>
          <w:tcPr>
            <w:tcW w:w="1977" w:type="dxa"/>
            <w:tcBorders>
              <w:bottom w:val="single" w:sz="4" w:space="0" w:color="auto"/>
            </w:tcBorders>
            <w:shd w:val="clear" w:color="auto" w:fill="auto"/>
            <w:tcMar>
              <w:top w:w="100" w:type="dxa"/>
              <w:left w:w="100" w:type="dxa"/>
              <w:bottom w:w="100" w:type="dxa"/>
              <w:right w:w="100" w:type="dxa"/>
            </w:tcMar>
            <w:vAlign w:val="bottom"/>
            <w:hideMark/>
          </w:tcPr>
          <w:p w14:paraId="1BD3B483"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Sequence ID</w:t>
            </w:r>
          </w:p>
        </w:tc>
        <w:tc>
          <w:tcPr>
            <w:tcW w:w="909" w:type="dxa"/>
            <w:tcBorders>
              <w:bottom w:val="single" w:sz="4" w:space="0" w:color="auto"/>
            </w:tcBorders>
            <w:shd w:val="clear" w:color="auto" w:fill="auto"/>
            <w:tcMar>
              <w:top w:w="100" w:type="dxa"/>
              <w:left w:w="100" w:type="dxa"/>
              <w:bottom w:w="100" w:type="dxa"/>
              <w:right w:w="100" w:type="dxa"/>
            </w:tcMar>
            <w:vAlign w:val="bottom"/>
            <w:hideMark/>
          </w:tcPr>
          <w:p w14:paraId="23C0D64A"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KO</w:t>
            </w:r>
          </w:p>
        </w:tc>
        <w:tc>
          <w:tcPr>
            <w:tcW w:w="2769" w:type="dxa"/>
            <w:tcBorders>
              <w:bottom w:val="single" w:sz="4" w:space="0" w:color="auto"/>
            </w:tcBorders>
            <w:shd w:val="clear" w:color="auto" w:fill="auto"/>
            <w:tcMar>
              <w:top w:w="100" w:type="dxa"/>
              <w:left w:w="100" w:type="dxa"/>
              <w:bottom w:w="100" w:type="dxa"/>
              <w:right w:w="100" w:type="dxa"/>
            </w:tcMar>
            <w:vAlign w:val="bottom"/>
            <w:hideMark/>
          </w:tcPr>
          <w:p w14:paraId="37E9A069"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GhostKOALA Annotation</w:t>
            </w:r>
          </w:p>
        </w:tc>
        <w:tc>
          <w:tcPr>
            <w:tcW w:w="0" w:type="auto"/>
            <w:tcBorders>
              <w:bottom w:val="single" w:sz="4" w:space="0" w:color="auto"/>
            </w:tcBorders>
            <w:shd w:val="clear" w:color="auto" w:fill="auto"/>
            <w:tcMar>
              <w:top w:w="100" w:type="dxa"/>
              <w:left w:w="100" w:type="dxa"/>
              <w:bottom w:w="100" w:type="dxa"/>
              <w:right w:w="100" w:type="dxa"/>
            </w:tcMar>
            <w:vAlign w:val="bottom"/>
            <w:hideMark/>
          </w:tcPr>
          <w:p w14:paraId="18BBB995"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Score</w:t>
            </w:r>
          </w:p>
        </w:tc>
        <w:tc>
          <w:tcPr>
            <w:tcW w:w="0" w:type="auto"/>
            <w:tcBorders>
              <w:bottom w:val="single" w:sz="4" w:space="0" w:color="auto"/>
            </w:tcBorders>
          </w:tcPr>
          <w:p w14:paraId="74CB5002" w14:textId="77777777" w:rsidR="001F17B6" w:rsidRPr="006256FC" w:rsidRDefault="001F17B6" w:rsidP="002E3F44">
            <w:pPr>
              <w:spacing w:line="240" w:lineRule="auto"/>
              <w:ind w:firstLine="0"/>
              <w:rPr>
                <w:rFonts w:eastAsia="Cambria" w:cs="Times New Roman"/>
                <w:b/>
                <w:bCs/>
                <w:color w:val="000000"/>
              </w:rPr>
            </w:pPr>
          </w:p>
        </w:tc>
      </w:tr>
      <w:tr w:rsidR="001F17B6" w:rsidRPr="006256FC" w14:paraId="583F37E6" w14:textId="77777777" w:rsidTr="002E3F44">
        <w:trPr>
          <w:trHeight w:val="20"/>
          <w:jc w:val="center"/>
        </w:trPr>
        <w:tc>
          <w:tcPr>
            <w:tcW w:w="2253" w:type="dxa"/>
            <w:tcBorders>
              <w:top w:val="single" w:sz="4" w:space="0" w:color="auto"/>
            </w:tcBorders>
            <w:shd w:val="clear" w:color="auto" w:fill="auto"/>
            <w:tcMar>
              <w:top w:w="100" w:type="dxa"/>
              <w:left w:w="100" w:type="dxa"/>
              <w:bottom w:w="100" w:type="dxa"/>
              <w:right w:w="100" w:type="dxa"/>
            </w:tcMar>
            <w:hideMark/>
          </w:tcPr>
          <w:p w14:paraId="6507B354" w14:textId="46393D36" w:rsidR="001F17B6" w:rsidRPr="006256FC" w:rsidRDefault="00A16CD3" w:rsidP="002E3F44">
            <w:pPr>
              <w:spacing w:line="240" w:lineRule="auto"/>
              <w:ind w:firstLine="0"/>
              <w:rPr>
                <w:rFonts w:cs="Times New Roman"/>
              </w:rPr>
            </w:pPr>
            <w:r>
              <w:rPr>
                <w:noProof/>
              </w:rPr>
              <mc:AlternateContent>
                <mc:Choice Requires="wps">
                  <w:drawing>
                    <wp:anchor distT="0" distB="0" distL="114300" distR="114300" simplePos="0" relativeHeight="251743232" behindDoc="0" locked="0" layoutInCell="1" allowOverlap="1" wp14:anchorId="7DFB6230" wp14:editId="2E49C84C">
                      <wp:simplePos x="0" y="0"/>
                      <wp:positionH relativeFrom="column">
                        <wp:posOffset>-32385</wp:posOffset>
                      </wp:positionH>
                      <wp:positionV relativeFrom="paragraph">
                        <wp:posOffset>-478790</wp:posOffset>
                      </wp:positionV>
                      <wp:extent cx="1416050" cy="184150"/>
                      <wp:effectExtent l="0" t="0" r="12700" b="25400"/>
                      <wp:wrapNone/>
                      <wp:docPr id="1652303942" name="Oval 17"/>
                      <wp:cNvGraphicFramePr/>
                      <a:graphic xmlns:a="http://schemas.openxmlformats.org/drawingml/2006/main">
                        <a:graphicData uri="http://schemas.microsoft.com/office/word/2010/wordprocessingShape">
                          <wps:wsp>
                            <wps:cNvSpPr/>
                            <wps:spPr>
                              <a:xfrm>
                                <a:off x="0" y="0"/>
                                <a:ext cx="1416050" cy="1841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F456DD" id="Oval 17" o:spid="_x0000_s1026" style="position:absolute;margin-left:-2.55pt;margin-top:-37.7pt;width:111.5pt;height:1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" fillcolor="white [3212]" strokecolor="white [3212]" strokeweight="2pt"/>
                  </w:pict>
                </mc:Fallback>
              </mc:AlternateContent>
            </w:r>
            <w:r w:rsidR="001F17B6" w:rsidRPr="006256FC">
              <w:rPr>
                <w:rFonts w:eastAsia="Cambria" w:cs="Times New Roman"/>
                <w:b/>
                <w:bCs/>
                <w:color w:val="000000"/>
              </w:rPr>
              <w:t>Cold stress</w:t>
            </w:r>
          </w:p>
        </w:tc>
        <w:tc>
          <w:tcPr>
            <w:tcW w:w="1977" w:type="dxa"/>
            <w:tcBorders>
              <w:top w:val="single" w:sz="4" w:space="0" w:color="auto"/>
            </w:tcBorders>
            <w:shd w:val="clear" w:color="auto" w:fill="auto"/>
            <w:tcMar>
              <w:top w:w="100" w:type="dxa"/>
              <w:left w:w="100" w:type="dxa"/>
              <w:bottom w:w="100" w:type="dxa"/>
              <w:right w:w="100" w:type="dxa"/>
            </w:tcMar>
            <w:hideMark/>
          </w:tcPr>
          <w:p w14:paraId="73778703" w14:textId="77777777" w:rsidR="001F17B6" w:rsidRPr="006256FC" w:rsidRDefault="001F17B6" w:rsidP="002E3F44">
            <w:pPr>
              <w:spacing w:line="240" w:lineRule="auto"/>
              <w:ind w:firstLine="0"/>
              <w:rPr>
                <w:rFonts w:cs="Times New Roman"/>
              </w:rPr>
            </w:pPr>
          </w:p>
        </w:tc>
        <w:tc>
          <w:tcPr>
            <w:tcW w:w="909" w:type="dxa"/>
            <w:tcBorders>
              <w:top w:val="single" w:sz="4" w:space="0" w:color="auto"/>
            </w:tcBorders>
            <w:shd w:val="clear" w:color="auto" w:fill="auto"/>
            <w:tcMar>
              <w:top w:w="100" w:type="dxa"/>
              <w:left w:w="100" w:type="dxa"/>
              <w:bottom w:w="100" w:type="dxa"/>
              <w:right w:w="100" w:type="dxa"/>
            </w:tcMar>
            <w:hideMark/>
          </w:tcPr>
          <w:p w14:paraId="4B8374B3" w14:textId="77777777" w:rsidR="001F17B6" w:rsidRPr="006256FC" w:rsidRDefault="001F17B6" w:rsidP="002E3F44">
            <w:pPr>
              <w:spacing w:line="240" w:lineRule="auto"/>
              <w:ind w:firstLine="0"/>
              <w:rPr>
                <w:rFonts w:cs="Times New Roman"/>
              </w:rPr>
            </w:pPr>
          </w:p>
        </w:tc>
        <w:tc>
          <w:tcPr>
            <w:tcW w:w="2769" w:type="dxa"/>
            <w:tcBorders>
              <w:top w:val="single" w:sz="4" w:space="0" w:color="auto"/>
            </w:tcBorders>
            <w:shd w:val="clear" w:color="auto" w:fill="auto"/>
            <w:tcMar>
              <w:top w:w="100" w:type="dxa"/>
              <w:left w:w="100" w:type="dxa"/>
              <w:bottom w:w="100" w:type="dxa"/>
              <w:right w:w="100" w:type="dxa"/>
            </w:tcMar>
            <w:hideMark/>
          </w:tcPr>
          <w:p w14:paraId="0D20E58D" w14:textId="77777777" w:rsidR="001F17B6" w:rsidRPr="006256FC" w:rsidRDefault="001F17B6" w:rsidP="002E3F44">
            <w:pPr>
              <w:spacing w:line="240" w:lineRule="auto"/>
              <w:ind w:firstLine="0"/>
              <w:rPr>
                <w:rFonts w:cs="Times New Roman"/>
              </w:rPr>
            </w:pPr>
          </w:p>
        </w:tc>
        <w:tc>
          <w:tcPr>
            <w:tcW w:w="0" w:type="auto"/>
            <w:tcBorders>
              <w:top w:val="single" w:sz="4" w:space="0" w:color="auto"/>
            </w:tcBorders>
            <w:shd w:val="clear" w:color="auto" w:fill="auto"/>
            <w:tcMar>
              <w:top w:w="100" w:type="dxa"/>
              <w:left w:w="100" w:type="dxa"/>
              <w:bottom w:w="100" w:type="dxa"/>
              <w:right w:w="100" w:type="dxa"/>
            </w:tcMar>
            <w:hideMark/>
          </w:tcPr>
          <w:p w14:paraId="421302A0" w14:textId="77777777" w:rsidR="001F17B6" w:rsidRPr="006256FC" w:rsidRDefault="001F17B6" w:rsidP="002E3F44">
            <w:pPr>
              <w:spacing w:line="240" w:lineRule="auto"/>
              <w:ind w:firstLine="0"/>
              <w:rPr>
                <w:rFonts w:cs="Times New Roman"/>
              </w:rPr>
            </w:pPr>
          </w:p>
        </w:tc>
        <w:tc>
          <w:tcPr>
            <w:tcW w:w="0" w:type="auto"/>
            <w:tcBorders>
              <w:top w:val="single" w:sz="4" w:space="0" w:color="auto"/>
            </w:tcBorders>
          </w:tcPr>
          <w:p w14:paraId="6E589B00" w14:textId="77777777" w:rsidR="001F17B6" w:rsidRPr="006256FC" w:rsidRDefault="001F17B6" w:rsidP="002E3F44">
            <w:pPr>
              <w:spacing w:line="240" w:lineRule="auto"/>
              <w:ind w:firstLine="0"/>
              <w:rPr>
                <w:rFonts w:cs="Times New Roman"/>
              </w:rPr>
            </w:pPr>
          </w:p>
        </w:tc>
      </w:tr>
      <w:tr w:rsidR="001F17B6" w:rsidRPr="006256FC" w14:paraId="469CEEDC" w14:textId="77777777" w:rsidTr="002E3F44">
        <w:trPr>
          <w:trHeight w:val="20"/>
          <w:jc w:val="center"/>
        </w:trPr>
        <w:tc>
          <w:tcPr>
            <w:tcW w:w="2253" w:type="dxa"/>
            <w:shd w:val="clear" w:color="auto" w:fill="auto"/>
            <w:tcMar>
              <w:top w:w="100" w:type="dxa"/>
              <w:left w:w="100" w:type="dxa"/>
              <w:bottom w:w="100" w:type="dxa"/>
              <w:right w:w="100" w:type="dxa"/>
            </w:tcMar>
            <w:hideMark/>
          </w:tcPr>
          <w:p w14:paraId="0C5057C9" w14:textId="77777777" w:rsidR="001F17B6" w:rsidRPr="006256FC" w:rsidRDefault="001F17B6" w:rsidP="002E3F44">
            <w:pPr>
              <w:spacing w:line="240" w:lineRule="auto"/>
              <w:ind w:firstLine="0"/>
              <w:rPr>
                <w:rFonts w:cs="Times New Roman"/>
              </w:rPr>
            </w:pPr>
            <w:r w:rsidRPr="006256FC">
              <w:rPr>
                <w:rFonts w:eastAsia="Cambria" w:cs="Times New Roman"/>
                <w:color w:val="000000"/>
              </w:rPr>
              <w:t>Cold Shock Protein CspA</w:t>
            </w:r>
          </w:p>
        </w:tc>
        <w:tc>
          <w:tcPr>
            <w:tcW w:w="1977" w:type="dxa"/>
            <w:shd w:val="clear" w:color="auto" w:fill="auto"/>
            <w:tcMar>
              <w:top w:w="100" w:type="dxa"/>
              <w:left w:w="100" w:type="dxa"/>
              <w:bottom w:w="100" w:type="dxa"/>
              <w:right w:w="100" w:type="dxa"/>
            </w:tcMar>
            <w:hideMark/>
          </w:tcPr>
          <w:p w14:paraId="01447CB6"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HPNLJDEO_02266</w:t>
            </w:r>
          </w:p>
        </w:tc>
        <w:tc>
          <w:tcPr>
            <w:tcW w:w="909" w:type="dxa"/>
            <w:shd w:val="clear" w:color="auto" w:fill="auto"/>
            <w:tcMar>
              <w:top w:w="100" w:type="dxa"/>
              <w:left w:w="100" w:type="dxa"/>
              <w:bottom w:w="100" w:type="dxa"/>
              <w:right w:w="100" w:type="dxa"/>
            </w:tcMar>
            <w:hideMark/>
          </w:tcPr>
          <w:p w14:paraId="3B70F88E"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K03704</w:t>
            </w:r>
          </w:p>
        </w:tc>
        <w:tc>
          <w:tcPr>
            <w:tcW w:w="2769" w:type="dxa"/>
            <w:shd w:val="clear" w:color="auto" w:fill="auto"/>
            <w:tcMar>
              <w:top w:w="100" w:type="dxa"/>
              <w:left w:w="100" w:type="dxa"/>
              <w:bottom w:w="100" w:type="dxa"/>
              <w:right w:w="100" w:type="dxa"/>
            </w:tcMar>
            <w:hideMark/>
          </w:tcPr>
          <w:p w14:paraId="77FC4064"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cspA</w:t>
            </w:r>
            <w:r w:rsidRPr="006256FC">
              <w:rPr>
                <w:rFonts w:eastAsia="Cambria" w:cs="Times New Roman"/>
                <w:color w:val="000000"/>
              </w:rPr>
              <w:t>; cold shock protein</w:t>
            </w:r>
          </w:p>
        </w:tc>
        <w:tc>
          <w:tcPr>
            <w:tcW w:w="0" w:type="auto"/>
            <w:shd w:val="clear" w:color="auto" w:fill="auto"/>
            <w:tcMar>
              <w:top w:w="100" w:type="dxa"/>
              <w:left w:w="100" w:type="dxa"/>
              <w:bottom w:w="100" w:type="dxa"/>
              <w:right w:w="100" w:type="dxa"/>
            </w:tcMar>
            <w:hideMark/>
          </w:tcPr>
          <w:p w14:paraId="233F3BB5"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135</w:t>
            </w:r>
          </w:p>
        </w:tc>
        <w:tc>
          <w:tcPr>
            <w:tcW w:w="0" w:type="auto"/>
          </w:tcPr>
          <w:p w14:paraId="4BE26080"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09E2ADA3" w14:textId="77777777" w:rsidTr="002E3F44">
        <w:trPr>
          <w:trHeight w:val="20"/>
          <w:jc w:val="center"/>
        </w:trPr>
        <w:tc>
          <w:tcPr>
            <w:tcW w:w="2253" w:type="dxa"/>
            <w:shd w:val="clear" w:color="auto" w:fill="auto"/>
            <w:tcMar>
              <w:top w:w="100" w:type="dxa"/>
              <w:left w:w="100" w:type="dxa"/>
              <w:bottom w:w="100" w:type="dxa"/>
              <w:right w:w="100" w:type="dxa"/>
            </w:tcMar>
            <w:hideMark/>
          </w:tcPr>
          <w:p w14:paraId="0D843808" w14:textId="77777777" w:rsidR="001F17B6" w:rsidRPr="006256FC" w:rsidRDefault="001F17B6" w:rsidP="002E3F44">
            <w:pPr>
              <w:spacing w:line="240" w:lineRule="auto"/>
              <w:ind w:firstLine="0"/>
              <w:rPr>
                <w:rFonts w:cs="Times New Roman"/>
              </w:rPr>
            </w:pPr>
            <w:r w:rsidRPr="006256FC">
              <w:rPr>
                <w:rFonts w:eastAsia="Cambria" w:cs="Times New Roman"/>
                <w:color w:val="000000"/>
              </w:rPr>
              <w:t>Cold Shock Protein CspA</w:t>
            </w:r>
          </w:p>
        </w:tc>
        <w:tc>
          <w:tcPr>
            <w:tcW w:w="1977" w:type="dxa"/>
            <w:shd w:val="clear" w:color="auto" w:fill="auto"/>
            <w:tcMar>
              <w:top w:w="100" w:type="dxa"/>
              <w:left w:w="100" w:type="dxa"/>
              <w:bottom w:w="100" w:type="dxa"/>
              <w:right w:w="100" w:type="dxa"/>
            </w:tcMar>
            <w:hideMark/>
          </w:tcPr>
          <w:p w14:paraId="246630AC"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HPNLJDEO_03891</w:t>
            </w:r>
          </w:p>
        </w:tc>
        <w:tc>
          <w:tcPr>
            <w:tcW w:w="909" w:type="dxa"/>
            <w:shd w:val="clear" w:color="auto" w:fill="auto"/>
            <w:tcMar>
              <w:top w:w="100" w:type="dxa"/>
              <w:left w:w="100" w:type="dxa"/>
              <w:bottom w:w="100" w:type="dxa"/>
              <w:right w:w="100" w:type="dxa"/>
            </w:tcMar>
            <w:hideMark/>
          </w:tcPr>
          <w:p w14:paraId="7F65FEF0"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K03704</w:t>
            </w:r>
          </w:p>
        </w:tc>
        <w:tc>
          <w:tcPr>
            <w:tcW w:w="2769" w:type="dxa"/>
            <w:shd w:val="clear" w:color="auto" w:fill="auto"/>
            <w:tcMar>
              <w:top w:w="100" w:type="dxa"/>
              <w:left w:w="100" w:type="dxa"/>
              <w:bottom w:w="100" w:type="dxa"/>
              <w:right w:w="100" w:type="dxa"/>
            </w:tcMar>
            <w:hideMark/>
          </w:tcPr>
          <w:p w14:paraId="06F22FD5"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cspA</w:t>
            </w:r>
            <w:r w:rsidRPr="006256FC">
              <w:rPr>
                <w:rFonts w:eastAsia="Cambria" w:cs="Times New Roman"/>
                <w:color w:val="000000"/>
              </w:rPr>
              <w:t>; cold shock protein</w:t>
            </w:r>
          </w:p>
        </w:tc>
        <w:tc>
          <w:tcPr>
            <w:tcW w:w="0" w:type="auto"/>
            <w:shd w:val="clear" w:color="auto" w:fill="auto"/>
            <w:tcMar>
              <w:top w:w="100" w:type="dxa"/>
              <w:left w:w="100" w:type="dxa"/>
              <w:bottom w:w="100" w:type="dxa"/>
              <w:right w:w="100" w:type="dxa"/>
            </w:tcMar>
            <w:vAlign w:val="center"/>
            <w:hideMark/>
          </w:tcPr>
          <w:p w14:paraId="1421AE90"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138</w:t>
            </w:r>
          </w:p>
        </w:tc>
        <w:tc>
          <w:tcPr>
            <w:tcW w:w="0" w:type="auto"/>
          </w:tcPr>
          <w:p w14:paraId="6B3275EB"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2122CFD9" w14:textId="77777777" w:rsidTr="002E3F44">
        <w:trPr>
          <w:trHeight w:val="20"/>
          <w:jc w:val="center"/>
        </w:trPr>
        <w:tc>
          <w:tcPr>
            <w:tcW w:w="2253" w:type="dxa"/>
            <w:shd w:val="clear" w:color="auto" w:fill="auto"/>
            <w:tcMar>
              <w:top w:w="100" w:type="dxa"/>
              <w:left w:w="100" w:type="dxa"/>
              <w:bottom w:w="100" w:type="dxa"/>
              <w:right w:w="100" w:type="dxa"/>
            </w:tcMar>
            <w:hideMark/>
          </w:tcPr>
          <w:p w14:paraId="582C0408" w14:textId="77777777" w:rsidR="001F17B6" w:rsidRPr="006256FC" w:rsidRDefault="001F17B6" w:rsidP="002E3F44">
            <w:pPr>
              <w:spacing w:line="240" w:lineRule="auto"/>
              <w:ind w:firstLine="0"/>
              <w:rPr>
                <w:rFonts w:cs="Times New Roman"/>
              </w:rPr>
            </w:pPr>
            <w:r w:rsidRPr="006256FC">
              <w:rPr>
                <w:rFonts w:eastAsia="Cambria" w:cs="Times New Roman"/>
                <w:color w:val="000000"/>
              </w:rPr>
              <w:t>ATP-dependent Clp protease</w:t>
            </w:r>
          </w:p>
        </w:tc>
        <w:tc>
          <w:tcPr>
            <w:tcW w:w="1977" w:type="dxa"/>
            <w:shd w:val="clear" w:color="auto" w:fill="auto"/>
            <w:tcMar>
              <w:top w:w="100" w:type="dxa"/>
              <w:left w:w="100" w:type="dxa"/>
              <w:bottom w:w="100" w:type="dxa"/>
              <w:right w:w="100" w:type="dxa"/>
            </w:tcMar>
            <w:hideMark/>
          </w:tcPr>
          <w:p w14:paraId="2BA37B21"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HPNLJDEO_00228</w:t>
            </w:r>
          </w:p>
        </w:tc>
        <w:tc>
          <w:tcPr>
            <w:tcW w:w="909" w:type="dxa"/>
            <w:shd w:val="clear" w:color="auto" w:fill="auto"/>
            <w:tcMar>
              <w:top w:w="100" w:type="dxa"/>
              <w:left w:w="100" w:type="dxa"/>
              <w:bottom w:w="100" w:type="dxa"/>
              <w:right w:w="100" w:type="dxa"/>
            </w:tcMar>
            <w:hideMark/>
          </w:tcPr>
          <w:p w14:paraId="39B75AC2"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K03695</w:t>
            </w:r>
          </w:p>
        </w:tc>
        <w:tc>
          <w:tcPr>
            <w:tcW w:w="2769" w:type="dxa"/>
            <w:shd w:val="clear" w:color="auto" w:fill="auto"/>
            <w:tcMar>
              <w:top w:w="100" w:type="dxa"/>
              <w:left w:w="100" w:type="dxa"/>
              <w:bottom w:w="100" w:type="dxa"/>
              <w:right w:w="100" w:type="dxa"/>
            </w:tcMar>
            <w:hideMark/>
          </w:tcPr>
          <w:p w14:paraId="4A21A00A"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clpB</w:t>
            </w:r>
            <w:r w:rsidRPr="006256FC">
              <w:rPr>
                <w:rFonts w:eastAsia="Cambria" w:cs="Times New Roman"/>
                <w:color w:val="000000"/>
              </w:rPr>
              <w:t>; ATP-dependent Clp protease ATP-binding subunit ClpB</w:t>
            </w:r>
          </w:p>
        </w:tc>
        <w:tc>
          <w:tcPr>
            <w:tcW w:w="0" w:type="auto"/>
            <w:shd w:val="clear" w:color="auto" w:fill="auto"/>
            <w:tcMar>
              <w:top w:w="100" w:type="dxa"/>
              <w:left w:w="100" w:type="dxa"/>
              <w:bottom w:w="100" w:type="dxa"/>
              <w:right w:w="100" w:type="dxa"/>
            </w:tcMar>
            <w:hideMark/>
          </w:tcPr>
          <w:p w14:paraId="07057820"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1410</w:t>
            </w:r>
          </w:p>
        </w:tc>
        <w:tc>
          <w:tcPr>
            <w:tcW w:w="0" w:type="auto"/>
          </w:tcPr>
          <w:p w14:paraId="77DE2AF4"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18F054BB" w14:textId="77777777" w:rsidTr="002E3F44">
        <w:trPr>
          <w:trHeight w:val="20"/>
          <w:jc w:val="center"/>
        </w:trPr>
        <w:tc>
          <w:tcPr>
            <w:tcW w:w="2253" w:type="dxa"/>
            <w:shd w:val="clear" w:color="auto" w:fill="auto"/>
            <w:tcMar>
              <w:top w:w="100" w:type="dxa"/>
              <w:left w:w="100" w:type="dxa"/>
              <w:bottom w:w="100" w:type="dxa"/>
              <w:right w:w="100" w:type="dxa"/>
            </w:tcMar>
            <w:hideMark/>
          </w:tcPr>
          <w:p w14:paraId="4F8C7F63" w14:textId="77777777" w:rsidR="001F17B6" w:rsidRPr="006256FC" w:rsidRDefault="001F17B6" w:rsidP="002E3F44">
            <w:pPr>
              <w:spacing w:line="240" w:lineRule="auto"/>
              <w:ind w:firstLine="0"/>
              <w:rPr>
                <w:rFonts w:cs="Times New Roman"/>
              </w:rPr>
            </w:pPr>
            <w:r w:rsidRPr="006256FC">
              <w:rPr>
                <w:rFonts w:eastAsia="Cambria" w:cs="Times New Roman"/>
                <w:color w:val="000000"/>
              </w:rPr>
              <w:t>ATP-dependent Clp protease</w:t>
            </w:r>
          </w:p>
        </w:tc>
        <w:tc>
          <w:tcPr>
            <w:tcW w:w="1977" w:type="dxa"/>
            <w:shd w:val="clear" w:color="auto" w:fill="auto"/>
            <w:tcMar>
              <w:top w:w="100" w:type="dxa"/>
              <w:left w:w="100" w:type="dxa"/>
              <w:bottom w:w="100" w:type="dxa"/>
              <w:right w:w="100" w:type="dxa"/>
            </w:tcMar>
            <w:hideMark/>
          </w:tcPr>
          <w:p w14:paraId="5BFFE4B6"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HPNLJDEO_05808</w:t>
            </w:r>
          </w:p>
        </w:tc>
        <w:tc>
          <w:tcPr>
            <w:tcW w:w="909" w:type="dxa"/>
            <w:shd w:val="clear" w:color="auto" w:fill="auto"/>
            <w:tcMar>
              <w:top w:w="100" w:type="dxa"/>
              <w:left w:w="100" w:type="dxa"/>
              <w:bottom w:w="100" w:type="dxa"/>
              <w:right w:w="100" w:type="dxa"/>
            </w:tcMar>
            <w:hideMark/>
          </w:tcPr>
          <w:p w14:paraId="02F5FB9A"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K03695</w:t>
            </w:r>
          </w:p>
        </w:tc>
        <w:tc>
          <w:tcPr>
            <w:tcW w:w="2769" w:type="dxa"/>
            <w:shd w:val="clear" w:color="auto" w:fill="auto"/>
            <w:tcMar>
              <w:top w:w="100" w:type="dxa"/>
              <w:left w:w="100" w:type="dxa"/>
              <w:bottom w:w="100" w:type="dxa"/>
              <w:right w:w="100" w:type="dxa"/>
            </w:tcMar>
            <w:hideMark/>
          </w:tcPr>
          <w:p w14:paraId="31C2027C"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clpB</w:t>
            </w:r>
            <w:r w:rsidRPr="006256FC">
              <w:rPr>
                <w:rFonts w:eastAsia="Cambria" w:cs="Times New Roman"/>
                <w:color w:val="000000"/>
              </w:rPr>
              <w:t>; ATP-dependent Clp protease ATP-binding subunit ClpB</w:t>
            </w:r>
          </w:p>
        </w:tc>
        <w:tc>
          <w:tcPr>
            <w:tcW w:w="0" w:type="auto"/>
            <w:shd w:val="clear" w:color="auto" w:fill="auto"/>
            <w:tcMar>
              <w:top w:w="100" w:type="dxa"/>
              <w:left w:w="100" w:type="dxa"/>
              <w:bottom w:w="100" w:type="dxa"/>
              <w:right w:w="100" w:type="dxa"/>
            </w:tcMar>
            <w:hideMark/>
          </w:tcPr>
          <w:p w14:paraId="7AE62A15"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310</w:t>
            </w:r>
          </w:p>
        </w:tc>
        <w:tc>
          <w:tcPr>
            <w:tcW w:w="0" w:type="auto"/>
          </w:tcPr>
          <w:p w14:paraId="6AE97311"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0E83546F" w14:textId="77777777" w:rsidTr="002E3F44">
        <w:trPr>
          <w:trHeight w:val="20"/>
          <w:jc w:val="center"/>
        </w:trPr>
        <w:tc>
          <w:tcPr>
            <w:tcW w:w="2253" w:type="dxa"/>
            <w:shd w:val="clear" w:color="auto" w:fill="auto"/>
            <w:tcMar>
              <w:top w:w="100" w:type="dxa"/>
              <w:left w:w="100" w:type="dxa"/>
              <w:bottom w:w="100" w:type="dxa"/>
              <w:right w:w="100" w:type="dxa"/>
            </w:tcMar>
            <w:hideMark/>
          </w:tcPr>
          <w:p w14:paraId="56EF3FA8" w14:textId="77777777" w:rsidR="001F17B6" w:rsidRPr="006256FC" w:rsidRDefault="001F17B6" w:rsidP="002E3F44">
            <w:pPr>
              <w:spacing w:line="240" w:lineRule="auto"/>
              <w:ind w:firstLine="0"/>
              <w:rPr>
                <w:rFonts w:cs="Times New Roman"/>
              </w:rPr>
            </w:pPr>
            <w:r w:rsidRPr="006256FC">
              <w:rPr>
                <w:rFonts w:eastAsia="Cambria" w:cs="Times New Roman"/>
                <w:color w:val="000000"/>
              </w:rPr>
              <w:t>molecular chaperone DnaJ</w:t>
            </w:r>
          </w:p>
        </w:tc>
        <w:tc>
          <w:tcPr>
            <w:tcW w:w="1977" w:type="dxa"/>
            <w:shd w:val="clear" w:color="auto" w:fill="auto"/>
            <w:tcMar>
              <w:top w:w="100" w:type="dxa"/>
              <w:left w:w="100" w:type="dxa"/>
              <w:bottom w:w="100" w:type="dxa"/>
              <w:right w:w="100" w:type="dxa"/>
            </w:tcMar>
            <w:hideMark/>
          </w:tcPr>
          <w:p w14:paraId="3369F2F0"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HPNLJDEO_04280</w:t>
            </w:r>
          </w:p>
        </w:tc>
        <w:tc>
          <w:tcPr>
            <w:tcW w:w="909" w:type="dxa"/>
            <w:shd w:val="clear" w:color="auto" w:fill="auto"/>
            <w:tcMar>
              <w:top w:w="100" w:type="dxa"/>
              <w:left w:w="100" w:type="dxa"/>
              <w:bottom w:w="100" w:type="dxa"/>
              <w:right w:w="100" w:type="dxa"/>
            </w:tcMar>
            <w:hideMark/>
          </w:tcPr>
          <w:p w14:paraId="0299B20A"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K03686</w:t>
            </w:r>
          </w:p>
        </w:tc>
        <w:tc>
          <w:tcPr>
            <w:tcW w:w="2769" w:type="dxa"/>
            <w:shd w:val="clear" w:color="auto" w:fill="auto"/>
            <w:tcMar>
              <w:top w:w="100" w:type="dxa"/>
              <w:left w:w="100" w:type="dxa"/>
              <w:bottom w:w="100" w:type="dxa"/>
              <w:right w:w="100" w:type="dxa"/>
            </w:tcMar>
            <w:hideMark/>
          </w:tcPr>
          <w:p w14:paraId="5D4FDCBC"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dnaJ</w:t>
            </w:r>
            <w:r w:rsidRPr="006256FC">
              <w:rPr>
                <w:rFonts w:eastAsia="Cambria" w:cs="Times New Roman"/>
                <w:color w:val="000000"/>
              </w:rPr>
              <w:t>; molecular chaperone DnaJ</w:t>
            </w:r>
          </w:p>
        </w:tc>
        <w:tc>
          <w:tcPr>
            <w:tcW w:w="0" w:type="auto"/>
            <w:shd w:val="clear" w:color="auto" w:fill="auto"/>
            <w:tcMar>
              <w:top w:w="100" w:type="dxa"/>
              <w:left w:w="100" w:type="dxa"/>
              <w:bottom w:w="100" w:type="dxa"/>
              <w:right w:w="100" w:type="dxa"/>
            </w:tcMar>
            <w:hideMark/>
          </w:tcPr>
          <w:p w14:paraId="5BD3ED7E"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62</w:t>
            </w:r>
          </w:p>
        </w:tc>
        <w:tc>
          <w:tcPr>
            <w:tcW w:w="0" w:type="auto"/>
          </w:tcPr>
          <w:p w14:paraId="6C4AD968"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2776E6AF" w14:textId="77777777" w:rsidTr="002E3F44">
        <w:trPr>
          <w:trHeight w:val="20"/>
          <w:jc w:val="center"/>
        </w:trPr>
        <w:tc>
          <w:tcPr>
            <w:tcW w:w="2253" w:type="dxa"/>
            <w:shd w:val="clear" w:color="auto" w:fill="auto"/>
            <w:tcMar>
              <w:top w:w="100" w:type="dxa"/>
              <w:left w:w="100" w:type="dxa"/>
              <w:bottom w:w="100" w:type="dxa"/>
              <w:right w:w="100" w:type="dxa"/>
            </w:tcMar>
            <w:hideMark/>
          </w:tcPr>
          <w:p w14:paraId="5F4ADE4B" w14:textId="77777777" w:rsidR="001F17B6" w:rsidRPr="006256FC" w:rsidRDefault="001F17B6" w:rsidP="002E3F44">
            <w:pPr>
              <w:spacing w:line="240" w:lineRule="auto"/>
              <w:ind w:firstLine="0"/>
              <w:rPr>
                <w:rFonts w:cs="Times New Roman"/>
              </w:rPr>
            </w:pPr>
            <w:r w:rsidRPr="006256FC">
              <w:rPr>
                <w:rFonts w:eastAsia="Cambria" w:cs="Times New Roman"/>
                <w:color w:val="000000"/>
              </w:rPr>
              <w:t>molecular chaperone DnaJ</w:t>
            </w:r>
          </w:p>
        </w:tc>
        <w:tc>
          <w:tcPr>
            <w:tcW w:w="1977" w:type="dxa"/>
            <w:shd w:val="clear" w:color="auto" w:fill="auto"/>
            <w:tcMar>
              <w:top w:w="100" w:type="dxa"/>
              <w:left w:w="100" w:type="dxa"/>
              <w:bottom w:w="100" w:type="dxa"/>
              <w:right w:w="100" w:type="dxa"/>
            </w:tcMar>
            <w:hideMark/>
          </w:tcPr>
          <w:p w14:paraId="563ED762"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HPNLJDEO_01662</w:t>
            </w:r>
          </w:p>
        </w:tc>
        <w:tc>
          <w:tcPr>
            <w:tcW w:w="909" w:type="dxa"/>
            <w:shd w:val="clear" w:color="auto" w:fill="auto"/>
            <w:tcMar>
              <w:top w:w="100" w:type="dxa"/>
              <w:left w:w="100" w:type="dxa"/>
              <w:bottom w:w="100" w:type="dxa"/>
              <w:right w:w="100" w:type="dxa"/>
            </w:tcMar>
            <w:hideMark/>
          </w:tcPr>
          <w:p w14:paraId="43D9B945"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K03686</w:t>
            </w:r>
          </w:p>
        </w:tc>
        <w:tc>
          <w:tcPr>
            <w:tcW w:w="2769" w:type="dxa"/>
            <w:shd w:val="clear" w:color="auto" w:fill="auto"/>
            <w:tcMar>
              <w:top w:w="100" w:type="dxa"/>
              <w:left w:w="100" w:type="dxa"/>
              <w:bottom w:w="100" w:type="dxa"/>
              <w:right w:w="100" w:type="dxa"/>
            </w:tcMar>
            <w:hideMark/>
          </w:tcPr>
          <w:p w14:paraId="12A570C6"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dnaJ</w:t>
            </w:r>
            <w:r w:rsidRPr="006256FC">
              <w:rPr>
                <w:rFonts w:eastAsia="Cambria" w:cs="Times New Roman"/>
                <w:color w:val="000000"/>
              </w:rPr>
              <w:t>; molecular chaperone DnaJ</w:t>
            </w:r>
          </w:p>
        </w:tc>
        <w:tc>
          <w:tcPr>
            <w:tcW w:w="0" w:type="auto"/>
            <w:shd w:val="clear" w:color="auto" w:fill="auto"/>
            <w:tcMar>
              <w:top w:w="100" w:type="dxa"/>
              <w:left w:w="100" w:type="dxa"/>
              <w:bottom w:w="100" w:type="dxa"/>
              <w:right w:w="100" w:type="dxa"/>
            </w:tcMar>
            <w:hideMark/>
          </w:tcPr>
          <w:p w14:paraId="6FE41433"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608</w:t>
            </w:r>
          </w:p>
        </w:tc>
        <w:tc>
          <w:tcPr>
            <w:tcW w:w="0" w:type="auto"/>
          </w:tcPr>
          <w:p w14:paraId="1BE7D22E"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14707CA0" w14:textId="77777777" w:rsidTr="002E3F44">
        <w:trPr>
          <w:trHeight w:val="20"/>
          <w:jc w:val="center"/>
        </w:trPr>
        <w:tc>
          <w:tcPr>
            <w:tcW w:w="2253" w:type="dxa"/>
            <w:shd w:val="clear" w:color="auto" w:fill="auto"/>
            <w:tcMar>
              <w:top w:w="100" w:type="dxa"/>
              <w:left w:w="100" w:type="dxa"/>
              <w:bottom w:w="100" w:type="dxa"/>
              <w:right w:w="100" w:type="dxa"/>
            </w:tcMar>
            <w:hideMark/>
          </w:tcPr>
          <w:p w14:paraId="177C955A" w14:textId="77777777" w:rsidR="001F17B6" w:rsidRPr="006256FC" w:rsidRDefault="001F17B6" w:rsidP="002E3F44">
            <w:pPr>
              <w:spacing w:line="240" w:lineRule="auto"/>
              <w:ind w:firstLine="0"/>
              <w:rPr>
                <w:rFonts w:cs="Times New Roman"/>
              </w:rPr>
            </w:pPr>
            <w:r w:rsidRPr="006256FC">
              <w:rPr>
                <w:rFonts w:eastAsia="Cambria" w:cs="Times New Roman"/>
                <w:color w:val="000000"/>
              </w:rPr>
              <w:t>molecular chaperone DnaK</w:t>
            </w:r>
          </w:p>
        </w:tc>
        <w:tc>
          <w:tcPr>
            <w:tcW w:w="1977" w:type="dxa"/>
            <w:shd w:val="clear" w:color="auto" w:fill="auto"/>
            <w:tcMar>
              <w:top w:w="100" w:type="dxa"/>
              <w:left w:w="100" w:type="dxa"/>
              <w:bottom w:w="100" w:type="dxa"/>
              <w:right w:w="100" w:type="dxa"/>
            </w:tcMar>
            <w:hideMark/>
          </w:tcPr>
          <w:p w14:paraId="217A6601"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HPNLJDEO_01663</w:t>
            </w:r>
          </w:p>
        </w:tc>
        <w:tc>
          <w:tcPr>
            <w:tcW w:w="909" w:type="dxa"/>
            <w:shd w:val="clear" w:color="auto" w:fill="auto"/>
            <w:tcMar>
              <w:top w:w="100" w:type="dxa"/>
              <w:left w:w="100" w:type="dxa"/>
              <w:bottom w:w="100" w:type="dxa"/>
              <w:right w:w="100" w:type="dxa"/>
            </w:tcMar>
            <w:hideMark/>
          </w:tcPr>
          <w:p w14:paraId="6FA7F2B3"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K04043</w:t>
            </w:r>
          </w:p>
        </w:tc>
        <w:tc>
          <w:tcPr>
            <w:tcW w:w="2769" w:type="dxa"/>
            <w:shd w:val="clear" w:color="auto" w:fill="auto"/>
            <w:tcMar>
              <w:top w:w="100" w:type="dxa"/>
              <w:left w:w="100" w:type="dxa"/>
              <w:bottom w:w="100" w:type="dxa"/>
              <w:right w:w="100" w:type="dxa"/>
            </w:tcMar>
            <w:hideMark/>
          </w:tcPr>
          <w:p w14:paraId="1916C207"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dnaK</w:t>
            </w:r>
            <w:r w:rsidRPr="006256FC">
              <w:rPr>
                <w:rFonts w:eastAsia="Cambria" w:cs="Times New Roman"/>
                <w:color w:val="000000"/>
              </w:rPr>
              <w:t>, HSPA9; molecular chaperone DnaK</w:t>
            </w:r>
          </w:p>
        </w:tc>
        <w:tc>
          <w:tcPr>
            <w:tcW w:w="0" w:type="auto"/>
            <w:shd w:val="clear" w:color="auto" w:fill="auto"/>
            <w:tcMar>
              <w:top w:w="100" w:type="dxa"/>
              <w:left w:w="100" w:type="dxa"/>
              <w:bottom w:w="100" w:type="dxa"/>
              <w:right w:w="100" w:type="dxa"/>
            </w:tcMar>
            <w:hideMark/>
          </w:tcPr>
          <w:p w14:paraId="191E49E8"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1087</w:t>
            </w:r>
          </w:p>
        </w:tc>
        <w:tc>
          <w:tcPr>
            <w:tcW w:w="0" w:type="auto"/>
          </w:tcPr>
          <w:p w14:paraId="3A060812"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23965FCC" w14:textId="77777777" w:rsidTr="002E3F44">
        <w:trPr>
          <w:trHeight w:val="20"/>
          <w:jc w:val="center"/>
        </w:trPr>
        <w:tc>
          <w:tcPr>
            <w:tcW w:w="2253" w:type="dxa"/>
            <w:shd w:val="clear" w:color="auto" w:fill="auto"/>
            <w:tcMar>
              <w:top w:w="100" w:type="dxa"/>
              <w:left w:w="100" w:type="dxa"/>
              <w:bottom w:w="100" w:type="dxa"/>
              <w:right w:w="100" w:type="dxa"/>
            </w:tcMar>
            <w:hideMark/>
          </w:tcPr>
          <w:p w14:paraId="3A69B0AF" w14:textId="77777777" w:rsidR="001F17B6" w:rsidRPr="006256FC" w:rsidRDefault="001F17B6" w:rsidP="002E3F44">
            <w:pPr>
              <w:spacing w:line="240" w:lineRule="auto"/>
              <w:ind w:firstLine="0"/>
              <w:rPr>
                <w:rFonts w:cs="Times New Roman"/>
              </w:rPr>
            </w:pPr>
            <w:r w:rsidRPr="006256FC">
              <w:rPr>
                <w:rFonts w:eastAsia="Cambria" w:cs="Times New Roman"/>
                <w:color w:val="000000"/>
              </w:rPr>
              <w:t>molecular chaperone DnaK</w:t>
            </w:r>
          </w:p>
        </w:tc>
        <w:tc>
          <w:tcPr>
            <w:tcW w:w="1977" w:type="dxa"/>
            <w:shd w:val="clear" w:color="auto" w:fill="auto"/>
            <w:tcMar>
              <w:top w:w="100" w:type="dxa"/>
              <w:left w:w="100" w:type="dxa"/>
              <w:bottom w:w="100" w:type="dxa"/>
              <w:right w:w="100" w:type="dxa"/>
            </w:tcMar>
            <w:hideMark/>
          </w:tcPr>
          <w:p w14:paraId="03AC0A03"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HPNLJDEO_01779</w:t>
            </w:r>
          </w:p>
        </w:tc>
        <w:tc>
          <w:tcPr>
            <w:tcW w:w="909" w:type="dxa"/>
            <w:shd w:val="clear" w:color="auto" w:fill="auto"/>
            <w:tcMar>
              <w:top w:w="100" w:type="dxa"/>
              <w:left w:w="100" w:type="dxa"/>
              <w:bottom w:w="100" w:type="dxa"/>
              <w:right w:w="100" w:type="dxa"/>
            </w:tcMar>
            <w:hideMark/>
          </w:tcPr>
          <w:p w14:paraId="7A08BFCC"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K04043</w:t>
            </w:r>
          </w:p>
        </w:tc>
        <w:tc>
          <w:tcPr>
            <w:tcW w:w="2769" w:type="dxa"/>
            <w:shd w:val="clear" w:color="auto" w:fill="auto"/>
            <w:tcMar>
              <w:top w:w="100" w:type="dxa"/>
              <w:left w:w="100" w:type="dxa"/>
              <w:bottom w:w="100" w:type="dxa"/>
              <w:right w:w="100" w:type="dxa"/>
            </w:tcMar>
            <w:hideMark/>
          </w:tcPr>
          <w:p w14:paraId="3CB2E37B"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dnaK</w:t>
            </w:r>
            <w:r w:rsidRPr="006256FC">
              <w:rPr>
                <w:rFonts w:eastAsia="Cambria" w:cs="Times New Roman"/>
                <w:color w:val="000000"/>
              </w:rPr>
              <w:t>, HSPA9; molecular chaperone DnaK</w:t>
            </w:r>
          </w:p>
        </w:tc>
        <w:tc>
          <w:tcPr>
            <w:tcW w:w="0" w:type="auto"/>
            <w:shd w:val="clear" w:color="auto" w:fill="auto"/>
            <w:tcMar>
              <w:top w:w="100" w:type="dxa"/>
              <w:left w:w="100" w:type="dxa"/>
              <w:bottom w:w="100" w:type="dxa"/>
              <w:right w:w="100" w:type="dxa"/>
            </w:tcMar>
            <w:hideMark/>
          </w:tcPr>
          <w:p w14:paraId="35CDAE97"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876</w:t>
            </w:r>
          </w:p>
        </w:tc>
        <w:tc>
          <w:tcPr>
            <w:tcW w:w="0" w:type="auto"/>
          </w:tcPr>
          <w:p w14:paraId="2EAFA695"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2A83E5AA" w14:textId="77777777" w:rsidTr="002E3F44">
        <w:trPr>
          <w:trHeight w:val="20"/>
          <w:jc w:val="center"/>
        </w:trPr>
        <w:tc>
          <w:tcPr>
            <w:tcW w:w="2253" w:type="dxa"/>
            <w:shd w:val="clear" w:color="auto" w:fill="auto"/>
            <w:tcMar>
              <w:top w:w="100" w:type="dxa"/>
              <w:left w:w="100" w:type="dxa"/>
              <w:bottom w:w="100" w:type="dxa"/>
              <w:right w:w="100" w:type="dxa"/>
            </w:tcMar>
            <w:hideMark/>
          </w:tcPr>
          <w:p w14:paraId="5AE5DB64" w14:textId="77777777" w:rsidR="001F17B6" w:rsidRPr="006256FC" w:rsidRDefault="001F17B6" w:rsidP="002E3F44">
            <w:pPr>
              <w:spacing w:line="240" w:lineRule="auto"/>
              <w:ind w:firstLine="0"/>
              <w:rPr>
                <w:rFonts w:cs="Times New Roman"/>
              </w:rPr>
            </w:pPr>
            <w:r w:rsidRPr="006256FC">
              <w:rPr>
                <w:rFonts w:eastAsia="Cambria" w:cs="Times New Roman"/>
                <w:color w:val="000000"/>
              </w:rPr>
              <w:t>molecular chaperone DnaK</w:t>
            </w:r>
          </w:p>
        </w:tc>
        <w:tc>
          <w:tcPr>
            <w:tcW w:w="1977" w:type="dxa"/>
            <w:shd w:val="clear" w:color="auto" w:fill="auto"/>
            <w:tcMar>
              <w:top w:w="100" w:type="dxa"/>
              <w:left w:w="100" w:type="dxa"/>
              <w:bottom w:w="100" w:type="dxa"/>
              <w:right w:w="100" w:type="dxa"/>
            </w:tcMar>
            <w:hideMark/>
          </w:tcPr>
          <w:p w14:paraId="3F1E73B4"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HPNLJDEO_05795</w:t>
            </w:r>
          </w:p>
        </w:tc>
        <w:tc>
          <w:tcPr>
            <w:tcW w:w="909" w:type="dxa"/>
            <w:shd w:val="clear" w:color="auto" w:fill="auto"/>
            <w:tcMar>
              <w:top w:w="100" w:type="dxa"/>
              <w:left w:w="100" w:type="dxa"/>
              <w:bottom w:w="100" w:type="dxa"/>
              <w:right w:w="100" w:type="dxa"/>
            </w:tcMar>
            <w:hideMark/>
          </w:tcPr>
          <w:p w14:paraId="0E499B35"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K04043</w:t>
            </w:r>
          </w:p>
        </w:tc>
        <w:tc>
          <w:tcPr>
            <w:tcW w:w="2769" w:type="dxa"/>
            <w:shd w:val="clear" w:color="auto" w:fill="auto"/>
            <w:tcMar>
              <w:top w:w="100" w:type="dxa"/>
              <w:left w:w="100" w:type="dxa"/>
              <w:bottom w:w="100" w:type="dxa"/>
              <w:right w:w="100" w:type="dxa"/>
            </w:tcMar>
            <w:hideMark/>
          </w:tcPr>
          <w:p w14:paraId="38D3F96D"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dnaK</w:t>
            </w:r>
            <w:r w:rsidRPr="006256FC">
              <w:rPr>
                <w:rFonts w:eastAsia="Cambria" w:cs="Times New Roman"/>
                <w:color w:val="000000"/>
              </w:rPr>
              <w:t>, HSPA9; molecular chaperone DnaK</w:t>
            </w:r>
          </w:p>
        </w:tc>
        <w:tc>
          <w:tcPr>
            <w:tcW w:w="0" w:type="auto"/>
            <w:shd w:val="clear" w:color="auto" w:fill="auto"/>
            <w:tcMar>
              <w:top w:w="100" w:type="dxa"/>
              <w:left w:w="100" w:type="dxa"/>
              <w:bottom w:w="100" w:type="dxa"/>
              <w:right w:w="100" w:type="dxa"/>
            </w:tcMar>
            <w:hideMark/>
          </w:tcPr>
          <w:p w14:paraId="371494C7"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1014</w:t>
            </w:r>
          </w:p>
        </w:tc>
        <w:tc>
          <w:tcPr>
            <w:tcW w:w="0" w:type="auto"/>
          </w:tcPr>
          <w:p w14:paraId="2B9C6964"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63333000" w14:textId="77777777" w:rsidTr="002E3F44">
        <w:trPr>
          <w:trHeight w:val="20"/>
          <w:jc w:val="center"/>
        </w:trPr>
        <w:tc>
          <w:tcPr>
            <w:tcW w:w="2253" w:type="dxa"/>
            <w:shd w:val="clear" w:color="auto" w:fill="auto"/>
            <w:tcMar>
              <w:top w:w="100" w:type="dxa"/>
              <w:left w:w="100" w:type="dxa"/>
              <w:bottom w:w="100" w:type="dxa"/>
              <w:right w:w="100" w:type="dxa"/>
            </w:tcMar>
            <w:hideMark/>
          </w:tcPr>
          <w:p w14:paraId="210E7769" w14:textId="77777777" w:rsidR="001F17B6" w:rsidRPr="006256FC" w:rsidRDefault="001F17B6" w:rsidP="002E3F44">
            <w:pPr>
              <w:spacing w:line="240" w:lineRule="auto"/>
              <w:ind w:firstLine="0"/>
              <w:rPr>
                <w:rFonts w:cs="Times New Roman"/>
              </w:rPr>
            </w:pPr>
            <w:r w:rsidRPr="006256FC">
              <w:rPr>
                <w:rFonts w:eastAsia="Cambria" w:cs="Times New Roman"/>
                <w:color w:val="000000"/>
              </w:rPr>
              <w:t>chaperonin GroEL</w:t>
            </w:r>
          </w:p>
        </w:tc>
        <w:tc>
          <w:tcPr>
            <w:tcW w:w="1977" w:type="dxa"/>
            <w:shd w:val="clear" w:color="auto" w:fill="auto"/>
            <w:tcMar>
              <w:top w:w="100" w:type="dxa"/>
              <w:left w:w="100" w:type="dxa"/>
              <w:bottom w:w="100" w:type="dxa"/>
              <w:right w:w="100" w:type="dxa"/>
            </w:tcMar>
            <w:hideMark/>
          </w:tcPr>
          <w:p w14:paraId="4307CA04"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HPNLJDEO_05678</w:t>
            </w:r>
          </w:p>
        </w:tc>
        <w:tc>
          <w:tcPr>
            <w:tcW w:w="909" w:type="dxa"/>
            <w:shd w:val="clear" w:color="auto" w:fill="auto"/>
            <w:tcMar>
              <w:top w:w="100" w:type="dxa"/>
              <w:left w:w="100" w:type="dxa"/>
              <w:bottom w:w="100" w:type="dxa"/>
              <w:right w:w="100" w:type="dxa"/>
            </w:tcMar>
            <w:hideMark/>
          </w:tcPr>
          <w:p w14:paraId="1CDDD140"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K04077</w:t>
            </w:r>
          </w:p>
        </w:tc>
        <w:tc>
          <w:tcPr>
            <w:tcW w:w="2769" w:type="dxa"/>
            <w:shd w:val="clear" w:color="auto" w:fill="auto"/>
            <w:tcMar>
              <w:top w:w="100" w:type="dxa"/>
              <w:left w:w="100" w:type="dxa"/>
              <w:bottom w:w="100" w:type="dxa"/>
              <w:right w:w="100" w:type="dxa"/>
            </w:tcMar>
            <w:hideMark/>
          </w:tcPr>
          <w:p w14:paraId="04B136E8"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groEL</w:t>
            </w:r>
            <w:r w:rsidRPr="006256FC">
              <w:rPr>
                <w:rFonts w:eastAsia="Cambria" w:cs="Times New Roman"/>
                <w:color w:val="000000"/>
              </w:rPr>
              <w:t>, HSPD1; chaperonin GroEL [EC:5.6.1.7]</w:t>
            </w:r>
          </w:p>
        </w:tc>
        <w:tc>
          <w:tcPr>
            <w:tcW w:w="0" w:type="auto"/>
            <w:shd w:val="clear" w:color="auto" w:fill="auto"/>
            <w:tcMar>
              <w:top w:w="100" w:type="dxa"/>
              <w:left w:w="100" w:type="dxa"/>
              <w:bottom w:w="100" w:type="dxa"/>
              <w:right w:w="100" w:type="dxa"/>
            </w:tcMar>
            <w:hideMark/>
          </w:tcPr>
          <w:p w14:paraId="1D940DAB"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903</w:t>
            </w:r>
          </w:p>
        </w:tc>
        <w:tc>
          <w:tcPr>
            <w:tcW w:w="0" w:type="auto"/>
          </w:tcPr>
          <w:p w14:paraId="53DD131D"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609BC83A" w14:textId="77777777" w:rsidTr="002E3F44">
        <w:trPr>
          <w:trHeight w:val="20"/>
          <w:jc w:val="center"/>
        </w:trPr>
        <w:tc>
          <w:tcPr>
            <w:tcW w:w="2253" w:type="dxa"/>
            <w:shd w:val="clear" w:color="auto" w:fill="auto"/>
            <w:tcMar>
              <w:top w:w="100" w:type="dxa"/>
              <w:left w:w="100" w:type="dxa"/>
              <w:bottom w:w="100" w:type="dxa"/>
              <w:right w:w="100" w:type="dxa"/>
            </w:tcMar>
            <w:hideMark/>
          </w:tcPr>
          <w:p w14:paraId="3DC5627E" w14:textId="77777777" w:rsidR="001F17B6" w:rsidRPr="006256FC" w:rsidRDefault="001F17B6" w:rsidP="002E3F44">
            <w:pPr>
              <w:spacing w:line="240" w:lineRule="auto"/>
              <w:ind w:firstLine="0"/>
              <w:rPr>
                <w:rFonts w:cs="Times New Roman"/>
              </w:rPr>
            </w:pPr>
            <w:r w:rsidRPr="006256FC">
              <w:rPr>
                <w:rFonts w:eastAsia="Cambria" w:cs="Times New Roman"/>
                <w:color w:val="000000"/>
              </w:rPr>
              <w:t>chaperonin GroES</w:t>
            </w:r>
          </w:p>
        </w:tc>
        <w:tc>
          <w:tcPr>
            <w:tcW w:w="1977" w:type="dxa"/>
            <w:shd w:val="clear" w:color="auto" w:fill="auto"/>
            <w:tcMar>
              <w:top w:w="100" w:type="dxa"/>
              <w:left w:w="100" w:type="dxa"/>
              <w:bottom w:w="100" w:type="dxa"/>
              <w:right w:w="100" w:type="dxa"/>
            </w:tcMar>
            <w:hideMark/>
          </w:tcPr>
          <w:p w14:paraId="5860443A"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HPNLJDEO_05679</w:t>
            </w:r>
          </w:p>
        </w:tc>
        <w:tc>
          <w:tcPr>
            <w:tcW w:w="909" w:type="dxa"/>
            <w:shd w:val="clear" w:color="auto" w:fill="auto"/>
            <w:tcMar>
              <w:top w:w="100" w:type="dxa"/>
              <w:left w:w="100" w:type="dxa"/>
              <w:bottom w:w="100" w:type="dxa"/>
              <w:right w:w="100" w:type="dxa"/>
            </w:tcMar>
            <w:hideMark/>
          </w:tcPr>
          <w:p w14:paraId="002657B7"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K04078</w:t>
            </w:r>
          </w:p>
        </w:tc>
        <w:tc>
          <w:tcPr>
            <w:tcW w:w="2769" w:type="dxa"/>
            <w:shd w:val="clear" w:color="auto" w:fill="auto"/>
            <w:tcMar>
              <w:top w:w="100" w:type="dxa"/>
              <w:left w:w="100" w:type="dxa"/>
              <w:bottom w:w="100" w:type="dxa"/>
              <w:right w:w="100" w:type="dxa"/>
            </w:tcMar>
            <w:hideMark/>
          </w:tcPr>
          <w:p w14:paraId="59FFB782"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groES</w:t>
            </w:r>
            <w:r w:rsidRPr="006256FC">
              <w:rPr>
                <w:rFonts w:eastAsia="Cambria" w:cs="Times New Roman"/>
                <w:color w:val="000000"/>
              </w:rPr>
              <w:t>, HSPE1; chaperonin GroES</w:t>
            </w:r>
          </w:p>
        </w:tc>
        <w:tc>
          <w:tcPr>
            <w:tcW w:w="0" w:type="auto"/>
            <w:shd w:val="clear" w:color="auto" w:fill="auto"/>
            <w:tcMar>
              <w:top w:w="100" w:type="dxa"/>
              <w:left w:w="100" w:type="dxa"/>
              <w:bottom w:w="100" w:type="dxa"/>
              <w:right w:w="100" w:type="dxa"/>
            </w:tcMar>
            <w:hideMark/>
          </w:tcPr>
          <w:p w14:paraId="422FE0A0"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169</w:t>
            </w:r>
          </w:p>
        </w:tc>
        <w:tc>
          <w:tcPr>
            <w:tcW w:w="0" w:type="auto"/>
          </w:tcPr>
          <w:p w14:paraId="41C93FA7"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4074B702" w14:textId="77777777" w:rsidTr="002E3F44">
        <w:trPr>
          <w:trHeight w:val="20"/>
          <w:jc w:val="center"/>
        </w:trPr>
        <w:tc>
          <w:tcPr>
            <w:tcW w:w="2253" w:type="dxa"/>
            <w:shd w:val="clear" w:color="auto" w:fill="auto"/>
            <w:tcMar>
              <w:top w:w="100" w:type="dxa"/>
              <w:left w:w="100" w:type="dxa"/>
              <w:bottom w:w="100" w:type="dxa"/>
              <w:right w:w="100" w:type="dxa"/>
            </w:tcMar>
            <w:hideMark/>
          </w:tcPr>
          <w:p w14:paraId="535D3BC0" w14:textId="77777777" w:rsidR="001F17B6" w:rsidRPr="006256FC" w:rsidRDefault="001F17B6" w:rsidP="002E3F44">
            <w:pPr>
              <w:spacing w:line="240" w:lineRule="auto"/>
              <w:ind w:firstLine="0"/>
              <w:rPr>
                <w:rFonts w:cs="Times New Roman"/>
              </w:rPr>
            </w:pPr>
            <w:r w:rsidRPr="006256FC">
              <w:rPr>
                <w:rFonts w:eastAsia="Cambria" w:cs="Times New Roman"/>
                <w:color w:val="000000"/>
              </w:rPr>
              <w:t>molecular chaperone GrpE</w:t>
            </w:r>
          </w:p>
        </w:tc>
        <w:tc>
          <w:tcPr>
            <w:tcW w:w="1977" w:type="dxa"/>
            <w:shd w:val="clear" w:color="auto" w:fill="auto"/>
            <w:tcMar>
              <w:top w:w="100" w:type="dxa"/>
              <w:left w:w="100" w:type="dxa"/>
              <w:bottom w:w="100" w:type="dxa"/>
              <w:right w:w="100" w:type="dxa"/>
            </w:tcMar>
            <w:hideMark/>
          </w:tcPr>
          <w:p w14:paraId="3ACA170E"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HPNLJDEO_01664</w:t>
            </w:r>
          </w:p>
        </w:tc>
        <w:tc>
          <w:tcPr>
            <w:tcW w:w="909" w:type="dxa"/>
            <w:shd w:val="clear" w:color="auto" w:fill="auto"/>
            <w:tcMar>
              <w:top w:w="100" w:type="dxa"/>
              <w:left w:w="100" w:type="dxa"/>
              <w:bottom w:w="100" w:type="dxa"/>
              <w:right w:w="100" w:type="dxa"/>
            </w:tcMar>
            <w:hideMark/>
          </w:tcPr>
          <w:p w14:paraId="75E359E9"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K03687</w:t>
            </w:r>
          </w:p>
        </w:tc>
        <w:tc>
          <w:tcPr>
            <w:tcW w:w="2769" w:type="dxa"/>
            <w:shd w:val="clear" w:color="auto" w:fill="auto"/>
            <w:tcMar>
              <w:top w:w="100" w:type="dxa"/>
              <w:left w:w="100" w:type="dxa"/>
              <w:bottom w:w="100" w:type="dxa"/>
              <w:right w:w="100" w:type="dxa"/>
            </w:tcMar>
            <w:hideMark/>
          </w:tcPr>
          <w:p w14:paraId="2DFD3A14" w14:textId="77777777" w:rsidR="001F17B6" w:rsidRPr="006256FC" w:rsidRDefault="001F17B6" w:rsidP="002E3F44">
            <w:pPr>
              <w:spacing w:line="240" w:lineRule="auto"/>
              <w:ind w:firstLine="0"/>
              <w:rPr>
                <w:rFonts w:cs="Times New Roman"/>
              </w:rPr>
            </w:pPr>
            <w:r w:rsidRPr="006256FC">
              <w:rPr>
                <w:rFonts w:eastAsia="Cambria" w:cs="Times New Roman"/>
                <w:color w:val="000000"/>
              </w:rPr>
              <w:t>GRPE; molecular chaperone GrpE</w:t>
            </w:r>
          </w:p>
        </w:tc>
        <w:tc>
          <w:tcPr>
            <w:tcW w:w="0" w:type="auto"/>
            <w:shd w:val="clear" w:color="auto" w:fill="auto"/>
            <w:tcMar>
              <w:top w:w="100" w:type="dxa"/>
              <w:left w:w="100" w:type="dxa"/>
              <w:bottom w:w="100" w:type="dxa"/>
              <w:right w:w="100" w:type="dxa"/>
            </w:tcMar>
            <w:hideMark/>
          </w:tcPr>
          <w:p w14:paraId="66A9E39C"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249</w:t>
            </w:r>
          </w:p>
        </w:tc>
        <w:tc>
          <w:tcPr>
            <w:tcW w:w="0" w:type="auto"/>
          </w:tcPr>
          <w:p w14:paraId="1E8DC96A"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223B4952" w14:textId="77777777" w:rsidTr="002E3F44">
        <w:trPr>
          <w:trHeight w:val="20"/>
          <w:jc w:val="center"/>
        </w:trPr>
        <w:tc>
          <w:tcPr>
            <w:tcW w:w="2253" w:type="dxa"/>
            <w:shd w:val="clear" w:color="auto" w:fill="auto"/>
            <w:tcMar>
              <w:top w:w="100" w:type="dxa"/>
              <w:left w:w="100" w:type="dxa"/>
              <w:bottom w:w="100" w:type="dxa"/>
              <w:right w:w="100" w:type="dxa"/>
            </w:tcMar>
            <w:hideMark/>
          </w:tcPr>
          <w:p w14:paraId="589D96DA" w14:textId="77777777" w:rsidR="001F17B6" w:rsidRPr="006256FC" w:rsidRDefault="001F17B6" w:rsidP="002E3F44">
            <w:pPr>
              <w:spacing w:line="240" w:lineRule="auto"/>
              <w:ind w:firstLine="0"/>
              <w:rPr>
                <w:rFonts w:cs="Times New Roman"/>
              </w:rPr>
            </w:pPr>
            <w:r w:rsidRPr="006256FC">
              <w:rPr>
                <w:rFonts w:eastAsia="Cambria" w:cs="Times New Roman"/>
                <w:color w:val="000000"/>
              </w:rPr>
              <w:t>stearoyl-CoA desaturase</w:t>
            </w:r>
          </w:p>
        </w:tc>
        <w:tc>
          <w:tcPr>
            <w:tcW w:w="1977" w:type="dxa"/>
            <w:shd w:val="clear" w:color="auto" w:fill="auto"/>
            <w:tcMar>
              <w:top w:w="100" w:type="dxa"/>
              <w:left w:w="100" w:type="dxa"/>
              <w:bottom w:w="100" w:type="dxa"/>
              <w:right w:w="100" w:type="dxa"/>
            </w:tcMar>
            <w:hideMark/>
          </w:tcPr>
          <w:p w14:paraId="30B0FBD8"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HPNLJDEO_04730</w:t>
            </w:r>
          </w:p>
        </w:tc>
        <w:tc>
          <w:tcPr>
            <w:tcW w:w="909" w:type="dxa"/>
            <w:shd w:val="clear" w:color="auto" w:fill="auto"/>
            <w:tcMar>
              <w:top w:w="100" w:type="dxa"/>
              <w:left w:w="100" w:type="dxa"/>
              <w:bottom w:w="100" w:type="dxa"/>
              <w:right w:w="100" w:type="dxa"/>
            </w:tcMar>
            <w:hideMark/>
          </w:tcPr>
          <w:p w14:paraId="10BA4E5C"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K00507</w:t>
            </w:r>
          </w:p>
        </w:tc>
        <w:tc>
          <w:tcPr>
            <w:tcW w:w="2769" w:type="dxa"/>
            <w:shd w:val="clear" w:color="auto" w:fill="auto"/>
            <w:tcMar>
              <w:top w:w="100" w:type="dxa"/>
              <w:left w:w="100" w:type="dxa"/>
              <w:bottom w:w="100" w:type="dxa"/>
              <w:right w:w="100" w:type="dxa"/>
            </w:tcMar>
            <w:hideMark/>
          </w:tcPr>
          <w:p w14:paraId="565CDE6F" w14:textId="77777777" w:rsidR="001F17B6" w:rsidRPr="006256FC" w:rsidRDefault="001F17B6" w:rsidP="002E3F44">
            <w:pPr>
              <w:spacing w:line="240" w:lineRule="auto"/>
              <w:ind w:firstLine="0"/>
              <w:rPr>
                <w:rFonts w:cs="Times New Roman"/>
              </w:rPr>
            </w:pPr>
            <w:r w:rsidRPr="006256FC">
              <w:rPr>
                <w:rFonts w:eastAsia="Cambria" w:cs="Times New Roman"/>
                <w:color w:val="000000"/>
              </w:rPr>
              <w:t xml:space="preserve">SCD, </w:t>
            </w:r>
            <w:r w:rsidRPr="006256FC">
              <w:rPr>
                <w:rFonts w:eastAsia="Cambria" w:cs="Times New Roman"/>
                <w:i/>
                <w:iCs/>
                <w:color w:val="000000"/>
              </w:rPr>
              <w:t>desC</w:t>
            </w:r>
            <w:r w:rsidRPr="006256FC">
              <w:rPr>
                <w:rFonts w:eastAsia="Cambria" w:cs="Times New Roman"/>
                <w:color w:val="000000"/>
              </w:rPr>
              <w:t>; stearoyl-CoA desaturase (Delta-9 desaturase) [EC:1.14.19.1]</w:t>
            </w:r>
          </w:p>
        </w:tc>
        <w:tc>
          <w:tcPr>
            <w:tcW w:w="0" w:type="auto"/>
            <w:shd w:val="clear" w:color="auto" w:fill="auto"/>
            <w:tcMar>
              <w:top w:w="100" w:type="dxa"/>
              <w:left w:w="100" w:type="dxa"/>
              <w:bottom w:w="100" w:type="dxa"/>
              <w:right w:w="100" w:type="dxa"/>
            </w:tcMar>
            <w:hideMark/>
          </w:tcPr>
          <w:p w14:paraId="43CE3F4F"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662</w:t>
            </w:r>
          </w:p>
        </w:tc>
        <w:tc>
          <w:tcPr>
            <w:tcW w:w="0" w:type="auto"/>
          </w:tcPr>
          <w:p w14:paraId="5A5FA49F"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1C59A81F" w14:textId="77777777" w:rsidTr="002E3F44">
        <w:trPr>
          <w:trHeight w:val="20"/>
          <w:jc w:val="center"/>
        </w:trPr>
        <w:tc>
          <w:tcPr>
            <w:tcW w:w="2253" w:type="dxa"/>
            <w:shd w:val="clear" w:color="auto" w:fill="auto"/>
            <w:tcMar>
              <w:top w:w="100" w:type="dxa"/>
              <w:left w:w="100" w:type="dxa"/>
              <w:bottom w:w="100" w:type="dxa"/>
              <w:right w:w="100" w:type="dxa"/>
            </w:tcMar>
            <w:hideMark/>
          </w:tcPr>
          <w:p w14:paraId="5778954C" w14:textId="77777777" w:rsidR="001F17B6" w:rsidRPr="006256FC" w:rsidRDefault="001F17B6" w:rsidP="002E3F44">
            <w:pPr>
              <w:spacing w:line="240" w:lineRule="auto"/>
              <w:ind w:firstLine="0"/>
              <w:rPr>
                <w:rFonts w:cs="Times New Roman"/>
              </w:rPr>
            </w:pPr>
            <w:r w:rsidRPr="006256FC">
              <w:rPr>
                <w:rFonts w:eastAsia="Cambria" w:cs="Times New Roman"/>
                <w:color w:val="000000"/>
              </w:rPr>
              <w:lastRenderedPageBreak/>
              <w:t>acyl-CoA thioesterase TesA</w:t>
            </w:r>
          </w:p>
        </w:tc>
        <w:tc>
          <w:tcPr>
            <w:tcW w:w="1977" w:type="dxa"/>
            <w:shd w:val="clear" w:color="auto" w:fill="auto"/>
            <w:tcMar>
              <w:top w:w="100" w:type="dxa"/>
              <w:left w:w="100" w:type="dxa"/>
              <w:bottom w:w="100" w:type="dxa"/>
              <w:right w:w="100" w:type="dxa"/>
            </w:tcMar>
            <w:hideMark/>
          </w:tcPr>
          <w:p w14:paraId="48045B87"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HPNLJDEO_03409</w:t>
            </w:r>
          </w:p>
        </w:tc>
        <w:tc>
          <w:tcPr>
            <w:tcW w:w="909" w:type="dxa"/>
            <w:shd w:val="clear" w:color="auto" w:fill="auto"/>
            <w:tcMar>
              <w:top w:w="100" w:type="dxa"/>
              <w:left w:w="100" w:type="dxa"/>
              <w:bottom w:w="100" w:type="dxa"/>
              <w:right w:w="100" w:type="dxa"/>
            </w:tcMar>
            <w:hideMark/>
          </w:tcPr>
          <w:p w14:paraId="6A38187E" w14:textId="77777777" w:rsidR="001F17B6" w:rsidRPr="006256FC" w:rsidRDefault="001F17B6" w:rsidP="002E3F44">
            <w:pPr>
              <w:spacing w:line="240" w:lineRule="auto"/>
              <w:ind w:firstLine="0"/>
              <w:rPr>
                <w:rFonts w:cs="Times New Roman"/>
              </w:rPr>
            </w:pPr>
            <w:r w:rsidRPr="006256FC">
              <w:rPr>
                <w:rFonts w:eastAsia="Cambria" w:cs="Times New Roman"/>
                <w:color w:val="000000"/>
              </w:rPr>
              <w:t>K10804</w:t>
            </w:r>
          </w:p>
        </w:tc>
        <w:tc>
          <w:tcPr>
            <w:tcW w:w="2769" w:type="dxa"/>
            <w:shd w:val="clear" w:color="auto" w:fill="auto"/>
            <w:tcMar>
              <w:top w:w="100" w:type="dxa"/>
              <w:left w:w="100" w:type="dxa"/>
              <w:bottom w:w="100" w:type="dxa"/>
              <w:right w:w="100" w:type="dxa"/>
            </w:tcMar>
            <w:hideMark/>
          </w:tcPr>
          <w:p w14:paraId="05107A6F"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tesA</w:t>
            </w:r>
            <w:r w:rsidRPr="006256FC">
              <w:rPr>
                <w:rFonts w:eastAsia="Cambria" w:cs="Times New Roman"/>
                <w:color w:val="000000"/>
              </w:rPr>
              <w:t>; acyl-CoA thioesterase I [EC:3.1.2.- 3.1.2.2 3.1.1.2 3.1.1.5]</w:t>
            </w:r>
          </w:p>
        </w:tc>
        <w:tc>
          <w:tcPr>
            <w:tcW w:w="0" w:type="auto"/>
            <w:shd w:val="clear" w:color="auto" w:fill="auto"/>
            <w:tcMar>
              <w:top w:w="100" w:type="dxa"/>
              <w:left w:w="100" w:type="dxa"/>
              <w:bottom w:w="100" w:type="dxa"/>
              <w:right w:w="100" w:type="dxa"/>
            </w:tcMar>
            <w:hideMark/>
          </w:tcPr>
          <w:p w14:paraId="6435B3F0"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261</w:t>
            </w:r>
          </w:p>
        </w:tc>
        <w:tc>
          <w:tcPr>
            <w:tcW w:w="0" w:type="auto"/>
          </w:tcPr>
          <w:p w14:paraId="7B44E031"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58B100D0" w14:textId="77777777" w:rsidTr="002E3F44">
        <w:trPr>
          <w:trHeight w:val="20"/>
          <w:jc w:val="center"/>
        </w:trPr>
        <w:tc>
          <w:tcPr>
            <w:tcW w:w="2253" w:type="dxa"/>
            <w:shd w:val="clear" w:color="auto" w:fill="auto"/>
            <w:tcMar>
              <w:top w:w="100" w:type="dxa"/>
              <w:left w:w="100" w:type="dxa"/>
              <w:bottom w:w="100" w:type="dxa"/>
              <w:right w:w="100" w:type="dxa"/>
            </w:tcMar>
            <w:hideMark/>
          </w:tcPr>
          <w:p w14:paraId="36936B87" w14:textId="77777777" w:rsidR="001F17B6" w:rsidRPr="006256FC" w:rsidRDefault="001F17B6" w:rsidP="002E3F44">
            <w:pPr>
              <w:spacing w:line="240" w:lineRule="auto"/>
              <w:ind w:firstLine="0"/>
              <w:rPr>
                <w:rFonts w:cs="Times New Roman"/>
              </w:rPr>
            </w:pPr>
            <w:r w:rsidRPr="006256FC">
              <w:rPr>
                <w:rFonts w:eastAsia="Cambria" w:cs="Times New Roman"/>
                <w:color w:val="000000"/>
              </w:rPr>
              <w:t>acyl-CoA thioesterase YciA</w:t>
            </w:r>
          </w:p>
        </w:tc>
        <w:tc>
          <w:tcPr>
            <w:tcW w:w="1977" w:type="dxa"/>
            <w:shd w:val="clear" w:color="auto" w:fill="auto"/>
            <w:tcMar>
              <w:top w:w="100" w:type="dxa"/>
              <w:left w:w="100" w:type="dxa"/>
              <w:bottom w:w="100" w:type="dxa"/>
              <w:right w:w="100" w:type="dxa"/>
            </w:tcMar>
            <w:hideMark/>
          </w:tcPr>
          <w:p w14:paraId="5090F1B5"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HPNLJDEO_02203</w:t>
            </w:r>
          </w:p>
        </w:tc>
        <w:tc>
          <w:tcPr>
            <w:tcW w:w="909" w:type="dxa"/>
            <w:shd w:val="clear" w:color="auto" w:fill="auto"/>
            <w:tcMar>
              <w:top w:w="100" w:type="dxa"/>
              <w:left w:w="100" w:type="dxa"/>
              <w:bottom w:w="100" w:type="dxa"/>
              <w:right w:w="100" w:type="dxa"/>
            </w:tcMar>
            <w:hideMark/>
          </w:tcPr>
          <w:p w14:paraId="63959A86" w14:textId="77777777" w:rsidR="001F17B6" w:rsidRPr="006256FC" w:rsidRDefault="001F17B6" w:rsidP="002E3F44">
            <w:pPr>
              <w:spacing w:line="240" w:lineRule="auto"/>
              <w:ind w:firstLine="0"/>
              <w:rPr>
                <w:rFonts w:cs="Times New Roman"/>
              </w:rPr>
            </w:pPr>
            <w:r w:rsidRPr="006256FC">
              <w:rPr>
                <w:rFonts w:eastAsia="Cambria" w:cs="Times New Roman"/>
                <w:color w:val="000000"/>
              </w:rPr>
              <w:t>K10806</w:t>
            </w:r>
          </w:p>
        </w:tc>
        <w:tc>
          <w:tcPr>
            <w:tcW w:w="2769" w:type="dxa"/>
            <w:shd w:val="clear" w:color="auto" w:fill="auto"/>
            <w:tcMar>
              <w:top w:w="100" w:type="dxa"/>
              <w:left w:w="100" w:type="dxa"/>
              <w:bottom w:w="100" w:type="dxa"/>
              <w:right w:w="100" w:type="dxa"/>
            </w:tcMar>
            <w:hideMark/>
          </w:tcPr>
          <w:p w14:paraId="7D55E47D"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yciA</w:t>
            </w:r>
            <w:r w:rsidRPr="006256FC">
              <w:rPr>
                <w:rFonts w:eastAsia="Cambria" w:cs="Times New Roman"/>
                <w:color w:val="000000"/>
              </w:rPr>
              <w:t>; acyl-CoA thioesterase YciA [EC:3.1.2.-]</w:t>
            </w:r>
          </w:p>
        </w:tc>
        <w:tc>
          <w:tcPr>
            <w:tcW w:w="0" w:type="auto"/>
            <w:shd w:val="clear" w:color="auto" w:fill="auto"/>
            <w:tcMar>
              <w:top w:w="100" w:type="dxa"/>
              <w:left w:w="100" w:type="dxa"/>
              <w:bottom w:w="100" w:type="dxa"/>
              <w:right w:w="100" w:type="dxa"/>
            </w:tcMar>
            <w:hideMark/>
          </w:tcPr>
          <w:p w14:paraId="632B7922"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224</w:t>
            </w:r>
          </w:p>
        </w:tc>
        <w:tc>
          <w:tcPr>
            <w:tcW w:w="0" w:type="auto"/>
          </w:tcPr>
          <w:p w14:paraId="15D2F295"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60F0F382" w14:textId="77777777" w:rsidTr="002E3F44">
        <w:trPr>
          <w:trHeight w:val="20"/>
          <w:jc w:val="center"/>
        </w:trPr>
        <w:tc>
          <w:tcPr>
            <w:tcW w:w="2253" w:type="dxa"/>
            <w:shd w:val="clear" w:color="auto" w:fill="auto"/>
            <w:tcMar>
              <w:top w:w="100" w:type="dxa"/>
              <w:left w:w="100" w:type="dxa"/>
              <w:bottom w:w="100" w:type="dxa"/>
              <w:right w:w="100" w:type="dxa"/>
            </w:tcMar>
            <w:hideMark/>
          </w:tcPr>
          <w:p w14:paraId="19791EBB" w14:textId="77777777" w:rsidR="001F17B6" w:rsidRPr="006256FC" w:rsidRDefault="001F17B6" w:rsidP="002E3F44">
            <w:pPr>
              <w:spacing w:line="240" w:lineRule="auto"/>
              <w:ind w:firstLine="0"/>
              <w:rPr>
                <w:rFonts w:cs="Times New Roman"/>
              </w:rPr>
            </w:pPr>
            <w:r w:rsidRPr="006256FC">
              <w:rPr>
                <w:rFonts w:eastAsia="Cambria" w:cs="Times New Roman"/>
                <w:color w:val="000000"/>
              </w:rPr>
              <w:t>ATP-dependent RNA helicase DbpA</w:t>
            </w:r>
          </w:p>
        </w:tc>
        <w:tc>
          <w:tcPr>
            <w:tcW w:w="1977" w:type="dxa"/>
            <w:shd w:val="clear" w:color="auto" w:fill="auto"/>
            <w:tcMar>
              <w:top w:w="100" w:type="dxa"/>
              <w:left w:w="100" w:type="dxa"/>
              <w:bottom w:w="100" w:type="dxa"/>
              <w:right w:w="100" w:type="dxa"/>
            </w:tcMar>
            <w:hideMark/>
          </w:tcPr>
          <w:p w14:paraId="569CA660"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HPNLJDEO_00246</w:t>
            </w:r>
          </w:p>
        </w:tc>
        <w:tc>
          <w:tcPr>
            <w:tcW w:w="909" w:type="dxa"/>
            <w:shd w:val="clear" w:color="auto" w:fill="auto"/>
            <w:tcMar>
              <w:top w:w="100" w:type="dxa"/>
              <w:left w:w="100" w:type="dxa"/>
              <w:bottom w:w="100" w:type="dxa"/>
              <w:right w:w="100" w:type="dxa"/>
            </w:tcMar>
            <w:hideMark/>
          </w:tcPr>
          <w:p w14:paraId="52A7A4CA"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K05591</w:t>
            </w:r>
          </w:p>
        </w:tc>
        <w:tc>
          <w:tcPr>
            <w:tcW w:w="2769" w:type="dxa"/>
            <w:shd w:val="clear" w:color="auto" w:fill="auto"/>
            <w:tcMar>
              <w:top w:w="100" w:type="dxa"/>
              <w:left w:w="100" w:type="dxa"/>
              <w:bottom w:w="100" w:type="dxa"/>
              <w:right w:w="100" w:type="dxa"/>
            </w:tcMar>
            <w:hideMark/>
          </w:tcPr>
          <w:p w14:paraId="0469B327"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dbpA</w:t>
            </w:r>
            <w:r w:rsidRPr="006256FC">
              <w:rPr>
                <w:rFonts w:eastAsia="Cambria" w:cs="Times New Roman"/>
                <w:color w:val="000000"/>
              </w:rPr>
              <w:t>; ATP-dependent RNA helicase DbpA [EC:3.6.4.13]</w:t>
            </w:r>
          </w:p>
        </w:tc>
        <w:tc>
          <w:tcPr>
            <w:tcW w:w="0" w:type="auto"/>
            <w:shd w:val="clear" w:color="auto" w:fill="auto"/>
            <w:tcMar>
              <w:top w:w="100" w:type="dxa"/>
              <w:left w:w="100" w:type="dxa"/>
              <w:bottom w:w="100" w:type="dxa"/>
              <w:right w:w="100" w:type="dxa"/>
            </w:tcMar>
            <w:hideMark/>
          </w:tcPr>
          <w:p w14:paraId="660A8382"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707</w:t>
            </w:r>
          </w:p>
        </w:tc>
        <w:tc>
          <w:tcPr>
            <w:tcW w:w="0" w:type="auto"/>
          </w:tcPr>
          <w:p w14:paraId="3C63EFBD"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02C18F37" w14:textId="77777777" w:rsidTr="002E3F44">
        <w:trPr>
          <w:trHeight w:val="20"/>
          <w:jc w:val="center"/>
        </w:trPr>
        <w:tc>
          <w:tcPr>
            <w:tcW w:w="2253" w:type="dxa"/>
            <w:shd w:val="clear" w:color="auto" w:fill="auto"/>
            <w:tcMar>
              <w:top w:w="100" w:type="dxa"/>
              <w:left w:w="100" w:type="dxa"/>
              <w:bottom w:w="100" w:type="dxa"/>
              <w:right w:w="100" w:type="dxa"/>
            </w:tcMar>
            <w:hideMark/>
          </w:tcPr>
          <w:p w14:paraId="16BAB7DE" w14:textId="77777777" w:rsidR="001F17B6" w:rsidRPr="006256FC" w:rsidRDefault="001F17B6" w:rsidP="002E3F44">
            <w:pPr>
              <w:spacing w:line="240" w:lineRule="auto"/>
              <w:ind w:firstLine="0"/>
              <w:rPr>
                <w:rFonts w:cs="Times New Roman"/>
              </w:rPr>
            </w:pPr>
            <w:r w:rsidRPr="006256FC">
              <w:rPr>
                <w:rFonts w:eastAsia="Cambria" w:cs="Times New Roman"/>
                <w:color w:val="000000"/>
              </w:rPr>
              <w:t>ATP-dependent RNA helicase DeaD</w:t>
            </w:r>
          </w:p>
        </w:tc>
        <w:tc>
          <w:tcPr>
            <w:tcW w:w="1977" w:type="dxa"/>
            <w:shd w:val="clear" w:color="auto" w:fill="auto"/>
            <w:tcMar>
              <w:top w:w="100" w:type="dxa"/>
              <w:left w:w="100" w:type="dxa"/>
              <w:bottom w:w="100" w:type="dxa"/>
              <w:right w:w="100" w:type="dxa"/>
            </w:tcMar>
            <w:hideMark/>
          </w:tcPr>
          <w:p w14:paraId="142C79DF"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HPNLJDEO_05195</w:t>
            </w:r>
          </w:p>
        </w:tc>
        <w:tc>
          <w:tcPr>
            <w:tcW w:w="909" w:type="dxa"/>
            <w:shd w:val="clear" w:color="auto" w:fill="auto"/>
            <w:tcMar>
              <w:top w:w="100" w:type="dxa"/>
              <w:left w:w="100" w:type="dxa"/>
              <w:bottom w:w="100" w:type="dxa"/>
              <w:right w:w="100" w:type="dxa"/>
            </w:tcMar>
            <w:hideMark/>
          </w:tcPr>
          <w:p w14:paraId="094C18A9"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K05592</w:t>
            </w:r>
          </w:p>
        </w:tc>
        <w:tc>
          <w:tcPr>
            <w:tcW w:w="2769" w:type="dxa"/>
            <w:shd w:val="clear" w:color="auto" w:fill="auto"/>
            <w:tcMar>
              <w:top w:w="100" w:type="dxa"/>
              <w:left w:w="100" w:type="dxa"/>
              <w:bottom w:w="100" w:type="dxa"/>
              <w:right w:w="100" w:type="dxa"/>
            </w:tcMar>
            <w:hideMark/>
          </w:tcPr>
          <w:p w14:paraId="475ACB29"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deaD</w:t>
            </w:r>
            <w:r w:rsidRPr="006256FC">
              <w:rPr>
                <w:rFonts w:eastAsia="Cambria" w:cs="Times New Roman"/>
                <w:color w:val="000000"/>
              </w:rPr>
              <w:t xml:space="preserve">, </w:t>
            </w:r>
            <w:r w:rsidRPr="006256FC">
              <w:rPr>
                <w:rFonts w:eastAsia="Cambria" w:cs="Times New Roman"/>
                <w:i/>
                <w:iCs/>
                <w:color w:val="000000"/>
              </w:rPr>
              <w:t>cshA</w:t>
            </w:r>
            <w:r w:rsidRPr="006256FC">
              <w:rPr>
                <w:rFonts w:eastAsia="Cambria" w:cs="Times New Roman"/>
                <w:color w:val="000000"/>
              </w:rPr>
              <w:t>; ATP-dependent RNA helicase DeaD [EC:3.6.4.13]</w:t>
            </w:r>
          </w:p>
        </w:tc>
        <w:tc>
          <w:tcPr>
            <w:tcW w:w="0" w:type="auto"/>
            <w:shd w:val="clear" w:color="auto" w:fill="auto"/>
            <w:tcMar>
              <w:top w:w="100" w:type="dxa"/>
              <w:left w:w="100" w:type="dxa"/>
              <w:bottom w:w="100" w:type="dxa"/>
              <w:right w:w="100" w:type="dxa"/>
            </w:tcMar>
            <w:hideMark/>
          </w:tcPr>
          <w:p w14:paraId="0130AD7A"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845</w:t>
            </w:r>
          </w:p>
        </w:tc>
        <w:tc>
          <w:tcPr>
            <w:tcW w:w="0" w:type="auto"/>
          </w:tcPr>
          <w:p w14:paraId="437BE308"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20A24418" w14:textId="77777777" w:rsidTr="002E3F44">
        <w:trPr>
          <w:trHeight w:val="20"/>
          <w:jc w:val="center"/>
        </w:trPr>
        <w:tc>
          <w:tcPr>
            <w:tcW w:w="2253" w:type="dxa"/>
            <w:shd w:val="clear" w:color="auto" w:fill="auto"/>
            <w:tcMar>
              <w:top w:w="100" w:type="dxa"/>
              <w:left w:w="100" w:type="dxa"/>
              <w:bottom w:w="100" w:type="dxa"/>
              <w:right w:w="100" w:type="dxa"/>
            </w:tcMar>
            <w:hideMark/>
          </w:tcPr>
          <w:p w14:paraId="569FDFBC" w14:textId="77777777" w:rsidR="001F17B6" w:rsidRPr="006256FC" w:rsidRDefault="001F17B6" w:rsidP="002E3F44">
            <w:pPr>
              <w:spacing w:line="240" w:lineRule="auto"/>
              <w:ind w:firstLine="0"/>
              <w:rPr>
                <w:rFonts w:cs="Times New Roman"/>
              </w:rPr>
            </w:pPr>
            <w:r w:rsidRPr="006256FC">
              <w:rPr>
                <w:rFonts w:eastAsia="Cambria" w:cs="Times New Roman"/>
                <w:color w:val="000000"/>
              </w:rPr>
              <w:t>ATP-dependent RNA helicase RhlE</w:t>
            </w:r>
          </w:p>
        </w:tc>
        <w:tc>
          <w:tcPr>
            <w:tcW w:w="1977" w:type="dxa"/>
            <w:shd w:val="clear" w:color="auto" w:fill="auto"/>
            <w:tcMar>
              <w:top w:w="100" w:type="dxa"/>
              <w:left w:w="100" w:type="dxa"/>
              <w:bottom w:w="100" w:type="dxa"/>
              <w:right w:w="100" w:type="dxa"/>
            </w:tcMar>
            <w:hideMark/>
          </w:tcPr>
          <w:p w14:paraId="4E571653"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HPNLJDEO_01449</w:t>
            </w:r>
          </w:p>
        </w:tc>
        <w:tc>
          <w:tcPr>
            <w:tcW w:w="909" w:type="dxa"/>
            <w:shd w:val="clear" w:color="auto" w:fill="auto"/>
            <w:tcMar>
              <w:top w:w="100" w:type="dxa"/>
              <w:left w:w="100" w:type="dxa"/>
              <w:bottom w:w="100" w:type="dxa"/>
              <w:right w:w="100" w:type="dxa"/>
            </w:tcMar>
            <w:hideMark/>
          </w:tcPr>
          <w:p w14:paraId="7E0055A0" w14:textId="77777777" w:rsidR="001F17B6" w:rsidRPr="006256FC" w:rsidRDefault="001F17B6" w:rsidP="002E3F44">
            <w:pPr>
              <w:spacing w:line="240" w:lineRule="auto"/>
              <w:ind w:firstLine="0"/>
              <w:rPr>
                <w:rFonts w:cs="Times New Roman"/>
              </w:rPr>
            </w:pPr>
            <w:r w:rsidRPr="006256FC">
              <w:rPr>
                <w:rFonts w:eastAsia="Cambria" w:cs="Times New Roman"/>
                <w:color w:val="000000"/>
              </w:rPr>
              <w:t>K11927</w:t>
            </w:r>
          </w:p>
        </w:tc>
        <w:tc>
          <w:tcPr>
            <w:tcW w:w="2769" w:type="dxa"/>
            <w:shd w:val="clear" w:color="auto" w:fill="auto"/>
            <w:tcMar>
              <w:top w:w="100" w:type="dxa"/>
              <w:left w:w="100" w:type="dxa"/>
              <w:bottom w:w="100" w:type="dxa"/>
              <w:right w:w="100" w:type="dxa"/>
            </w:tcMar>
            <w:hideMark/>
          </w:tcPr>
          <w:p w14:paraId="6DE1D568"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rhlE</w:t>
            </w:r>
            <w:r w:rsidRPr="006256FC">
              <w:rPr>
                <w:rFonts w:eastAsia="Cambria" w:cs="Times New Roman"/>
                <w:color w:val="000000"/>
              </w:rPr>
              <w:t>; ATP-dependent RNA helicase RhlE [EC:3.6.4.13]</w:t>
            </w:r>
          </w:p>
        </w:tc>
        <w:tc>
          <w:tcPr>
            <w:tcW w:w="0" w:type="auto"/>
            <w:shd w:val="clear" w:color="auto" w:fill="auto"/>
            <w:tcMar>
              <w:top w:w="100" w:type="dxa"/>
              <w:left w:w="100" w:type="dxa"/>
              <w:bottom w:w="100" w:type="dxa"/>
              <w:right w:w="100" w:type="dxa"/>
            </w:tcMar>
            <w:hideMark/>
          </w:tcPr>
          <w:p w14:paraId="0BC4E168"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573</w:t>
            </w:r>
          </w:p>
        </w:tc>
        <w:tc>
          <w:tcPr>
            <w:tcW w:w="0" w:type="auto"/>
          </w:tcPr>
          <w:p w14:paraId="1B08188B"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16DB6A9B" w14:textId="77777777" w:rsidTr="002E3F44">
        <w:trPr>
          <w:trHeight w:val="20"/>
          <w:jc w:val="center"/>
        </w:trPr>
        <w:tc>
          <w:tcPr>
            <w:tcW w:w="2253" w:type="dxa"/>
            <w:shd w:val="clear" w:color="auto" w:fill="auto"/>
            <w:tcMar>
              <w:top w:w="100" w:type="dxa"/>
              <w:left w:w="100" w:type="dxa"/>
              <w:bottom w:w="100" w:type="dxa"/>
              <w:right w:w="100" w:type="dxa"/>
            </w:tcMar>
            <w:hideMark/>
          </w:tcPr>
          <w:p w14:paraId="0C1B1E05" w14:textId="77777777" w:rsidR="001F17B6" w:rsidRPr="006256FC" w:rsidRDefault="001F17B6" w:rsidP="002E3F44">
            <w:pPr>
              <w:spacing w:line="240" w:lineRule="auto"/>
              <w:ind w:firstLine="0"/>
              <w:rPr>
                <w:rFonts w:cs="Times New Roman"/>
              </w:rPr>
            </w:pPr>
            <w:r w:rsidRPr="006256FC">
              <w:rPr>
                <w:rFonts w:eastAsia="Cambria" w:cs="Times New Roman"/>
                <w:color w:val="000000"/>
              </w:rPr>
              <w:t>ATP-dependent RNA helicase RhlE</w:t>
            </w:r>
          </w:p>
        </w:tc>
        <w:tc>
          <w:tcPr>
            <w:tcW w:w="1977" w:type="dxa"/>
            <w:shd w:val="clear" w:color="auto" w:fill="auto"/>
            <w:tcMar>
              <w:top w:w="100" w:type="dxa"/>
              <w:left w:w="100" w:type="dxa"/>
              <w:bottom w:w="100" w:type="dxa"/>
              <w:right w:w="100" w:type="dxa"/>
            </w:tcMar>
            <w:hideMark/>
          </w:tcPr>
          <w:p w14:paraId="075B5C5E"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HPNLJDEO_02635</w:t>
            </w:r>
          </w:p>
        </w:tc>
        <w:tc>
          <w:tcPr>
            <w:tcW w:w="909" w:type="dxa"/>
            <w:shd w:val="clear" w:color="auto" w:fill="auto"/>
            <w:tcMar>
              <w:top w:w="100" w:type="dxa"/>
              <w:left w:w="100" w:type="dxa"/>
              <w:bottom w:w="100" w:type="dxa"/>
              <w:right w:w="100" w:type="dxa"/>
            </w:tcMar>
            <w:hideMark/>
          </w:tcPr>
          <w:p w14:paraId="56F33E9D" w14:textId="77777777" w:rsidR="001F17B6" w:rsidRPr="006256FC" w:rsidRDefault="001F17B6" w:rsidP="002E3F44">
            <w:pPr>
              <w:spacing w:line="240" w:lineRule="auto"/>
              <w:ind w:firstLine="0"/>
              <w:rPr>
                <w:rFonts w:cs="Times New Roman"/>
              </w:rPr>
            </w:pPr>
            <w:r w:rsidRPr="006256FC">
              <w:rPr>
                <w:rFonts w:eastAsia="Cambria" w:cs="Times New Roman"/>
                <w:color w:val="000000"/>
              </w:rPr>
              <w:t>K11927</w:t>
            </w:r>
          </w:p>
        </w:tc>
        <w:tc>
          <w:tcPr>
            <w:tcW w:w="2769" w:type="dxa"/>
            <w:shd w:val="clear" w:color="auto" w:fill="auto"/>
            <w:tcMar>
              <w:top w:w="100" w:type="dxa"/>
              <w:left w:w="100" w:type="dxa"/>
              <w:bottom w:w="100" w:type="dxa"/>
              <w:right w:w="100" w:type="dxa"/>
            </w:tcMar>
            <w:hideMark/>
          </w:tcPr>
          <w:p w14:paraId="4CB5FD47"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rhlE</w:t>
            </w:r>
            <w:r w:rsidRPr="006256FC">
              <w:rPr>
                <w:rFonts w:eastAsia="Cambria" w:cs="Times New Roman"/>
                <w:color w:val="000000"/>
              </w:rPr>
              <w:t>; ATP-dependent RNA helicase RhlE [EC:3.6.4.13]</w:t>
            </w:r>
          </w:p>
        </w:tc>
        <w:tc>
          <w:tcPr>
            <w:tcW w:w="0" w:type="auto"/>
            <w:shd w:val="clear" w:color="auto" w:fill="auto"/>
            <w:tcMar>
              <w:top w:w="100" w:type="dxa"/>
              <w:left w:w="100" w:type="dxa"/>
              <w:bottom w:w="100" w:type="dxa"/>
              <w:right w:w="100" w:type="dxa"/>
            </w:tcMar>
            <w:hideMark/>
          </w:tcPr>
          <w:p w14:paraId="7CC26A60"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657</w:t>
            </w:r>
          </w:p>
        </w:tc>
        <w:tc>
          <w:tcPr>
            <w:tcW w:w="0" w:type="auto"/>
          </w:tcPr>
          <w:p w14:paraId="4977E00F"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01FF6912" w14:textId="77777777" w:rsidTr="002E3F44">
        <w:trPr>
          <w:trHeight w:val="20"/>
          <w:jc w:val="center"/>
        </w:trPr>
        <w:tc>
          <w:tcPr>
            <w:tcW w:w="2253" w:type="dxa"/>
            <w:tcBorders>
              <w:bottom w:val="single" w:sz="4" w:space="0" w:color="auto"/>
            </w:tcBorders>
            <w:shd w:val="clear" w:color="auto" w:fill="auto"/>
            <w:tcMar>
              <w:top w:w="100" w:type="dxa"/>
              <w:left w:w="100" w:type="dxa"/>
              <w:bottom w:w="100" w:type="dxa"/>
              <w:right w:w="100" w:type="dxa"/>
            </w:tcMar>
            <w:hideMark/>
          </w:tcPr>
          <w:p w14:paraId="7A9576E6" w14:textId="77777777" w:rsidR="001F17B6" w:rsidRPr="006256FC" w:rsidRDefault="001F17B6" w:rsidP="002E3F44">
            <w:pPr>
              <w:spacing w:line="240" w:lineRule="auto"/>
              <w:ind w:firstLine="0"/>
              <w:rPr>
                <w:rFonts w:cs="Times New Roman"/>
              </w:rPr>
            </w:pPr>
            <w:r w:rsidRPr="006256FC">
              <w:rPr>
                <w:rFonts w:eastAsia="Cambria" w:cs="Times New Roman"/>
                <w:color w:val="000000"/>
              </w:rPr>
              <w:t>ATP-dependent RNA helicase RhlE</w:t>
            </w:r>
          </w:p>
        </w:tc>
        <w:tc>
          <w:tcPr>
            <w:tcW w:w="1977" w:type="dxa"/>
            <w:tcBorders>
              <w:bottom w:val="single" w:sz="4" w:space="0" w:color="auto"/>
            </w:tcBorders>
            <w:shd w:val="clear" w:color="auto" w:fill="auto"/>
            <w:tcMar>
              <w:top w:w="100" w:type="dxa"/>
              <w:left w:w="100" w:type="dxa"/>
              <w:bottom w:w="100" w:type="dxa"/>
              <w:right w:w="100" w:type="dxa"/>
            </w:tcMar>
            <w:hideMark/>
          </w:tcPr>
          <w:p w14:paraId="52FF5768"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HPNLJDEO_02720</w:t>
            </w:r>
          </w:p>
        </w:tc>
        <w:tc>
          <w:tcPr>
            <w:tcW w:w="909" w:type="dxa"/>
            <w:tcBorders>
              <w:bottom w:val="single" w:sz="4" w:space="0" w:color="auto"/>
            </w:tcBorders>
            <w:shd w:val="clear" w:color="auto" w:fill="auto"/>
            <w:tcMar>
              <w:top w:w="100" w:type="dxa"/>
              <w:left w:w="100" w:type="dxa"/>
              <w:bottom w:w="100" w:type="dxa"/>
              <w:right w:w="100" w:type="dxa"/>
            </w:tcMar>
            <w:hideMark/>
          </w:tcPr>
          <w:p w14:paraId="28C90261" w14:textId="77777777" w:rsidR="001F17B6" w:rsidRPr="006256FC" w:rsidRDefault="001F17B6" w:rsidP="002E3F44">
            <w:pPr>
              <w:spacing w:line="240" w:lineRule="auto"/>
              <w:ind w:firstLine="0"/>
              <w:rPr>
                <w:rFonts w:cs="Times New Roman"/>
              </w:rPr>
            </w:pPr>
            <w:r w:rsidRPr="006256FC">
              <w:rPr>
                <w:rFonts w:eastAsia="Cambria" w:cs="Times New Roman"/>
                <w:color w:val="000000"/>
              </w:rPr>
              <w:t>K11927</w:t>
            </w:r>
          </w:p>
        </w:tc>
        <w:tc>
          <w:tcPr>
            <w:tcW w:w="2769" w:type="dxa"/>
            <w:tcBorders>
              <w:bottom w:val="single" w:sz="4" w:space="0" w:color="auto"/>
            </w:tcBorders>
            <w:shd w:val="clear" w:color="auto" w:fill="auto"/>
            <w:tcMar>
              <w:top w:w="100" w:type="dxa"/>
              <w:left w:w="100" w:type="dxa"/>
              <w:bottom w:w="100" w:type="dxa"/>
              <w:right w:w="100" w:type="dxa"/>
            </w:tcMar>
            <w:hideMark/>
          </w:tcPr>
          <w:p w14:paraId="426D15A9"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rhlE</w:t>
            </w:r>
            <w:r w:rsidRPr="006256FC">
              <w:rPr>
                <w:rFonts w:eastAsia="Cambria" w:cs="Times New Roman"/>
                <w:color w:val="000000"/>
              </w:rPr>
              <w:t>; ATP-dependent RNA helicase RhlE [EC:3.6.4.13]</w:t>
            </w:r>
          </w:p>
        </w:tc>
        <w:tc>
          <w:tcPr>
            <w:tcW w:w="0" w:type="auto"/>
            <w:tcBorders>
              <w:bottom w:val="single" w:sz="4" w:space="0" w:color="auto"/>
            </w:tcBorders>
            <w:shd w:val="clear" w:color="auto" w:fill="auto"/>
            <w:tcMar>
              <w:top w:w="100" w:type="dxa"/>
              <w:left w:w="100" w:type="dxa"/>
              <w:bottom w:w="100" w:type="dxa"/>
              <w:right w:w="100" w:type="dxa"/>
            </w:tcMar>
            <w:hideMark/>
          </w:tcPr>
          <w:p w14:paraId="6DE4C6BD"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634</w:t>
            </w:r>
          </w:p>
        </w:tc>
        <w:tc>
          <w:tcPr>
            <w:tcW w:w="0" w:type="auto"/>
            <w:tcBorders>
              <w:bottom w:val="single" w:sz="4" w:space="0" w:color="auto"/>
            </w:tcBorders>
          </w:tcPr>
          <w:p w14:paraId="7CA93266"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191928B7" w14:textId="77777777" w:rsidTr="002E3F44">
        <w:trPr>
          <w:trHeight w:val="20"/>
          <w:jc w:val="center"/>
        </w:trPr>
        <w:tc>
          <w:tcPr>
            <w:tcW w:w="2253" w:type="dxa"/>
            <w:tcBorders>
              <w:top w:val="single" w:sz="4" w:space="0" w:color="auto"/>
            </w:tcBorders>
            <w:shd w:val="clear" w:color="auto" w:fill="auto"/>
            <w:tcMar>
              <w:top w:w="100" w:type="dxa"/>
              <w:left w:w="100" w:type="dxa"/>
              <w:bottom w:w="100" w:type="dxa"/>
              <w:right w:w="100" w:type="dxa"/>
            </w:tcMar>
            <w:hideMark/>
          </w:tcPr>
          <w:p w14:paraId="3E6E8E50"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DNA Photorepair</w:t>
            </w:r>
          </w:p>
        </w:tc>
        <w:tc>
          <w:tcPr>
            <w:tcW w:w="1977" w:type="dxa"/>
            <w:tcBorders>
              <w:top w:val="single" w:sz="4" w:space="0" w:color="auto"/>
            </w:tcBorders>
            <w:shd w:val="clear" w:color="auto" w:fill="auto"/>
            <w:tcMar>
              <w:top w:w="100" w:type="dxa"/>
              <w:left w:w="100" w:type="dxa"/>
              <w:bottom w:w="100" w:type="dxa"/>
              <w:right w:w="100" w:type="dxa"/>
            </w:tcMar>
            <w:hideMark/>
          </w:tcPr>
          <w:p w14:paraId="32566470"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 xml:space="preserve"> </w:t>
            </w:r>
          </w:p>
        </w:tc>
        <w:tc>
          <w:tcPr>
            <w:tcW w:w="909" w:type="dxa"/>
            <w:tcBorders>
              <w:top w:val="single" w:sz="4" w:space="0" w:color="auto"/>
            </w:tcBorders>
            <w:shd w:val="clear" w:color="auto" w:fill="auto"/>
            <w:tcMar>
              <w:top w:w="100" w:type="dxa"/>
              <w:left w:w="100" w:type="dxa"/>
              <w:bottom w:w="100" w:type="dxa"/>
              <w:right w:w="100" w:type="dxa"/>
            </w:tcMar>
            <w:hideMark/>
          </w:tcPr>
          <w:p w14:paraId="3757F135"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 xml:space="preserve"> </w:t>
            </w:r>
          </w:p>
        </w:tc>
        <w:tc>
          <w:tcPr>
            <w:tcW w:w="2769" w:type="dxa"/>
            <w:tcBorders>
              <w:top w:val="single" w:sz="4" w:space="0" w:color="auto"/>
            </w:tcBorders>
            <w:shd w:val="clear" w:color="auto" w:fill="auto"/>
            <w:tcMar>
              <w:top w:w="100" w:type="dxa"/>
              <w:left w:w="100" w:type="dxa"/>
              <w:bottom w:w="100" w:type="dxa"/>
              <w:right w:w="100" w:type="dxa"/>
            </w:tcMar>
            <w:hideMark/>
          </w:tcPr>
          <w:p w14:paraId="43CD53E6"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 xml:space="preserve"> </w:t>
            </w:r>
          </w:p>
        </w:tc>
        <w:tc>
          <w:tcPr>
            <w:tcW w:w="0" w:type="auto"/>
            <w:tcBorders>
              <w:top w:val="single" w:sz="4" w:space="0" w:color="auto"/>
            </w:tcBorders>
            <w:shd w:val="clear" w:color="auto" w:fill="auto"/>
            <w:tcMar>
              <w:top w:w="100" w:type="dxa"/>
              <w:left w:w="100" w:type="dxa"/>
              <w:bottom w:w="100" w:type="dxa"/>
              <w:right w:w="100" w:type="dxa"/>
            </w:tcMar>
            <w:hideMark/>
          </w:tcPr>
          <w:p w14:paraId="371869A2" w14:textId="77777777" w:rsidR="001F17B6" w:rsidRPr="006256FC" w:rsidRDefault="001F17B6" w:rsidP="002E3F44">
            <w:pPr>
              <w:spacing w:line="240" w:lineRule="auto"/>
              <w:ind w:firstLine="0"/>
              <w:jc w:val="right"/>
              <w:rPr>
                <w:rFonts w:cs="Times New Roman"/>
              </w:rPr>
            </w:pPr>
            <w:r w:rsidRPr="006256FC">
              <w:rPr>
                <w:rFonts w:eastAsia="Cambria" w:cs="Times New Roman"/>
                <w:b/>
                <w:bCs/>
                <w:color w:val="000000"/>
              </w:rPr>
              <w:t xml:space="preserve"> </w:t>
            </w:r>
          </w:p>
        </w:tc>
        <w:tc>
          <w:tcPr>
            <w:tcW w:w="0" w:type="auto"/>
            <w:tcBorders>
              <w:top w:val="single" w:sz="4" w:space="0" w:color="auto"/>
            </w:tcBorders>
          </w:tcPr>
          <w:p w14:paraId="3E9945D7" w14:textId="77777777" w:rsidR="001F17B6" w:rsidRPr="006256FC" w:rsidRDefault="001F17B6" w:rsidP="002E3F44">
            <w:pPr>
              <w:spacing w:line="240" w:lineRule="auto"/>
              <w:ind w:firstLine="0"/>
              <w:jc w:val="right"/>
              <w:rPr>
                <w:rFonts w:eastAsia="Cambria" w:cs="Times New Roman"/>
                <w:b/>
                <w:bCs/>
                <w:color w:val="000000"/>
              </w:rPr>
            </w:pPr>
          </w:p>
        </w:tc>
      </w:tr>
      <w:tr w:rsidR="001F17B6" w:rsidRPr="006256FC" w14:paraId="06C16B14" w14:textId="77777777" w:rsidTr="002E3F44">
        <w:trPr>
          <w:trHeight w:val="20"/>
          <w:jc w:val="center"/>
        </w:trPr>
        <w:tc>
          <w:tcPr>
            <w:tcW w:w="2253" w:type="dxa"/>
            <w:shd w:val="clear" w:color="auto" w:fill="auto"/>
            <w:tcMar>
              <w:top w:w="100" w:type="dxa"/>
              <w:left w:w="100" w:type="dxa"/>
              <w:bottom w:w="100" w:type="dxa"/>
              <w:right w:w="100" w:type="dxa"/>
            </w:tcMar>
            <w:hideMark/>
          </w:tcPr>
          <w:p w14:paraId="753BC5A0" w14:textId="77777777" w:rsidR="001F17B6" w:rsidRPr="006256FC" w:rsidRDefault="001F17B6" w:rsidP="002E3F44">
            <w:pPr>
              <w:spacing w:line="240" w:lineRule="auto"/>
              <w:ind w:firstLine="0"/>
              <w:rPr>
                <w:rFonts w:cs="Times New Roman"/>
              </w:rPr>
            </w:pPr>
            <w:r w:rsidRPr="006256FC">
              <w:rPr>
                <w:rFonts w:eastAsia="Cambria" w:cs="Times New Roman"/>
                <w:color w:val="000000"/>
              </w:rPr>
              <w:t xml:space="preserve">deoxyribodipyrimidine photolyase </w:t>
            </w:r>
            <w:r w:rsidRPr="006256FC">
              <w:rPr>
                <w:rFonts w:eastAsia="Cambria" w:cs="Times New Roman"/>
                <w:i/>
                <w:iCs/>
                <w:color w:val="000000"/>
              </w:rPr>
              <w:t>phr</w:t>
            </w:r>
          </w:p>
        </w:tc>
        <w:tc>
          <w:tcPr>
            <w:tcW w:w="1977" w:type="dxa"/>
            <w:shd w:val="clear" w:color="auto" w:fill="auto"/>
            <w:tcMar>
              <w:top w:w="100" w:type="dxa"/>
              <w:left w:w="100" w:type="dxa"/>
              <w:bottom w:w="100" w:type="dxa"/>
              <w:right w:w="100" w:type="dxa"/>
            </w:tcMar>
            <w:hideMark/>
          </w:tcPr>
          <w:p w14:paraId="11198077"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HPNLJDEO_05006</w:t>
            </w:r>
          </w:p>
        </w:tc>
        <w:tc>
          <w:tcPr>
            <w:tcW w:w="909" w:type="dxa"/>
            <w:shd w:val="clear" w:color="auto" w:fill="auto"/>
            <w:tcMar>
              <w:top w:w="100" w:type="dxa"/>
              <w:left w:w="100" w:type="dxa"/>
              <w:bottom w:w="100" w:type="dxa"/>
              <w:right w:w="100" w:type="dxa"/>
            </w:tcMar>
            <w:hideMark/>
          </w:tcPr>
          <w:p w14:paraId="1A621A18"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K01669</w:t>
            </w:r>
          </w:p>
        </w:tc>
        <w:tc>
          <w:tcPr>
            <w:tcW w:w="2769" w:type="dxa"/>
            <w:shd w:val="clear" w:color="auto" w:fill="auto"/>
            <w:tcMar>
              <w:top w:w="100" w:type="dxa"/>
              <w:left w:w="100" w:type="dxa"/>
              <w:bottom w:w="100" w:type="dxa"/>
              <w:right w:w="100" w:type="dxa"/>
            </w:tcMar>
            <w:hideMark/>
          </w:tcPr>
          <w:p w14:paraId="408FBB6C"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phr</w:t>
            </w:r>
            <w:r w:rsidRPr="006256FC">
              <w:rPr>
                <w:rFonts w:eastAsia="Cambria" w:cs="Times New Roman"/>
                <w:color w:val="000000"/>
              </w:rPr>
              <w:t>, PHR1; deoxyribodipyrimidine photo-lyase [EC:4.1.99.3]</w:t>
            </w:r>
          </w:p>
        </w:tc>
        <w:tc>
          <w:tcPr>
            <w:tcW w:w="0" w:type="auto"/>
            <w:shd w:val="clear" w:color="auto" w:fill="auto"/>
            <w:tcMar>
              <w:top w:w="100" w:type="dxa"/>
              <w:left w:w="100" w:type="dxa"/>
              <w:bottom w:w="100" w:type="dxa"/>
              <w:right w:w="100" w:type="dxa"/>
            </w:tcMar>
            <w:hideMark/>
          </w:tcPr>
          <w:p w14:paraId="6515FA9E"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655</w:t>
            </w:r>
          </w:p>
        </w:tc>
        <w:tc>
          <w:tcPr>
            <w:tcW w:w="0" w:type="auto"/>
          </w:tcPr>
          <w:p w14:paraId="173C7E2E"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4A65E631" w14:textId="77777777" w:rsidTr="002E3F44">
        <w:trPr>
          <w:trHeight w:val="20"/>
          <w:jc w:val="center"/>
        </w:trPr>
        <w:tc>
          <w:tcPr>
            <w:tcW w:w="2253" w:type="dxa"/>
            <w:tcBorders>
              <w:bottom w:val="single" w:sz="4" w:space="0" w:color="auto"/>
            </w:tcBorders>
            <w:shd w:val="clear" w:color="auto" w:fill="auto"/>
            <w:tcMar>
              <w:top w:w="100" w:type="dxa"/>
              <w:left w:w="100" w:type="dxa"/>
              <w:bottom w:w="100" w:type="dxa"/>
              <w:right w:w="100" w:type="dxa"/>
            </w:tcMar>
            <w:hideMark/>
          </w:tcPr>
          <w:p w14:paraId="453592DE" w14:textId="77777777" w:rsidR="001F17B6" w:rsidRPr="006256FC" w:rsidRDefault="001F17B6" w:rsidP="002E3F44">
            <w:pPr>
              <w:spacing w:line="240" w:lineRule="auto"/>
              <w:ind w:firstLine="0"/>
              <w:rPr>
                <w:rFonts w:cs="Times New Roman"/>
              </w:rPr>
            </w:pPr>
            <w:r w:rsidRPr="006256FC">
              <w:rPr>
                <w:rFonts w:eastAsia="Cambria" w:cs="Times New Roman"/>
                <w:color w:val="000000"/>
              </w:rPr>
              <w:t xml:space="preserve">(6-4)DNA photolyase </w:t>
            </w:r>
            <w:r w:rsidRPr="006256FC">
              <w:rPr>
                <w:rFonts w:eastAsia="Cambria" w:cs="Times New Roman"/>
                <w:i/>
                <w:iCs/>
                <w:color w:val="000000"/>
              </w:rPr>
              <w:t>phrB</w:t>
            </w:r>
          </w:p>
        </w:tc>
        <w:tc>
          <w:tcPr>
            <w:tcW w:w="1977" w:type="dxa"/>
            <w:tcBorders>
              <w:bottom w:val="single" w:sz="4" w:space="0" w:color="auto"/>
            </w:tcBorders>
            <w:shd w:val="clear" w:color="auto" w:fill="auto"/>
            <w:tcMar>
              <w:top w:w="100" w:type="dxa"/>
              <w:left w:w="100" w:type="dxa"/>
              <w:bottom w:w="100" w:type="dxa"/>
              <w:right w:w="100" w:type="dxa"/>
            </w:tcMar>
            <w:hideMark/>
          </w:tcPr>
          <w:p w14:paraId="335015C2"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HPNLJDEO_04024</w:t>
            </w:r>
          </w:p>
        </w:tc>
        <w:tc>
          <w:tcPr>
            <w:tcW w:w="909" w:type="dxa"/>
            <w:tcBorders>
              <w:bottom w:val="single" w:sz="4" w:space="0" w:color="auto"/>
            </w:tcBorders>
            <w:shd w:val="clear" w:color="auto" w:fill="auto"/>
            <w:tcMar>
              <w:top w:w="100" w:type="dxa"/>
              <w:left w:w="100" w:type="dxa"/>
              <w:bottom w:w="100" w:type="dxa"/>
              <w:right w:w="100" w:type="dxa"/>
            </w:tcMar>
            <w:hideMark/>
          </w:tcPr>
          <w:p w14:paraId="225F756A"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K06876</w:t>
            </w:r>
          </w:p>
        </w:tc>
        <w:tc>
          <w:tcPr>
            <w:tcW w:w="2769" w:type="dxa"/>
            <w:tcBorders>
              <w:bottom w:val="single" w:sz="4" w:space="0" w:color="auto"/>
            </w:tcBorders>
            <w:shd w:val="clear" w:color="auto" w:fill="auto"/>
            <w:tcMar>
              <w:top w:w="100" w:type="dxa"/>
              <w:left w:w="100" w:type="dxa"/>
              <w:bottom w:w="100" w:type="dxa"/>
              <w:right w:w="100" w:type="dxa"/>
            </w:tcMar>
            <w:hideMark/>
          </w:tcPr>
          <w:p w14:paraId="4328375A"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phrB</w:t>
            </w:r>
            <w:r w:rsidRPr="006256FC">
              <w:rPr>
                <w:rFonts w:eastAsia="Cambria" w:cs="Times New Roman"/>
                <w:color w:val="000000"/>
              </w:rPr>
              <w:t>; (6-4)DNA photolyase [EC:4.1.99.13]</w:t>
            </w:r>
          </w:p>
        </w:tc>
        <w:tc>
          <w:tcPr>
            <w:tcW w:w="0" w:type="auto"/>
            <w:tcBorders>
              <w:bottom w:val="single" w:sz="4" w:space="0" w:color="auto"/>
            </w:tcBorders>
            <w:shd w:val="clear" w:color="auto" w:fill="auto"/>
            <w:tcMar>
              <w:top w:w="100" w:type="dxa"/>
              <w:left w:w="100" w:type="dxa"/>
              <w:bottom w:w="100" w:type="dxa"/>
              <w:right w:w="100" w:type="dxa"/>
            </w:tcMar>
            <w:hideMark/>
          </w:tcPr>
          <w:p w14:paraId="78E05B59"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434</w:t>
            </w:r>
          </w:p>
        </w:tc>
        <w:tc>
          <w:tcPr>
            <w:tcW w:w="0" w:type="auto"/>
            <w:tcBorders>
              <w:bottom w:val="single" w:sz="4" w:space="0" w:color="auto"/>
            </w:tcBorders>
          </w:tcPr>
          <w:p w14:paraId="521D5580"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313BCBC6" w14:textId="77777777" w:rsidTr="002E3F44">
        <w:trPr>
          <w:trHeight w:val="20"/>
          <w:jc w:val="center"/>
        </w:trPr>
        <w:tc>
          <w:tcPr>
            <w:tcW w:w="2253" w:type="dxa"/>
            <w:tcBorders>
              <w:top w:val="single" w:sz="4" w:space="0" w:color="auto"/>
            </w:tcBorders>
            <w:shd w:val="clear" w:color="auto" w:fill="auto"/>
            <w:tcMar>
              <w:top w:w="100" w:type="dxa"/>
              <w:left w:w="100" w:type="dxa"/>
              <w:bottom w:w="100" w:type="dxa"/>
              <w:right w:w="100" w:type="dxa"/>
            </w:tcMar>
            <w:hideMark/>
          </w:tcPr>
          <w:p w14:paraId="423CC5B6"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Oxidative Stress</w:t>
            </w:r>
          </w:p>
        </w:tc>
        <w:tc>
          <w:tcPr>
            <w:tcW w:w="1977" w:type="dxa"/>
            <w:tcBorders>
              <w:top w:val="single" w:sz="4" w:space="0" w:color="auto"/>
            </w:tcBorders>
            <w:shd w:val="clear" w:color="auto" w:fill="auto"/>
            <w:tcMar>
              <w:top w:w="100" w:type="dxa"/>
              <w:left w:w="100" w:type="dxa"/>
              <w:bottom w:w="100" w:type="dxa"/>
              <w:right w:w="100" w:type="dxa"/>
            </w:tcMar>
            <w:hideMark/>
          </w:tcPr>
          <w:p w14:paraId="30799DC7"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 xml:space="preserve"> </w:t>
            </w:r>
          </w:p>
        </w:tc>
        <w:tc>
          <w:tcPr>
            <w:tcW w:w="909" w:type="dxa"/>
            <w:tcBorders>
              <w:top w:val="single" w:sz="4" w:space="0" w:color="auto"/>
            </w:tcBorders>
            <w:shd w:val="clear" w:color="auto" w:fill="auto"/>
            <w:tcMar>
              <w:top w:w="100" w:type="dxa"/>
              <w:left w:w="100" w:type="dxa"/>
              <w:bottom w:w="100" w:type="dxa"/>
              <w:right w:w="100" w:type="dxa"/>
            </w:tcMar>
            <w:hideMark/>
          </w:tcPr>
          <w:p w14:paraId="44A699C9"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 xml:space="preserve"> </w:t>
            </w:r>
          </w:p>
        </w:tc>
        <w:tc>
          <w:tcPr>
            <w:tcW w:w="2769" w:type="dxa"/>
            <w:tcBorders>
              <w:top w:val="single" w:sz="4" w:space="0" w:color="auto"/>
            </w:tcBorders>
            <w:shd w:val="clear" w:color="auto" w:fill="auto"/>
            <w:tcMar>
              <w:top w:w="100" w:type="dxa"/>
              <w:left w:w="100" w:type="dxa"/>
              <w:bottom w:w="100" w:type="dxa"/>
              <w:right w:w="100" w:type="dxa"/>
            </w:tcMar>
            <w:hideMark/>
          </w:tcPr>
          <w:p w14:paraId="46667A3A"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 xml:space="preserve"> </w:t>
            </w:r>
          </w:p>
        </w:tc>
        <w:tc>
          <w:tcPr>
            <w:tcW w:w="0" w:type="auto"/>
            <w:tcBorders>
              <w:top w:val="single" w:sz="4" w:space="0" w:color="auto"/>
            </w:tcBorders>
            <w:shd w:val="clear" w:color="auto" w:fill="auto"/>
            <w:tcMar>
              <w:top w:w="100" w:type="dxa"/>
              <w:left w:w="100" w:type="dxa"/>
              <w:bottom w:w="100" w:type="dxa"/>
              <w:right w:w="100" w:type="dxa"/>
            </w:tcMar>
            <w:hideMark/>
          </w:tcPr>
          <w:p w14:paraId="646BE47A" w14:textId="77777777" w:rsidR="001F17B6" w:rsidRPr="006256FC" w:rsidRDefault="001F17B6" w:rsidP="002E3F44">
            <w:pPr>
              <w:spacing w:line="240" w:lineRule="auto"/>
              <w:ind w:firstLine="0"/>
              <w:jc w:val="right"/>
              <w:rPr>
                <w:rFonts w:cs="Times New Roman"/>
              </w:rPr>
            </w:pPr>
            <w:r w:rsidRPr="006256FC">
              <w:rPr>
                <w:rFonts w:eastAsia="Cambria" w:cs="Times New Roman"/>
                <w:b/>
                <w:bCs/>
                <w:color w:val="000000"/>
              </w:rPr>
              <w:t xml:space="preserve"> </w:t>
            </w:r>
          </w:p>
        </w:tc>
        <w:tc>
          <w:tcPr>
            <w:tcW w:w="0" w:type="auto"/>
            <w:tcBorders>
              <w:top w:val="single" w:sz="4" w:space="0" w:color="auto"/>
            </w:tcBorders>
          </w:tcPr>
          <w:p w14:paraId="1A28FB42" w14:textId="77777777" w:rsidR="001F17B6" w:rsidRPr="006256FC" w:rsidRDefault="001F17B6" w:rsidP="002E3F44">
            <w:pPr>
              <w:spacing w:line="240" w:lineRule="auto"/>
              <w:ind w:firstLine="0"/>
              <w:jc w:val="right"/>
              <w:rPr>
                <w:rFonts w:eastAsia="Cambria" w:cs="Times New Roman"/>
                <w:b/>
                <w:bCs/>
                <w:color w:val="000000"/>
              </w:rPr>
            </w:pPr>
          </w:p>
        </w:tc>
      </w:tr>
      <w:tr w:rsidR="001F17B6" w:rsidRPr="006256FC" w14:paraId="51FB0A3E" w14:textId="77777777" w:rsidTr="002E3F44">
        <w:trPr>
          <w:trHeight w:val="20"/>
          <w:jc w:val="center"/>
        </w:trPr>
        <w:tc>
          <w:tcPr>
            <w:tcW w:w="2253" w:type="dxa"/>
            <w:shd w:val="clear" w:color="auto" w:fill="auto"/>
            <w:tcMar>
              <w:top w:w="100" w:type="dxa"/>
              <w:left w:w="100" w:type="dxa"/>
              <w:bottom w:w="100" w:type="dxa"/>
              <w:right w:w="100" w:type="dxa"/>
            </w:tcMar>
            <w:hideMark/>
          </w:tcPr>
          <w:p w14:paraId="5E0538A1" w14:textId="77777777" w:rsidR="001F17B6" w:rsidRPr="006256FC" w:rsidRDefault="001F17B6" w:rsidP="002E3F44">
            <w:pPr>
              <w:spacing w:line="240" w:lineRule="auto"/>
              <w:ind w:firstLine="0"/>
              <w:rPr>
                <w:rFonts w:cs="Times New Roman"/>
              </w:rPr>
            </w:pPr>
            <w:r w:rsidRPr="006256FC">
              <w:rPr>
                <w:rFonts w:eastAsia="Cambria" w:cs="Times New Roman"/>
                <w:color w:val="000000"/>
              </w:rPr>
              <w:t>catalase</w:t>
            </w:r>
          </w:p>
        </w:tc>
        <w:tc>
          <w:tcPr>
            <w:tcW w:w="1977" w:type="dxa"/>
            <w:shd w:val="clear" w:color="auto" w:fill="auto"/>
            <w:tcMar>
              <w:top w:w="100" w:type="dxa"/>
              <w:left w:w="100" w:type="dxa"/>
              <w:bottom w:w="100" w:type="dxa"/>
              <w:right w:w="100" w:type="dxa"/>
            </w:tcMar>
            <w:hideMark/>
          </w:tcPr>
          <w:p w14:paraId="095A6031"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HPNLJDEO_00224</w:t>
            </w:r>
          </w:p>
        </w:tc>
        <w:tc>
          <w:tcPr>
            <w:tcW w:w="909" w:type="dxa"/>
            <w:shd w:val="clear" w:color="auto" w:fill="auto"/>
            <w:tcMar>
              <w:top w:w="100" w:type="dxa"/>
              <w:left w:w="100" w:type="dxa"/>
              <w:bottom w:w="100" w:type="dxa"/>
              <w:right w:w="100" w:type="dxa"/>
            </w:tcMar>
            <w:hideMark/>
          </w:tcPr>
          <w:p w14:paraId="6B28FA43"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K03781</w:t>
            </w:r>
          </w:p>
        </w:tc>
        <w:tc>
          <w:tcPr>
            <w:tcW w:w="2769" w:type="dxa"/>
            <w:shd w:val="clear" w:color="auto" w:fill="auto"/>
            <w:tcMar>
              <w:top w:w="100" w:type="dxa"/>
              <w:left w:w="100" w:type="dxa"/>
              <w:bottom w:w="100" w:type="dxa"/>
              <w:right w:w="100" w:type="dxa"/>
            </w:tcMar>
            <w:hideMark/>
          </w:tcPr>
          <w:p w14:paraId="1E15BA9A"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katE</w:t>
            </w:r>
            <w:r w:rsidRPr="006256FC">
              <w:rPr>
                <w:rFonts w:eastAsia="Cambria" w:cs="Times New Roman"/>
                <w:color w:val="000000"/>
              </w:rPr>
              <w:t xml:space="preserve">, CAT, </w:t>
            </w:r>
            <w:r w:rsidRPr="006256FC">
              <w:rPr>
                <w:rFonts w:eastAsia="Cambria" w:cs="Times New Roman"/>
                <w:i/>
                <w:iCs/>
                <w:color w:val="000000"/>
              </w:rPr>
              <w:t>catB</w:t>
            </w:r>
            <w:r w:rsidRPr="006256FC">
              <w:rPr>
                <w:rFonts w:eastAsia="Cambria" w:cs="Times New Roman"/>
                <w:color w:val="000000"/>
              </w:rPr>
              <w:t xml:space="preserve">, </w:t>
            </w:r>
            <w:r w:rsidRPr="006256FC">
              <w:rPr>
                <w:rFonts w:eastAsia="Cambria" w:cs="Times New Roman"/>
                <w:i/>
                <w:iCs/>
                <w:color w:val="000000"/>
              </w:rPr>
              <w:t>srpA</w:t>
            </w:r>
            <w:r w:rsidRPr="006256FC">
              <w:rPr>
                <w:rFonts w:eastAsia="Cambria" w:cs="Times New Roman"/>
                <w:color w:val="000000"/>
              </w:rPr>
              <w:t>; catalase [EC:1.11.1.6]</w:t>
            </w:r>
          </w:p>
        </w:tc>
        <w:tc>
          <w:tcPr>
            <w:tcW w:w="0" w:type="auto"/>
            <w:shd w:val="clear" w:color="auto" w:fill="auto"/>
            <w:tcMar>
              <w:top w:w="100" w:type="dxa"/>
              <w:left w:w="100" w:type="dxa"/>
              <w:bottom w:w="100" w:type="dxa"/>
              <w:right w:w="100" w:type="dxa"/>
            </w:tcMar>
            <w:hideMark/>
          </w:tcPr>
          <w:p w14:paraId="42A46CE7"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737</w:t>
            </w:r>
          </w:p>
        </w:tc>
        <w:tc>
          <w:tcPr>
            <w:tcW w:w="0" w:type="auto"/>
          </w:tcPr>
          <w:p w14:paraId="38F2B448"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1B9C33E9" w14:textId="77777777" w:rsidTr="002E3F44">
        <w:trPr>
          <w:trHeight w:val="20"/>
          <w:jc w:val="center"/>
        </w:trPr>
        <w:tc>
          <w:tcPr>
            <w:tcW w:w="2253" w:type="dxa"/>
            <w:shd w:val="clear" w:color="auto" w:fill="auto"/>
            <w:tcMar>
              <w:top w:w="100" w:type="dxa"/>
              <w:left w:w="100" w:type="dxa"/>
              <w:bottom w:w="100" w:type="dxa"/>
              <w:right w:w="100" w:type="dxa"/>
            </w:tcMar>
            <w:hideMark/>
          </w:tcPr>
          <w:p w14:paraId="26C4CF6E" w14:textId="77777777" w:rsidR="001F17B6" w:rsidRPr="006256FC" w:rsidRDefault="001F17B6" w:rsidP="002E3F44">
            <w:pPr>
              <w:spacing w:line="240" w:lineRule="auto"/>
              <w:ind w:firstLine="0"/>
              <w:rPr>
                <w:rFonts w:cs="Times New Roman"/>
              </w:rPr>
            </w:pPr>
            <w:r w:rsidRPr="006256FC">
              <w:rPr>
                <w:rFonts w:eastAsia="Cambria" w:cs="Times New Roman"/>
                <w:color w:val="000000"/>
              </w:rPr>
              <w:t>catalase</w:t>
            </w:r>
          </w:p>
        </w:tc>
        <w:tc>
          <w:tcPr>
            <w:tcW w:w="1977" w:type="dxa"/>
            <w:shd w:val="clear" w:color="auto" w:fill="auto"/>
            <w:tcMar>
              <w:top w:w="100" w:type="dxa"/>
              <w:left w:w="100" w:type="dxa"/>
              <w:bottom w:w="100" w:type="dxa"/>
              <w:right w:w="100" w:type="dxa"/>
            </w:tcMar>
            <w:hideMark/>
          </w:tcPr>
          <w:p w14:paraId="67567FCE"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HPNLJDEO_02565</w:t>
            </w:r>
          </w:p>
        </w:tc>
        <w:tc>
          <w:tcPr>
            <w:tcW w:w="909" w:type="dxa"/>
            <w:shd w:val="clear" w:color="auto" w:fill="auto"/>
            <w:tcMar>
              <w:top w:w="100" w:type="dxa"/>
              <w:left w:w="100" w:type="dxa"/>
              <w:bottom w:w="100" w:type="dxa"/>
              <w:right w:w="100" w:type="dxa"/>
            </w:tcMar>
            <w:hideMark/>
          </w:tcPr>
          <w:p w14:paraId="7C7201A9"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K03781</w:t>
            </w:r>
          </w:p>
        </w:tc>
        <w:tc>
          <w:tcPr>
            <w:tcW w:w="2769" w:type="dxa"/>
            <w:shd w:val="clear" w:color="auto" w:fill="auto"/>
            <w:tcMar>
              <w:top w:w="100" w:type="dxa"/>
              <w:left w:w="100" w:type="dxa"/>
              <w:bottom w:w="100" w:type="dxa"/>
              <w:right w:w="100" w:type="dxa"/>
            </w:tcMar>
            <w:hideMark/>
          </w:tcPr>
          <w:p w14:paraId="3CB6ABF4"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katE</w:t>
            </w:r>
            <w:r w:rsidRPr="006256FC">
              <w:rPr>
                <w:rFonts w:eastAsia="Cambria" w:cs="Times New Roman"/>
                <w:color w:val="000000"/>
              </w:rPr>
              <w:t xml:space="preserve">, CAT, </w:t>
            </w:r>
            <w:r w:rsidRPr="006256FC">
              <w:rPr>
                <w:rFonts w:eastAsia="Cambria" w:cs="Times New Roman"/>
                <w:i/>
                <w:iCs/>
                <w:color w:val="000000"/>
              </w:rPr>
              <w:t>catB</w:t>
            </w:r>
            <w:r w:rsidRPr="006256FC">
              <w:rPr>
                <w:rFonts w:eastAsia="Cambria" w:cs="Times New Roman"/>
                <w:color w:val="000000"/>
              </w:rPr>
              <w:t>, srpA; catalase [EC:1.11.1.6]</w:t>
            </w:r>
          </w:p>
        </w:tc>
        <w:tc>
          <w:tcPr>
            <w:tcW w:w="0" w:type="auto"/>
            <w:shd w:val="clear" w:color="auto" w:fill="auto"/>
            <w:tcMar>
              <w:top w:w="100" w:type="dxa"/>
              <w:left w:w="100" w:type="dxa"/>
              <w:bottom w:w="100" w:type="dxa"/>
              <w:right w:w="100" w:type="dxa"/>
            </w:tcMar>
            <w:hideMark/>
          </w:tcPr>
          <w:p w14:paraId="46EF7759"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1056</w:t>
            </w:r>
          </w:p>
        </w:tc>
        <w:tc>
          <w:tcPr>
            <w:tcW w:w="0" w:type="auto"/>
          </w:tcPr>
          <w:p w14:paraId="6BC264A6"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078BF2D8" w14:textId="77777777" w:rsidTr="002E3F44">
        <w:trPr>
          <w:trHeight w:val="20"/>
          <w:jc w:val="center"/>
        </w:trPr>
        <w:tc>
          <w:tcPr>
            <w:tcW w:w="2253" w:type="dxa"/>
            <w:shd w:val="clear" w:color="auto" w:fill="auto"/>
            <w:tcMar>
              <w:top w:w="100" w:type="dxa"/>
              <w:left w:w="100" w:type="dxa"/>
              <w:bottom w:w="100" w:type="dxa"/>
              <w:right w:w="100" w:type="dxa"/>
            </w:tcMar>
            <w:hideMark/>
          </w:tcPr>
          <w:p w14:paraId="52803202" w14:textId="77777777" w:rsidR="001F17B6" w:rsidRPr="006256FC" w:rsidRDefault="001F17B6" w:rsidP="002E3F44">
            <w:pPr>
              <w:spacing w:line="240" w:lineRule="auto"/>
              <w:ind w:firstLine="0"/>
              <w:rPr>
                <w:rFonts w:cs="Times New Roman"/>
              </w:rPr>
            </w:pPr>
            <w:r w:rsidRPr="006256FC">
              <w:rPr>
                <w:rFonts w:eastAsia="Cambria" w:cs="Times New Roman"/>
                <w:color w:val="000000"/>
              </w:rPr>
              <w:t>catalase</w:t>
            </w:r>
          </w:p>
        </w:tc>
        <w:tc>
          <w:tcPr>
            <w:tcW w:w="1977" w:type="dxa"/>
            <w:shd w:val="clear" w:color="auto" w:fill="auto"/>
            <w:tcMar>
              <w:top w:w="100" w:type="dxa"/>
              <w:left w:w="100" w:type="dxa"/>
              <w:bottom w:w="100" w:type="dxa"/>
              <w:right w:w="100" w:type="dxa"/>
            </w:tcMar>
            <w:hideMark/>
          </w:tcPr>
          <w:p w14:paraId="1B0B51B1"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HPNLJDEO_04366</w:t>
            </w:r>
          </w:p>
        </w:tc>
        <w:tc>
          <w:tcPr>
            <w:tcW w:w="909" w:type="dxa"/>
            <w:shd w:val="clear" w:color="auto" w:fill="auto"/>
            <w:tcMar>
              <w:top w:w="100" w:type="dxa"/>
              <w:left w:w="100" w:type="dxa"/>
              <w:bottom w:w="100" w:type="dxa"/>
              <w:right w:w="100" w:type="dxa"/>
            </w:tcMar>
            <w:hideMark/>
          </w:tcPr>
          <w:p w14:paraId="1C49BA69"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K03781</w:t>
            </w:r>
          </w:p>
        </w:tc>
        <w:tc>
          <w:tcPr>
            <w:tcW w:w="2769" w:type="dxa"/>
            <w:shd w:val="clear" w:color="auto" w:fill="auto"/>
            <w:tcMar>
              <w:top w:w="100" w:type="dxa"/>
              <w:left w:w="100" w:type="dxa"/>
              <w:bottom w:w="100" w:type="dxa"/>
              <w:right w:w="100" w:type="dxa"/>
            </w:tcMar>
            <w:hideMark/>
          </w:tcPr>
          <w:p w14:paraId="53811015"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katE</w:t>
            </w:r>
            <w:r w:rsidRPr="006256FC">
              <w:rPr>
                <w:rFonts w:eastAsia="Cambria" w:cs="Times New Roman"/>
                <w:color w:val="000000"/>
              </w:rPr>
              <w:t xml:space="preserve">, CAT, </w:t>
            </w:r>
            <w:r w:rsidRPr="006256FC">
              <w:rPr>
                <w:rFonts w:eastAsia="Cambria" w:cs="Times New Roman"/>
                <w:i/>
                <w:iCs/>
                <w:color w:val="000000"/>
              </w:rPr>
              <w:t>catB</w:t>
            </w:r>
            <w:r w:rsidRPr="006256FC">
              <w:rPr>
                <w:rFonts w:eastAsia="Cambria" w:cs="Times New Roman"/>
                <w:color w:val="000000"/>
              </w:rPr>
              <w:t xml:space="preserve">, </w:t>
            </w:r>
            <w:r w:rsidRPr="006256FC">
              <w:rPr>
                <w:rFonts w:eastAsia="Cambria" w:cs="Times New Roman"/>
                <w:i/>
                <w:iCs/>
                <w:color w:val="000000"/>
              </w:rPr>
              <w:t>srpA</w:t>
            </w:r>
            <w:r w:rsidRPr="006256FC">
              <w:rPr>
                <w:rFonts w:eastAsia="Cambria" w:cs="Times New Roman"/>
                <w:color w:val="000000"/>
              </w:rPr>
              <w:t>; catalase [EC:1.11.1.6]</w:t>
            </w:r>
          </w:p>
        </w:tc>
        <w:tc>
          <w:tcPr>
            <w:tcW w:w="0" w:type="auto"/>
            <w:shd w:val="clear" w:color="auto" w:fill="auto"/>
            <w:tcMar>
              <w:top w:w="100" w:type="dxa"/>
              <w:left w:w="100" w:type="dxa"/>
              <w:bottom w:w="100" w:type="dxa"/>
              <w:right w:w="100" w:type="dxa"/>
            </w:tcMar>
            <w:hideMark/>
          </w:tcPr>
          <w:p w14:paraId="1952C97A"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677</w:t>
            </w:r>
          </w:p>
        </w:tc>
        <w:tc>
          <w:tcPr>
            <w:tcW w:w="0" w:type="auto"/>
          </w:tcPr>
          <w:p w14:paraId="18080A9D"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331406AF" w14:textId="77777777" w:rsidTr="002E3F44">
        <w:trPr>
          <w:trHeight w:val="20"/>
          <w:jc w:val="center"/>
        </w:trPr>
        <w:tc>
          <w:tcPr>
            <w:tcW w:w="2253" w:type="dxa"/>
            <w:shd w:val="clear" w:color="auto" w:fill="auto"/>
            <w:tcMar>
              <w:top w:w="100" w:type="dxa"/>
              <w:left w:w="100" w:type="dxa"/>
              <w:bottom w:w="100" w:type="dxa"/>
              <w:right w:w="100" w:type="dxa"/>
            </w:tcMar>
            <w:hideMark/>
          </w:tcPr>
          <w:p w14:paraId="1EEFF8BA" w14:textId="77777777" w:rsidR="001F17B6" w:rsidRPr="006256FC" w:rsidRDefault="001F17B6" w:rsidP="002E3F44">
            <w:pPr>
              <w:spacing w:line="240" w:lineRule="auto"/>
              <w:ind w:firstLine="0"/>
              <w:rPr>
                <w:rFonts w:cs="Times New Roman"/>
              </w:rPr>
            </w:pPr>
            <w:r w:rsidRPr="006256FC">
              <w:rPr>
                <w:rFonts w:eastAsia="Cambria" w:cs="Times New Roman"/>
                <w:color w:val="000000"/>
              </w:rPr>
              <w:lastRenderedPageBreak/>
              <w:t>catalase</w:t>
            </w:r>
          </w:p>
        </w:tc>
        <w:tc>
          <w:tcPr>
            <w:tcW w:w="1977" w:type="dxa"/>
            <w:shd w:val="clear" w:color="auto" w:fill="auto"/>
            <w:tcMar>
              <w:top w:w="100" w:type="dxa"/>
              <w:left w:w="100" w:type="dxa"/>
              <w:bottom w:w="100" w:type="dxa"/>
              <w:right w:w="100" w:type="dxa"/>
            </w:tcMar>
            <w:hideMark/>
          </w:tcPr>
          <w:p w14:paraId="7725AA25"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HPNLJDEO_04511</w:t>
            </w:r>
          </w:p>
        </w:tc>
        <w:tc>
          <w:tcPr>
            <w:tcW w:w="909" w:type="dxa"/>
            <w:shd w:val="clear" w:color="auto" w:fill="auto"/>
            <w:tcMar>
              <w:top w:w="100" w:type="dxa"/>
              <w:left w:w="100" w:type="dxa"/>
              <w:bottom w:w="100" w:type="dxa"/>
              <w:right w:w="100" w:type="dxa"/>
            </w:tcMar>
            <w:hideMark/>
          </w:tcPr>
          <w:p w14:paraId="7AFD3E94"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K03781</w:t>
            </w:r>
          </w:p>
        </w:tc>
        <w:tc>
          <w:tcPr>
            <w:tcW w:w="2769" w:type="dxa"/>
            <w:shd w:val="clear" w:color="auto" w:fill="auto"/>
            <w:tcMar>
              <w:top w:w="100" w:type="dxa"/>
              <w:left w:w="100" w:type="dxa"/>
              <w:bottom w:w="100" w:type="dxa"/>
              <w:right w:w="100" w:type="dxa"/>
            </w:tcMar>
            <w:hideMark/>
          </w:tcPr>
          <w:p w14:paraId="6056BEC2"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katE</w:t>
            </w:r>
            <w:r w:rsidRPr="006256FC">
              <w:rPr>
                <w:rFonts w:eastAsia="Cambria" w:cs="Times New Roman"/>
                <w:color w:val="000000"/>
              </w:rPr>
              <w:t xml:space="preserve">, CAT, </w:t>
            </w:r>
            <w:r w:rsidRPr="006256FC">
              <w:rPr>
                <w:rFonts w:eastAsia="Cambria" w:cs="Times New Roman"/>
                <w:i/>
                <w:iCs/>
                <w:color w:val="000000"/>
              </w:rPr>
              <w:t>catB</w:t>
            </w:r>
            <w:r w:rsidRPr="006256FC">
              <w:rPr>
                <w:rFonts w:eastAsia="Cambria" w:cs="Times New Roman"/>
                <w:color w:val="000000"/>
              </w:rPr>
              <w:t xml:space="preserve">, </w:t>
            </w:r>
            <w:r w:rsidRPr="006256FC">
              <w:rPr>
                <w:rFonts w:eastAsia="Cambria" w:cs="Times New Roman"/>
                <w:i/>
                <w:iCs/>
                <w:color w:val="000000"/>
              </w:rPr>
              <w:t>srpA</w:t>
            </w:r>
            <w:r w:rsidRPr="006256FC">
              <w:rPr>
                <w:rFonts w:eastAsia="Cambria" w:cs="Times New Roman"/>
                <w:color w:val="000000"/>
              </w:rPr>
              <w:t>; catalase [EC:1.11.1.6]</w:t>
            </w:r>
          </w:p>
        </w:tc>
        <w:tc>
          <w:tcPr>
            <w:tcW w:w="0" w:type="auto"/>
            <w:shd w:val="clear" w:color="auto" w:fill="auto"/>
            <w:tcMar>
              <w:top w:w="100" w:type="dxa"/>
              <w:left w:w="100" w:type="dxa"/>
              <w:bottom w:w="100" w:type="dxa"/>
              <w:right w:w="100" w:type="dxa"/>
            </w:tcMar>
            <w:hideMark/>
          </w:tcPr>
          <w:p w14:paraId="7AE0F037"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66</w:t>
            </w:r>
          </w:p>
        </w:tc>
        <w:tc>
          <w:tcPr>
            <w:tcW w:w="0" w:type="auto"/>
          </w:tcPr>
          <w:p w14:paraId="226C62B9"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172A7A81" w14:textId="77777777" w:rsidTr="002E3F44">
        <w:trPr>
          <w:trHeight w:val="20"/>
          <w:jc w:val="center"/>
        </w:trPr>
        <w:tc>
          <w:tcPr>
            <w:tcW w:w="2253" w:type="dxa"/>
            <w:shd w:val="clear" w:color="auto" w:fill="auto"/>
            <w:tcMar>
              <w:top w:w="100" w:type="dxa"/>
              <w:left w:w="100" w:type="dxa"/>
              <w:bottom w:w="100" w:type="dxa"/>
              <w:right w:w="100" w:type="dxa"/>
            </w:tcMar>
            <w:hideMark/>
          </w:tcPr>
          <w:p w14:paraId="22513940" w14:textId="77777777" w:rsidR="001F17B6" w:rsidRPr="006256FC" w:rsidRDefault="001F17B6" w:rsidP="002E3F44">
            <w:pPr>
              <w:spacing w:line="240" w:lineRule="auto"/>
              <w:ind w:firstLine="0"/>
              <w:rPr>
                <w:rFonts w:cs="Times New Roman"/>
              </w:rPr>
            </w:pPr>
            <w:r w:rsidRPr="006256FC">
              <w:rPr>
                <w:rFonts w:eastAsia="Cambria" w:cs="Times New Roman"/>
                <w:color w:val="000000"/>
              </w:rPr>
              <w:t>catalase</w:t>
            </w:r>
          </w:p>
        </w:tc>
        <w:tc>
          <w:tcPr>
            <w:tcW w:w="1977" w:type="dxa"/>
            <w:shd w:val="clear" w:color="auto" w:fill="auto"/>
            <w:tcMar>
              <w:top w:w="100" w:type="dxa"/>
              <w:left w:w="100" w:type="dxa"/>
              <w:bottom w:w="100" w:type="dxa"/>
              <w:right w:w="100" w:type="dxa"/>
            </w:tcMar>
            <w:hideMark/>
          </w:tcPr>
          <w:p w14:paraId="210DFF47"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HPNLJDEO_04578</w:t>
            </w:r>
          </w:p>
        </w:tc>
        <w:tc>
          <w:tcPr>
            <w:tcW w:w="909" w:type="dxa"/>
            <w:shd w:val="clear" w:color="auto" w:fill="auto"/>
            <w:tcMar>
              <w:top w:w="100" w:type="dxa"/>
              <w:left w:w="100" w:type="dxa"/>
              <w:bottom w:w="100" w:type="dxa"/>
              <w:right w:w="100" w:type="dxa"/>
            </w:tcMar>
            <w:hideMark/>
          </w:tcPr>
          <w:p w14:paraId="31071505"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K03781</w:t>
            </w:r>
          </w:p>
        </w:tc>
        <w:tc>
          <w:tcPr>
            <w:tcW w:w="2769" w:type="dxa"/>
            <w:shd w:val="clear" w:color="auto" w:fill="auto"/>
            <w:tcMar>
              <w:top w:w="100" w:type="dxa"/>
              <w:left w:w="100" w:type="dxa"/>
              <w:bottom w:w="100" w:type="dxa"/>
              <w:right w:w="100" w:type="dxa"/>
            </w:tcMar>
            <w:hideMark/>
          </w:tcPr>
          <w:p w14:paraId="77BE2C91"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katE</w:t>
            </w:r>
            <w:r w:rsidRPr="006256FC">
              <w:rPr>
                <w:rFonts w:eastAsia="Cambria" w:cs="Times New Roman"/>
                <w:color w:val="000000"/>
              </w:rPr>
              <w:t xml:space="preserve">, CAT, </w:t>
            </w:r>
            <w:r w:rsidRPr="006256FC">
              <w:rPr>
                <w:rFonts w:eastAsia="Cambria" w:cs="Times New Roman"/>
                <w:i/>
                <w:iCs/>
                <w:color w:val="000000"/>
              </w:rPr>
              <w:t>catB</w:t>
            </w:r>
            <w:r w:rsidRPr="006256FC">
              <w:rPr>
                <w:rFonts w:eastAsia="Cambria" w:cs="Times New Roman"/>
                <w:color w:val="000000"/>
              </w:rPr>
              <w:t xml:space="preserve">, </w:t>
            </w:r>
            <w:r w:rsidRPr="006256FC">
              <w:rPr>
                <w:rFonts w:eastAsia="Cambria" w:cs="Times New Roman"/>
                <w:i/>
                <w:iCs/>
                <w:color w:val="000000"/>
              </w:rPr>
              <w:t>srpA</w:t>
            </w:r>
            <w:r w:rsidRPr="006256FC">
              <w:rPr>
                <w:rFonts w:eastAsia="Cambria" w:cs="Times New Roman"/>
                <w:color w:val="000000"/>
              </w:rPr>
              <w:t>; catalase [EC:1.11.1.6]</w:t>
            </w:r>
          </w:p>
        </w:tc>
        <w:tc>
          <w:tcPr>
            <w:tcW w:w="0" w:type="auto"/>
            <w:shd w:val="clear" w:color="auto" w:fill="auto"/>
            <w:tcMar>
              <w:top w:w="100" w:type="dxa"/>
              <w:left w:w="100" w:type="dxa"/>
              <w:bottom w:w="100" w:type="dxa"/>
              <w:right w:w="100" w:type="dxa"/>
            </w:tcMar>
            <w:hideMark/>
          </w:tcPr>
          <w:p w14:paraId="55C0A904"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783</w:t>
            </w:r>
          </w:p>
        </w:tc>
        <w:tc>
          <w:tcPr>
            <w:tcW w:w="0" w:type="auto"/>
          </w:tcPr>
          <w:p w14:paraId="5B20DF7C"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3AA813F7" w14:textId="77777777" w:rsidTr="002E3F44">
        <w:trPr>
          <w:trHeight w:val="20"/>
          <w:jc w:val="center"/>
        </w:trPr>
        <w:tc>
          <w:tcPr>
            <w:tcW w:w="2253" w:type="dxa"/>
            <w:shd w:val="clear" w:color="auto" w:fill="auto"/>
            <w:tcMar>
              <w:top w:w="100" w:type="dxa"/>
              <w:left w:w="100" w:type="dxa"/>
              <w:bottom w:w="100" w:type="dxa"/>
              <w:right w:w="100" w:type="dxa"/>
            </w:tcMar>
            <w:hideMark/>
          </w:tcPr>
          <w:p w14:paraId="53AA7443" w14:textId="77777777" w:rsidR="001F17B6" w:rsidRPr="006256FC" w:rsidRDefault="001F17B6" w:rsidP="002E3F44">
            <w:pPr>
              <w:spacing w:line="240" w:lineRule="auto"/>
              <w:ind w:firstLine="0"/>
              <w:rPr>
                <w:rFonts w:cs="Times New Roman"/>
              </w:rPr>
            </w:pPr>
            <w:r w:rsidRPr="006256FC">
              <w:rPr>
                <w:rFonts w:eastAsia="Cambria" w:cs="Times New Roman"/>
                <w:color w:val="000000"/>
              </w:rPr>
              <w:t>catalase</w:t>
            </w:r>
          </w:p>
        </w:tc>
        <w:tc>
          <w:tcPr>
            <w:tcW w:w="1977" w:type="dxa"/>
            <w:shd w:val="clear" w:color="auto" w:fill="auto"/>
            <w:tcMar>
              <w:top w:w="100" w:type="dxa"/>
              <w:left w:w="100" w:type="dxa"/>
              <w:bottom w:w="100" w:type="dxa"/>
              <w:right w:w="100" w:type="dxa"/>
            </w:tcMar>
            <w:hideMark/>
          </w:tcPr>
          <w:p w14:paraId="4D3B2088"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HPNLJDEO_04622</w:t>
            </w:r>
          </w:p>
        </w:tc>
        <w:tc>
          <w:tcPr>
            <w:tcW w:w="909" w:type="dxa"/>
            <w:shd w:val="clear" w:color="auto" w:fill="auto"/>
            <w:tcMar>
              <w:top w:w="100" w:type="dxa"/>
              <w:left w:w="100" w:type="dxa"/>
              <w:bottom w:w="100" w:type="dxa"/>
              <w:right w:w="100" w:type="dxa"/>
            </w:tcMar>
            <w:hideMark/>
          </w:tcPr>
          <w:p w14:paraId="705BD459"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K03781</w:t>
            </w:r>
          </w:p>
        </w:tc>
        <w:tc>
          <w:tcPr>
            <w:tcW w:w="2769" w:type="dxa"/>
            <w:shd w:val="clear" w:color="auto" w:fill="auto"/>
            <w:tcMar>
              <w:top w:w="100" w:type="dxa"/>
              <w:left w:w="100" w:type="dxa"/>
              <w:bottom w:w="100" w:type="dxa"/>
              <w:right w:w="100" w:type="dxa"/>
            </w:tcMar>
            <w:hideMark/>
          </w:tcPr>
          <w:p w14:paraId="0DEE5D76"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katE</w:t>
            </w:r>
            <w:r w:rsidRPr="006256FC">
              <w:rPr>
                <w:rFonts w:eastAsia="Cambria" w:cs="Times New Roman"/>
                <w:color w:val="000000"/>
              </w:rPr>
              <w:t xml:space="preserve">, CAT, </w:t>
            </w:r>
            <w:r w:rsidRPr="006256FC">
              <w:rPr>
                <w:rFonts w:eastAsia="Cambria" w:cs="Times New Roman"/>
                <w:i/>
                <w:iCs/>
                <w:color w:val="000000"/>
              </w:rPr>
              <w:t>catB</w:t>
            </w:r>
            <w:r w:rsidRPr="006256FC">
              <w:rPr>
                <w:rFonts w:eastAsia="Cambria" w:cs="Times New Roman"/>
                <w:color w:val="000000"/>
              </w:rPr>
              <w:t xml:space="preserve">, </w:t>
            </w:r>
            <w:r w:rsidRPr="006256FC">
              <w:rPr>
                <w:rFonts w:eastAsia="Cambria" w:cs="Times New Roman"/>
                <w:i/>
                <w:iCs/>
                <w:color w:val="000000"/>
              </w:rPr>
              <w:t>srpA</w:t>
            </w:r>
            <w:r w:rsidRPr="006256FC">
              <w:rPr>
                <w:rFonts w:eastAsia="Cambria" w:cs="Times New Roman"/>
                <w:color w:val="000000"/>
              </w:rPr>
              <w:t>; catalase [EC:1.11.1.6]</w:t>
            </w:r>
          </w:p>
        </w:tc>
        <w:tc>
          <w:tcPr>
            <w:tcW w:w="0" w:type="auto"/>
            <w:shd w:val="clear" w:color="auto" w:fill="auto"/>
            <w:tcMar>
              <w:top w:w="100" w:type="dxa"/>
              <w:left w:w="100" w:type="dxa"/>
              <w:bottom w:w="100" w:type="dxa"/>
              <w:right w:w="100" w:type="dxa"/>
            </w:tcMar>
            <w:hideMark/>
          </w:tcPr>
          <w:p w14:paraId="0C84268D"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717</w:t>
            </w:r>
          </w:p>
        </w:tc>
        <w:tc>
          <w:tcPr>
            <w:tcW w:w="0" w:type="auto"/>
          </w:tcPr>
          <w:p w14:paraId="44C7A8EB"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4438A038" w14:textId="77777777" w:rsidTr="002E3F44">
        <w:trPr>
          <w:trHeight w:val="20"/>
          <w:jc w:val="center"/>
        </w:trPr>
        <w:tc>
          <w:tcPr>
            <w:tcW w:w="2253" w:type="dxa"/>
            <w:shd w:val="clear" w:color="auto" w:fill="auto"/>
            <w:tcMar>
              <w:top w:w="100" w:type="dxa"/>
              <w:left w:w="100" w:type="dxa"/>
              <w:bottom w:w="100" w:type="dxa"/>
              <w:right w:w="100" w:type="dxa"/>
            </w:tcMar>
            <w:hideMark/>
          </w:tcPr>
          <w:p w14:paraId="5D12C757" w14:textId="77777777" w:rsidR="001F17B6" w:rsidRPr="006256FC" w:rsidRDefault="001F17B6" w:rsidP="002E3F44">
            <w:pPr>
              <w:spacing w:line="240" w:lineRule="auto"/>
              <w:ind w:firstLine="0"/>
              <w:rPr>
                <w:rFonts w:cs="Times New Roman"/>
              </w:rPr>
            </w:pPr>
            <w:r w:rsidRPr="006256FC">
              <w:rPr>
                <w:rFonts w:eastAsia="Cambria" w:cs="Times New Roman"/>
                <w:color w:val="000000"/>
              </w:rPr>
              <w:t>lipoyl-dependent peroxiredoxin</w:t>
            </w:r>
          </w:p>
        </w:tc>
        <w:tc>
          <w:tcPr>
            <w:tcW w:w="1977" w:type="dxa"/>
            <w:shd w:val="clear" w:color="auto" w:fill="auto"/>
            <w:tcMar>
              <w:top w:w="100" w:type="dxa"/>
              <w:left w:w="100" w:type="dxa"/>
              <w:bottom w:w="100" w:type="dxa"/>
              <w:right w:w="100" w:type="dxa"/>
            </w:tcMar>
            <w:hideMark/>
          </w:tcPr>
          <w:p w14:paraId="347641ED"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HPNLJDEO_01672</w:t>
            </w:r>
          </w:p>
        </w:tc>
        <w:tc>
          <w:tcPr>
            <w:tcW w:w="909" w:type="dxa"/>
            <w:shd w:val="clear" w:color="auto" w:fill="auto"/>
            <w:tcMar>
              <w:top w:w="100" w:type="dxa"/>
              <w:left w:w="100" w:type="dxa"/>
              <w:bottom w:w="100" w:type="dxa"/>
              <w:right w:w="100" w:type="dxa"/>
            </w:tcMar>
            <w:hideMark/>
          </w:tcPr>
          <w:p w14:paraId="37CBFB76"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K04063</w:t>
            </w:r>
          </w:p>
        </w:tc>
        <w:tc>
          <w:tcPr>
            <w:tcW w:w="2769" w:type="dxa"/>
            <w:shd w:val="clear" w:color="auto" w:fill="auto"/>
            <w:tcMar>
              <w:top w:w="100" w:type="dxa"/>
              <w:left w:w="100" w:type="dxa"/>
              <w:bottom w:w="100" w:type="dxa"/>
              <w:right w:w="100" w:type="dxa"/>
            </w:tcMar>
            <w:hideMark/>
          </w:tcPr>
          <w:p w14:paraId="277AB9F5"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osmC</w:t>
            </w:r>
            <w:r w:rsidRPr="006256FC">
              <w:rPr>
                <w:rFonts w:eastAsia="Cambria" w:cs="Times New Roman"/>
                <w:color w:val="000000"/>
              </w:rPr>
              <w:t xml:space="preserve">, </w:t>
            </w:r>
            <w:r w:rsidRPr="006256FC">
              <w:rPr>
                <w:rFonts w:eastAsia="Cambria" w:cs="Times New Roman"/>
                <w:i/>
                <w:iCs/>
                <w:color w:val="000000"/>
              </w:rPr>
              <w:t>ohr</w:t>
            </w:r>
            <w:r w:rsidRPr="006256FC">
              <w:rPr>
                <w:rFonts w:eastAsia="Cambria" w:cs="Times New Roman"/>
                <w:color w:val="000000"/>
              </w:rPr>
              <w:t>; lipoyl-dependent peroxiredoxin [EC:1.11.1.28]</w:t>
            </w:r>
          </w:p>
        </w:tc>
        <w:tc>
          <w:tcPr>
            <w:tcW w:w="0" w:type="auto"/>
            <w:shd w:val="clear" w:color="auto" w:fill="auto"/>
            <w:tcMar>
              <w:top w:w="100" w:type="dxa"/>
              <w:left w:w="100" w:type="dxa"/>
              <w:bottom w:w="100" w:type="dxa"/>
              <w:right w:w="100" w:type="dxa"/>
            </w:tcMar>
            <w:hideMark/>
          </w:tcPr>
          <w:p w14:paraId="2A3CA88C"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189</w:t>
            </w:r>
          </w:p>
        </w:tc>
        <w:tc>
          <w:tcPr>
            <w:tcW w:w="0" w:type="auto"/>
          </w:tcPr>
          <w:p w14:paraId="741AD3B4"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0EFF61B9" w14:textId="77777777" w:rsidTr="002E3F44">
        <w:trPr>
          <w:trHeight w:val="20"/>
          <w:jc w:val="center"/>
        </w:trPr>
        <w:tc>
          <w:tcPr>
            <w:tcW w:w="2253" w:type="dxa"/>
            <w:shd w:val="clear" w:color="auto" w:fill="auto"/>
            <w:tcMar>
              <w:top w:w="100" w:type="dxa"/>
              <w:left w:w="100" w:type="dxa"/>
              <w:bottom w:w="100" w:type="dxa"/>
              <w:right w:w="100" w:type="dxa"/>
            </w:tcMar>
            <w:hideMark/>
          </w:tcPr>
          <w:p w14:paraId="4B6759B0" w14:textId="77777777" w:rsidR="001F17B6" w:rsidRPr="006256FC" w:rsidRDefault="001F17B6" w:rsidP="002E3F44">
            <w:pPr>
              <w:spacing w:line="240" w:lineRule="auto"/>
              <w:ind w:firstLine="0"/>
              <w:rPr>
                <w:rFonts w:cs="Times New Roman"/>
              </w:rPr>
            </w:pPr>
            <w:r w:rsidRPr="006256FC">
              <w:rPr>
                <w:rFonts w:eastAsia="Cambria" w:cs="Times New Roman"/>
                <w:color w:val="000000"/>
              </w:rPr>
              <w:t>lipoyl-dependent peroxiredoxin</w:t>
            </w:r>
          </w:p>
        </w:tc>
        <w:tc>
          <w:tcPr>
            <w:tcW w:w="1977" w:type="dxa"/>
            <w:shd w:val="clear" w:color="auto" w:fill="auto"/>
            <w:tcMar>
              <w:top w:w="100" w:type="dxa"/>
              <w:left w:w="100" w:type="dxa"/>
              <w:bottom w:w="100" w:type="dxa"/>
              <w:right w:w="100" w:type="dxa"/>
            </w:tcMar>
            <w:hideMark/>
          </w:tcPr>
          <w:p w14:paraId="56E88A81"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HPNLJDEO_04258</w:t>
            </w:r>
          </w:p>
        </w:tc>
        <w:tc>
          <w:tcPr>
            <w:tcW w:w="909" w:type="dxa"/>
            <w:shd w:val="clear" w:color="auto" w:fill="auto"/>
            <w:tcMar>
              <w:top w:w="100" w:type="dxa"/>
              <w:left w:w="100" w:type="dxa"/>
              <w:bottom w:w="100" w:type="dxa"/>
              <w:right w:w="100" w:type="dxa"/>
            </w:tcMar>
            <w:hideMark/>
          </w:tcPr>
          <w:p w14:paraId="32166156"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K04063</w:t>
            </w:r>
          </w:p>
        </w:tc>
        <w:tc>
          <w:tcPr>
            <w:tcW w:w="2769" w:type="dxa"/>
            <w:shd w:val="clear" w:color="auto" w:fill="auto"/>
            <w:tcMar>
              <w:top w:w="100" w:type="dxa"/>
              <w:left w:w="100" w:type="dxa"/>
              <w:bottom w:w="100" w:type="dxa"/>
              <w:right w:w="100" w:type="dxa"/>
            </w:tcMar>
            <w:hideMark/>
          </w:tcPr>
          <w:p w14:paraId="1FA0FE5B"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osmC</w:t>
            </w:r>
            <w:r w:rsidRPr="006256FC">
              <w:rPr>
                <w:rFonts w:eastAsia="Cambria" w:cs="Times New Roman"/>
                <w:color w:val="000000"/>
              </w:rPr>
              <w:t xml:space="preserve">, </w:t>
            </w:r>
            <w:r w:rsidRPr="006256FC">
              <w:rPr>
                <w:rFonts w:eastAsia="Cambria" w:cs="Times New Roman"/>
                <w:i/>
                <w:iCs/>
                <w:color w:val="000000"/>
              </w:rPr>
              <w:t>ohr</w:t>
            </w:r>
            <w:r w:rsidRPr="006256FC">
              <w:rPr>
                <w:rFonts w:eastAsia="Cambria" w:cs="Times New Roman"/>
                <w:color w:val="000000"/>
              </w:rPr>
              <w:t>; lipoyl-dependent peroxiredoxin [EC:1.11.1.28]</w:t>
            </w:r>
          </w:p>
        </w:tc>
        <w:tc>
          <w:tcPr>
            <w:tcW w:w="0" w:type="auto"/>
            <w:shd w:val="clear" w:color="auto" w:fill="auto"/>
            <w:tcMar>
              <w:top w:w="100" w:type="dxa"/>
              <w:left w:w="100" w:type="dxa"/>
              <w:bottom w:w="100" w:type="dxa"/>
              <w:right w:w="100" w:type="dxa"/>
            </w:tcMar>
            <w:hideMark/>
          </w:tcPr>
          <w:p w14:paraId="7E4AA1ED"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191</w:t>
            </w:r>
          </w:p>
        </w:tc>
        <w:tc>
          <w:tcPr>
            <w:tcW w:w="0" w:type="auto"/>
          </w:tcPr>
          <w:p w14:paraId="1032FC22"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79B2CF03" w14:textId="77777777" w:rsidTr="002E3F44">
        <w:trPr>
          <w:trHeight w:val="20"/>
          <w:jc w:val="center"/>
        </w:trPr>
        <w:tc>
          <w:tcPr>
            <w:tcW w:w="2253" w:type="dxa"/>
            <w:tcBorders>
              <w:bottom w:val="single" w:sz="4" w:space="0" w:color="auto"/>
            </w:tcBorders>
            <w:shd w:val="clear" w:color="auto" w:fill="auto"/>
            <w:tcMar>
              <w:top w:w="100" w:type="dxa"/>
              <w:left w:w="100" w:type="dxa"/>
              <w:bottom w:w="100" w:type="dxa"/>
              <w:right w:w="100" w:type="dxa"/>
            </w:tcMar>
            <w:hideMark/>
          </w:tcPr>
          <w:p w14:paraId="7654A09D" w14:textId="77777777" w:rsidR="001F17B6" w:rsidRPr="006256FC" w:rsidRDefault="001F17B6" w:rsidP="002E3F44">
            <w:pPr>
              <w:spacing w:line="240" w:lineRule="auto"/>
              <w:ind w:firstLine="0"/>
              <w:rPr>
                <w:rFonts w:cs="Times New Roman"/>
              </w:rPr>
            </w:pPr>
            <w:r w:rsidRPr="006256FC">
              <w:rPr>
                <w:rFonts w:eastAsia="Cambria" w:cs="Times New Roman"/>
                <w:color w:val="000000"/>
              </w:rPr>
              <w:t>superoxide dismutase</w:t>
            </w:r>
          </w:p>
        </w:tc>
        <w:tc>
          <w:tcPr>
            <w:tcW w:w="1977" w:type="dxa"/>
            <w:tcBorders>
              <w:bottom w:val="single" w:sz="4" w:space="0" w:color="auto"/>
            </w:tcBorders>
            <w:shd w:val="clear" w:color="auto" w:fill="auto"/>
            <w:tcMar>
              <w:top w:w="100" w:type="dxa"/>
              <w:left w:w="100" w:type="dxa"/>
              <w:bottom w:w="100" w:type="dxa"/>
              <w:right w:w="100" w:type="dxa"/>
            </w:tcMar>
            <w:hideMark/>
          </w:tcPr>
          <w:p w14:paraId="27A29FE5"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HPNLJDEO_03214</w:t>
            </w:r>
          </w:p>
        </w:tc>
        <w:tc>
          <w:tcPr>
            <w:tcW w:w="909" w:type="dxa"/>
            <w:tcBorders>
              <w:bottom w:val="single" w:sz="4" w:space="0" w:color="auto"/>
            </w:tcBorders>
            <w:shd w:val="clear" w:color="auto" w:fill="auto"/>
            <w:tcMar>
              <w:top w:w="100" w:type="dxa"/>
              <w:left w:w="100" w:type="dxa"/>
              <w:bottom w:w="100" w:type="dxa"/>
              <w:right w:w="100" w:type="dxa"/>
            </w:tcMar>
            <w:hideMark/>
          </w:tcPr>
          <w:p w14:paraId="24DCED95"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K04564</w:t>
            </w:r>
          </w:p>
        </w:tc>
        <w:tc>
          <w:tcPr>
            <w:tcW w:w="2769" w:type="dxa"/>
            <w:tcBorders>
              <w:bottom w:val="single" w:sz="4" w:space="0" w:color="auto"/>
            </w:tcBorders>
            <w:shd w:val="clear" w:color="auto" w:fill="auto"/>
            <w:tcMar>
              <w:top w:w="100" w:type="dxa"/>
              <w:left w:w="100" w:type="dxa"/>
              <w:bottom w:w="100" w:type="dxa"/>
              <w:right w:w="100" w:type="dxa"/>
            </w:tcMar>
            <w:hideMark/>
          </w:tcPr>
          <w:p w14:paraId="4A933B5B" w14:textId="77777777" w:rsidR="001F17B6" w:rsidRPr="006256FC" w:rsidRDefault="001F17B6" w:rsidP="002E3F44">
            <w:pPr>
              <w:spacing w:line="240" w:lineRule="auto"/>
              <w:ind w:firstLine="0"/>
              <w:rPr>
                <w:rFonts w:cs="Times New Roman"/>
              </w:rPr>
            </w:pPr>
            <w:r w:rsidRPr="006256FC">
              <w:rPr>
                <w:rFonts w:eastAsia="Cambria" w:cs="Times New Roman"/>
                <w:color w:val="000000"/>
              </w:rPr>
              <w:t>SOD2; superoxide dismutase, Fe-Mn family [EC:1.15.1.1]</w:t>
            </w:r>
          </w:p>
        </w:tc>
        <w:tc>
          <w:tcPr>
            <w:tcW w:w="0" w:type="auto"/>
            <w:tcBorders>
              <w:bottom w:val="single" w:sz="4" w:space="0" w:color="auto"/>
            </w:tcBorders>
            <w:shd w:val="clear" w:color="auto" w:fill="auto"/>
            <w:tcMar>
              <w:top w:w="100" w:type="dxa"/>
              <w:left w:w="100" w:type="dxa"/>
              <w:bottom w:w="100" w:type="dxa"/>
              <w:right w:w="100" w:type="dxa"/>
            </w:tcMar>
            <w:hideMark/>
          </w:tcPr>
          <w:p w14:paraId="0D58DDD1"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358</w:t>
            </w:r>
          </w:p>
        </w:tc>
        <w:tc>
          <w:tcPr>
            <w:tcW w:w="0" w:type="auto"/>
            <w:tcBorders>
              <w:bottom w:val="single" w:sz="4" w:space="0" w:color="auto"/>
            </w:tcBorders>
          </w:tcPr>
          <w:p w14:paraId="2542408B"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752A8B02" w14:textId="77777777" w:rsidTr="002E3F44">
        <w:trPr>
          <w:trHeight w:val="20"/>
          <w:jc w:val="center"/>
        </w:trPr>
        <w:tc>
          <w:tcPr>
            <w:tcW w:w="2253" w:type="dxa"/>
            <w:tcBorders>
              <w:top w:val="single" w:sz="4" w:space="0" w:color="auto"/>
            </w:tcBorders>
            <w:shd w:val="clear" w:color="auto" w:fill="auto"/>
            <w:tcMar>
              <w:top w:w="100" w:type="dxa"/>
              <w:left w:w="100" w:type="dxa"/>
              <w:bottom w:w="100" w:type="dxa"/>
              <w:right w:w="100" w:type="dxa"/>
            </w:tcMar>
            <w:hideMark/>
          </w:tcPr>
          <w:p w14:paraId="5BBCA0F9"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Osmotic Stress</w:t>
            </w:r>
          </w:p>
        </w:tc>
        <w:tc>
          <w:tcPr>
            <w:tcW w:w="1977" w:type="dxa"/>
            <w:tcBorders>
              <w:top w:val="single" w:sz="4" w:space="0" w:color="auto"/>
            </w:tcBorders>
            <w:shd w:val="clear" w:color="auto" w:fill="auto"/>
            <w:tcMar>
              <w:top w:w="100" w:type="dxa"/>
              <w:left w:w="100" w:type="dxa"/>
              <w:bottom w:w="100" w:type="dxa"/>
              <w:right w:w="100" w:type="dxa"/>
            </w:tcMar>
            <w:hideMark/>
          </w:tcPr>
          <w:p w14:paraId="6E784619"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 xml:space="preserve"> </w:t>
            </w:r>
          </w:p>
        </w:tc>
        <w:tc>
          <w:tcPr>
            <w:tcW w:w="909" w:type="dxa"/>
            <w:tcBorders>
              <w:top w:val="single" w:sz="4" w:space="0" w:color="auto"/>
            </w:tcBorders>
            <w:shd w:val="clear" w:color="auto" w:fill="auto"/>
            <w:tcMar>
              <w:top w:w="100" w:type="dxa"/>
              <w:left w:w="100" w:type="dxa"/>
              <w:bottom w:w="100" w:type="dxa"/>
              <w:right w:w="100" w:type="dxa"/>
            </w:tcMar>
            <w:hideMark/>
          </w:tcPr>
          <w:p w14:paraId="17261E87"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 xml:space="preserve"> </w:t>
            </w:r>
          </w:p>
        </w:tc>
        <w:tc>
          <w:tcPr>
            <w:tcW w:w="2769" w:type="dxa"/>
            <w:tcBorders>
              <w:top w:val="single" w:sz="4" w:space="0" w:color="auto"/>
            </w:tcBorders>
            <w:shd w:val="clear" w:color="auto" w:fill="auto"/>
            <w:tcMar>
              <w:top w:w="100" w:type="dxa"/>
              <w:left w:w="100" w:type="dxa"/>
              <w:bottom w:w="100" w:type="dxa"/>
              <w:right w:w="100" w:type="dxa"/>
            </w:tcMar>
            <w:hideMark/>
          </w:tcPr>
          <w:p w14:paraId="2C6DD4D2" w14:textId="77777777" w:rsidR="001F17B6" w:rsidRPr="006256FC" w:rsidRDefault="001F17B6" w:rsidP="002E3F44">
            <w:pPr>
              <w:spacing w:line="240" w:lineRule="auto"/>
              <w:ind w:firstLine="0"/>
              <w:rPr>
                <w:rFonts w:cs="Times New Roman"/>
              </w:rPr>
            </w:pPr>
            <w:r w:rsidRPr="006256FC">
              <w:rPr>
                <w:rFonts w:eastAsia="Cambria" w:cs="Times New Roman"/>
                <w:b/>
                <w:bCs/>
                <w:color w:val="000000"/>
              </w:rPr>
              <w:t xml:space="preserve"> </w:t>
            </w:r>
          </w:p>
        </w:tc>
        <w:tc>
          <w:tcPr>
            <w:tcW w:w="0" w:type="auto"/>
            <w:tcBorders>
              <w:top w:val="single" w:sz="4" w:space="0" w:color="auto"/>
            </w:tcBorders>
            <w:shd w:val="clear" w:color="auto" w:fill="auto"/>
            <w:tcMar>
              <w:top w:w="100" w:type="dxa"/>
              <w:left w:w="100" w:type="dxa"/>
              <w:bottom w:w="100" w:type="dxa"/>
              <w:right w:w="100" w:type="dxa"/>
            </w:tcMar>
            <w:hideMark/>
          </w:tcPr>
          <w:p w14:paraId="0C8A4379" w14:textId="77777777" w:rsidR="001F17B6" w:rsidRPr="006256FC" w:rsidRDefault="001F17B6" w:rsidP="002E3F44">
            <w:pPr>
              <w:spacing w:line="240" w:lineRule="auto"/>
              <w:ind w:firstLine="0"/>
              <w:jc w:val="right"/>
              <w:rPr>
                <w:rFonts w:cs="Times New Roman"/>
              </w:rPr>
            </w:pPr>
            <w:r w:rsidRPr="006256FC">
              <w:rPr>
                <w:rFonts w:eastAsia="Cambria" w:cs="Times New Roman"/>
                <w:b/>
                <w:bCs/>
                <w:color w:val="000000"/>
              </w:rPr>
              <w:t xml:space="preserve"> </w:t>
            </w:r>
          </w:p>
        </w:tc>
        <w:tc>
          <w:tcPr>
            <w:tcW w:w="0" w:type="auto"/>
            <w:tcBorders>
              <w:top w:val="single" w:sz="4" w:space="0" w:color="auto"/>
            </w:tcBorders>
          </w:tcPr>
          <w:p w14:paraId="2F4B41DD" w14:textId="77777777" w:rsidR="001F17B6" w:rsidRPr="006256FC" w:rsidRDefault="001F17B6" w:rsidP="002E3F44">
            <w:pPr>
              <w:spacing w:line="240" w:lineRule="auto"/>
              <w:ind w:firstLine="0"/>
              <w:jc w:val="right"/>
              <w:rPr>
                <w:rFonts w:eastAsia="Cambria" w:cs="Times New Roman"/>
                <w:b/>
                <w:bCs/>
                <w:color w:val="000000"/>
              </w:rPr>
            </w:pPr>
          </w:p>
        </w:tc>
      </w:tr>
      <w:tr w:rsidR="001F17B6" w:rsidRPr="006256FC" w14:paraId="1D74033E" w14:textId="77777777" w:rsidTr="002E3F44">
        <w:trPr>
          <w:trHeight w:val="20"/>
          <w:jc w:val="center"/>
        </w:trPr>
        <w:tc>
          <w:tcPr>
            <w:tcW w:w="2253" w:type="dxa"/>
            <w:shd w:val="clear" w:color="auto" w:fill="auto"/>
            <w:tcMar>
              <w:top w:w="100" w:type="dxa"/>
              <w:left w:w="100" w:type="dxa"/>
              <w:bottom w:w="100" w:type="dxa"/>
              <w:right w:w="100" w:type="dxa"/>
            </w:tcMar>
            <w:hideMark/>
          </w:tcPr>
          <w:p w14:paraId="7C23AFC1" w14:textId="77777777" w:rsidR="001F17B6" w:rsidRPr="006256FC" w:rsidRDefault="001F17B6" w:rsidP="002E3F44">
            <w:pPr>
              <w:spacing w:line="240" w:lineRule="auto"/>
              <w:ind w:firstLine="0"/>
              <w:rPr>
                <w:rFonts w:cs="Times New Roman"/>
              </w:rPr>
            </w:pPr>
            <w:r w:rsidRPr="006256FC">
              <w:rPr>
                <w:rFonts w:eastAsia="Cambria" w:cs="Times New Roman"/>
                <w:color w:val="000000"/>
              </w:rPr>
              <w:t>sodium/hydrogen antiporter (NHA1)</w:t>
            </w:r>
          </w:p>
        </w:tc>
        <w:tc>
          <w:tcPr>
            <w:tcW w:w="1977" w:type="dxa"/>
            <w:shd w:val="clear" w:color="auto" w:fill="auto"/>
            <w:tcMar>
              <w:top w:w="100" w:type="dxa"/>
              <w:left w:w="100" w:type="dxa"/>
              <w:bottom w:w="100" w:type="dxa"/>
              <w:right w:w="100" w:type="dxa"/>
            </w:tcMar>
            <w:hideMark/>
          </w:tcPr>
          <w:p w14:paraId="001A6BD7"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HPNLJDEO_02400</w:t>
            </w:r>
          </w:p>
        </w:tc>
        <w:tc>
          <w:tcPr>
            <w:tcW w:w="909" w:type="dxa"/>
            <w:shd w:val="clear" w:color="auto" w:fill="auto"/>
            <w:tcMar>
              <w:top w:w="100" w:type="dxa"/>
              <w:left w:w="100" w:type="dxa"/>
              <w:bottom w:w="100" w:type="dxa"/>
              <w:right w:w="100" w:type="dxa"/>
            </w:tcMar>
            <w:hideMark/>
          </w:tcPr>
          <w:p w14:paraId="10A7B9CD" w14:textId="77777777" w:rsidR="001F17B6" w:rsidRPr="006256FC" w:rsidRDefault="001F17B6" w:rsidP="002E3F44">
            <w:pPr>
              <w:spacing w:line="240" w:lineRule="auto"/>
              <w:ind w:firstLine="0"/>
              <w:rPr>
                <w:rFonts w:cs="Times New Roman"/>
              </w:rPr>
            </w:pPr>
            <w:r w:rsidRPr="006256FC">
              <w:rPr>
                <w:rFonts w:eastAsia="Cambria" w:cs="Times New Roman"/>
                <w:color w:val="000000"/>
              </w:rPr>
              <w:t>K24160</w:t>
            </w:r>
          </w:p>
        </w:tc>
        <w:tc>
          <w:tcPr>
            <w:tcW w:w="2769" w:type="dxa"/>
            <w:shd w:val="clear" w:color="auto" w:fill="auto"/>
            <w:tcMar>
              <w:top w:w="100" w:type="dxa"/>
              <w:left w:w="100" w:type="dxa"/>
              <w:bottom w:w="100" w:type="dxa"/>
              <w:right w:w="100" w:type="dxa"/>
            </w:tcMar>
            <w:hideMark/>
          </w:tcPr>
          <w:p w14:paraId="0D8FA4C6" w14:textId="77777777" w:rsidR="001F17B6" w:rsidRPr="006256FC" w:rsidRDefault="001F17B6" w:rsidP="002E3F44">
            <w:pPr>
              <w:spacing w:line="240" w:lineRule="auto"/>
              <w:ind w:firstLine="0"/>
              <w:rPr>
                <w:rFonts w:cs="Times New Roman"/>
              </w:rPr>
            </w:pPr>
            <w:r w:rsidRPr="006256FC">
              <w:rPr>
                <w:rFonts w:eastAsia="Cambria" w:cs="Times New Roman"/>
                <w:color w:val="000000"/>
              </w:rPr>
              <w:t>NHA1, SOD2; sodium/hydrogen antiporter</w:t>
            </w:r>
          </w:p>
        </w:tc>
        <w:tc>
          <w:tcPr>
            <w:tcW w:w="0" w:type="auto"/>
            <w:shd w:val="clear" w:color="auto" w:fill="auto"/>
            <w:tcMar>
              <w:top w:w="100" w:type="dxa"/>
              <w:left w:w="100" w:type="dxa"/>
              <w:bottom w:w="100" w:type="dxa"/>
              <w:right w:w="100" w:type="dxa"/>
            </w:tcMar>
            <w:hideMark/>
          </w:tcPr>
          <w:p w14:paraId="5AB103B8"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509</w:t>
            </w:r>
          </w:p>
        </w:tc>
        <w:tc>
          <w:tcPr>
            <w:tcW w:w="0" w:type="auto"/>
          </w:tcPr>
          <w:p w14:paraId="53E89A4B"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457C0635" w14:textId="77777777" w:rsidTr="002E3F44">
        <w:trPr>
          <w:trHeight w:val="20"/>
          <w:jc w:val="center"/>
        </w:trPr>
        <w:tc>
          <w:tcPr>
            <w:tcW w:w="2253" w:type="dxa"/>
            <w:shd w:val="clear" w:color="auto" w:fill="auto"/>
            <w:tcMar>
              <w:top w:w="100" w:type="dxa"/>
              <w:left w:w="100" w:type="dxa"/>
              <w:bottom w:w="100" w:type="dxa"/>
              <w:right w:w="100" w:type="dxa"/>
            </w:tcMar>
            <w:hideMark/>
          </w:tcPr>
          <w:p w14:paraId="06AD2CC1" w14:textId="77777777" w:rsidR="001F17B6" w:rsidRPr="006256FC" w:rsidRDefault="001F17B6" w:rsidP="002E3F44">
            <w:pPr>
              <w:spacing w:line="240" w:lineRule="auto"/>
              <w:ind w:firstLine="0"/>
              <w:rPr>
                <w:rFonts w:cs="Times New Roman"/>
              </w:rPr>
            </w:pPr>
            <w:r w:rsidRPr="006256FC">
              <w:rPr>
                <w:rFonts w:eastAsia="Cambria" w:cs="Times New Roman"/>
                <w:color w:val="000000"/>
              </w:rPr>
              <w:t>Na+:H+ antiporter (NhaA)</w:t>
            </w:r>
          </w:p>
        </w:tc>
        <w:tc>
          <w:tcPr>
            <w:tcW w:w="1977" w:type="dxa"/>
            <w:shd w:val="clear" w:color="auto" w:fill="auto"/>
            <w:tcMar>
              <w:top w:w="100" w:type="dxa"/>
              <w:left w:w="100" w:type="dxa"/>
              <w:bottom w:w="100" w:type="dxa"/>
              <w:right w:w="100" w:type="dxa"/>
            </w:tcMar>
            <w:hideMark/>
          </w:tcPr>
          <w:p w14:paraId="3C9AA9AD"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HPNLJDEO_04494</w:t>
            </w:r>
          </w:p>
        </w:tc>
        <w:tc>
          <w:tcPr>
            <w:tcW w:w="909" w:type="dxa"/>
            <w:shd w:val="clear" w:color="auto" w:fill="auto"/>
            <w:tcMar>
              <w:top w:w="100" w:type="dxa"/>
              <w:left w:w="100" w:type="dxa"/>
              <w:bottom w:w="100" w:type="dxa"/>
              <w:right w:w="100" w:type="dxa"/>
            </w:tcMar>
            <w:hideMark/>
          </w:tcPr>
          <w:p w14:paraId="146C2938"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K03313</w:t>
            </w:r>
          </w:p>
        </w:tc>
        <w:tc>
          <w:tcPr>
            <w:tcW w:w="2769" w:type="dxa"/>
            <w:shd w:val="clear" w:color="auto" w:fill="auto"/>
            <w:tcMar>
              <w:top w:w="100" w:type="dxa"/>
              <w:left w:w="100" w:type="dxa"/>
              <w:bottom w:w="100" w:type="dxa"/>
              <w:right w:w="100" w:type="dxa"/>
            </w:tcMar>
            <w:hideMark/>
          </w:tcPr>
          <w:p w14:paraId="1475F4E1"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nhaA</w:t>
            </w:r>
            <w:r w:rsidRPr="006256FC">
              <w:rPr>
                <w:rFonts w:eastAsia="Cambria" w:cs="Times New Roman"/>
                <w:color w:val="000000"/>
              </w:rPr>
              <w:t>; Na+:H+ antiporter, NhaA family</w:t>
            </w:r>
          </w:p>
        </w:tc>
        <w:tc>
          <w:tcPr>
            <w:tcW w:w="0" w:type="auto"/>
            <w:shd w:val="clear" w:color="auto" w:fill="auto"/>
            <w:tcMar>
              <w:top w:w="100" w:type="dxa"/>
              <w:left w:w="100" w:type="dxa"/>
              <w:bottom w:w="100" w:type="dxa"/>
              <w:right w:w="100" w:type="dxa"/>
            </w:tcMar>
            <w:hideMark/>
          </w:tcPr>
          <w:p w14:paraId="0C4023AC"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520</w:t>
            </w:r>
          </w:p>
        </w:tc>
        <w:tc>
          <w:tcPr>
            <w:tcW w:w="0" w:type="auto"/>
          </w:tcPr>
          <w:p w14:paraId="13A53F59"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3F707852" w14:textId="77777777" w:rsidTr="002E3F44">
        <w:trPr>
          <w:trHeight w:val="20"/>
          <w:jc w:val="center"/>
        </w:trPr>
        <w:tc>
          <w:tcPr>
            <w:tcW w:w="2253" w:type="dxa"/>
            <w:shd w:val="clear" w:color="auto" w:fill="auto"/>
            <w:tcMar>
              <w:top w:w="100" w:type="dxa"/>
              <w:left w:w="100" w:type="dxa"/>
              <w:bottom w:w="100" w:type="dxa"/>
              <w:right w:w="100" w:type="dxa"/>
            </w:tcMar>
            <w:hideMark/>
          </w:tcPr>
          <w:p w14:paraId="42070708" w14:textId="77777777" w:rsidR="001F17B6" w:rsidRPr="006256FC" w:rsidRDefault="001F17B6" w:rsidP="002E3F44">
            <w:pPr>
              <w:spacing w:line="240" w:lineRule="auto"/>
              <w:ind w:firstLine="0"/>
              <w:rPr>
                <w:rFonts w:cs="Times New Roman"/>
              </w:rPr>
            </w:pPr>
            <w:r w:rsidRPr="006256FC">
              <w:rPr>
                <w:rFonts w:eastAsia="Cambria" w:cs="Times New Roman"/>
                <w:color w:val="000000"/>
              </w:rPr>
              <w:t xml:space="preserve">monovalent cation:H+ antiporter </w:t>
            </w:r>
          </w:p>
        </w:tc>
        <w:tc>
          <w:tcPr>
            <w:tcW w:w="1977" w:type="dxa"/>
            <w:shd w:val="clear" w:color="auto" w:fill="auto"/>
            <w:tcMar>
              <w:top w:w="100" w:type="dxa"/>
              <w:left w:w="100" w:type="dxa"/>
              <w:bottom w:w="100" w:type="dxa"/>
              <w:right w:w="100" w:type="dxa"/>
            </w:tcMar>
            <w:hideMark/>
          </w:tcPr>
          <w:p w14:paraId="22A58757"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HPNLJDEO_05830</w:t>
            </w:r>
          </w:p>
        </w:tc>
        <w:tc>
          <w:tcPr>
            <w:tcW w:w="909" w:type="dxa"/>
            <w:shd w:val="clear" w:color="auto" w:fill="auto"/>
            <w:tcMar>
              <w:top w:w="100" w:type="dxa"/>
              <w:left w:w="100" w:type="dxa"/>
              <w:bottom w:w="100" w:type="dxa"/>
              <w:right w:w="100" w:type="dxa"/>
            </w:tcMar>
            <w:hideMark/>
          </w:tcPr>
          <w:p w14:paraId="4345C862"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K03316</w:t>
            </w:r>
          </w:p>
        </w:tc>
        <w:tc>
          <w:tcPr>
            <w:tcW w:w="2769" w:type="dxa"/>
            <w:shd w:val="clear" w:color="auto" w:fill="auto"/>
            <w:tcMar>
              <w:top w:w="100" w:type="dxa"/>
              <w:left w:w="100" w:type="dxa"/>
              <w:bottom w:w="100" w:type="dxa"/>
              <w:right w:w="100" w:type="dxa"/>
            </w:tcMar>
            <w:hideMark/>
          </w:tcPr>
          <w:p w14:paraId="67251EC8" w14:textId="77777777" w:rsidR="001F17B6" w:rsidRPr="006256FC" w:rsidRDefault="001F17B6" w:rsidP="002E3F44">
            <w:pPr>
              <w:spacing w:line="240" w:lineRule="auto"/>
              <w:ind w:firstLine="0"/>
              <w:rPr>
                <w:rFonts w:cs="Times New Roman"/>
              </w:rPr>
            </w:pPr>
            <w:r w:rsidRPr="006256FC">
              <w:rPr>
                <w:rFonts w:eastAsia="Cambria" w:cs="Times New Roman"/>
                <w:color w:val="000000"/>
              </w:rPr>
              <w:t>TC.CPA1; monovalent cation:H+ antiporter, CPA1 family</w:t>
            </w:r>
          </w:p>
        </w:tc>
        <w:tc>
          <w:tcPr>
            <w:tcW w:w="0" w:type="auto"/>
            <w:shd w:val="clear" w:color="auto" w:fill="auto"/>
            <w:tcMar>
              <w:top w:w="100" w:type="dxa"/>
              <w:left w:w="100" w:type="dxa"/>
              <w:bottom w:w="100" w:type="dxa"/>
              <w:right w:w="100" w:type="dxa"/>
            </w:tcMar>
            <w:hideMark/>
          </w:tcPr>
          <w:p w14:paraId="161ACDED"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493</w:t>
            </w:r>
          </w:p>
        </w:tc>
        <w:tc>
          <w:tcPr>
            <w:tcW w:w="0" w:type="auto"/>
          </w:tcPr>
          <w:p w14:paraId="1D5ACCD3"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683FAC8B" w14:textId="77777777" w:rsidTr="002E3F44">
        <w:trPr>
          <w:trHeight w:val="20"/>
          <w:jc w:val="center"/>
        </w:trPr>
        <w:tc>
          <w:tcPr>
            <w:tcW w:w="2253" w:type="dxa"/>
            <w:shd w:val="clear" w:color="auto" w:fill="auto"/>
            <w:tcMar>
              <w:top w:w="100" w:type="dxa"/>
              <w:left w:w="100" w:type="dxa"/>
              <w:bottom w:w="100" w:type="dxa"/>
              <w:right w:w="100" w:type="dxa"/>
            </w:tcMar>
            <w:hideMark/>
          </w:tcPr>
          <w:p w14:paraId="58C4A812" w14:textId="77777777" w:rsidR="001F17B6" w:rsidRPr="006256FC" w:rsidRDefault="001F17B6" w:rsidP="002E3F44">
            <w:pPr>
              <w:spacing w:line="240" w:lineRule="auto"/>
              <w:ind w:firstLine="0"/>
              <w:rPr>
                <w:rFonts w:cs="Times New Roman"/>
              </w:rPr>
            </w:pPr>
            <w:r w:rsidRPr="006256FC">
              <w:rPr>
                <w:rFonts w:eastAsia="Cambria" w:cs="Times New Roman"/>
                <w:color w:val="000000"/>
              </w:rPr>
              <w:t>citrate synthase</w:t>
            </w:r>
          </w:p>
        </w:tc>
        <w:tc>
          <w:tcPr>
            <w:tcW w:w="1977" w:type="dxa"/>
            <w:shd w:val="clear" w:color="auto" w:fill="auto"/>
            <w:tcMar>
              <w:top w:w="100" w:type="dxa"/>
              <w:left w:w="100" w:type="dxa"/>
              <w:bottom w:w="100" w:type="dxa"/>
              <w:right w:w="100" w:type="dxa"/>
            </w:tcMar>
            <w:hideMark/>
          </w:tcPr>
          <w:p w14:paraId="0B70A2EB"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HPNLJDEO_05492</w:t>
            </w:r>
          </w:p>
        </w:tc>
        <w:tc>
          <w:tcPr>
            <w:tcW w:w="909" w:type="dxa"/>
            <w:shd w:val="clear" w:color="auto" w:fill="auto"/>
            <w:tcMar>
              <w:top w:w="100" w:type="dxa"/>
              <w:left w:w="100" w:type="dxa"/>
              <w:bottom w:w="100" w:type="dxa"/>
              <w:right w:w="100" w:type="dxa"/>
            </w:tcMar>
            <w:hideMark/>
          </w:tcPr>
          <w:p w14:paraId="7B26C5D1"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K01647</w:t>
            </w:r>
          </w:p>
        </w:tc>
        <w:tc>
          <w:tcPr>
            <w:tcW w:w="2769" w:type="dxa"/>
            <w:shd w:val="clear" w:color="auto" w:fill="auto"/>
            <w:tcMar>
              <w:top w:w="100" w:type="dxa"/>
              <w:left w:w="100" w:type="dxa"/>
              <w:bottom w:w="100" w:type="dxa"/>
              <w:right w:w="100" w:type="dxa"/>
            </w:tcMar>
            <w:hideMark/>
          </w:tcPr>
          <w:p w14:paraId="197FE8D3" w14:textId="77777777" w:rsidR="001F17B6" w:rsidRPr="006256FC" w:rsidRDefault="001F17B6" w:rsidP="002E3F44">
            <w:pPr>
              <w:spacing w:line="240" w:lineRule="auto"/>
              <w:ind w:firstLine="0"/>
              <w:rPr>
                <w:rFonts w:cs="Times New Roman"/>
              </w:rPr>
            </w:pPr>
            <w:r w:rsidRPr="006256FC">
              <w:rPr>
                <w:rFonts w:eastAsia="Cambria" w:cs="Times New Roman"/>
                <w:color w:val="000000"/>
              </w:rPr>
              <w:t xml:space="preserve">CS, </w:t>
            </w:r>
            <w:r w:rsidRPr="006256FC">
              <w:rPr>
                <w:rFonts w:eastAsia="Cambria" w:cs="Times New Roman"/>
                <w:i/>
                <w:iCs/>
                <w:color w:val="000000"/>
              </w:rPr>
              <w:t>gltA</w:t>
            </w:r>
            <w:r w:rsidRPr="006256FC">
              <w:rPr>
                <w:rFonts w:eastAsia="Cambria" w:cs="Times New Roman"/>
                <w:color w:val="000000"/>
              </w:rPr>
              <w:t>; citrate synthase [EC:2.3.3.1]</w:t>
            </w:r>
          </w:p>
        </w:tc>
        <w:tc>
          <w:tcPr>
            <w:tcW w:w="0" w:type="auto"/>
            <w:shd w:val="clear" w:color="auto" w:fill="auto"/>
            <w:tcMar>
              <w:top w:w="100" w:type="dxa"/>
              <w:left w:w="100" w:type="dxa"/>
              <w:bottom w:w="100" w:type="dxa"/>
              <w:right w:w="100" w:type="dxa"/>
            </w:tcMar>
            <w:hideMark/>
          </w:tcPr>
          <w:p w14:paraId="5B13B0E8"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656</w:t>
            </w:r>
          </w:p>
        </w:tc>
        <w:tc>
          <w:tcPr>
            <w:tcW w:w="0" w:type="auto"/>
          </w:tcPr>
          <w:p w14:paraId="1D768E59"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7702D6AE" w14:textId="77777777" w:rsidTr="002E3F44">
        <w:trPr>
          <w:trHeight w:val="20"/>
          <w:jc w:val="center"/>
        </w:trPr>
        <w:tc>
          <w:tcPr>
            <w:tcW w:w="2253" w:type="dxa"/>
            <w:shd w:val="clear" w:color="auto" w:fill="auto"/>
            <w:tcMar>
              <w:top w:w="100" w:type="dxa"/>
              <w:left w:w="100" w:type="dxa"/>
              <w:bottom w:w="100" w:type="dxa"/>
              <w:right w:w="100" w:type="dxa"/>
            </w:tcMar>
            <w:hideMark/>
          </w:tcPr>
          <w:p w14:paraId="6DCB43E2" w14:textId="77777777" w:rsidR="001F17B6" w:rsidRPr="006256FC" w:rsidRDefault="001F17B6" w:rsidP="002E3F44">
            <w:pPr>
              <w:spacing w:line="240" w:lineRule="auto"/>
              <w:ind w:firstLine="0"/>
              <w:rPr>
                <w:rFonts w:cs="Times New Roman"/>
              </w:rPr>
            </w:pPr>
            <w:r w:rsidRPr="006256FC">
              <w:rPr>
                <w:rFonts w:eastAsia="Cambria" w:cs="Times New Roman"/>
                <w:color w:val="000000"/>
              </w:rPr>
              <w:t>glutamate synthase – large chain</w:t>
            </w:r>
          </w:p>
        </w:tc>
        <w:tc>
          <w:tcPr>
            <w:tcW w:w="1977" w:type="dxa"/>
            <w:shd w:val="clear" w:color="auto" w:fill="auto"/>
            <w:tcMar>
              <w:top w:w="100" w:type="dxa"/>
              <w:left w:w="100" w:type="dxa"/>
              <w:bottom w:w="100" w:type="dxa"/>
              <w:right w:w="100" w:type="dxa"/>
            </w:tcMar>
            <w:hideMark/>
          </w:tcPr>
          <w:p w14:paraId="29F82AD1"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HPNLJDEO_05872</w:t>
            </w:r>
          </w:p>
        </w:tc>
        <w:tc>
          <w:tcPr>
            <w:tcW w:w="909" w:type="dxa"/>
            <w:shd w:val="clear" w:color="auto" w:fill="auto"/>
            <w:tcMar>
              <w:top w:w="100" w:type="dxa"/>
              <w:left w:w="100" w:type="dxa"/>
              <w:bottom w:w="100" w:type="dxa"/>
              <w:right w:w="100" w:type="dxa"/>
            </w:tcMar>
            <w:hideMark/>
          </w:tcPr>
          <w:p w14:paraId="308F5531"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K00265</w:t>
            </w:r>
          </w:p>
        </w:tc>
        <w:tc>
          <w:tcPr>
            <w:tcW w:w="2769" w:type="dxa"/>
            <w:shd w:val="clear" w:color="auto" w:fill="auto"/>
            <w:tcMar>
              <w:top w:w="100" w:type="dxa"/>
              <w:left w:w="100" w:type="dxa"/>
              <w:bottom w:w="100" w:type="dxa"/>
              <w:right w:w="100" w:type="dxa"/>
            </w:tcMar>
            <w:hideMark/>
          </w:tcPr>
          <w:p w14:paraId="05C3F44C"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gltB</w:t>
            </w:r>
            <w:r w:rsidRPr="006256FC">
              <w:rPr>
                <w:rFonts w:eastAsia="Cambria" w:cs="Times New Roman"/>
                <w:color w:val="000000"/>
              </w:rPr>
              <w:t>; glutamate synthase (NADPH) large chain [EC:1.4.1.13]</w:t>
            </w:r>
          </w:p>
        </w:tc>
        <w:tc>
          <w:tcPr>
            <w:tcW w:w="0" w:type="auto"/>
            <w:shd w:val="clear" w:color="auto" w:fill="auto"/>
            <w:tcMar>
              <w:top w:w="100" w:type="dxa"/>
              <w:left w:w="100" w:type="dxa"/>
              <w:bottom w:w="100" w:type="dxa"/>
              <w:right w:w="100" w:type="dxa"/>
            </w:tcMar>
            <w:hideMark/>
          </w:tcPr>
          <w:p w14:paraId="497FC3A0"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289</w:t>
            </w:r>
          </w:p>
        </w:tc>
        <w:tc>
          <w:tcPr>
            <w:tcW w:w="0" w:type="auto"/>
          </w:tcPr>
          <w:p w14:paraId="4580BDEC"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3849F2D6" w14:textId="77777777" w:rsidTr="002E3F44">
        <w:trPr>
          <w:trHeight w:val="20"/>
          <w:jc w:val="center"/>
        </w:trPr>
        <w:tc>
          <w:tcPr>
            <w:tcW w:w="2253" w:type="dxa"/>
            <w:shd w:val="clear" w:color="auto" w:fill="auto"/>
            <w:tcMar>
              <w:top w:w="100" w:type="dxa"/>
              <w:left w:w="100" w:type="dxa"/>
              <w:bottom w:w="100" w:type="dxa"/>
              <w:right w:w="100" w:type="dxa"/>
            </w:tcMar>
            <w:hideMark/>
          </w:tcPr>
          <w:p w14:paraId="42F2CA25" w14:textId="77777777" w:rsidR="001F17B6" w:rsidRPr="006256FC" w:rsidRDefault="001F17B6" w:rsidP="002E3F44">
            <w:pPr>
              <w:spacing w:line="240" w:lineRule="auto"/>
              <w:ind w:firstLine="0"/>
              <w:rPr>
                <w:rFonts w:cs="Times New Roman"/>
              </w:rPr>
            </w:pPr>
            <w:r w:rsidRPr="006256FC">
              <w:rPr>
                <w:rFonts w:eastAsia="Cambria" w:cs="Times New Roman"/>
                <w:color w:val="000000"/>
              </w:rPr>
              <w:t>glutamate synthase – small chain</w:t>
            </w:r>
          </w:p>
        </w:tc>
        <w:tc>
          <w:tcPr>
            <w:tcW w:w="1977" w:type="dxa"/>
            <w:shd w:val="clear" w:color="auto" w:fill="auto"/>
            <w:tcMar>
              <w:top w:w="100" w:type="dxa"/>
              <w:left w:w="100" w:type="dxa"/>
              <w:bottom w:w="100" w:type="dxa"/>
              <w:right w:w="100" w:type="dxa"/>
            </w:tcMar>
            <w:hideMark/>
          </w:tcPr>
          <w:p w14:paraId="7741CDDF"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HPNLJDEO_05871</w:t>
            </w:r>
          </w:p>
        </w:tc>
        <w:tc>
          <w:tcPr>
            <w:tcW w:w="909" w:type="dxa"/>
            <w:shd w:val="clear" w:color="auto" w:fill="auto"/>
            <w:tcMar>
              <w:top w:w="100" w:type="dxa"/>
              <w:left w:w="100" w:type="dxa"/>
              <w:bottom w:w="100" w:type="dxa"/>
              <w:right w:w="100" w:type="dxa"/>
            </w:tcMar>
            <w:hideMark/>
          </w:tcPr>
          <w:p w14:paraId="3283DB73"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K00266</w:t>
            </w:r>
          </w:p>
        </w:tc>
        <w:tc>
          <w:tcPr>
            <w:tcW w:w="2769" w:type="dxa"/>
            <w:shd w:val="clear" w:color="auto" w:fill="auto"/>
            <w:tcMar>
              <w:top w:w="100" w:type="dxa"/>
              <w:left w:w="100" w:type="dxa"/>
              <w:bottom w:w="100" w:type="dxa"/>
              <w:right w:w="100" w:type="dxa"/>
            </w:tcMar>
            <w:hideMark/>
          </w:tcPr>
          <w:p w14:paraId="078692F0"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gltD</w:t>
            </w:r>
            <w:r w:rsidRPr="006256FC">
              <w:rPr>
                <w:rFonts w:eastAsia="Cambria" w:cs="Times New Roman"/>
                <w:color w:val="000000"/>
              </w:rPr>
              <w:t>; glutamate synthase (NADPH) small chain [EC:1.4.1.13]</w:t>
            </w:r>
          </w:p>
        </w:tc>
        <w:tc>
          <w:tcPr>
            <w:tcW w:w="0" w:type="auto"/>
            <w:shd w:val="clear" w:color="auto" w:fill="auto"/>
            <w:tcMar>
              <w:top w:w="100" w:type="dxa"/>
              <w:left w:w="100" w:type="dxa"/>
              <w:bottom w:w="100" w:type="dxa"/>
              <w:right w:w="100" w:type="dxa"/>
            </w:tcMar>
            <w:hideMark/>
          </w:tcPr>
          <w:p w14:paraId="50BFB197"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637</w:t>
            </w:r>
          </w:p>
        </w:tc>
        <w:tc>
          <w:tcPr>
            <w:tcW w:w="0" w:type="auto"/>
          </w:tcPr>
          <w:p w14:paraId="650CD4BB"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50E50C65" w14:textId="77777777" w:rsidTr="002E3F44">
        <w:trPr>
          <w:trHeight w:val="20"/>
          <w:jc w:val="center"/>
        </w:trPr>
        <w:tc>
          <w:tcPr>
            <w:tcW w:w="2253" w:type="dxa"/>
            <w:shd w:val="clear" w:color="auto" w:fill="auto"/>
            <w:tcMar>
              <w:top w:w="100" w:type="dxa"/>
              <w:left w:w="100" w:type="dxa"/>
              <w:bottom w:w="100" w:type="dxa"/>
              <w:right w:w="100" w:type="dxa"/>
            </w:tcMar>
            <w:hideMark/>
          </w:tcPr>
          <w:p w14:paraId="07F5BA9C" w14:textId="77777777" w:rsidR="001F17B6" w:rsidRPr="006256FC" w:rsidRDefault="001F17B6" w:rsidP="002E3F44">
            <w:pPr>
              <w:spacing w:line="240" w:lineRule="auto"/>
              <w:ind w:firstLine="0"/>
              <w:rPr>
                <w:rFonts w:cs="Times New Roman"/>
              </w:rPr>
            </w:pPr>
            <w:r w:rsidRPr="006256FC">
              <w:rPr>
                <w:rFonts w:eastAsia="Cambria" w:cs="Times New Roman"/>
                <w:color w:val="000000"/>
              </w:rPr>
              <w:t xml:space="preserve">glutamate/aspartate transport system </w:t>
            </w:r>
            <w:r w:rsidRPr="006256FC">
              <w:rPr>
                <w:rFonts w:eastAsia="Cambria" w:cs="Times New Roman"/>
                <w:color w:val="000000"/>
              </w:rPr>
              <w:lastRenderedPageBreak/>
              <w:t>substrate-binding protein</w:t>
            </w:r>
          </w:p>
        </w:tc>
        <w:tc>
          <w:tcPr>
            <w:tcW w:w="1977" w:type="dxa"/>
            <w:shd w:val="clear" w:color="auto" w:fill="auto"/>
            <w:tcMar>
              <w:top w:w="100" w:type="dxa"/>
              <w:left w:w="100" w:type="dxa"/>
              <w:bottom w:w="100" w:type="dxa"/>
              <w:right w:w="100" w:type="dxa"/>
            </w:tcMar>
            <w:hideMark/>
          </w:tcPr>
          <w:p w14:paraId="7904B55B" w14:textId="77777777" w:rsidR="001F17B6" w:rsidRPr="006256FC" w:rsidRDefault="001F17B6" w:rsidP="002E3F44">
            <w:pPr>
              <w:spacing w:line="240" w:lineRule="auto"/>
              <w:ind w:firstLine="0"/>
              <w:rPr>
                <w:rFonts w:cs="Times New Roman"/>
              </w:rPr>
            </w:pPr>
            <w:r w:rsidRPr="006256FC">
              <w:rPr>
                <w:rFonts w:eastAsia="Cambria" w:cs="Times New Roman"/>
                <w:color w:val="000000"/>
              </w:rPr>
              <w:lastRenderedPageBreak/>
              <w:t>HPNLJDEO_05974</w:t>
            </w:r>
          </w:p>
        </w:tc>
        <w:tc>
          <w:tcPr>
            <w:tcW w:w="909" w:type="dxa"/>
            <w:shd w:val="clear" w:color="auto" w:fill="auto"/>
            <w:tcMar>
              <w:top w:w="100" w:type="dxa"/>
              <w:left w:w="100" w:type="dxa"/>
              <w:bottom w:w="100" w:type="dxa"/>
              <w:right w:w="100" w:type="dxa"/>
            </w:tcMar>
            <w:hideMark/>
          </w:tcPr>
          <w:p w14:paraId="44AE5739" w14:textId="77777777" w:rsidR="001F17B6" w:rsidRPr="006256FC" w:rsidRDefault="001F17B6" w:rsidP="002E3F44">
            <w:pPr>
              <w:spacing w:line="240" w:lineRule="auto"/>
              <w:ind w:firstLine="0"/>
              <w:rPr>
                <w:rFonts w:cs="Times New Roman"/>
              </w:rPr>
            </w:pPr>
            <w:r w:rsidRPr="006256FC">
              <w:rPr>
                <w:rFonts w:eastAsia="Cambria" w:cs="Times New Roman"/>
                <w:color w:val="000000"/>
              </w:rPr>
              <w:t>K10001</w:t>
            </w:r>
          </w:p>
        </w:tc>
        <w:tc>
          <w:tcPr>
            <w:tcW w:w="2769" w:type="dxa"/>
            <w:shd w:val="clear" w:color="auto" w:fill="auto"/>
            <w:tcMar>
              <w:top w:w="100" w:type="dxa"/>
              <w:left w:w="100" w:type="dxa"/>
              <w:bottom w:w="100" w:type="dxa"/>
              <w:right w:w="100" w:type="dxa"/>
            </w:tcMar>
            <w:hideMark/>
          </w:tcPr>
          <w:p w14:paraId="6F550696"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gltI</w:t>
            </w:r>
            <w:r w:rsidRPr="006256FC">
              <w:rPr>
                <w:rFonts w:eastAsia="Cambria" w:cs="Times New Roman"/>
                <w:color w:val="000000"/>
              </w:rPr>
              <w:t xml:space="preserve">, </w:t>
            </w:r>
            <w:r w:rsidRPr="006256FC">
              <w:rPr>
                <w:rFonts w:eastAsia="Cambria" w:cs="Times New Roman"/>
                <w:i/>
                <w:iCs/>
                <w:color w:val="000000"/>
              </w:rPr>
              <w:t>aatJ</w:t>
            </w:r>
            <w:r w:rsidRPr="006256FC">
              <w:rPr>
                <w:rFonts w:eastAsia="Cambria" w:cs="Times New Roman"/>
                <w:color w:val="000000"/>
              </w:rPr>
              <w:t xml:space="preserve">; glutamate/aspartate </w:t>
            </w:r>
            <w:r w:rsidRPr="006256FC">
              <w:rPr>
                <w:rFonts w:eastAsia="Cambria" w:cs="Times New Roman"/>
                <w:color w:val="000000"/>
              </w:rPr>
              <w:lastRenderedPageBreak/>
              <w:t>transport system substrate-binding protein</w:t>
            </w:r>
          </w:p>
        </w:tc>
        <w:tc>
          <w:tcPr>
            <w:tcW w:w="0" w:type="auto"/>
            <w:shd w:val="clear" w:color="auto" w:fill="auto"/>
            <w:tcMar>
              <w:top w:w="100" w:type="dxa"/>
              <w:left w:w="100" w:type="dxa"/>
              <w:bottom w:w="100" w:type="dxa"/>
              <w:right w:w="100" w:type="dxa"/>
            </w:tcMar>
            <w:hideMark/>
          </w:tcPr>
          <w:p w14:paraId="2BEAA360"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lastRenderedPageBreak/>
              <w:t>791</w:t>
            </w:r>
          </w:p>
        </w:tc>
        <w:tc>
          <w:tcPr>
            <w:tcW w:w="0" w:type="auto"/>
          </w:tcPr>
          <w:p w14:paraId="638A6F84"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690F8DB4" w14:textId="77777777" w:rsidTr="002E3F44">
        <w:trPr>
          <w:trHeight w:val="20"/>
          <w:jc w:val="center"/>
        </w:trPr>
        <w:tc>
          <w:tcPr>
            <w:tcW w:w="2253" w:type="dxa"/>
            <w:shd w:val="clear" w:color="auto" w:fill="auto"/>
            <w:tcMar>
              <w:top w:w="100" w:type="dxa"/>
              <w:left w:w="100" w:type="dxa"/>
              <w:bottom w:w="100" w:type="dxa"/>
              <w:right w:w="100" w:type="dxa"/>
            </w:tcMar>
            <w:hideMark/>
          </w:tcPr>
          <w:p w14:paraId="7E1958AD" w14:textId="77777777" w:rsidR="001F17B6" w:rsidRPr="006256FC" w:rsidRDefault="001F17B6" w:rsidP="002E3F44">
            <w:pPr>
              <w:spacing w:line="240" w:lineRule="auto"/>
              <w:ind w:firstLine="0"/>
              <w:rPr>
                <w:rFonts w:cs="Times New Roman"/>
              </w:rPr>
            </w:pPr>
            <w:r w:rsidRPr="006256FC">
              <w:rPr>
                <w:rFonts w:eastAsia="Cambria" w:cs="Times New Roman"/>
                <w:color w:val="000000"/>
              </w:rPr>
              <w:t>glutamate/aspartate transport system permease protein</w:t>
            </w:r>
          </w:p>
        </w:tc>
        <w:tc>
          <w:tcPr>
            <w:tcW w:w="1977" w:type="dxa"/>
            <w:shd w:val="clear" w:color="auto" w:fill="auto"/>
            <w:tcMar>
              <w:top w:w="100" w:type="dxa"/>
              <w:left w:w="100" w:type="dxa"/>
              <w:bottom w:w="100" w:type="dxa"/>
              <w:right w:w="100" w:type="dxa"/>
            </w:tcMar>
            <w:hideMark/>
          </w:tcPr>
          <w:p w14:paraId="2D6BEAD2"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HPNLJDEO_05973</w:t>
            </w:r>
          </w:p>
        </w:tc>
        <w:tc>
          <w:tcPr>
            <w:tcW w:w="909" w:type="dxa"/>
            <w:shd w:val="clear" w:color="auto" w:fill="auto"/>
            <w:tcMar>
              <w:top w:w="100" w:type="dxa"/>
              <w:left w:w="100" w:type="dxa"/>
              <w:bottom w:w="100" w:type="dxa"/>
              <w:right w:w="100" w:type="dxa"/>
            </w:tcMar>
            <w:hideMark/>
          </w:tcPr>
          <w:p w14:paraId="201C4B70" w14:textId="77777777" w:rsidR="001F17B6" w:rsidRPr="006256FC" w:rsidRDefault="001F17B6" w:rsidP="002E3F44">
            <w:pPr>
              <w:spacing w:line="240" w:lineRule="auto"/>
              <w:ind w:firstLine="0"/>
              <w:rPr>
                <w:rFonts w:cs="Times New Roman"/>
              </w:rPr>
            </w:pPr>
            <w:r w:rsidRPr="006256FC">
              <w:rPr>
                <w:rFonts w:eastAsia="Cambria" w:cs="Times New Roman"/>
                <w:color w:val="000000"/>
              </w:rPr>
              <w:t>K10003</w:t>
            </w:r>
          </w:p>
        </w:tc>
        <w:tc>
          <w:tcPr>
            <w:tcW w:w="2769" w:type="dxa"/>
            <w:shd w:val="clear" w:color="auto" w:fill="auto"/>
            <w:tcMar>
              <w:top w:w="100" w:type="dxa"/>
              <w:left w:w="100" w:type="dxa"/>
              <w:bottom w:w="100" w:type="dxa"/>
              <w:right w:w="100" w:type="dxa"/>
            </w:tcMar>
            <w:hideMark/>
          </w:tcPr>
          <w:p w14:paraId="7886D6A9"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gltJ</w:t>
            </w:r>
            <w:r w:rsidRPr="006256FC">
              <w:rPr>
                <w:rFonts w:eastAsia="Cambria" w:cs="Times New Roman"/>
                <w:color w:val="000000"/>
              </w:rPr>
              <w:t xml:space="preserve">, </w:t>
            </w:r>
            <w:r w:rsidRPr="006256FC">
              <w:rPr>
                <w:rFonts w:eastAsia="Cambria" w:cs="Times New Roman"/>
                <w:i/>
                <w:iCs/>
                <w:color w:val="000000"/>
              </w:rPr>
              <w:t>aatQ</w:t>
            </w:r>
            <w:r w:rsidRPr="006256FC">
              <w:rPr>
                <w:rFonts w:eastAsia="Cambria" w:cs="Times New Roman"/>
                <w:color w:val="000000"/>
              </w:rPr>
              <w:t>; glutamate/aspartate transport system permease protein</w:t>
            </w:r>
          </w:p>
        </w:tc>
        <w:tc>
          <w:tcPr>
            <w:tcW w:w="0" w:type="auto"/>
            <w:shd w:val="clear" w:color="auto" w:fill="auto"/>
            <w:tcMar>
              <w:top w:w="100" w:type="dxa"/>
              <w:left w:w="100" w:type="dxa"/>
              <w:bottom w:w="100" w:type="dxa"/>
              <w:right w:w="100" w:type="dxa"/>
            </w:tcMar>
            <w:hideMark/>
          </w:tcPr>
          <w:p w14:paraId="67E5FC77"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2712</w:t>
            </w:r>
          </w:p>
        </w:tc>
        <w:tc>
          <w:tcPr>
            <w:tcW w:w="0" w:type="auto"/>
          </w:tcPr>
          <w:p w14:paraId="7D1350CC"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21786C44" w14:textId="77777777" w:rsidTr="002E3F44">
        <w:trPr>
          <w:trHeight w:val="20"/>
          <w:jc w:val="center"/>
        </w:trPr>
        <w:tc>
          <w:tcPr>
            <w:tcW w:w="2253" w:type="dxa"/>
            <w:shd w:val="clear" w:color="auto" w:fill="auto"/>
            <w:tcMar>
              <w:top w:w="100" w:type="dxa"/>
              <w:left w:w="100" w:type="dxa"/>
              <w:bottom w:w="100" w:type="dxa"/>
              <w:right w:w="100" w:type="dxa"/>
            </w:tcMar>
            <w:hideMark/>
          </w:tcPr>
          <w:p w14:paraId="14BC2C4D" w14:textId="77777777" w:rsidR="001F17B6" w:rsidRPr="006256FC" w:rsidRDefault="001F17B6" w:rsidP="002E3F44">
            <w:pPr>
              <w:spacing w:line="240" w:lineRule="auto"/>
              <w:ind w:firstLine="0"/>
              <w:rPr>
                <w:rFonts w:cs="Times New Roman"/>
              </w:rPr>
            </w:pPr>
            <w:r w:rsidRPr="006256FC">
              <w:rPr>
                <w:rFonts w:eastAsia="Cambria" w:cs="Times New Roman"/>
                <w:color w:val="000000"/>
              </w:rPr>
              <w:t>glutamate/aspartate transport system permease protein</w:t>
            </w:r>
          </w:p>
        </w:tc>
        <w:tc>
          <w:tcPr>
            <w:tcW w:w="1977" w:type="dxa"/>
            <w:shd w:val="clear" w:color="auto" w:fill="auto"/>
            <w:tcMar>
              <w:top w:w="100" w:type="dxa"/>
              <w:left w:w="100" w:type="dxa"/>
              <w:bottom w:w="100" w:type="dxa"/>
              <w:right w:w="100" w:type="dxa"/>
            </w:tcMar>
            <w:hideMark/>
          </w:tcPr>
          <w:p w14:paraId="11FC4DC2"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HPNLJDEO_05972</w:t>
            </w:r>
          </w:p>
        </w:tc>
        <w:tc>
          <w:tcPr>
            <w:tcW w:w="909" w:type="dxa"/>
            <w:shd w:val="clear" w:color="auto" w:fill="auto"/>
            <w:tcMar>
              <w:top w:w="100" w:type="dxa"/>
              <w:left w:w="100" w:type="dxa"/>
              <w:bottom w:w="100" w:type="dxa"/>
              <w:right w:w="100" w:type="dxa"/>
            </w:tcMar>
            <w:hideMark/>
          </w:tcPr>
          <w:p w14:paraId="173FBF68" w14:textId="77777777" w:rsidR="001F17B6" w:rsidRPr="006256FC" w:rsidRDefault="001F17B6" w:rsidP="002E3F44">
            <w:pPr>
              <w:spacing w:line="240" w:lineRule="auto"/>
              <w:ind w:firstLine="0"/>
              <w:rPr>
                <w:rFonts w:cs="Times New Roman"/>
              </w:rPr>
            </w:pPr>
            <w:r w:rsidRPr="006256FC">
              <w:rPr>
                <w:rFonts w:eastAsia="Cambria" w:cs="Times New Roman"/>
                <w:color w:val="000000"/>
              </w:rPr>
              <w:t>K10002</w:t>
            </w:r>
          </w:p>
        </w:tc>
        <w:tc>
          <w:tcPr>
            <w:tcW w:w="2769" w:type="dxa"/>
            <w:shd w:val="clear" w:color="auto" w:fill="auto"/>
            <w:tcMar>
              <w:top w:w="100" w:type="dxa"/>
              <w:left w:w="100" w:type="dxa"/>
              <w:bottom w:w="100" w:type="dxa"/>
              <w:right w:w="100" w:type="dxa"/>
            </w:tcMar>
            <w:hideMark/>
          </w:tcPr>
          <w:p w14:paraId="039EA78A"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gltK</w:t>
            </w:r>
            <w:r w:rsidRPr="006256FC">
              <w:rPr>
                <w:rFonts w:eastAsia="Cambria" w:cs="Times New Roman"/>
                <w:color w:val="000000"/>
              </w:rPr>
              <w:t xml:space="preserve">, </w:t>
            </w:r>
            <w:r w:rsidRPr="006256FC">
              <w:rPr>
                <w:rFonts w:eastAsia="Cambria" w:cs="Times New Roman"/>
                <w:i/>
                <w:iCs/>
                <w:color w:val="000000"/>
              </w:rPr>
              <w:t>aatM</w:t>
            </w:r>
            <w:r w:rsidRPr="006256FC">
              <w:rPr>
                <w:rFonts w:eastAsia="Cambria" w:cs="Times New Roman"/>
                <w:color w:val="000000"/>
              </w:rPr>
              <w:t>; glutamate/aspartate transport system permease protein</w:t>
            </w:r>
          </w:p>
        </w:tc>
        <w:tc>
          <w:tcPr>
            <w:tcW w:w="0" w:type="auto"/>
            <w:shd w:val="clear" w:color="auto" w:fill="auto"/>
            <w:tcMar>
              <w:top w:w="100" w:type="dxa"/>
              <w:left w:w="100" w:type="dxa"/>
              <w:bottom w:w="100" w:type="dxa"/>
              <w:right w:w="100" w:type="dxa"/>
            </w:tcMar>
            <w:hideMark/>
          </w:tcPr>
          <w:p w14:paraId="788E19CB"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854</w:t>
            </w:r>
          </w:p>
        </w:tc>
        <w:tc>
          <w:tcPr>
            <w:tcW w:w="0" w:type="auto"/>
          </w:tcPr>
          <w:p w14:paraId="7E807794"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56FBCA85" w14:textId="77777777" w:rsidTr="002E3F44">
        <w:trPr>
          <w:trHeight w:val="20"/>
          <w:jc w:val="center"/>
        </w:trPr>
        <w:tc>
          <w:tcPr>
            <w:tcW w:w="2253" w:type="dxa"/>
            <w:shd w:val="clear" w:color="auto" w:fill="auto"/>
            <w:tcMar>
              <w:top w:w="100" w:type="dxa"/>
              <w:left w:w="100" w:type="dxa"/>
              <w:bottom w:w="100" w:type="dxa"/>
              <w:right w:w="100" w:type="dxa"/>
            </w:tcMar>
            <w:hideMark/>
          </w:tcPr>
          <w:p w14:paraId="23DE3E27" w14:textId="77777777" w:rsidR="001F17B6" w:rsidRPr="006256FC" w:rsidRDefault="001F17B6" w:rsidP="002E3F44">
            <w:pPr>
              <w:spacing w:line="240" w:lineRule="auto"/>
              <w:ind w:firstLine="0"/>
              <w:rPr>
                <w:rFonts w:cs="Times New Roman"/>
              </w:rPr>
            </w:pPr>
            <w:r w:rsidRPr="006256FC">
              <w:rPr>
                <w:rFonts w:eastAsia="Cambria" w:cs="Times New Roman"/>
                <w:color w:val="000000"/>
              </w:rPr>
              <w:t>glutamate/aspartate transport system ATP-binding protein</w:t>
            </w:r>
          </w:p>
        </w:tc>
        <w:tc>
          <w:tcPr>
            <w:tcW w:w="1977" w:type="dxa"/>
            <w:shd w:val="clear" w:color="auto" w:fill="auto"/>
            <w:tcMar>
              <w:top w:w="100" w:type="dxa"/>
              <w:left w:w="100" w:type="dxa"/>
              <w:bottom w:w="100" w:type="dxa"/>
              <w:right w:w="100" w:type="dxa"/>
            </w:tcMar>
            <w:hideMark/>
          </w:tcPr>
          <w:p w14:paraId="200322A8"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HPNLJDEO_02196</w:t>
            </w:r>
          </w:p>
        </w:tc>
        <w:tc>
          <w:tcPr>
            <w:tcW w:w="909" w:type="dxa"/>
            <w:shd w:val="clear" w:color="auto" w:fill="auto"/>
            <w:tcMar>
              <w:top w:w="100" w:type="dxa"/>
              <w:left w:w="100" w:type="dxa"/>
              <w:bottom w:w="100" w:type="dxa"/>
              <w:right w:w="100" w:type="dxa"/>
            </w:tcMar>
            <w:hideMark/>
          </w:tcPr>
          <w:p w14:paraId="33553B42" w14:textId="77777777" w:rsidR="001F17B6" w:rsidRPr="006256FC" w:rsidRDefault="001F17B6" w:rsidP="002E3F44">
            <w:pPr>
              <w:spacing w:line="240" w:lineRule="auto"/>
              <w:ind w:firstLine="0"/>
              <w:rPr>
                <w:rFonts w:cs="Times New Roman"/>
              </w:rPr>
            </w:pPr>
            <w:r w:rsidRPr="006256FC">
              <w:rPr>
                <w:rFonts w:eastAsia="Cambria" w:cs="Times New Roman"/>
                <w:color w:val="000000"/>
              </w:rPr>
              <w:t>K10004</w:t>
            </w:r>
          </w:p>
        </w:tc>
        <w:tc>
          <w:tcPr>
            <w:tcW w:w="2769" w:type="dxa"/>
            <w:shd w:val="clear" w:color="auto" w:fill="auto"/>
            <w:tcMar>
              <w:top w:w="100" w:type="dxa"/>
              <w:left w:w="100" w:type="dxa"/>
              <w:bottom w:w="100" w:type="dxa"/>
              <w:right w:w="100" w:type="dxa"/>
            </w:tcMar>
            <w:hideMark/>
          </w:tcPr>
          <w:p w14:paraId="67CF1D9A"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gltL</w:t>
            </w:r>
            <w:r w:rsidRPr="006256FC">
              <w:rPr>
                <w:rFonts w:eastAsia="Cambria" w:cs="Times New Roman"/>
                <w:color w:val="000000"/>
              </w:rPr>
              <w:t xml:space="preserve">, </w:t>
            </w:r>
            <w:r w:rsidRPr="006256FC">
              <w:rPr>
                <w:rFonts w:eastAsia="Cambria" w:cs="Times New Roman"/>
                <w:i/>
                <w:iCs/>
                <w:color w:val="000000"/>
              </w:rPr>
              <w:t>aatP</w:t>
            </w:r>
            <w:r w:rsidRPr="006256FC">
              <w:rPr>
                <w:rFonts w:eastAsia="Cambria" w:cs="Times New Roman"/>
                <w:color w:val="000000"/>
              </w:rPr>
              <w:t>; glutamate/aspartate transport system ATP-binding protein [EC:7.4.2.1]</w:t>
            </w:r>
          </w:p>
        </w:tc>
        <w:tc>
          <w:tcPr>
            <w:tcW w:w="0" w:type="auto"/>
            <w:shd w:val="clear" w:color="auto" w:fill="auto"/>
            <w:tcMar>
              <w:top w:w="100" w:type="dxa"/>
              <w:left w:w="100" w:type="dxa"/>
              <w:bottom w:w="100" w:type="dxa"/>
              <w:right w:w="100" w:type="dxa"/>
            </w:tcMar>
            <w:hideMark/>
          </w:tcPr>
          <w:p w14:paraId="0FAF99DB"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373</w:t>
            </w:r>
          </w:p>
        </w:tc>
        <w:tc>
          <w:tcPr>
            <w:tcW w:w="0" w:type="auto"/>
          </w:tcPr>
          <w:p w14:paraId="5EAE122A"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05877B51" w14:textId="77777777" w:rsidTr="002E3F44">
        <w:trPr>
          <w:trHeight w:val="20"/>
          <w:jc w:val="center"/>
        </w:trPr>
        <w:tc>
          <w:tcPr>
            <w:tcW w:w="2253" w:type="dxa"/>
            <w:shd w:val="clear" w:color="auto" w:fill="auto"/>
            <w:tcMar>
              <w:top w:w="100" w:type="dxa"/>
              <w:left w:w="100" w:type="dxa"/>
              <w:bottom w:w="100" w:type="dxa"/>
              <w:right w:w="100" w:type="dxa"/>
            </w:tcMar>
            <w:hideMark/>
          </w:tcPr>
          <w:p w14:paraId="1495346C" w14:textId="77777777" w:rsidR="001F17B6" w:rsidRPr="006256FC" w:rsidRDefault="001F17B6" w:rsidP="002E3F44">
            <w:pPr>
              <w:spacing w:line="240" w:lineRule="auto"/>
              <w:ind w:firstLine="0"/>
              <w:rPr>
                <w:rFonts w:cs="Times New Roman"/>
              </w:rPr>
            </w:pPr>
            <w:r w:rsidRPr="006256FC">
              <w:rPr>
                <w:rFonts w:eastAsia="Cambria" w:cs="Times New Roman"/>
                <w:color w:val="000000"/>
              </w:rPr>
              <w:t>glutamate/aspartate transport system ATP-binding protein</w:t>
            </w:r>
          </w:p>
        </w:tc>
        <w:tc>
          <w:tcPr>
            <w:tcW w:w="1977" w:type="dxa"/>
            <w:shd w:val="clear" w:color="auto" w:fill="auto"/>
            <w:tcMar>
              <w:top w:w="100" w:type="dxa"/>
              <w:left w:w="100" w:type="dxa"/>
              <w:bottom w:w="100" w:type="dxa"/>
              <w:right w:w="100" w:type="dxa"/>
            </w:tcMar>
            <w:hideMark/>
          </w:tcPr>
          <w:p w14:paraId="3B08E07C"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HPNLJDEO_05971</w:t>
            </w:r>
          </w:p>
        </w:tc>
        <w:tc>
          <w:tcPr>
            <w:tcW w:w="909" w:type="dxa"/>
            <w:shd w:val="clear" w:color="auto" w:fill="auto"/>
            <w:tcMar>
              <w:top w:w="100" w:type="dxa"/>
              <w:left w:w="100" w:type="dxa"/>
              <w:bottom w:w="100" w:type="dxa"/>
              <w:right w:w="100" w:type="dxa"/>
            </w:tcMar>
            <w:hideMark/>
          </w:tcPr>
          <w:p w14:paraId="5E98D94D" w14:textId="77777777" w:rsidR="001F17B6" w:rsidRPr="006256FC" w:rsidRDefault="001F17B6" w:rsidP="002E3F44">
            <w:pPr>
              <w:spacing w:line="240" w:lineRule="auto"/>
              <w:ind w:firstLine="0"/>
              <w:rPr>
                <w:rFonts w:cs="Times New Roman"/>
              </w:rPr>
            </w:pPr>
            <w:r w:rsidRPr="006256FC">
              <w:rPr>
                <w:rFonts w:eastAsia="Cambria" w:cs="Times New Roman"/>
                <w:color w:val="000000"/>
              </w:rPr>
              <w:t>K10004</w:t>
            </w:r>
          </w:p>
        </w:tc>
        <w:tc>
          <w:tcPr>
            <w:tcW w:w="2769" w:type="dxa"/>
            <w:shd w:val="clear" w:color="auto" w:fill="auto"/>
            <w:tcMar>
              <w:top w:w="100" w:type="dxa"/>
              <w:left w:w="100" w:type="dxa"/>
              <w:bottom w:w="100" w:type="dxa"/>
              <w:right w:w="100" w:type="dxa"/>
            </w:tcMar>
            <w:hideMark/>
          </w:tcPr>
          <w:p w14:paraId="28D53A2A"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gltL</w:t>
            </w:r>
            <w:r w:rsidRPr="006256FC">
              <w:rPr>
                <w:rFonts w:eastAsia="Cambria" w:cs="Times New Roman"/>
                <w:color w:val="000000"/>
              </w:rPr>
              <w:t xml:space="preserve">, </w:t>
            </w:r>
            <w:r w:rsidRPr="006256FC">
              <w:rPr>
                <w:rFonts w:eastAsia="Cambria" w:cs="Times New Roman"/>
                <w:i/>
                <w:iCs/>
                <w:color w:val="000000"/>
              </w:rPr>
              <w:t>aatP</w:t>
            </w:r>
            <w:r w:rsidRPr="006256FC">
              <w:rPr>
                <w:rFonts w:eastAsia="Cambria" w:cs="Times New Roman"/>
                <w:color w:val="000000"/>
              </w:rPr>
              <w:t>; glutamate/aspartate transport system ATP-binding protein [EC:7.4.2.1]</w:t>
            </w:r>
          </w:p>
        </w:tc>
        <w:tc>
          <w:tcPr>
            <w:tcW w:w="0" w:type="auto"/>
            <w:shd w:val="clear" w:color="auto" w:fill="auto"/>
            <w:tcMar>
              <w:top w:w="100" w:type="dxa"/>
              <w:left w:w="100" w:type="dxa"/>
              <w:bottom w:w="100" w:type="dxa"/>
              <w:right w:w="100" w:type="dxa"/>
            </w:tcMar>
            <w:hideMark/>
          </w:tcPr>
          <w:p w14:paraId="172512E9"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338</w:t>
            </w:r>
          </w:p>
        </w:tc>
        <w:tc>
          <w:tcPr>
            <w:tcW w:w="0" w:type="auto"/>
          </w:tcPr>
          <w:p w14:paraId="04532A39"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2E242A22" w14:textId="77777777" w:rsidTr="002E3F44">
        <w:trPr>
          <w:trHeight w:val="20"/>
          <w:jc w:val="center"/>
        </w:trPr>
        <w:tc>
          <w:tcPr>
            <w:tcW w:w="2253" w:type="dxa"/>
            <w:shd w:val="clear" w:color="auto" w:fill="auto"/>
            <w:tcMar>
              <w:top w:w="100" w:type="dxa"/>
              <w:left w:w="100" w:type="dxa"/>
              <w:bottom w:w="100" w:type="dxa"/>
              <w:right w:w="100" w:type="dxa"/>
            </w:tcMar>
            <w:hideMark/>
          </w:tcPr>
          <w:p w14:paraId="39928527" w14:textId="77777777" w:rsidR="001F17B6" w:rsidRPr="006256FC" w:rsidRDefault="001F17B6" w:rsidP="002E3F44">
            <w:pPr>
              <w:spacing w:line="240" w:lineRule="auto"/>
              <w:ind w:firstLine="0"/>
              <w:rPr>
                <w:rFonts w:cs="Times New Roman"/>
              </w:rPr>
            </w:pPr>
            <w:r w:rsidRPr="006256FC">
              <w:rPr>
                <w:rFonts w:eastAsia="Cambria" w:cs="Times New Roman"/>
                <w:color w:val="000000"/>
              </w:rPr>
              <w:t>formimidoylglutamate deiminase</w:t>
            </w:r>
          </w:p>
        </w:tc>
        <w:tc>
          <w:tcPr>
            <w:tcW w:w="1977" w:type="dxa"/>
            <w:shd w:val="clear" w:color="auto" w:fill="auto"/>
            <w:tcMar>
              <w:top w:w="100" w:type="dxa"/>
              <w:left w:w="100" w:type="dxa"/>
              <w:bottom w:w="100" w:type="dxa"/>
              <w:right w:w="100" w:type="dxa"/>
            </w:tcMar>
            <w:hideMark/>
          </w:tcPr>
          <w:p w14:paraId="450B01E2"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HPNLJDEO_01030</w:t>
            </w:r>
          </w:p>
        </w:tc>
        <w:tc>
          <w:tcPr>
            <w:tcW w:w="909" w:type="dxa"/>
            <w:shd w:val="clear" w:color="auto" w:fill="auto"/>
            <w:tcMar>
              <w:top w:w="100" w:type="dxa"/>
              <w:left w:w="100" w:type="dxa"/>
              <w:bottom w:w="100" w:type="dxa"/>
              <w:right w:w="100" w:type="dxa"/>
            </w:tcMar>
            <w:hideMark/>
          </w:tcPr>
          <w:p w14:paraId="52541756"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K05603</w:t>
            </w:r>
          </w:p>
        </w:tc>
        <w:tc>
          <w:tcPr>
            <w:tcW w:w="2769" w:type="dxa"/>
            <w:shd w:val="clear" w:color="auto" w:fill="auto"/>
            <w:tcMar>
              <w:top w:w="100" w:type="dxa"/>
              <w:left w:w="100" w:type="dxa"/>
              <w:bottom w:w="100" w:type="dxa"/>
              <w:right w:w="100" w:type="dxa"/>
            </w:tcMar>
            <w:hideMark/>
          </w:tcPr>
          <w:p w14:paraId="7F102F15"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hutF</w:t>
            </w:r>
            <w:r w:rsidRPr="006256FC">
              <w:rPr>
                <w:rFonts w:eastAsia="Cambria" w:cs="Times New Roman"/>
                <w:color w:val="000000"/>
              </w:rPr>
              <w:t>; formimidoylglutamate deiminase [EC:3.5.3.13]</w:t>
            </w:r>
          </w:p>
        </w:tc>
        <w:tc>
          <w:tcPr>
            <w:tcW w:w="0" w:type="auto"/>
            <w:shd w:val="clear" w:color="auto" w:fill="auto"/>
            <w:tcMar>
              <w:top w:w="100" w:type="dxa"/>
              <w:left w:w="100" w:type="dxa"/>
              <w:bottom w:w="100" w:type="dxa"/>
              <w:right w:w="100" w:type="dxa"/>
            </w:tcMar>
            <w:hideMark/>
          </w:tcPr>
          <w:p w14:paraId="2AEB2799"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320</w:t>
            </w:r>
          </w:p>
        </w:tc>
        <w:tc>
          <w:tcPr>
            <w:tcW w:w="0" w:type="auto"/>
          </w:tcPr>
          <w:p w14:paraId="1A5AF2E0"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2B849D01" w14:textId="77777777" w:rsidTr="002E3F44">
        <w:trPr>
          <w:trHeight w:val="20"/>
          <w:jc w:val="center"/>
        </w:trPr>
        <w:tc>
          <w:tcPr>
            <w:tcW w:w="2253" w:type="dxa"/>
            <w:shd w:val="clear" w:color="auto" w:fill="auto"/>
            <w:tcMar>
              <w:top w:w="100" w:type="dxa"/>
              <w:left w:w="100" w:type="dxa"/>
              <w:bottom w:w="100" w:type="dxa"/>
              <w:right w:w="100" w:type="dxa"/>
            </w:tcMar>
            <w:hideMark/>
          </w:tcPr>
          <w:p w14:paraId="3C711B04" w14:textId="77777777" w:rsidR="001F17B6" w:rsidRPr="006256FC" w:rsidRDefault="001F17B6" w:rsidP="002E3F44">
            <w:pPr>
              <w:spacing w:line="240" w:lineRule="auto"/>
              <w:ind w:firstLine="0"/>
              <w:rPr>
                <w:rFonts w:cs="Times New Roman"/>
              </w:rPr>
            </w:pPr>
            <w:r w:rsidRPr="006256FC">
              <w:rPr>
                <w:rFonts w:eastAsia="Cambria" w:cs="Times New Roman"/>
                <w:color w:val="000000"/>
              </w:rPr>
              <w:t>N-formylglutamate deformylase</w:t>
            </w:r>
          </w:p>
        </w:tc>
        <w:tc>
          <w:tcPr>
            <w:tcW w:w="1977" w:type="dxa"/>
            <w:shd w:val="clear" w:color="auto" w:fill="auto"/>
            <w:tcMar>
              <w:top w:w="100" w:type="dxa"/>
              <w:left w:w="100" w:type="dxa"/>
              <w:bottom w:w="100" w:type="dxa"/>
              <w:right w:w="100" w:type="dxa"/>
            </w:tcMar>
            <w:hideMark/>
          </w:tcPr>
          <w:p w14:paraId="5A2638ED"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HPNLJDEO_01029</w:t>
            </w:r>
          </w:p>
        </w:tc>
        <w:tc>
          <w:tcPr>
            <w:tcW w:w="909" w:type="dxa"/>
            <w:shd w:val="clear" w:color="auto" w:fill="auto"/>
            <w:tcMar>
              <w:top w:w="100" w:type="dxa"/>
              <w:left w:w="100" w:type="dxa"/>
              <w:bottom w:w="100" w:type="dxa"/>
              <w:right w:w="100" w:type="dxa"/>
            </w:tcMar>
            <w:hideMark/>
          </w:tcPr>
          <w:p w14:paraId="0762B916"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K01458</w:t>
            </w:r>
          </w:p>
        </w:tc>
        <w:tc>
          <w:tcPr>
            <w:tcW w:w="2769" w:type="dxa"/>
            <w:shd w:val="clear" w:color="auto" w:fill="auto"/>
            <w:tcMar>
              <w:top w:w="100" w:type="dxa"/>
              <w:left w:w="100" w:type="dxa"/>
              <w:bottom w:w="100" w:type="dxa"/>
              <w:right w:w="100" w:type="dxa"/>
            </w:tcMar>
            <w:hideMark/>
          </w:tcPr>
          <w:p w14:paraId="7163446D"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hutG</w:t>
            </w:r>
            <w:r w:rsidRPr="006256FC">
              <w:rPr>
                <w:rFonts w:eastAsia="Cambria" w:cs="Times New Roman"/>
                <w:color w:val="000000"/>
              </w:rPr>
              <w:t>; N-formylglutamate deformylase [EC:3.5.1.68]</w:t>
            </w:r>
          </w:p>
        </w:tc>
        <w:tc>
          <w:tcPr>
            <w:tcW w:w="0" w:type="auto"/>
            <w:shd w:val="clear" w:color="auto" w:fill="auto"/>
            <w:tcMar>
              <w:top w:w="100" w:type="dxa"/>
              <w:left w:w="100" w:type="dxa"/>
              <w:bottom w:w="100" w:type="dxa"/>
              <w:right w:w="100" w:type="dxa"/>
            </w:tcMar>
            <w:hideMark/>
          </w:tcPr>
          <w:p w14:paraId="0844F5B9"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401</w:t>
            </w:r>
          </w:p>
        </w:tc>
        <w:tc>
          <w:tcPr>
            <w:tcW w:w="0" w:type="auto"/>
          </w:tcPr>
          <w:p w14:paraId="589371E1"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2E7A8C1C" w14:textId="77777777" w:rsidTr="002E3F44">
        <w:trPr>
          <w:trHeight w:val="20"/>
          <w:jc w:val="center"/>
        </w:trPr>
        <w:tc>
          <w:tcPr>
            <w:tcW w:w="2253" w:type="dxa"/>
            <w:shd w:val="clear" w:color="auto" w:fill="auto"/>
            <w:tcMar>
              <w:top w:w="100" w:type="dxa"/>
              <w:left w:w="100" w:type="dxa"/>
              <w:bottom w:w="100" w:type="dxa"/>
              <w:right w:w="100" w:type="dxa"/>
            </w:tcMar>
            <w:hideMark/>
          </w:tcPr>
          <w:p w14:paraId="19880828" w14:textId="77777777" w:rsidR="001F17B6" w:rsidRPr="006256FC" w:rsidRDefault="001F17B6" w:rsidP="002E3F44">
            <w:pPr>
              <w:spacing w:line="240" w:lineRule="auto"/>
              <w:ind w:firstLine="0"/>
              <w:rPr>
                <w:rFonts w:cs="Times New Roman"/>
              </w:rPr>
            </w:pPr>
            <w:r w:rsidRPr="006256FC">
              <w:rPr>
                <w:rFonts w:eastAsia="Cambria" w:cs="Times New Roman"/>
                <w:color w:val="000000"/>
              </w:rPr>
              <w:t>histidine ammonia-lyase</w:t>
            </w:r>
          </w:p>
        </w:tc>
        <w:tc>
          <w:tcPr>
            <w:tcW w:w="1977" w:type="dxa"/>
            <w:shd w:val="clear" w:color="auto" w:fill="auto"/>
            <w:tcMar>
              <w:top w:w="100" w:type="dxa"/>
              <w:left w:w="100" w:type="dxa"/>
              <w:bottom w:w="100" w:type="dxa"/>
              <w:right w:w="100" w:type="dxa"/>
            </w:tcMar>
            <w:hideMark/>
          </w:tcPr>
          <w:p w14:paraId="12ADA360"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HPNLJDEO_06057</w:t>
            </w:r>
          </w:p>
        </w:tc>
        <w:tc>
          <w:tcPr>
            <w:tcW w:w="909" w:type="dxa"/>
            <w:shd w:val="clear" w:color="auto" w:fill="auto"/>
            <w:tcMar>
              <w:top w:w="100" w:type="dxa"/>
              <w:left w:w="100" w:type="dxa"/>
              <w:bottom w:w="100" w:type="dxa"/>
              <w:right w:w="100" w:type="dxa"/>
            </w:tcMar>
            <w:hideMark/>
          </w:tcPr>
          <w:p w14:paraId="2A61603C"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K01745</w:t>
            </w:r>
          </w:p>
        </w:tc>
        <w:tc>
          <w:tcPr>
            <w:tcW w:w="2769" w:type="dxa"/>
            <w:shd w:val="clear" w:color="auto" w:fill="auto"/>
            <w:tcMar>
              <w:top w:w="100" w:type="dxa"/>
              <w:left w:w="100" w:type="dxa"/>
              <w:bottom w:w="100" w:type="dxa"/>
              <w:right w:w="100" w:type="dxa"/>
            </w:tcMar>
            <w:hideMark/>
          </w:tcPr>
          <w:p w14:paraId="74B5A6C6"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hutH</w:t>
            </w:r>
            <w:r w:rsidRPr="006256FC">
              <w:rPr>
                <w:rFonts w:eastAsia="Cambria" w:cs="Times New Roman"/>
                <w:color w:val="000000"/>
              </w:rPr>
              <w:t>, HAL; histidine ammonia-lyase [EC:4.3.1.3]</w:t>
            </w:r>
          </w:p>
        </w:tc>
        <w:tc>
          <w:tcPr>
            <w:tcW w:w="0" w:type="auto"/>
            <w:shd w:val="clear" w:color="auto" w:fill="auto"/>
            <w:tcMar>
              <w:top w:w="100" w:type="dxa"/>
              <w:left w:w="100" w:type="dxa"/>
              <w:bottom w:w="100" w:type="dxa"/>
              <w:right w:w="100" w:type="dxa"/>
            </w:tcMar>
            <w:hideMark/>
          </w:tcPr>
          <w:p w14:paraId="77CBF6FB"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422</w:t>
            </w:r>
          </w:p>
        </w:tc>
        <w:tc>
          <w:tcPr>
            <w:tcW w:w="0" w:type="auto"/>
          </w:tcPr>
          <w:p w14:paraId="66CF0187"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358EAE08" w14:textId="77777777" w:rsidTr="002E3F44">
        <w:trPr>
          <w:trHeight w:val="20"/>
          <w:jc w:val="center"/>
        </w:trPr>
        <w:tc>
          <w:tcPr>
            <w:tcW w:w="2253" w:type="dxa"/>
            <w:shd w:val="clear" w:color="auto" w:fill="auto"/>
            <w:tcMar>
              <w:top w:w="100" w:type="dxa"/>
              <w:left w:w="100" w:type="dxa"/>
              <w:bottom w:w="100" w:type="dxa"/>
              <w:right w:w="100" w:type="dxa"/>
            </w:tcMar>
            <w:hideMark/>
          </w:tcPr>
          <w:p w14:paraId="2E5DCF83" w14:textId="77777777" w:rsidR="001F17B6" w:rsidRPr="006256FC" w:rsidRDefault="001F17B6" w:rsidP="002E3F44">
            <w:pPr>
              <w:spacing w:line="240" w:lineRule="auto"/>
              <w:ind w:firstLine="0"/>
              <w:rPr>
                <w:rFonts w:cs="Times New Roman"/>
              </w:rPr>
            </w:pPr>
            <w:r w:rsidRPr="006256FC">
              <w:rPr>
                <w:rFonts w:eastAsia="Cambria" w:cs="Times New Roman"/>
                <w:color w:val="000000"/>
              </w:rPr>
              <w:t>imidazolonepropionase</w:t>
            </w:r>
          </w:p>
        </w:tc>
        <w:tc>
          <w:tcPr>
            <w:tcW w:w="1977" w:type="dxa"/>
            <w:shd w:val="clear" w:color="auto" w:fill="auto"/>
            <w:tcMar>
              <w:top w:w="100" w:type="dxa"/>
              <w:left w:w="100" w:type="dxa"/>
              <w:bottom w:w="100" w:type="dxa"/>
              <w:right w:w="100" w:type="dxa"/>
            </w:tcMar>
            <w:hideMark/>
          </w:tcPr>
          <w:p w14:paraId="5FEE970D"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HPNLJDEO_01032</w:t>
            </w:r>
          </w:p>
        </w:tc>
        <w:tc>
          <w:tcPr>
            <w:tcW w:w="909" w:type="dxa"/>
            <w:shd w:val="clear" w:color="auto" w:fill="auto"/>
            <w:tcMar>
              <w:top w:w="100" w:type="dxa"/>
              <w:left w:w="100" w:type="dxa"/>
              <w:bottom w:w="100" w:type="dxa"/>
              <w:right w:w="100" w:type="dxa"/>
            </w:tcMar>
            <w:hideMark/>
          </w:tcPr>
          <w:p w14:paraId="5F25ABFB"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K01468</w:t>
            </w:r>
          </w:p>
        </w:tc>
        <w:tc>
          <w:tcPr>
            <w:tcW w:w="2769" w:type="dxa"/>
            <w:shd w:val="clear" w:color="auto" w:fill="auto"/>
            <w:tcMar>
              <w:top w:w="100" w:type="dxa"/>
              <w:left w:w="100" w:type="dxa"/>
              <w:bottom w:w="100" w:type="dxa"/>
              <w:right w:w="100" w:type="dxa"/>
            </w:tcMar>
            <w:hideMark/>
          </w:tcPr>
          <w:p w14:paraId="4343A95B"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hutI</w:t>
            </w:r>
            <w:r w:rsidRPr="006256FC">
              <w:rPr>
                <w:rFonts w:eastAsia="Cambria" w:cs="Times New Roman"/>
                <w:color w:val="000000"/>
              </w:rPr>
              <w:t>, AMDHD1; imidazolonepropionase [EC:3.5.2.7]</w:t>
            </w:r>
          </w:p>
        </w:tc>
        <w:tc>
          <w:tcPr>
            <w:tcW w:w="0" w:type="auto"/>
            <w:shd w:val="clear" w:color="auto" w:fill="auto"/>
            <w:tcMar>
              <w:top w:w="100" w:type="dxa"/>
              <w:left w:w="100" w:type="dxa"/>
              <w:bottom w:w="100" w:type="dxa"/>
              <w:right w:w="100" w:type="dxa"/>
            </w:tcMar>
            <w:hideMark/>
          </w:tcPr>
          <w:p w14:paraId="15C4D47D"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554</w:t>
            </w:r>
          </w:p>
        </w:tc>
        <w:tc>
          <w:tcPr>
            <w:tcW w:w="0" w:type="auto"/>
          </w:tcPr>
          <w:p w14:paraId="3B187D60" w14:textId="77777777" w:rsidR="001F17B6" w:rsidRPr="006256FC" w:rsidRDefault="001F17B6" w:rsidP="002E3F44">
            <w:pPr>
              <w:spacing w:line="240" w:lineRule="auto"/>
              <w:ind w:firstLine="0"/>
              <w:jc w:val="right"/>
              <w:rPr>
                <w:rFonts w:eastAsia="Cambria" w:cs="Times New Roman"/>
                <w:color w:val="000000"/>
              </w:rPr>
            </w:pPr>
          </w:p>
        </w:tc>
      </w:tr>
      <w:tr w:rsidR="001F17B6" w:rsidRPr="006256FC" w14:paraId="56A00CAA" w14:textId="77777777" w:rsidTr="002E3F44">
        <w:trPr>
          <w:trHeight w:val="20"/>
          <w:jc w:val="center"/>
        </w:trPr>
        <w:tc>
          <w:tcPr>
            <w:tcW w:w="2253" w:type="dxa"/>
            <w:tcBorders>
              <w:bottom w:val="single" w:sz="4" w:space="0" w:color="auto"/>
            </w:tcBorders>
            <w:shd w:val="clear" w:color="auto" w:fill="auto"/>
            <w:tcMar>
              <w:top w:w="100" w:type="dxa"/>
              <w:left w:w="100" w:type="dxa"/>
              <w:bottom w:w="100" w:type="dxa"/>
              <w:right w:w="100" w:type="dxa"/>
            </w:tcMar>
            <w:hideMark/>
          </w:tcPr>
          <w:p w14:paraId="3DB740CC" w14:textId="77777777" w:rsidR="001F17B6" w:rsidRPr="006256FC" w:rsidRDefault="001F17B6" w:rsidP="002E3F44">
            <w:pPr>
              <w:spacing w:line="240" w:lineRule="auto"/>
              <w:ind w:firstLine="0"/>
              <w:rPr>
                <w:rFonts w:cs="Times New Roman"/>
              </w:rPr>
            </w:pPr>
            <w:r w:rsidRPr="006256FC">
              <w:rPr>
                <w:rFonts w:eastAsia="Cambria" w:cs="Times New Roman"/>
                <w:color w:val="000000"/>
              </w:rPr>
              <w:t>urocanate hydratase</w:t>
            </w:r>
          </w:p>
        </w:tc>
        <w:tc>
          <w:tcPr>
            <w:tcW w:w="1977" w:type="dxa"/>
            <w:tcBorders>
              <w:bottom w:val="single" w:sz="4" w:space="0" w:color="auto"/>
            </w:tcBorders>
            <w:shd w:val="clear" w:color="auto" w:fill="auto"/>
            <w:tcMar>
              <w:top w:w="100" w:type="dxa"/>
              <w:left w:w="100" w:type="dxa"/>
              <w:bottom w:w="100" w:type="dxa"/>
              <w:right w:w="100" w:type="dxa"/>
            </w:tcMar>
            <w:hideMark/>
          </w:tcPr>
          <w:p w14:paraId="3A3DAE6C" w14:textId="77777777" w:rsidR="001F17B6" w:rsidRPr="006256FC" w:rsidRDefault="001F17B6" w:rsidP="002E3F44">
            <w:pPr>
              <w:spacing w:line="240" w:lineRule="auto"/>
              <w:ind w:firstLine="0"/>
              <w:rPr>
                <w:rFonts w:cs="Times New Roman"/>
              </w:rPr>
            </w:pPr>
            <w:r w:rsidRPr="006256FC">
              <w:rPr>
                <w:rFonts w:eastAsia="Cambria" w:cs="Times New Roman"/>
                <w:color w:val="000000"/>
              </w:rPr>
              <w:t>HPNLJDEO_01027</w:t>
            </w:r>
          </w:p>
        </w:tc>
        <w:tc>
          <w:tcPr>
            <w:tcW w:w="909" w:type="dxa"/>
            <w:tcBorders>
              <w:bottom w:val="single" w:sz="4" w:space="0" w:color="auto"/>
            </w:tcBorders>
            <w:shd w:val="clear" w:color="auto" w:fill="auto"/>
            <w:tcMar>
              <w:top w:w="100" w:type="dxa"/>
              <w:left w:w="100" w:type="dxa"/>
              <w:bottom w:w="100" w:type="dxa"/>
              <w:right w:w="100" w:type="dxa"/>
            </w:tcMar>
            <w:hideMark/>
          </w:tcPr>
          <w:p w14:paraId="6B5936AE" w14:textId="77777777" w:rsidR="001F17B6" w:rsidRPr="006256FC" w:rsidRDefault="001F17B6" w:rsidP="002E3F44">
            <w:pPr>
              <w:spacing w:line="240" w:lineRule="auto"/>
              <w:ind w:firstLine="0"/>
              <w:rPr>
                <w:rFonts w:cs="Times New Roman"/>
              </w:rPr>
            </w:pPr>
            <w:r w:rsidRPr="006256FC">
              <w:rPr>
                <w:rFonts w:eastAsia="Cambria" w:cs="Times New Roman"/>
                <w:color w:val="000000"/>
              </w:rPr>
              <w:t>K01712</w:t>
            </w:r>
          </w:p>
        </w:tc>
        <w:tc>
          <w:tcPr>
            <w:tcW w:w="2769" w:type="dxa"/>
            <w:tcBorders>
              <w:bottom w:val="single" w:sz="4" w:space="0" w:color="auto"/>
            </w:tcBorders>
            <w:shd w:val="clear" w:color="auto" w:fill="auto"/>
            <w:tcMar>
              <w:top w:w="100" w:type="dxa"/>
              <w:left w:w="100" w:type="dxa"/>
              <w:bottom w:w="100" w:type="dxa"/>
              <w:right w:w="100" w:type="dxa"/>
            </w:tcMar>
            <w:hideMark/>
          </w:tcPr>
          <w:p w14:paraId="58939C0F" w14:textId="77777777" w:rsidR="001F17B6" w:rsidRPr="006256FC" w:rsidRDefault="001F17B6" w:rsidP="002E3F44">
            <w:pPr>
              <w:spacing w:line="240" w:lineRule="auto"/>
              <w:ind w:firstLine="0"/>
              <w:rPr>
                <w:rFonts w:cs="Times New Roman"/>
              </w:rPr>
            </w:pPr>
            <w:r w:rsidRPr="006256FC">
              <w:rPr>
                <w:rFonts w:eastAsia="Cambria" w:cs="Times New Roman"/>
                <w:i/>
                <w:iCs/>
                <w:color w:val="000000"/>
              </w:rPr>
              <w:t>hutU</w:t>
            </w:r>
            <w:r w:rsidRPr="006256FC">
              <w:rPr>
                <w:rFonts w:eastAsia="Cambria" w:cs="Times New Roman"/>
                <w:color w:val="000000"/>
              </w:rPr>
              <w:t>, UROC1; urocanate hydratase [EC:4.2.1.49]</w:t>
            </w:r>
          </w:p>
        </w:tc>
        <w:tc>
          <w:tcPr>
            <w:tcW w:w="0" w:type="auto"/>
            <w:tcBorders>
              <w:bottom w:val="single" w:sz="4" w:space="0" w:color="auto"/>
            </w:tcBorders>
            <w:shd w:val="clear" w:color="auto" w:fill="auto"/>
            <w:tcMar>
              <w:top w:w="100" w:type="dxa"/>
              <w:left w:w="100" w:type="dxa"/>
              <w:bottom w:w="100" w:type="dxa"/>
              <w:right w:w="100" w:type="dxa"/>
            </w:tcMar>
            <w:hideMark/>
          </w:tcPr>
          <w:p w14:paraId="31D6C630" w14:textId="77777777" w:rsidR="001F17B6" w:rsidRPr="006256FC" w:rsidRDefault="001F17B6" w:rsidP="002E3F44">
            <w:pPr>
              <w:spacing w:line="240" w:lineRule="auto"/>
              <w:ind w:firstLine="0"/>
              <w:jc w:val="right"/>
              <w:rPr>
                <w:rFonts w:cs="Times New Roman"/>
              </w:rPr>
            </w:pPr>
            <w:r w:rsidRPr="006256FC">
              <w:rPr>
                <w:rFonts w:eastAsia="Cambria" w:cs="Times New Roman"/>
                <w:color w:val="000000"/>
              </w:rPr>
              <w:t>350</w:t>
            </w:r>
          </w:p>
        </w:tc>
        <w:tc>
          <w:tcPr>
            <w:tcW w:w="0" w:type="auto"/>
            <w:tcBorders>
              <w:bottom w:val="single" w:sz="4" w:space="0" w:color="auto"/>
            </w:tcBorders>
          </w:tcPr>
          <w:p w14:paraId="177DF801" w14:textId="77777777" w:rsidR="001F17B6" w:rsidRPr="006256FC" w:rsidRDefault="001F17B6" w:rsidP="002E3F44">
            <w:pPr>
              <w:spacing w:line="240" w:lineRule="auto"/>
              <w:ind w:firstLine="0"/>
              <w:jc w:val="right"/>
              <w:rPr>
                <w:rFonts w:eastAsia="Cambria" w:cs="Times New Roman"/>
                <w:color w:val="000000"/>
              </w:rPr>
            </w:pPr>
          </w:p>
        </w:tc>
      </w:tr>
    </w:tbl>
    <w:p w14:paraId="5512A87A" w14:textId="77777777" w:rsidR="001F17B6" w:rsidRPr="006256FC" w:rsidRDefault="001F17B6" w:rsidP="001F17B6">
      <w:pPr>
        <w:spacing w:line="240" w:lineRule="auto"/>
        <w:ind w:firstLine="0"/>
        <w:rPr>
          <w:rFonts w:cs="Times New Roman"/>
        </w:rPr>
      </w:pPr>
    </w:p>
    <w:p w14:paraId="47D63E8A" w14:textId="77777777" w:rsidR="001F17B6" w:rsidRPr="006256FC" w:rsidRDefault="001F17B6" w:rsidP="001F17B6">
      <w:pPr>
        <w:spacing w:line="240" w:lineRule="auto"/>
        <w:ind w:firstLine="0"/>
        <w:rPr>
          <w:rFonts w:cs="Times New Roman"/>
        </w:rPr>
      </w:pPr>
      <w:r w:rsidRPr="006256FC">
        <w:rPr>
          <w:rFonts w:cs="Times New Roman"/>
        </w:rPr>
        <w:br w:type="page"/>
      </w:r>
    </w:p>
    <w:p w14:paraId="012A1565" w14:textId="77777777" w:rsidR="001F17B6" w:rsidRPr="006256FC" w:rsidRDefault="001F17B6" w:rsidP="001F17B6">
      <w:pPr>
        <w:spacing w:before="240" w:line="240" w:lineRule="auto"/>
        <w:ind w:firstLine="0"/>
        <w:rPr>
          <w:rFonts w:cs="Times New Roman"/>
          <w:b/>
          <w:bCs/>
        </w:rPr>
      </w:pPr>
    </w:p>
    <w:p w14:paraId="46836E53" w14:textId="5488E320" w:rsidR="001F17B6" w:rsidRPr="006256FC" w:rsidRDefault="001F17B6" w:rsidP="00F13F6D">
      <w:pPr>
        <w:pStyle w:val="Caption"/>
      </w:pPr>
      <w:bookmarkStart w:id="253" w:name="_Toc193668463"/>
      <w:r w:rsidRPr="006256FC">
        <w:t xml:space="preserve">Table </w:t>
      </w:r>
      <w:fldSimple w:instr=" STYLEREF 1 \s ">
        <w:r w:rsidR="00971287">
          <w:rPr>
            <w:noProof/>
          </w:rPr>
          <w:t>6</w:t>
        </w:r>
      </w:fldSimple>
      <w:r w:rsidR="00A46B68">
        <w:t>.</w:t>
      </w:r>
      <w:fldSimple w:instr=" SEQ Table \* ARABIC \s 1 ">
        <w:r w:rsidR="00971287">
          <w:rPr>
            <w:noProof/>
          </w:rPr>
          <w:t>3</w:t>
        </w:r>
      </w:fldSimple>
      <w:r w:rsidRPr="006256FC">
        <w:t xml:space="preserve"> antiSMASH output table for strain DJPM01.</w:t>
      </w:r>
      <w:bookmarkEnd w:id="253"/>
    </w:p>
    <w:tbl>
      <w:tblPr>
        <w:tblW w:w="8603" w:type="dxa"/>
        <w:tblCellMar>
          <w:left w:w="0" w:type="dxa"/>
          <w:right w:w="0" w:type="dxa"/>
        </w:tblCellMar>
        <w:tblLook w:val="0600" w:firstRow="0" w:lastRow="0" w:firstColumn="0" w:lastColumn="0" w:noHBand="1" w:noVBand="1"/>
      </w:tblPr>
      <w:tblGrid>
        <w:gridCol w:w="2641"/>
        <w:gridCol w:w="709"/>
        <w:gridCol w:w="1801"/>
        <w:gridCol w:w="3452"/>
      </w:tblGrid>
      <w:tr w:rsidR="001F17B6" w:rsidRPr="006256FC" w14:paraId="3447F3E1" w14:textId="77777777" w:rsidTr="002E3F44">
        <w:trPr>
          <w:trHeight w:val="424"/>
        </w:trPr>
        <w:tc>
          <w:tcPr>
            <w:tcW w:w="2657" w:type="dxa"/>
            <w:tcBorders>
              <w:top w:val="single" w:sz="8" w:space="0" w:color="FFFFFF"/>
              <w:left w:val="single" w:sz="6" w:space="0" w:color="FFFFFF"/>
              <w:bottom w:val="single" w:sz="8" w:space="0" w:color="000000"/>
              <w:right w:val="single" w:sz="6" w:space="0" w:color="FFFFFF"/>
            </w:tcBorders>
            <w:shd w:val="clear" w:color="auto" w:fill="auto"/>
            <w:tcMar>
              <w:top w:w="6" w:type="dxa"/>
              <w:left w:w="6" w:type="dxa"/>
              <w:bottom w:w="0" w:type="dxa"/>
              <w:right w:w="6" w:type="dxa"/>
            </w:tcMar>
            <w:vAlign w:val="bottom"/>
            <w:hideMark/>
          </w:tcPr>
          <w:p w14:paraId="3B2C4D8E" w14:textId="77777777" w:rsidR="001F17B6" w:rsidRPr="006256FC" w:rsidRDefault="001F17B6" w:rsidP="002E3F44">
            <w:pPr>
              <w:spacing w:line="240" w:lineRule="auto"/>
              <w:ind w:firstLine="0"/>
              <w:rPr>
                <w:rFonts w:cs="Times New Roman"/>
              </w:rPr>
            </w:pPr>
            <w:r w:rsidRPr="006256FC">
              <w:rPr>
                <w:rFonts w:cs="Times New Roman"/>
                <w:b/>
                <w:bCs/>
                <w:color w:val="000000"/>
              </w:rPr>
              <w:t>antiSMASH Category</w:t>
            </w:r>
          </w:p>
        </w:tc>
        <w:tc>
          <w:tcPr>
            <w:tcW w:w="651" w:type="dxa"/>
            <w:tcBorders>
              <w:top w:val="single" w:sz="8" w:space="0" w:color="FFFFFF"/>
              <w:left w:val="single" w:sz="6" w:space="0" w:color="FFFFFF"/>
              <w:bottom w:val="single" w:sz="8" w:space="0" w:color="000000"/>
              <w:right w:val="single" w:sz="6" w:space="0" w:color="FFFFFF"/>
            </w:tcBorders>
            <w:shd w:val="clear" w:color="auto" w:fill="auto"/>
            <w:tcMar>
              <w:top w:w="6" w:type="dxa"/>
              <w:left w:w="6" w:type="dxa"/>
              <w:bottom w:w="0" w:type="dxa"/>
              <w:right w:w="6" w:type="dxa"/>
            </w:tcMar>
            <w:vAlign w:val="bottom"/>
            <w:hideMark/>
          </w:tcPr>
          <w:p w14:paraId="2DA81901" w14:textId="77777777" w:rsidR="001F17B6" w:rsidRPr="006256FC" w:rsidRDefault="001F17B6" w:rsidP="002E3F44">
            <w:pPr>
              <w:spacing w:line="240" w:lineRule="auto"/>
              <w:ind w:firstLine="0"/>
              <w:jc w:val="center"/>
              <w:rPr>
                <w:rFonts w:cs="Times New Roman"/>
              </w:rPr>
            </w:pPr>
            <w:r w:rsidRPr="006256FC">
              <w:rPr>
                <w:rFonts w:cs="Times New Roman"/>
                <w:b/>
                <w:bCs/>
                <w:color w:val="000000"/>
              </w:rPr>
              <w:t>Contig</w:t>
            </w:r>
          </w:p>
        </w:tc>
        <w:tc>
          <w:tcPr>
            <w:tcW w:w="1814" w:type="dxa"/>
            <w:tcBorders>
              <w:top w:val="single" w:sz="8" w:space="0" w:color="FFFFFF"/>
              <w:left w:val="single" w:sz="6" w:space="0" w:color="FFFFFF"/>
              <w:bottom w:val="single" w:sz="8" w:space="0" w:color="000000"/>
              <w:right w:val="single" w:sz="6" w:space="0" w:color="FFFFFF"/>
            </w:tcBorders>
            <w:shd w:val="clear" w:color="auto" w:fill="auto"/>
            <w:tcMar>
              <w:top w:w="6" w:type="dxa"/>
              <w:left w:w="6" w:type="dxa"/>
              <w:bottom w:w="0" w:type="dxa"/>
              <w:right w:w="6" w:type="dxa"/>
            </w:tcMar>
            <w:vAlign w:val="bottom"/>
            <w:hideMark/>
          </w:tcPr>
          <w:p w14:paraId="24D3FBBB" w14:textId="77777777" w:rsidR="001F17B6" w:rsidRPr="006256FC" w:rsidRDefault="001F17B6" w:rsidP="002E3F44">
            <w:pPr>
              <w:spacing w:line="240" w:lineRule="auto"/>
              <w:ind w:firstLine="0"/>
              <w:jc w:val="center"/>
              <w:rPr>
                <w:rFonts w:cs="Times New Roman"/>
              </w:rPr>
            </w:pPr>
            <w:r w:rsidRPr="006256FC">
              <w:rPr>
                <w:rFonts w:cs="Times New Roman"/>
                <w:b/>
                <w:bCs/>
                <w:color w:val="000000"/>
              </w:rPr>
              <w:t>Position</w:t>
            </w:r>
          </w:p>
        </w:tc>
        <w:tc>
          <w:tcPr>
            <w:tcW w:w="3481" w:type="dxa"/>
            <w:tcBorders>
              <w:top w:val="single" w:sz="8" w:space="0" w:color="FFFFFF"/>
              <w:left w:val="single" w:sz="6" w:space="0" w:color="FFFFFF"/>
              <w:bottom w:val="single" w:sz="8" w:space="0" w:color="000000"/>
              <w:right w:val="single" w:sz="6" w:space="0" w:color="FFFFFF"/>
            </w:tcBorders>
            <w:shd w:val="clear" w:color="auto" w:fill="auto"/>
            <w:tcMar>
              <w:top w:w="6" w:type="dxa"/>
              <w:left w:w="6" w:type="dxa"/>
              <w:bottom w:w="0" w:type="dxa"/>
              <w:right w:w="6" w:type="dxa"/>
            </w:tcMar>
            <w:vAlign w:val="bottom"/>
            <w:hideMark/>
          </w:tcPr>
          <w:p w14:paraId="736CE988" w14:textId="77777777" w:rsidR="001F17B6" w:rsidRPr="006256FC" w:rsidRDefault="001F17B6" w:rsidP="002E3F44">
            <w:pPr>
              <w:spacing w:line="240" w:lineRule="auto"/>
              <w:ind w:firstLine="0"/>
              <w:jc w:val="right"/>
              <w:rPr>
                <w:rFonts w:cs="Times New Roman"/>
              </w:rPr>
            </w:pPr>
            <w:r w:rsidRPr="006256FC">
              <w:rPr>
                <w:rFonts w:cs="Times New Roman"/>
                <w:b/>
                <w:bCs/>
                <w:color w:val="000000"/>
              </w:rPr>
              <w:t>Closest known match (% Similarity)</w:t>
            </w:r>
          </w:p>
        </w:tc>
      </w:tr>
      <w:tr w:rsidR="001F17B6" w:rsidRPr="006256FC" w14:paraId="15B02430" w14:textId="77777777" w:rsidTr="002E3F44">
        <w:trPr>
          <w:trHeight w:val="315"/>
        </w:trPr>
        <w:tc>
          <w:tcPr>
            <w:tcW w:w="2657" w:type="dxa"/>
            <w:tcBorders>
              <w:top w:val="single" w:sz="8" w:space="0" w:color="000000"/>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4763C0C0" w14:textId="77777777" w:rsidR="001F17B6" w:rsidRPr="006256FC" w:rsidRDefault="001F17B6" w:rsidP="002E3F44">
            <w:pPr>
              <w:spacing w:line="240" w:lineRule="auto"/>
              <w:ind w:firstLine="0"/>
              <w:rPr>
                <w:rFonts w:cs="Times New Roman"/>
              </w:rPr>
            </w:pPr>
            <w:r w:rsidRPr="006256FC">
              <w:rPr>
                <w:rFonts w:cs="Times New Roman"/>
                <w:color w:val="000000"/>
              </w:rPr>
              <w:t>Acyl Amino Acids</w:t>
            </w:r>
          </w:p>
        </w:tc>
        <w:tc>
          <w:tcPr>
            <w:tcW w:w="651" w:type="dxa"/>
            <w:tcBorders>
              <w:top w:val="single" w:sz="8" w:space="0" w:color="000000"/>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58E66090" w14:textId="77777777" w:rsidR="001F17B6" w:rsidRPr="006256FC" w:rsidRDefault="001F17B6" w:rsidP="002E3F44">
            <w:pPr>
              <w:spacing w:line="240" w:lineRule="auto"/>
              <w:ind w:firstLine="0"/>
              <w:jc w:val="center"/>
              <w:rPr>
                <w:rFonts w:cs="Times New Roman"/>
              </w:rPr>
            </w:pPr>
            <w:r w:rsidRPr="006256FC">
              <w:rPr>
                <w:rFonts w:cs="Times New Roman"/>
                <w:color w:val="000000"/>
              </w:rPr>
              <w:t>2</w:t>
            </w:r>
          </w:p>
        </w:tc>
        <w:tc>
          <w:tcPr>
            <w:tcW w:w="1814" w:type="dxa"/>
            <w:tcBorders>
              <w:top w:val="single" w:sz="8" w:space="0" w:color="000000"/>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191353D9" w14:textId="77777777" w:rsidR="001F17B6" w:rsidRPr="006256FC" w:rsidRDefault="001F17B6" w:rsidP="002E3F44">
            <w:pPr>
              <w:spacing w:line="240" w:lineRule="auto"/>
              <w:ind w:firstLine="0"/>
              <w:jc w:val="center"/>
              <w:rPr>
                <w:rFonts w:cs="Times New Roman"/>
              </w:rPr>
            </w:pPr>
            <w:r w:rsidRPr="006256FC">
              <w:rPr>
                <w:rFonts w:cs="Times New Roman"/>
                <w:color w:val="000000"/>
              </w:rPr>
              <w:t>208027 – 272514</w:t>
            </w:r>
          </w:p>
        </w:tc>
        <w:tc>
          <w:tcPr>
            <w:tcW w:w="3481" w:type="dxa"/>
            <w:tcBorders>
              <w:top w:val="single" w:sz="8" w:space="0" w:color="000000"/>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15847604" w14:textId="77777777" w:rsidR="001F17B6" w:rsidRPr="006256FC" w:rsidRDefault="001F17B6" w:rsidP="002E3F44">
            <w:pPr>
              <w:spacing w:line="240" w:lineRule="auto"/>
              <w:ind w:firstLine="0"/>
              <w:rPr>
                <w:rFonts w:cs="Times New Roman"/>
              </w:rPr>
            </w:pPr>
          </w:p>
        </w:tc>
      </w:tr>
      <w:tr w:rsidR="001F17B6" w:rsidRPr="006256FC" w14:paraId="78CAF5C2"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216909C6" w14:textId="77777777" w:rsidR="001F17B6" w:rsidRPr="006256FC" w:rsidRDefault="001F17B6" w:rsidP="002E3F44">
            <w:pPr>
              <w:spacing w:line="240" w:lineRule="auto"/>
              <w:ind w:firstLine="0"/>
              <w:rPr>
                <w:rFonts w:cs="Times New Roman"/>
              </w:rPr>
            </w:pPr>
            <w:r w:rsidRPr="006256FC">
              <w:rPr>
                <w:rFonts w:cs="Times New Roman"/>
                <w:color w:val="000000"/>
              </w:rPr>
              <w:t>Acyl Amino Acids, RiPP-like</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55A8BD95" w14:textId="77777777" w:rsidR="001F17B6" w:rsidRPr="006256FC" w:rsidRDefault="001F17B6" w:rsidP="002E3F44">
            <w:pPr>
              <w:spacing w:line="240" w:lineRule="auto"/>
              <w:ind w:firstLine="0"/>
              <w:jc w:val="center"/>
              <w:rPr>
                <w:rFonts w:cs="Times New Roman"/>
              </w:rPr>
            </w:pPr>
            <w:r w:rsidRPr="006256FC">
              <w:rPr>
                <w:rFonts w:cs="Times New Roman"/>
                <w:color w:val="000000"/>
              </w:rPr>
              <w:t>38</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457DD000" w14:textId="77777777" w:rsidR="001F17B6" w:rsidRPr="006256FC" w:rsidRDefault="001F17B6" w:rsidP="002E3F44">
            <w:pPr>
              <w:spacing w:line="240" w:lineRule="auto"/>
              <w:ind w:firstLine="0"/>
              <w:jc w:val="center"/>
              <w:rPr>
                <w:rFonts w:cs="Times New Roman"/>
              </w:rPr>
            </w:pPr>
            <w:r w:rsidRPr="006256FC">
              <w:rPr>
                <w:rFonts w:cs="Times New Roman"/>
                <w:color w:val="000000"/>
              </w:rPr>
              <w:t>1 – 34955</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06A165CC" w14:textId="77777777" w:rsidR="001F17B6" w:rsidRPr="006256FC" w:rsidRDefault="001F17B6" w:rsidP="002E3F44">
            <w:pPr>
              <w:spacing w:line="240" w:lineRule="auto"/>
              <w:ind w:firstLine="0"/>
              <w:rPr>
                <w:rFonts w:cs="Times New Roman"/>
              </w:rPr>
            </w:pPr>
          </w:p>
        </w:tc>
      </w:tr>
      <w:tr w:rsidR="001F17B6" w:rsidRPr="006256FC" w14:paraId="5533D61A"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1D430B97" w14:textId="77777777" w:rsidR="001F17B6" w:rsidRPr="006256FC" w:rsidRDefault="001F17B6" w:rsidP="002E3F44">
            <w:pPr>
              <w:spacing w:line="240" w:lineRule="auto"/>
              <w:ind w:firstLine="0"/>
              <w:rPr>
                <w:rFonts w:cs="Times New Roman"/>
              </w:rPr>
            </w:pPr>
            <w:r w:rsidRPr="006256FC">
              <w:rPr>
                <w:rFonts w:cs="Times New Roman"/>
                <w:color w:val="000000"/>
              </w:rPr>
              <w:t>Arylpolyene</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302059ED" w14:textId="77777777" w:rsidR="001F17B6" w:rsidRPr="006256FC" w:rsidRDefault="001F17B6" w:rsidP="002E3F44">
            <w:pPr>
              <w:spacing w:line="240" w:lineRule="auto"/>
              <w:ind w:firstLine="0"/>
              <w:jc w:val="center"/>
              <w:rPr>
                <w:rFonts w:cs="Times New Roman"/>
              </w:rPr>
            </w:pPr>
            <w:r w:rsidRPr="006256FC">
              <w:rPr>
                <w:rFonts w:cs="Times New Roman"/>
                <w:color w:val="000000"/>
              </w:rPr>
              <w:t>77</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6426AA2B" w14:textId="77777777" w:rsidR="001F17B6" w:rsidRPr="006256FC" w:rsidRDefault="001F17B6" w:rsidP="002E3F44">
            <w:pPr>
              <w:spacing w:line="240" w:lineRule="auto"/>
              <w:ind w:firstLine="0"/>
              <w:jc w:val="center"/>
              <w:rPr>
                <w:rFonts w:cs="Times New Roman"/>
              </w:rPr>
            </w:pPr>
            <w:r w:rsidRPr="006256FC">
              <w:rPr>
                <w:rFonts w:cs="Times New Roman"/>
                <w:color w:val="000000"/>
              </w:rPr>
              <w:t>1 – 27333</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3A5B21FE" w14:textId="77777777" w:rsidR="001F17B6" w:rsidRPr="006256FC" w:rsidRDefault="001F17B6" w:rsidP="002E3F44">
            <w:pPr>
              <w:spacing w:line="240" w:lineRule="auto"/>
              <w:ind w:firstLine="0"/>
              <w:jc w:val="right"/>
              <w:rPr>
                <w:rFonts w:cs="Times New Roman"/>
              </w:rPr>
            </w:pPr>
            <w:r w:rsidRPr="006256FC">
              <w:rPr>
                <w:rFonts w:cs="Times New Roman"/>
                <w:color w:val="000000"/>
              </w:rPr>
              <w:t>APE Ec (36%)</w:t>
            </w:r>
          </w:p>
        </w:tc>
      </w:tr>
      <w:tr w:rsidR="001F17B6" w:rsidRPr="006256FC" w14:paraId="1C2AE318"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40A99290" w14:textId="77777777" w:rsidR="001F17B6" w:rsidRPr="006256FC" w:rsidRDefault="001F17B6" w:rsidP="002E3F44">
            <w:pPr>
              <w:spacing w:line="240" w:lineRule="auto"/>
              <w:ind w:firstLine="0"/>
              <w:rPr>
                <w:rFonts w:cs="Times New Roman"/>
              </w:rPr>
            </w:pPr>
            <w:r w:rsidRPr="006256FC">
              <w:rPr>
                <w:rFonts w:cs="Times New Roman"/>
                <w:color w:val="000000"/>
              </w:rPr>
              <w:t>Homoserine Lactone</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44688676" w14:textId="77777777" w:rsidR="001F17B6" w:rsidRPr="006256FC" w:rsidRDefault="001F17B6" w:rsidP="002E3F44">
            <w:pPr>
              <w:spacing w:line="240" w:lineRule="auto"/>
              <w:ind w:firstLine="0"/>
              <w:jc w:val="center"/>
              <w:rPr>
                <w:rFonts w:cs="Times New Roman"/>
              </w:rPr>
            </w:pPr>
            <w:r w:rsidRPr="006256FC">
              <w:rPr>
                <w:rFonts w:cs="Times New Roman"/>
                <w:color w:val="000000"/>
              </w:rPr>
              <w:t>16</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78FB4923" w14:textId="77777777" w:rsidR="001F17B6" w:rsidRPr="006256FC" w:rsidRDefault="001F17B6" w:rsidP="002E3F44">
            <w:pPr>
              <w:spacing w:line="240" w:lineRule="auto"/>
              <w:ind w:firstLine="0"/>
              <w:jc w:val="center"/>
              <w:rPr>
                <w:rFonts w:cs="Times New Roman"/>
              </w:rPr>
            </w:pPr>
            <w:r w:rsidRPr="006256FC">
              <w:rPr>
                <w:rFonts w:cs="Times New Roman"/>
                <w:color w:val="000000"/>
              </w:rPr>
              <w:t>98016 – 118603</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5B31AF9C" w14:textId="77777777" w:rsidR="001F17B6" w:rsidRPr="006256FC" w:rsidRDefault="001F17B6" w:rsidP="002E3F44">
            <w:pPr>
              <w:spacing w:line="240" w:lineRule="auto"/>
              <w:ind w:firstLine="0"/>
              <w:rPr>
                <w:rFonts w:cs="Times New Roman"/>
              </w:rPr>
            </w:pPr>
          </w:p>
        </w:tc>
      </w:tr>
      <w:tr w:rsidR="001F17B6" w:rsidRPr="006256FC" w14:paraId="44FDBEB4"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3456C704" w14:textId="77777777" w:rsidR="001F17B6" w:rsidRPr="006256FC" w:rsidRDefault="001F17B6" w:rsidP="002E3F44">
            <w:pPr>
              <w:spacing w:line="240" w:lineRule="auto"/>
              <w:ind w:firstLine="0"/>
              <w:rPr>
                <w:rFonts w:cs="Times New Roman"/>
              </w:rPr>
            </w:pPr>
            <w:r w:rsidRPr="006256FC">
              <w:rPr>
                <w:rFonts w:cs="Times New Roman"/>
                <w:color w:val="000000"/>
              </w:rPr>
              <w:t>Indole, TransAT-PKS, NRP</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001DC03F" w14:textId="77777777" w:rsidR="001F17B6" w:rsidRPr="006256FC" w:rsidRDefault="001F17B6" w:rsidP="002E3F44">
            <w:pPr>
              <w:spacing w:line="240" w:lineRule="auto"/>
              <w:ind w:firstLine="0"/>
              <w:jc w:val="center"/>
              <w:rPr>
                <w:rFonts w:cs="Times New Roman"/>
              </w:rPr>
            </w:pPr>
            <w:r w:rsidRPr="006256FC">
              <w:rPr>
                <w:rFonts w:cs="Times New Roman"/>
                <w:color w:val="000000"/>
              </w:rPr>
              <w:t>12</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1064D18F" w14:textId="77777777" w:rsidR="001F17B6" w:rsidRPr="006256FC" w:rsidRDefault="001F17B6" w:rsidP="002E3F44">
            <w:pPr>
              <w:spacing w:line="240" w:lineRule="auto"/>
              <w:ind w:firstLine="0"/>
              <w:jc w:val="center"/>
              <w:rPr>
                <w:rFonts w:cs="Times New Roman"/>
              </w:rPr>
            </w:pPr>
            <w:r w:rsidRPr="006256FC">
              <w:rPr>
                <w:rFonts w:cs="Times New Roman"/>
                <w:color w:val="000000"/>
              </w:rPr>
              <w:t>2347 – 102882</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06C815EC" w14:textId="77777777" w:rsidR="001F17B6" w:rsidRPr="006256FC" w:rsidRDefault="001F17B6" w:rsidP="002E3F44">
            <w:pPr>
              <w:spacing w:line="240" w:lineRule="auto"/>
              <w:ind w:firstLine="0"/>
              <w:jc w:val="right"/>
              <w:rPr>
                <w:rFonts w:cs="Times New Roman"/>
              </w:rPr>
            </w:pPr>
            <w:r w:rsidRPr="006256FC">
              <w:rPr>
                <w:rFonts w:cs="Times New Roman"/>
                <w:color w:val="000000"/>
              </w:rPr>
              <w:t>Violacein (100%)</w:t>
            </w:r>
          </w:p>
        </w:tc>
      </w:tr>
      <w:tr w:rsidR="001F17B6" w:rsidRPr="006256FC" w14:paraId="6B3CC1B2"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5589E5B9" w14:textId="77777777" w:rsidR="001F17B6" w:rsidRPr="006256FC" w:rsidRDefault="001F17B6" w:rsidP="002E3F44">
            <w:pPr>
              <w:spacing w:line="240" w:lineRule="auto"/>
              <w:ind w:firstLine="0"/>
              <w:rPr>
                <w:rFonts w:cs="Times New Roman"/>
              </w:rPr>
            </w:pPr>
            <w:r w:rsidRPr="006256FC">
              <w:rPr>
                <w:rFonts w:cs="Times New Roman"/>
                <w:color w:val="000000"/>
              </w:rPr>
              <w:t>Lanthipeptide Class iv</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263ED090" w14:textId="77777777" w:rsidR="001F17B6" w:rsidRPr="006256FC" w:rsidRDefault="001F17B6" w:rsidP="002E3F44">
            <w:pPr>
              <w:spacing w:line="240" w:lineRule="auto"/>
              <w:ind w:firstLine="0"/>
              <w:jc w:val="center"/>
              <w:rPr>
                <w:rFonts w:cs="Times New Roman"/>
              </w:rPr>
            </w:pPr>
            <w:r w:rsidRPr="006256FC">
              <w:rPr>
                <w:rFonts w:cs="Times New Roman"/>
                <w:color w:val="000000"/>
              </w:rPr>
              <w:t>4</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52D3DC6F" w14:textId="77777777" w:rsidR="001F17B6" w:rsidRPr="006256FC" w:rsidRDefault="001F17B6" w:rsidP="002E3F44">
            <w:pPr>
              <w:spacing w:line="240" w:lineRule="auto"/>
              <w:ind w:firstLine="0"/>
              <w:jc w:val="center"/>
              <w:rPr>
                <w:rFonts w:cs="Times New Roman"/>
              </w:rPr>
            </w:pPr>
            <w:r w:rsidRPr="006256FC">
              <w:rPr>
                <w:rFonts w:cs="Times New Roman"/>
                <w:color w:val="000000"/>
              </w:rPr>
              <w:t>13765 – 36443</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24BC6A0A" w14:textId="77777777" w:rsidR="001F17B6" w:rsidRPr="006256FC" w:rsidRDefault="001F17B6" w:rsidP="002E3F44">
            <w:pPr>
              <w:spacing w:line="240" w:lineRule="auto"/>
              <w:ind w:firstLine="0"/>
              <w:rPr>
                <w:rFonts w:cs="Times New Roman"/>
              </w:rPr>
            </w:pPr>
          </w:p>
        </w:tc>
      </w:tr>
      <w:tr w:rsidR="001F17B6" w:rsidRPr="006256FC" w14:paraId="784CB89C"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14DFAF1F" w14:textId="77777777" w:rsidR="001F17B6" w:rsidRPr="006256FC" w:rsidRDefault="001F17B6" w:rsidP="002E3F44">
            <w:pPr>
              <w:spacing w:line="240" w:lineRule="auto"/>
              <w:ind w:firstLine="0"/>
              <w:rPr>
                <w:rFonts w:cs="Times New Roman"/>
              </w:rPr>
            </w:pPr>
            <w:r w:rsidRPr="006256FC">
              <w:rPr>
                <w:rFonts w:cs="Times New Roman"/>
                <w:color w:val="000000"/>
              </w:rPr>
              <w:t>Lanthipeptide Class-iv</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644DE9A3" w14:textId="77777777" w:rsidR="001F17B6" w:rsidRPr="006256FC" w:rsidRDefault="001F17B6" w:rsidP="002E3F44">
            <w:pPr>
              <w:spacing w:line="240" w:lineRule="auto"/>
              <w:ind w:firstLine="0"/>
              <w:jc w:val="center"/>
              <w:rPr>
                <w:rFonts w:cs="Times New Roman"/>
              </w:rPr>
            </w:pPr>
            <w:r w:rsidRPr="006256FC">
              <w:rPr>
                <w:rFonts w:cs="Times New Roman"/>
                <w:color w:val="000000"/>
              </w:rPr>
              <w:t>6</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1C0906F5" w14:textId="77777777" w:rsidR="001F17B6" w:rsidRPr="006256FC" w:rsidRDefault="001F17B6" w:rsidP="002E3F44">
            <w:pPr>
              <w:spacing w:line="240" w:lineRule="auto"/>
              <w:ind w:firstLine="0"/>
              <w:jc w:val="center"/>
              <w:rPr>
                <w:rFonts w:cs="Times New Roman"/>
              </w:rPr>
            </w:pPr>
            <w:r w:rsidRPr="006256FC">
              <w:rPr>
                <w:rFonts w:cs="Times New Roman"/>
                <w:color w:val="000000"/>
              </w:rPr>
              <w:t>1 – 14584</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215C9855" w14:textId="77777777" w:rsidR="001F17B6" w:rsidRPr="006256FC" w:rsidRDefault="001F17B6" w:rsidP="002E3F44">
            <w:pPr>
              <w:spacing w:line="240" w:lineRule="auto"/>
              <w:ind w:firstLine="0"/>
              <w:rPr>
                <w:rFonts w:cs="Times New Roman"/>
              </w:rPr>
            </w:pPr>
          </w:p>
        </w:tc>
      </w:tr>
      <w:tr w:rsidR="001F17B6" w:rsidRPr="006256FC" w14:paraId="72CBAC26"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325340AB" w14:textId="77777777" w:rsidR="001F17B6" w:rsidRPr="006256FC" w:rsidRDefault="001F17B6" w:rsidP="002E3F44">
            <w:pPr>
              <w:spacing w:line="240" w:lineRule="auto"/>
              <w:ind w:firstLine="0"/>
              <w:rPr>
                <w:rFonts w:cs="Times New Roman"/>
              </w:rPr>
            </w:pPr>
            <w:r w:rsidRPr="006256FC">
              <w:rPr>
                <w:rFonts w:cs="Times New Roman"/>
                <w:color w:val="000000"/>
              </w:rPr>
              <w:t>NRPS</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3EE4ADAC" w14:textId="77777777" w:rsidR="001F17B6" w:rsidRPr="006256FC" w:rsidRDefault="001F17B6" w:rsidP="002E3F44">
            <w:pPr>
              <w:spacing w:line="240" w:lineRule="auto"/>
              <w:ind w:firstLine="0"/>
              <w:jc w:val="center"/>
              <w:rPr>
                <w:rFonts w:cs="Times New Roman"/>
              </w:rPr>
            </w:pPr>
            <w:r w:rsidRPr="006256FC">
              <w:rPr>
                <w:rFonts w:cs="Times New Roman"/>
                <w:color w:val="000000"/>
              </w:rPr>
              <w:t>28</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65E7793F" w14:textId="77777777" w:rsidR="001F17B6" w:rsidRPr="006256FC" w:rsidRDefault="001F17B6" w:rsidP="002E3F44">
            <w:pPr>
              <w:spacing w:line="240" w:lineRule="auto"/>
              <w:ind w:firstLine="0"/>
              <w:jc w:val="center"/>
              <w:rPr>
                <w:rFonts w:cs="Times New Roman"/>
              </w:rPr>
            </w:pPr>
            <w:r w:rsidRPr="006256FC">
              <w:rPr>
                <w:rFonts w:cs="Times New Roman"/>
                <w:color w:val="000000"/>
              </w:rPr>
              <w:t>50388 – 91004</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7C2356F3" w14:textId="77777777" w:rsidR="001F17B6" w:rsidRPr="006256FC" w:rsidRDefault="001F17B6" w:rsidP="002E3F44">
            <w:pPr>
              <w:spacing w:line="240" w:lineRule="auto"/>
              <w:ind w:firstLine="0"/>
              <w:jc w:val="right"/>
              <w:rPr>
                <w:rFonts w:cs="Times New Roman"/>
              </w:rPr>
            </w:pPr>
            <w:r w:rsidRPr="006256FC">
              <w:rPr>
                <w:rFonts w:cs="Times New Roman"/>
                <w:color w:val="000000"/>
              </w:rPr>
              <w:t>Cephamycin C (36%)</w:t>
            </w:r>
          </w:p>
        </w:tc>
      </w:tr>
      <w:tr w:rsidR="001F17B6" w:rsidRPr="006256FC" w14:paraId="511A6191"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0A982206" w14:textId="77777777" w:rsidR="001F17B6" w:rsidRPr="006256FC" w:rsidRDefault="001F17B6" w:rsidP="002E3F44">
            <w:pPr>
              <w:spacing w:line="240" w:lineRule="auto"/>
              <w:ind w:firstLine="0"/>
              <w:rPr>
                <w:rFonts w:cs="Times New Roman"/>
              </w:rPr>
            </w:pPr>
            <w:r w:rsidRPr="006256FC">
              <w:rPr>
                <w:rFonts w:cs="Times New Roman"/>
                <w:color w:val="000000"/>
              </w:rPr>
              <w:t>NRPS</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095DE92B" w14:textId="77777777" w:rsidR="001F17B6" w:rsidRPr="006256FC" w:rsidRDefault="001F17B6" w:rsidP="002E3F44">
            <w:pPr>
              <w:spacing w:line="240" w:lineRule="auto"/>
              <w:ind w:firstLine="0"/>
              <w:jc w:val="center"/>
              <w:rPr>
                <w:rFonts w:cs="Times New Roman"/>
              </w:rPr>
            </w:pPr>
            <w:r w:rsidRPr="006256FC">
              <w:rPr>
                <w:rFonts w:cs="Times New Roman"/>
                <w:color w:val="000000"/>
              </w:rPr>
              <w:t>36</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72C6D7CE" w14:textId="77777777" w:rsidR="001F17B6" w:rsidRPr="006256FC" w:rsidRDefault="001F17B6" w:rsidP="002E3F44">
            <w:pPr>
              <w:spacing w:line="240" w:lineRule="auto"/>
              <w:ind w:firstLine="0"/>
              <w:jc w:val="center"/>
              <w:rPr>
                <w:rFonts w:cs="Times New Roman"/>
              </w:rPr>
            </w:pPr>
            <w:r w:rsidRPr="006256FC">
              <w:rPr>
                <w:rFonts w:cs="Times New Roman"/>
                <w:color w:val="000000"/>
              </w:rPr>
              <w:t>1 – 37992</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5151FB16" w14:textId="77777777" w:rsidR="001F17B6" w:rsidRPr="006256FC" w:rsidRDefault="001F17B6" w:rsidP="002E3F44">
            <w:pPr>
              <w:spacing w:line="240" w:lineRule="auto"/>
              <w:ind w:firstLine="0"/>
              <w:jc w:val="right"/>
              <w:rPr>
                <w:rFonts w:cs="Times New Roman"/>
              </w:rPr>
            </w:pPr>
            <w:r w:rsidRPr="006256FC">
              <w:rPr>
                <w:rFonts w:cs="Times New Roman"/>
                <w:color w:val="000000"/>
              </w:rPr>
              <w:t>Myxochelin (41%)</w:t>
            </w:r>
          </w:p>
        </w:tc>
      </w:tr>
      <w:tr w:rsidR="001F17B6" w:rsidRPr="006256FC" w14:paraId="08FDC22F"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7C1DEB10" w14:textId="77777777" w:rsidR="001F17B6" w:rsidRPr="006256FC" w:rsidRDefault="001F17B6" w:rsidP="002E3F44">
            <w:pPr>
              <w:spacing w:line="240" w:lineRule="auto"/>
              <w:ind w:firstLine="0"/>
              <w:rPr>
                <w:rFonts w:cs="Times New Roman"/>
              </w:rPr>
            </w:pPr>
            <w:r w:rsidRPr="006256FC">
              <w:rPr>
                <w:rFonts w:cs="Times New Roman"/>
                <w:color w:val="000000"/>
              </w:rPr>
              <w:t>NRPS-like</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22CFBA87" w14:textId="77777777" w:rsidR="001F17B6" w:rsidRPr="006256FC" w:rsidRDefault="001F17B6" w:rsidP="002E3F44">
            <w:pPr>
              <w:spacing w:line="240" w:lineRule="auto"/>
              <w:ind w:firstLine="0"/>
              <w:jc w:val="center"/>
              <w:rPr>
                <w:rFonts w:cs="Times New Roman"/>
              </w:rPr>
            </w:pPr>
            <w:r w:rsidRPr="006256FC">
              <w:rPr>
                <w:rFonts w:cs="Times New Roman"/>
                <w:color w:val="000000"/>
              </w:rPr>
              <w:t>96</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16338E4F" w14:textId="77777777" w:rsidR="001F17B6" w:rsidRPr="006256FC" w:rsidRDefault="001F17B6" w:rsidP="002E3F44">
            <w:pPr>
              <w:spacing w:line="240" w:lineRule="auto"/>
              <w:ind w:firstLine="0"/>
              <w:jc w:val="center"/>
              <w:rPr>
                <w:rFonts w:cs="Times New Roman"/>
              </w:rPr>
            </w:pPr>
            <w:r w:rsidRPr="006256FC">
              <w:rPr>
                <w:rFonts w:cs="Times New Roman"/>
                <w:color w:val="000000"/>
              </w:rPr>
              <w:t>1 – 11867</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52E72831" w14:textId="77777777" w:rsidR="001F17B6" w:rsidRPr="006256FC" w:rsidRDefault="001F17B6" w:rsidP="002E3F44">
            <w:pPr>
              <w:spacing w:line="240" w:lineRule="auto"/>
              <w:ind w:firstLine="0"/>
              <w:rPr>
                <w:rFonts w:cs="Times New Roman"/>
              </w:rPr>
            </w:pPr>
          </w:p>
        </w:tc>
      </w:tr>
      <w:tr w:rsidR="001F17B6" w:rsidRPr="006256FC" w14:paraId="13970D2C"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0A0F4B83" w14:textId="77777777" w:rsidR="001F17B6" w:rsidRPr="006256FC" w:rsidRDefault="001F17B6" w:rsidP="002E3F44">
            <w:pPr>
              <w:spacing w:line="240" w:lineRule="auto"/>
              <w:ind w:firstLine="0"/>
              <w:rPr>
                <w:rFonts w:cs="Times New Roman"/>
              </w:rPr>
            </w:pPr>
            <w:r w:rsidRPr="006256FC">
              <w:rPr>
                <w:rFonts w:cs="Times New Roman"/>
                <w:color w:val="000000"/>
              </w:rPr>
              <w:t>Prodigiosin</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07D08A2E" w14:textId="77777777" w:rsidR="001F17B6" w:rsidRPr="006256FC" w:rsidRDefault="001F17B6" w:rsidP="002E3F44">
            <w:pPr>
              <w:spacing w:line="240" w:lineRule="auto"/>
              <w:ind w:firstLine="0"/>
              <w:jc w:val="center"/>
              <w:rPr>
                <w:rFonts w:cs="Times New Roman"/>
              </w:rPr>
            </w:pPr>
            <w:r w:rsidRPr="006256FC">
              <w:rPr>
                <w:rFonts w:cs="Times New Roman"/>
                <w:color w:val="000000"/>
              </w:rPr>
              <w:t>10</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6651B2EB" w14:textId="77777777" w:rsidR="001F17B6" w:rsidRPr="006256FC" w:rsidRDefault="001F17B6" w:rsidP="002E3F44">
            <w:pPr>
              <w:spacing w:line="240" w:lineRule="auto"/>
              <w:ind w:firstLine="0"/>
              <w:jc w:val="center"/>
              <w:rPr>
                <w:rFonts w:cs="Times New Roman"/>
              </w:rPr>
            </w:pPr>
            <w:r w:rsidRPr="006256FC">
              <w:rPr>
                <w:rFonts w:cs="Times New Roman"/>
                <w:color w:val="000000"/>
              </w:rPr>
              <w:t>53690 – 90993</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6749C1A7" w14:textId="77777777" w:rsidR="001F17B6" w:rsidRPr="006256FC" w:rsidRDefault="001F17B6" w:rsidP="002E3F44">
            <w:pPr>
              <w:spacing w:line="240" w:lineRule="auto"/>
              <w:ind w:firstLine="0"/>
              <w:jc w:val="right"/>
              <w:rPr>
                <w:rFonts w:cs="Times New Roman"/>
              </w:rPr>
            </w:pPr>
            <w:r w:rsidRPr="006256FC">
              <w:rPr>
                <w:rFonts w:cs="Times New Roman"/>
                <w:color w:val="000000"/>
              </w:rPr>
              <w:t>Prodigiosin (42%)</w:t>
            </w:r>
          </w:p>
        </w:tc>
      </w:tr>
      <w:tr w:rsidR="001F17B6" w:rsidRPr="006256FC" w14:paraId="4E28BDCD"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24E0FADF" w14:textId="77777777" w:rsidR="001F17B6" w:rsidRPr="006256FC" w:rsidRDefault="001F17B6" w:rsidP="002E3F44">
            <w:pPr>
              <w:spacing w:line="240" w:lineRule="auto"/>
              <w:ind w:firstLine="0"/>
              <w:rPr>
                <w:rFonts w:cs="Times New Roman"/>
              </w:rPr>
            </w:pPr>
            <w:r w:rsidRPr="006256FC">
              <w:rPr>
                <w:rFonts w:cs="Times New Roman"/>
                <w:color w:val="000000"/>
              </w:rPr>
              <w:t>RiPP-like</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66050517" w14:textId="77777777" w:rsidR="001F17B6" w:rsidRPr="006256FC" w:rsidRDefault="001F17B6" w:rsidP="002E3F44">
            <w:pPr>
              <w:spacing w:line="240" w:lineRule="auto"/>
              <w:ind w:firstLine="0"/>
              <w:jc w:val="center"/>
              <w:rPr>
                <w:rFonts w:cs="Times New Roman"/>
              </w:rPr>
            </w:pPr>
            <w:r w:rsidRPr="006256FC">
              <w:rPr>
                <w:rFonts w:cs="Times New Roman"/>
                <w:color w:val="000000"/>
              </w:rPr>
              <w:t>123</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69A13984" w14:textId="77777777" w:rsidR="001F17B6" w:rsidRPr="006256FC" w:rsidRDefault="001F17B6" w:rsidP="002E3F44">
            <w:pPr>
              <w:spacing w:line="240" w:lineRule="auto"/>
              <w:ind w:firstLine="0"/>
              <w:jc w:val="center"/>
              <w:rPr>
                <w:rFonts w:cs="Times New Roman"/>
              </w:rPr>
            </w:pPr>
            <w:r w:rsidRPr="006256FC">
              <w:rPr>
                <w:rFonts w:cs="Times New Roman"/>
                <w:color w:val="000000"/>
              </w:rPr>
              <w:t>1 – 4714</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692867F3" w14:textId="77777777" w:rsidR="001F17B6" w:rsidRPr="006256FC" w:rsidRDefault="001F17B6" w:rsidP="002E3F44">
            <w:pPr>
              <w:spacing w:line="240" w:lineRule="auto"/>
              <w:ind w:firstLine="0"/>
              <w:rPr>
                <w:rFonts w:cs="Times New Roman"/>
              </w:rPr>
            </w:pPr>
          </w:p>
        </w:tc>
      </w:tr>
      <w:tr w:rsidR="001F17B6" w:rsidRPr="006256FC" w14:paraId="2C4F5571"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0C064A3A" w14:textId="77777777" w:rsidR="001F17B6" w:rsidRPr="006256FC" w:rsidRDefault="001F17B6" w:rsidP="002E3F44">
            <w:pPr>
              <w:spacing w:line="240" w:lineRule="auto"/>
              <w:ind w:firstLine="0"/>
              <w:rPr>
                <w:rFonts w:cs="Times New Roman"/>
              </w:rPr>
            </w:pPr>
            <w:r w:rsidRPr="006256FC">
              <w:rPr>
                <w:rFonts w:cs="Times New Roman"/>
                <w:color w:val="000000"/>
              </w:rPr>
              <w:t>RiPP-like</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685A43FF" w14:textId="77777777" w:rsidR="001F17B6" w:rsidRPr="006256FC" w:rsidRDefault="001F17B6" w:rsidP="002E3F44">
            <w:pPr>
              <w:spacing w:line="240" w:lineRule="auto"/>
              <w:ind w:firstLine="0"/>
              <w:jc w:val="center"/>
              <w:rPr>
                <w:rFonts w:cs="Times New Roman"/>
              </w:rPr>
            </w:pPr>
            <w:r w:rsidRPr="006256FC">
              <w:rPr>
                <w:rFonts w:cs="Times New Roman"/>
                <w:color w:val="000000"/>
              </w:rPr>
              <w:t>29</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69EF7EED" w14:textId="77777777" w:rsidR="001F17B6" w:rsidRPr="006256FC" w:rsidRDefault="001F17B6" w:rsidP="002E3F44">
            <w:pPr>
              <w:spacing w:line="240" w:lineRule="auto"/>
              <w:ind w:firstLine="0"/>
              <w:jc w:val="center"/>
              <w:rPr>
                <w:rFonts w:cs="Times New Roman"/>
              </w:rPr>
            </w:pPr>
            <w:r w:rsidRPr="006256FC">
              <w:rPr>
                <w:rFonts w:cs="Times New Roman"/>
                <w:color w:val="000000"/>
              </w:rPr>
              <w:t>67380 – 78210</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23E53C84" w14:textId="77777777" w:rsidR="001F17B6" w:rsidRPr="006256FC" w:rsidRDefault="001F17B6" w:rsidP="002E3F44">
            <w:pPr>
              <w:spacing w:line="240" w:lineRule="auto"/>
              <w:ind w:firstLine="0"/>
              <w:rPr>
                <w:rFonts w:cs="Times New Roman"/>
              </w:rPr>
            </w:pPr>
          </w:p>
        </w:tc>
      </w:tr>
      <w:tr w:rsidR="001F17B6" w:rsidRPr="006256FC" w14:paraId="78ACBD58"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7A8DA072" w14:textId="77777777" w:rsidR="001F17B6" w:rsidRPr="006256FC" w:rsidRDefault="001F17B6" w:rsidP="002E3F44">
            <w:pPr>
              <w:spacing w:line="240" w:lineRule="auto"/>
              <w:ind w:firstLine="0"/>
              <w:rPr>
                <w:rFonts w:cs="Times New Roman"/>
              </w:rPr>
            </w:pPr>
            <w:r w:rsidRPr="006256FC">
              <w:rPr>
                <w:rFonts w:cs="Times New Roman"/>
                <w:color w:val="000000"/>
              </w:rPr>
              <w:t>RiPP-like</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265131CC" w14:textId="77777777" w:rsidR="001F17B6" w:rsidRPr="006256FC" w:rsidRDefault="001F17B6" w:rsidP="002E3F44">
            <w:pPr>
              <w:spacing w:line="240" w:lineRule="auto"/>
              <w:ind w:firstLine="0"/>
              <w:jc w:val="center"/>
              <w:rPr>
                <w:rFonts w:cs="Times New Roman"/>
              </w:rPr>
            </w:pPr>
            <w:r w:rsidRPr="006256FC">
              <w:rPr>
                <w:rFonts w:cs="Times New Roman"/>
                <w:color w:val="000000"/>
              </w:rPr>
              <w:t>53</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13F026AB" w14:textId="77777777" w:rsidR="001F17B6" w:rsidRPr="006256FC" w:rsidRDefault="001F17B6" w:rsidP="002E3F44">
            <w:pPr>
              <w:spacing w:line="240" w:lineRule="auto"/>
              <w:ind w:firstLine="0"/>
              <w:jc w:val="center"/>
              <w:rPr>
                <w:rFonts w:cs="Times New Roman"/>
              </w:rPr>
            </w:pPr>
            <w:r w:rsidRPr="006256FC">
              <w:rPr>
                <w:rFonts w:cs="Times New Roman"/>
                <w:color w:val="000000"/>
              </w:rPr>
              <w:t>31685 – 43283</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7F083380" w14:textId="77777777" w:rsidR="001F17B6" w:rsidRPr="006256FC" w:rsidRDefault="001F17B6" w:rsidP="002E3F44">
            <w:pPr>
              <w:spacing w:line="240" w:lineRule="auto"/>
              <w:ind w:firstLine="0"/>
              <w:rPr>
                <w:rFonts w:cs="Times New Roman"/>
              </w:rPr>
            </w:pPr>
          </w:p>
        </w:tc>
      </w:tr>
      <w:tr w:rsidR="001F17B6" w:rsidRPr="006256FC" w14:paraId="01B42CAE"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15E8BEF3" w14:textId="77777777" w:rsidR="001F17B6" w:rsidRPr="006256FC" w:rsidRDefault="001F17B6" w:rsidP="002E3F44">
            <w:pPr>
              <w:spacing w:line="240" w:lineRule="auto"/>
              <w:ind w:firstLine="0"/>
              <w:rPr>
                <w:rFonts w:cs="Times New Roman"/>
              </w:rPr>
            </w:pPr>
            <w:r w:rsidRPr="006256FC">
              <w:rPr>
                <w:rFonts w:cs="Times New Roman"/>
                <w:color w:val="000000"/>
              </w:rPr>
              <w:t>Terpene</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1CF22BFF" w14:textId="77777777" w:rsidR="001F17B6" w:rsidRPr="006256FC" w:rsidRDefault="001F17B6" w:rsidP="002E3F44">
            <w:pPr>
              <w:spacing w:line="240" w:lineRule="auto"/>
              <w:ind w:firstLine="0"/>
              <w:jc w:val="center"/>
              <w:rPr>
                <w:rFonts w:cs="Times New Roman"/>
              </w:rPr>
            </w:pPr>
            <w:r w:rsidRPr="006256FC">
              <w:rPr>
                <w:rFonts w:cs="Times New Roman"/>
                <w:color w:val="000000"/>
              </w:rPr>
              <w:t>62</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118EA690" w14:textId="77777777" w:rsidR="001F17B6" w:rsidRPr="006256FC" w:rsidRDefault="001F17B6" w:rsidP="002E3F44">
            <w:pPr>
              <w:spacing w:line="240" w:lineRule="auto"/>
              <w:ind w:firstLine="0"/>
              <w:jc w:val="center"/>
              <w:rPr>
                <w:rFonts w:cs="Times New Roman"/>
              </w:rPr>
            </w:pPr>
            <w:r w:rsidRPr="006256FC">
              <w:rPr>
                <w:rFonts w:cs="Times New Roman"/>
                <w:color w:val="000000"/>
              </w:rPr>
              <w:t>26592 – 43142</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28989C62" w14:textId="77777777" w:rsidR="001F17B6" w:rsidRPr="006256FC" w:rsidRDefault="001F17B6" w:rsidP="002E3F44">
            <w:pPr>
              <w:spacing w:line="240" w:lineRule="auto"/>
              <w:ind w:firstLine="0"/>
              <w:rPr>
                <w:rFonts w:cs="Times New Roman"/>
              </w:rPr>
            </w:pPr>
          </w:p>
        </w:tc>
      </w:tr>
      <w:tr w:rsidR="001F17B6" w:rsidRPr="006256FC" w14:paraId="62393D09" w14:textId="77777777" w:rsidTr="002E3F44">
        <w:trPr>
          <w:trHeight w:val="315"/>
        </w:trPr>
        <w:tc>
          <w:tcPr>
            <w:tcW w:w="2657"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7822B0DA" w14:textId="77777777" w:rsidR="001F17B6" w:rsidRPr="006256FC" w:rsidRDefault="001F17B6" w:rsidP="002E3F44">
            <w:pPr>
              <w:spacing w:line="240" w:lineRule="auto"/>
              <w:ind w:firstLine="0"/>
              <w:rPr>
                <w:rFonts w:cs="Times New Roman"/>
              </w:rPr>
            </w:pPr>
            <w:r w:rsidRPr="006256FC">
              <w:rPr>
                <w:rFonts w:cs="Times New Roman"/>
                <w:color w:val="000000"/>
              </w:rPr>
              <w:t>TransAT-PKS</w:t>
            </w:r>
          </w:p>
        </w:tc>
        <w:tc>
          <w:tcPr>
            <w:tcW w:w="65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65E78A64" w14:textId="77777777" w:rsidR="001F17B6" w:rsidRPr="006256FC" w:rsidRDefault="001F17B6" w:rsidP="002E3F44">
            <w:pPr>
              <w:spacing w:line="240" w:lineRule="auto"/>
              <w:ind w:firstLine="0"/>
              <w:jc w:val="center"/>
              <w:rPr>
                <w:rFonts w:cs="Times New Roman"/>
              </w:rPr>
            </w:pPr>
            <w:r w:rsidRPr="006256FC">
              <w:rPr>
                <w:rFonts w:cs="Times New Roman"/>
                <w:color w:val="000000"/>
              </w:rPr>
              <w:t>3</w:t>
            </w:r>
          </w:p>
        </w:tc>
        <w:tc>
          <w:tcPr>
            <w:tcW w:w="1814"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vAlign w:val="bottom"/>
            <w:hideMark/>
          </w:tcPr>
          <w:p w14:paraId="7EB4FE28" w14:textId="77777777" w:rsidR="001F17B6" w:rsidRPr="006256FC" w:rsidRDefault="001F17B6" w:rsidP="002E3F44">
            <w:pPr>
              <w:spacing w:line="240" w:lineRule="auto"/>
              <w:ind w:firstLine="0"/>
              <w:jc w:val="center"/>
              <w:rPr>
                <w:rFonts w:cs="Times New Roman"/>
              </w:rPr>
            </w:pPr>
            <w:r w:rsidRPr="006256FC">
              <w:rPr>
                <w:rFonts w:cs="Times New Roman"/>
                <w:color w:val="000000"/>
              </w:rPr>
              <w:t>1 – 50887</w:t>
            </w:r>
          </w:p>
        </w:tc>
        <w:tc>
          <w:tcPr>
            <w:tcW w:w="3481" w:type="dxa"/>
            <w:tcBorders>
              <w:top w:val="single" w:sz="6" w:space="0" w:color="FFFFFF"/>
              <w:left w:val="single" w:sz="6" w:space="0" w:color="FFFFFF"/>
              <w:bottom w:val="single" w:sz="6" w:space="0" w:color="FFFFFF"/>
              <w:right w:val="single" w:sz="6" w:space="0" w:color="FFFFFF"/>
            </w:tcBorders>
            <w:shd w:val="clear" w:color="auto" w:fill="auto"/>
            <w:tcMar>
              <w:top w:w="6" w:type="dxa"/>
              <w:left w:w="6" w:type="dxa"/>
              <w:bottom w:w="0" w:type="dxa"/>
              <w:right w:w="6" w:type="dxa"/>
            </w:tcMar>
            <w:hideMark/>
          </w:tcPr>
          <w:p w14:paraId="008750F3" w14:textId="77777777" w:rsidR="001F17B6" w:rsidRPr="006256FC" w:rsidRDefault="001F17B6" w:rsidP="002E3F44">
            <w:pPr>
              <w:spacing w:line="240" w:lineRule="auto"/>
              <w:ind w:firstLine="0"/>
              <w:jc w:val="right"/>
              <w:rPr>
                <w:rFonts w:cs="Times New Roman"/>
              </w:rPr>
            </w:pPr>
            <w:r w:rsidRPr="006256FC">
              <w:rPr>
                <w:rFonts w:cs="Times New Roman"/>
                <w:color w:val="000000"/>
              </w:rPr>
              <w:t>Migrastatin / Dorrigocin (45%)</w:t>
            </w:r>
          </w:p>
        </w:tc>
      </w:tr>
      <w:tr w:rsidR="001F17B6" w:rsidRPr="006256FC" w14:paraId="0E2F2C7E" w14:textId="77777777" w:rsidTr="002E3F44">
        <w:trPr>
          <w:trHeight w:val="315"/>
        </w:trPr>
        <w:tc>
          <w:tcPr>
            <w:tcW w:w="2657" w:type="dxa"/>
            <w:tcBorders>
              <w:top w:val="single" w:sz="6" w:space="0" w:color="FFFFFF"/>
              <w:left w:val="single" w:sz="6" w:space="0" w:color="FFFFFF"/>
              <w:bottom w:val="single" w:sz="8" w:space="0" w:color="000000"/>
              <w:right w:val="single" w:sz="6" w:space="0" w:color="FFFFFF"/>
            </w:tcBorders>
            <w:shd w:val="clear" w:color="auto" w:fill="auto"/>
            <w:tcMar>
              <w:top w:w="6" w:type="dxa"/>
              <w:left w:w="6" w:type="dxa"/>
              <w:bottom w:w="0" w:type="dxa"/>
              <w:right w:w="6" w:type="dxa"/>
            </w:tcMar>
            <w:hideMark/>
          </w:tcPr>
          <w:p w14:paraId="48E77C67" w14:textId="77777777" w:rsidR="001F17B6" w:rsidRPr="006256FC" w:rsidRDefault="001F17B6" w:rsidP="002E3F44">
            <w:pPr>
              <w:spacing w:line="240" w:lineRule="auto"/>
              <w:ind w:firstLine="0"/>
              <w:rPr>
                <w:rFonts w:cs="Times New Roman"/>
              </w:rPr>
            </w:pPr>
            <w:r w:rsidRPr="006256FC">
              <w:rPr>
                <w:rFonts w:cs="Times New Roman"/>
                <w:color w:val="000000"/>
              </w:rPr>
              <w:t>TransAT-PKS-like, Butyrolactone</w:t>
            </w:r>
          </w:p>
        </w:tc>
        <w:tc>
          <w:tcPr>
            <w:tcW w:w="651" w:type="dxa"/>
            <w:tcBorders>
              <w:top w:val="single" w:sz="6" w:space="0" w:color="FFFFFF"/>
              <w:left w:val="single" w:sz="6" w:space="0" w:color="FFFFFF"/>
              <w:bottom w:val="single" w:sz="8" w:space="0" w:color="000000"/>
              <w:right w:val="single" w:sz="6" w:space="0" w:color="FFFFFF"/>
            </w:tcBorders>
            <w:shd w:val="clear" w:color="auto" w:fill="auto"/>
            <w:tcMar>
              <w:top w:w="6" w:type="dxa"/>
              <w:left w:w="6" w:type="dxa"/>
              <w:bottom w:w="0" w:type="dxa"/>
              <w:right w:w="6" w:type="dxa"/>
            </w:tcMar>
            <w:vAlign w:val="bottom"/>
            <w:hideMark/>
          </w:tcPr>
          <w:p w14:paraId="739C6391" w14:textId="77777777" w:rsidR="001F17B6" w:rsidRPr="006256FC" w:rsidRDefault="001F17B6" w:rsidP="002E3F44">
            <w:pPr>
              <w:spacing w:line="240" w:lineRule="auto"/>
              <w:ind w:firstLine="0"/>
              <w:jc w:val="center"/>
              <w:rPr>
                <w:rFonts w:cs="Times New Roman"/>
              </w:rPr>
            </w:pPr>
            <w:r w:rsidRPr="006256FC">
              <w:rPr>
                <w:rFonts w:cs="Times New Roman"/>
                <w:color w:val="000000"/>
              </w:rPr>
              <w:t>89</w:t>
            </w:r>
          </w:p>
        </w:tc>
        <w:tc>
          <w:tcPr>
            <w:tcW w:w="1814" w:type="dxa"/>
            <w:tcBorders>
              <w:top w:val="single" w:sz="6" w:space="0" w:color="FFFFFF"/>
              <w:left w:val="single" w:sz="6" w:space="0" w:color="FFFFFF"/>
              <w:bottom w:val="single" w:sz="8" w:space="0" w:color="000000"/>
              <w:right w:val="single" w:sz="6" w:space="0" w:color="FFFFFF"/>
            </w:tcBorders>
            <w:shd w:val="clear" w:color="auto" w:fill="auto"/>
            <w:tcMar>
              <w:top w:w="6" w:type="dxa"/>
              <w:left w:w="6" w:type="dxa"/>
              <w:bottom w:w="0" w:type="dxa"/>
              <w:right w:w="6" w:type="dxa"/>
            </w:tcMar>
            <w:vAlign w:val="bottom"/>
            <w:hideMark/>
          </w:tcPr>
          <w:p w14:paraId="51A49DF2" w14:textId="77777777" w:rsidR="001F17B6" w:rsidRPr="006256FC" w:rsidRDefault="001F17B6" w:rsidP="002E3F44">
            <w:pPr>
              <w:spacing w:line="240" w:lineRule="auto"/>
              <w:ind w:firstLine="0"/>
              <w:jc w:val="center"/>
              <w:rPr>
                <w:rFonts w:cs="Times New Roman"/>
              </w:rPr>
            </w:pPr>
            <w:r w:rsidRPr="006256FC">
              <w:rPr>
                <w:rFonts w:cs="Times New Roman"/>
                <w:color w:val="000000"/>
              </w:rPr>
              <w:t>1 – 19037</w:t>
            </w:r>
          </w:p>
        </w:tc>
        <w:tc>
          <w:tcPr>
            <w:tcW w:w="3481" w:type="dxa"/>
            <w:tcBorders>
              <w:top w:val="single" w:sz="6" w:space="0" w:color="FFFFFF"/>
              <w:left w:val="single" w:sz="6" w:space="0" w:color="FFFFFF"/>
              <w:bottom w:val="single" w:sz="8" w:space="0" w:color="000000"/>
              <w:right w:val="single" w:sz="6" w:space="0" w:color="FFFFFF"/>
            </w:tcBorders>
            <w:shd w:val="clear" w:color="auto" w:fill="auto"/>
            <w:tcMar>
              <w:top w:w="6" w:type="dxa"/>
              <w:left w:w="6" w:type="dxa"/>
              <w:bottom w:w="0" w:type="dxa"/>
              <w:right w:w="6" w:type="dxa"/>
            </w:tcMar>
            <w:hideMark/>
          </w:tcPr>
          <w:p w14:paraId="334C38E3" w14:textId="77777777" w:rsidR="001F17B6" w:rsidRPr="006256FC" w:rsidRDefault="001F17B6" w:rsidP="002E3F44">
            <w:pPr>
              <w:spacing w:line="240" w:lineRule="auto"/>
              <w:ind w:firstLine="0"/>
              <w:rPr>
                <w:rFonts w:cs="Times New Roman"/>
              </w:rPr>
            </w:pPr>
          </w:p>
        </w:tc>
      </w:tr>
      <w:tr w:rsidR="001F17B6" w:rsidRPr="006256FC" w14:paraId="70279670" w14:textId="77777777" w:rsidTr="002E3F44">
        <w:trPr>
          <w:trHeight w:val="568"/>
        </w:trPr>
        <w:tc>
          <w:tcPr>
            <w:tcW w:w="8603" w:type="dxa"/>
            <w:gridSpan w:val="4"/>
            <w:tcBorders>
              <w:top w:val="single" w:sz="8" w:space="0" w:color="000000"/>
              <w:left w:val="single" w:sz="6" w:space="0" w:color="FFFFFF"/>
              <w:bottom w:val="single" w:sz="8" w:space="0" w:color="FFFFFF"/>
              <w:right w:val="single" w:sz="6" w:space="0" w:color="FFFFFF"/>
            </w:tcBorders>
            <w:shd w:val="clear" w:color="auto" w:fill="auto"/>
            <w:tcMar>
              <w:top w:w="6" w:type="dxa"/>
              <w:left w:w="6" w:type="dxa"/>
              <w:bottom w:w="0" w:type="dxa"/>
              <w:right w:w="6" w:type="dxa"/>
            </w:tcMar>
            <w:hideMark/>
          </w:tcPr>
          <w:p w14:paraId="42CA90F3" w14:textId="77777777" w:rsidR="001F17B6" w:rsidRPr="006256FC" w:rsidRDefault="001F17B6" w:rsidP="002E3F44">
            <w:pPr>
              <w:spacing w:line="240" w:lineRule="auto"/>
              <w:ind w:firstLine="0"/>
              <w:rPr>
                <w:rFonts w:cs="Times New Roman"/>
              </w:rPr>
            </w:pPr>
            <w:r w:rsidRPr="006256FC">
              <w:rPr>
                <w:rFonts w:cs="Times New Roman"/>
                <w:i/>
                <w:iCs/>
                <w:color w:val="000000"/>
              </w:rPr>
              <w:t>AT - acetyltransferase. NRPS - nonribosomal peptide synthetase. PKS - polyketide synthase. RiPP - ribosomally synthesized and post-translationally modified peptide.</w:t>
            </w:r>
          </w:p>
        </w:tc>
      </w:tr>
    </w:tbl>
    <w:p w14:paraId="39C33090" w14:textId="77777777" w:rsidR="001F17B6" w:rsidRPr="006256FC" w:rsidRDefault="001F17B6" w:rsidP="001F17B6">
      <w:pPr>
        <w:spacing w:after="200" w:line="240" w:lineRule="auto"/>
        <w:rPr>
          <w:rFonts w:cs="Times New Roman"/>
          <w:b/>
          <w:bCs/>
        </w:rPr>
      </w:pPr>
    </w:p>
    <w:p w14:paraId="102AD11E" w14:textId="77777777" w:rsidR="001F17B6" w:rsidRPr="006256FC" w:rsidRDefault="001F17B6" w:rsidP="001F17B6">
      <w:pPr>
        <w:spacing w:line="240" w:lineRule="auto"/>
        <w:ind w:firstLine="0"/>
        <w:rPr>
          <w:rFonts w:cs="Times New Roman"/>
          <w:b/>
          <w:bCs/>
        </w:rPr>
      </w:pPr>
      <w:r w:rsidRPr="006256FC">
        <w:rPr>
          <w:rFonts w:cs="Times New Roman"/>
          <w:b/>
          <w:bCs/>
        </w:rPr>
        <w:br w:type="page"/>
      </w:r>
    </w:p>
    <w:p w14:paraId="55A52657" w14:textId="437F9DD6" w:rsidR="001F17B6" w:rsidRPr="006256FC" w:rsidRDefault="001F17B6" w:rsidP="00F13F6D">
      <w:pPr>
        <w:pStyle w:val="Caption"/>
      </w:pPr>
      <w:bookmarkStart w:id="254" w:name="_Toc193668464"/>
      <w:r w:rsidRPr="006256FC">
        <w:lastRenderedPageBreak/>
        <w:t xml:space="preserve">Table </w:t>
      </w:r>
      <w:fldSimple w:instr=" STYLEREF 1 \s ">
        <w:r w:rsidR="00971287">
          <w:rPr>
            <w:noProof/>
          </w:rPr>
          <w:t>6</w:t>
        </w:r>
      </w:fldSimple>
      <w:r w:rsidR="00A46B68">
        <w:t>.</w:t>
      </w:r>
      <w:fldSimple w:instr=" SEQ Table \* ARABIC \s 1 ">
        <w:r w:rsidR="00971287">
          <w:rPr>
            <w:noProof/>
          </w:rPr>
          <w:t>4</w:t>
        </w:r>
      </w:fldSimple>
      <w:r w:rsidRPr="006256FC">
        <w:t xml:space="preserve"> Summary of post hoc tests on BGC abundance in Massilia genomes.</w:t>
      </w:r>
      <w:bookmarkEnd w:id="254"/>
    </w:p>
    <w:tbl>
      <w:tblPr>
        <w:tblW w:w="8597" w:type="dxa"/>
        <w:tblCellMar>
          <w:left w:w="0" w:type="dxa"/>
          <w:right w:w="0" w:type="dxa"/>
        </w:tblCellMar>
        <w:tblLook w:val="0600" w:firstRow="0" w:lastRow="0" w:firstColumn="0" w:lastColumn="0" w:noHBand="1" w:noVBand="1"/>
      </w:tblPr>
      <w:tblGrid>
        <w:gridCol w:w="1815"/>
        <w:gridCol w:w="1844"/>
        <w:gridCol w:w="1461"/>
        <w:gridCol w:w="1082"/>
        <w:gridCol w:w="1082"/>
        <w:gridCol w:w="1313"/>
      </w:tblGrid>
      <w:tr w:rsidR="001F17B6" w:rsidRPr="006256FC" w14:paraId="29DC4084" w14:textId="77777777" w:rsidTr="002E3F44">
        <w:trPr>
          <w:trHeight w:val="589"/>
        </w:trPr>
        <w:tc>
          <w:tcPr>
            <w:tcW w:w="1815" w:type="dxa"/>
            <w:tcBorders>
              <w:top w:val="single" w:sz="6" w:space="0" w:color="FFFFFF"/>
              <w:left w:val="single" w:sz="6" w:space="0" w:color="FFFFFF"/>
              <w:bottom w:val="single" w:sz="6" w:space="0" w:color="000000"/>
              <w:right w:val="single" w:sz="6" w:space="0" w:color="FFFFFF"/>
            </w:tcBorders>
            <w:shd w:val="clear" w:color="auto" w:fill="auto"/>
            <w:tcMar>
              <w:top w:w="10" w:type="dxa"/>
              <w:left w:w="10" w:type="dxa"/>
              <w:bottom w:w="0" w:type="dxa"/>
              <w:right w:w="10" w:type="dxa"/>
            </w:tcMar>
            <w:vAlign w:val="bottom"/>
            <w:hideMark/>
          </w:tcPr>
          <w:p w14:paraId="3BBCCB85" w14:textId="77777777" w:rsidR="001F17B6" w:rsidRPr="006256FC" w:rsidRDefault="001F17B6" w:rsidP="002E3F44">
            <w:pPr>
              <w:spacing w:line="240" w:lineRule="auto"/>
              <w:ind w:firstLine="0"/>
              <w:rPr>
                <w:rFonts w:cs="Times New Roman"/>
              </w:rPr>
            </w:pPr>
            <w:r w:rsidRPr="006256FC">
              <w:rPr>
                <w:rFonts w:cs="Times New Roman"/>
                <w:b/>
                <w:bCs/>
                <w:color w:val="000000"/>
              </w:rPr>
              <w:t> </w:t>
            </w:r>
          </w:p>
        </w:tc>
        <w:tc>
          <w:tcPr>
            <w:tcW w:w="1844" w:type="dxa"/>
            <w:tcBorders>
              <w:top w:val="single" w:sz="6" w:space="0" w:color="FFFFFF"/>
              <w:left w:val="single" w:sz="6" w:space="0" w:color="FFFFFF"/>
              <w:bottom w:val="single" w:sz="6" w:space="0" w:color="000000"/>
              <w:right w:val="single" w:sz="6" w:space="0" w:color="FFFFFF"/>
            </w:tcBorders>
            <w:shd w:val="clear" w:color="auto" w:fill="auto"/>
            <w:tcMar>
              <w:top w:w="10" w:type="dxa"/>
              <w:left w:w="10" w:type="dxa"/>
              <w:bottom w:w="0" w:type="dxa"/>
              <w:right w:w="10" w:type="dxa"/>
            </w:tcMar>
            <w:vAlign w:val="bottom"/>
            <w:hideMark/>
          </w:tcPr>
          <w:p w14:paraId="54D88714" w14:textId="77777777" w:rsidR="001F17B6" w:rsidRPr="006256FC" w:rsidRDefault="001F17B6" w:rsidP="002E3F44">
            <w:pPr>
              <w:spacing w:line="240" w:lineRule="auto"/>
              <w:ind w:firstLine="0"/>
              <w:rPr>
                <w:rFonts w:cs="Times New Roman"/>
              </w:rPr>
            </w:pPr>
            <w:r w:rsidRPr="006256FC">
              <w:rPr>
                <w:rFonts w:cs="Times New Roman"/>
                <w:b/>
                <w:bCs/>
                <w:color w:val="000000"/>
              </w:rPr>
              <w:t>Comparison</w:t>
            </w:r>
          </w:p>
        </w:tc>
        <w:tc>
          <w:tcPr>
            <w:tcW w:w="1461" w:type="dxa"/>
            <w:tcBorders>
              <w:top w:val="single" w:sz="6" w:space="0" w:color="FFFFFF"/>
              <w:left w:val="single" w:sz="6" w:space="0" w:color="FFFFFF"/>
              <w:bottom w:val="single" w:sz="6" w:space="0" w:color="000000"/>
              <w:right w:val="single" w:sz="6" w:space="0" w:color="FFFFFF"/>
            </w:tcBorders>
            <w:shd w:val="clear" w:color="auto" w:fill="auto"/>
            <w:tcMar>
              <w:top w:w="10" w:type="dxa"/>
              <w:left w:w="10" w:type="dxa"/>
              <w:bottom w:w="0" w:type="dxa"/>
              <w:right w:w="10" w:type="dxa"/>
            </w:tcMar>
            <w:vAlign w:val="bottom"/>
            <w:hideMark/>
          </w:tcPr>
          <w:p w14:paraId="11C2FB56" w14:textId="77777777" w:rsidR="001F17B6" w:rsidRPr="006256FC" w:rsidRDefault="001F17B6" w:rsidP="002E3F44">
            <w:pPr>
              <w:spacing w:line="240" w:lineRule="auto"/>
              <w:ind w:firstLine="0"/>
              <w:jc w:val="right"/>
              <w:rPr>
                <w:rFonts w:cs="Times New Roman"/>
              </w:rPr>
            </w:pPr>
            <w:r w:rsidRPr="006256FC">
              <w:rPr>
                <w:rFonts w:cs="Times New Roman"/>
                <w:b/>
                <w:bCs/>
                <w:color w:val="000000"/>
              </w:rPr>
              <w:t>Estimated Difference</w:t>
            </w:r>
          </w:p>
        </w:tc>
        <w:tc>
          <w:tcPr>
            <w:tcW w:w="1082" w:type="dxa"/>
            <w:tcBorders>
              <w:top w:val="single" w:sz="6" w:space="0" w:color="FFFFFF"/>
              <w:left w:val="single" w:sz="6" w:space="0" w:color="FFFFFF"/>
              <w:bottom w:val="single" w:sz="6" w:space="0" w:color="000000"/>
              <w:right w:val="single" w:sz="6" w:space="0" w:color="FFFFFF"/>
            </w:tcBorders>
            <w:shd w:val="clear" w:color="auto" w:fill="auto"/>
            <w:tcMar>
              <w:top w:w="10" w:type="dxa"/>
              <w:left w:w="10" w:type="dxa"/>
              <w:bottom w:w="0" w:type="dxa"/>
              <w:right w:w="10" w:type="dxa"/>
            </w:tcMar>
            <w:vAlign w:val="bottom"/>
            <w:hideMark/>
          </w:tcPr>
          <w:p w14:paraId="0030C965" w14:textId="77777777" w:rsidR="001F17B6" w:rsidRPr="006256FC" w:rsidRDefault="001F17B6" w:rsidP="002E3F44">
            <w:pPr>
              <w:spacing w:line="240" w:lineRule="auto"/>
              <w:ind w:firstLine="0"/>
              <w:jc w:val="right"/>
              <w:rPr>
                <w:rFonts w:cs="Times New Roman"/>
              </w:rPr>
            </w:pPr>
            <w:r w:rsidRPr="006256FC">
              <w:rPr>
                <w:rFonts w:cs="Times New Roman"/>
                <w:b/>
                <w:bCs/>
                <w:color w:val="000000"/>
              </w:rPr>
              <w:t>Std. Error</w:t>
            </w:r>
          </w:p>
        </w:tc>
        <w:tc>
          <w:tcPr>
            <w:tcW w:w="1082" w:type="dxa"/>
            <w:tcBorders>
              <w:top w:val="single" w:sz="6" w:space="0" w:color="FFFFFF"/>
              <w:left w:val="single" w:sz="6" w:space="0" w:color="FFFFFF"/>
              <w:bottom w:val="single" w:sz="6" w:space="0" w:color="000000"/>
              <w:right w:val="single" w:sz="6" w:space="0" w:color="FFFFFF"/>
            </w:tcBorders>
            <w:shd w:val="clear" w:color="auto" w:fill="auto"/>
            <w:tcMar>
              <w:top w:w="10" w:type="dxa"/>
              <w:left w:w="10" w:type="dxa"/>
              <w:bottom w:w="0" w:type="dxa"/>
              <w:right w:w="10" w:type="dxa"/>
            </w:tcMar>
            <w:vAlign w:val="bottom"/>
            <w:hideMark/>
          </w:tcPr>
          <w:p w14:paraId="6AAACF2D" w14:textId="77777777" w:rsidR="001F17B6" w:rsidRPr="006256FC" w:rsidRDefault="001F17B6" w:rsidP="002E3F44">
            <w:pPr>
              <w:spacing w:line="240" w:lineRule="auto"/>
              <w:ind w:firstLine="0"/>
              <w:jc w:val="right"/>
              <w:rPr>
                <w:rFonts w:cs="Times New Roman"/>
              </w:rPr>
            </w:pPr>
            <w:r w:rsidRPr="006256FC">
              <w:rPr>
                <w:rFonts w:cs="Times New Roman"/>
                <w:b/>
                <w:bCs/>
                <w:color w:val="000000"/>
              </w:rPr>
              <w:t>t value</w:t>
            </w:r>
          </w:p>
        </w:tc>
        <w:tc>
          <w:tcPr>
            <w:tcW w:w="1313" w:type="dxa"/>
            <w:tcBorders>
              <w:top w:val="single" w:sz="6" w:space="0" w:color="FFFFFF"/>
              <w:left w:val="single" w:sz="6" w:space="0" w:color="FFFFFF"/>
              <w:bottom w:val="single" w:sz="6" w:space="0" w:color="000000"/>
              <w:right w:val="single" w:sz="6" w:space="0" w:color="FFFFFF"/>
            </w:tcBorders>
            <w:shd w:val="clear" w:color="auto" w:fill="auto"/>
            <w:tcMar>
              <w:top w:w="10" w:type="dxa"/>
              <w:left w:w="10" w:type="dxa"/>
              <w:bottom w:w="0" w:type="dxa"/>
              <w:right w:w="10" w:type="dxa"/>
            </w:tcMar>
            <w:vAlign w:val="bottom"/>
            <w:hideMark/>
          </w:tcPr>
          <w:p w14:paraId="35DAE6FD" w14:textId="1BFEA5F3" w:rsidR="001F17B6" w:rsidRPr="006256FC" w:rsidRDefault="001F17B6" w:rsidP="002E3F44">
            <w:pPr>
              <w:spacing w:line="240" w:lineRule="auto"/>
              <w:ind w:firstLine="0"/>
              <w:jc w:val="right"/>
              <w:rPr>
                <w:rFonts w:cs="Times New Roman"/>
              </w:rPr>
            </w:pPr>
            <w:r w:rsidRPr="006256FC">
              <w:rPr>
                <w:rFonts w:cs="Times New Roman"/>
                <w:b/>
                <w:bCs/>
                <w:color w:val="000000"/>
              </w:rPr>
              <w:t>Pr(&gt;|t|)</w:t>
            </w:r>
            <w:r w:rsidR="00C20B57">
              <w:rPr>
                <w:rFonts w:cs="Times New Roman"/>
                <w:b/>
                <w:bCs/>
                <w:color w:val="000000"/>
              </w:rPr>
              <w:t xml:space="preserve">  </w:t>
            </w:r>
          </w:p>
        </w:tc>
      </w:tr>
      <w:tr w:rsidR="001F17B6" w:rsidRPr="006256FC" w14:paraId="3069DCF8" w14:textId="77777777" w:rsidTr="002E3F44">
        <w:trPr>
          <w:trHeight w:val="391"/>
        </w:trPr>
        <w:tc>
          <w:tcPr>
            <w:tcW w:w="1815" w:type="dxa"/>
            <w:vMerge w:val="restart"/>
            <w:tcBorders>
              <w:top w:val="single" w:sz="6" w:space="0" w:color="000000"/>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01A3E22C" w14:textId="77777777" w:rsidR="001F17B6" w:rsidRPr="006256FC" w:rsidRDefault="001F17B6" w:rsidP="002E3F44">
            <w:pPr>
              <w:spacing w:line="240" w:lineRule="auto"/>
              <w:ind w:firstLine="0"/>
              <w:rPr>
                <w:rFonts w:cs="Times New Roman"/>
              </w:rPr>
            </w:pPr>
            <w:r w:rsidRPr="006256FC">
              <w:rPr>
                <w:rFonts w:cs="Times New Roman"/>
                <w:color w:val="000000"/>
              </w:rPr>
              <w:t>Raw abundance</w:t>
            </w:r>
          </w:p>
        </w:tc>
        <w:tc>
          <w:tcPr>
            <w:tcW w:w="1844" w:type="dxa"/>
            <w:tcBorders>
              <w:top w:val="single" w:sz="6" w:space="0" w:color="000000"/>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072859C6" w14:textId="77777777" w:rsidR="001F17B6" w:rsidRPr="006256FC" w:rsidRDefault="001F17B6" w:rsidP="002E3F44">
            <w:pPr>
              <w:spacing w:line="240" w:lineRule="auto"/>
              <w:ind w:firstLine="0"/>
              <w:rPr>
                <w:rFonts w:cs="Times New Roman"/>
              </w:rPr>
            </w:pPr>
            <w:r w:rsidRPr="006256FC">
              <w:rPr>
                <w:rFonts w:cs="Times New Roman"/>
                <w:color w:val="000000"/>
              </w:rPr>
              <w:t>Arctic/alpine to Antarctic</w:t>
            </w:r>
          </w:p>
        </w:tc>
        <w:tc>
          <w:tcPr>
            <w:tcW w:w="1461" w:type="dxa"/>
            <w:tcBorders>
              <w:top w:val="single" w:sz="6" w:space="0" w:color="000000"/>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3208C5B7" w14:textId="77777777" w:rsidR="001F17B6" w:rsidRPr="006256FC" w:rsidRDefault="001F17B6" w:rsidP="002E3F44">
            <w:pPr>
              <w:spacing w:line="240" w:lineRule="auto"/>
              <w:ind w:firstLine="0"/>
              <w:jc w:val="right"/>
              <w:rPr>
                <w:rFonts w:cs="Times New Roman"/>
              </w:rPr>
            </w:pPr>
            <w:r w:rsidRPr="006256FC">
              <w:rPr>
                <w:rFonts w:cs="Times New Roman"/>
                <w:color w:val="000000"/>
              </w:rPr>
              <w:t>-6.643</w:t>
            </w:r>
          </w:p>
        </w:tc>
        <w:tc>
          <w:tcPr>
            <w:tcW w:w="1082" w:type="dxa"/>
            <w:tcBorders>
              <w:top w:val="single" w:sz="6" w:space="0" w:color="000000"/>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1595D915" w14:textId="77777777" w:rsidR="001F17B6" w:rsidRPr="006256FC" w:rsidRDefault="001F17B6" w:rsidP="002E3F44">
            <w:pPr>
              <w:spacing w:line="240" w:lineRule="auto"/>
              <w:ind w:firstLine="0"/>
              <w:jc w:val="right"/>
              <w:rPr>
                <w:rFonts w:cs="Times New Roman"/>
              </w:rPr>
            </w:pPr>
            <w:r w:rsidRPr="006256FC">
              <w:rPr>
                <w:rFonts w:cs="Times New Roman"/>
                <w:color w:val="000000"/>
              </w:rPr>
              <w:t>1.541</w:t>
            </w:r>
          </w:p>
        </w:tc>
        <w:tc>
          <w:tcPr>
            <w:tcW w:w="1082" w:type="dxa"/>
            <w:tcBorders>
              <w:top w:val="single" w:sz="6" w:space="0" w:color="000000"/>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30B5C36C" w14:textId="77777777" w:rsidR="001F17B6" w:rsidRPr="006256FC" w:rsidRDefault="001F17B6" w:rsidP="002E3F44">
            <w:pPr>
              <w:spacing w:line="240" w:lineRule="auto"/>
              <w:ind w:firstLine="0"/>
              <w:jc w:val="right"/>
              <w:rPr>
                <w:rFonts w:cs="Times New Roman"/>
              </w:rPr>
            </w:pPr>
            <w:r w:rsidRPr="006256FC">
              <w:rPr>
                <w:rFonts w:cs="Times New Roman"/>
                <w:color w:val="000000"/>
              </w:rPr>
              <w:t>-4.31</w:t>
            </w:r>
          </w:p>
        </w:tc>
        <w:tc>
          <w:tcPr>
            <w:tcW w:w="1313" w:type="dxa"/>
            <w:tcBorders>
              <w:top w:val="single" w:sz="6" w:space="0" w:color="000000"/>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4816DEB0" w14:textId="77777777" w:rsidR="001F17B6" w:rsidRPr="006256FC" w:rsidRDefault="001F17B6" w:rsidP="002E3F44">
            <w:pPr>
              <w:spacing w:line="240" w:lineRule="auto"/>
              <w:ind w:firstLine="0"/>
              <w:jc w:val="right"/>
              <w:rPr>
                <w:rFonts w:cs="Times New Roman"/>
              </w:rPr>
            </w:pPr>
            <w:r w:rsidRPr="006256FC">
              <w:rPr>
                <w:rFonts w:cs="Times New Roman"/>
                <w:color w:val="000000"/>
              </w:rPr>
              <w:t>&lt; 0.001</w:t>
            </w:r>
          </w:p>
        </w:tc>
      </w:tr>
      <w:tr w:rsidR="001F17B6" w:rsidRPr="006256FC" w14:paraId="44D7BD1D" w14:textId="77777777" w:rsidTr="002E3F44">
        <w:trPr>
          <w:trHeight w:val="391"/>
        </w:trPr>
        <w:tc>
          <w:tcPr>
            <w:tcW w:w="1815" w:type="dxa"/>
            <w:vMerge/>
            <w:tcBorders>
              <w:top w:val="single" w:sz="6" w:space="0" w:color="000000"/>
              <w:left w:val="single" w:sz="6" w:space="0" w:color="FFFFFF"/>
              <w:bottom w:val="single" w:sz="6" w:space="0" w:color="FFFFFF"/>
              <w:right w:val="single" w:sz="6" w:space="0" w:color="FFFFFF"/>
            </w:tcBorders>
            <w:vAlign w:val="center"/>
            <w:hideMark/>
          </w:tcPr>
          <w:p w14:paraId="684EDBC6" w14:textId="77777777" w:rsidR="001F17B6" w:rsidRPr="006256FC" w:rsidRDefault="001F17B6" w:rsidP="002E3F44">
            <w:pPr>
              <w:spacing w:line="240" w:lineRule="auto"/>
              <w:ind w:firstLine="0"/>
              <w:rPr>
                <w:rFonts w:cs="Times New Roman"/>
              </w:rPr>
            </w:pPr>
          </w:p>
        </w:tc>
        <w:tc>
          <w:tcPr>
            <w:tcW w:w="1844"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34523849" w14:textId="77777777" w:rsidR="001F17B6" w:rsidRPr="006256FC" w:rsidRDefault="001F17B6" w:rsidP="002E3F44">
            <w:pPr>
              <w:spacing w:line="240" w:lineRule="auto"/>
              <w:ind w:firstLine="0"/>
              <w:rPr>
                <w:rFonts w:cs="Times New Roman"/>
              </w:rPr>
            </w:pPr>
            <w:r w:rsidRPr="006256FC">
              <w:rPr>
                <w:rFonts w:cs="Times New Roman"/>
                <w:color w:val="000000"/>
              </w:rPr>
              <w:t>Mesophile to Antarctic</w:t>
            </w:r>
          </w:p>
        </w:tc>
        <w:tc>
          <w:tcPr>
            <w:tcW w:w="1461"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51461DF0" w14:textId="77777777" w:rsidR="001F17B6" w:rsidRPr="006256FC" w:rsidRDefault="001F17B6" w:rsidP="002E3F44">
            <w:pPr>
              <w:spacing w:line="240" w:lineRule="auto"/>
              <w:ind w:firstLine="0"/>
              <w:jc w:val="right"/>
              <w:rPr>
                <w:rFonts w:cs="Times New Roman"/>
              </w:rPr>
            </w:pPr>
            <w:r w:rsidRPr="006256FC">
              <w:rPr>
                <w:rFonts w:cs="Times New Roman"/>
                <w:color w:val="000000"/>
              </w:rPr>
              <w:t>-6.318</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09F75CBA" w14:textId="77777777" w:rsidR="001F17B6" w:rsidRPr="006256FC" w:rsidRDefault="001F17B6" w:rsidP="002E3F44">
            <w:pPr>
              <w:spacing w:line="240" w:lineRule="auto"/>
              <w:ind w:firstLine="0"/>
              <w:jc w:val="right"/>
              <w:rPr>
                <w:rFonts w:cs="Times New Roman"/>
              </w:rPr>
            </w:pPr>
            <w:r w:rsidRPr="006256FC">
              <w:rPr>
                <w:rFonts w:cs="Times New Roman"/>
                <w:color w:val="000000"/>
              </w:rPr>
              <w:t>1.276</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71AD0B8E" w14:textId="77777777" w:rsidR="001F17B6" w:rsidRPr="006256FC" w:rsidRDefault="001F17B6" w:rsidP="002E3F44">
            <w:pPr>
              <w:spacing w:line="240" w:lineRule="auto"/>
              <w:ind w:firstLine="0"/>
              <w:jc w:val="right"/>
              <w:rPr>
                <w:rFonts w:cs="Times New Roman"/>
              </w:rPr>
            </w:pPr>
            <w:r w:rsidRPr="006256FC">
              <w:rPr>
                <w:rFonts w:cs="Times New Roman"/>
                <w:color w:val="000000"/>
              </w:rPr>
              <w:t>-4.95</w:t>
            </w:r>
          </w:p>
        </w:tc>
        <w:tc>
          <w:tcPr>
            <w:tcW w:w="1313"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16A14B70" w14:textId="77777777" w:rsidR="001F17B6" w:rsidRPr="006256FC" w:rsidRDefault="001F17B6" w:rsidP="002E3F44">
            <w:pPr>
              <w:spacing w:line="240" w:lineRule="auto"/>
              <w:ind w:firstLine="0"/>
              <w:jc w:val="right"/>
              <w:rPr>
                <w:rFonts w:cs="Times New Roman"/>
              </w:rPr>
            </w:pPr>
            <w:r w:rsidRPr="006256FC">
              <w:rPr>
                <w:rFonts w:cs="Times New Roman"/>
                <w:color w:val="000000"/>
              </w:rPr>
              <w:t>&lt; 0.001</w:t>
            </w:r>
          </w:p>
        </w:tc>
      </w:tr>
      <w:tr w:rsidR="001F17B6" w:rsidRPr="006256FC" w14:paraId="00FC0DDB" w14:textId="77777777" w:rsidTr="002E3F44">
        <w:trPr>
          <w:trHeight w:val="391"/>
        </w:trPr>
        <w:tc>
          <w:tcPr>
            <w:tcW w:w="1815" w:type="dxa"/>
            <w:vMerge/>
            <w:tcBorders>
              <w:top w:val="single" w:sz="6" w:space="0" w:color="000000"/>
              <w:left w:val="single" w:sz="6" w:space="0" w:color="FFFFFF"/>
              <w:bottom w:val="single" w:sz="6" w:space="0" w:color="FFFFFF"/>
              <w:right w:val="single" w:sz="6" w:space="0" w:color="FFFFFF"/>
            </w:tcBorders>
            <w:vAlign w:val="center"/>
            <w:hideMark/>
          </w:tcPr>
          <w:p w14:paraId="237EC892" w14:textId="77777777" w:rsidR="001F17B6" w:rsidRPr="006256FC" w:rsidRDefault="001F17B6" w:rsidP="002E3F44">
            <w:pPr>
              <w:spacing w:line="240" w:lineRule="auto"/>
              <w:ind w:firstLine="0"/>
              <w:rPr>
                <w:rFonts w:cs="Times New Roman"/>
              </w:rPr>
            </w:pPr>
          </w:p>
        </w:tc>
        <w:tc>
          <w:tcPr>
            <w:tcW w:w="1844"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51E14402" w14:textId="77777777" w:rsidR="001F17B6" w:rsidRPr="006256FC" w:rsidRDefault="001F17B6" w:rsidP="002E3F44">
            <w:pPr>
              <w:spacing w:line="240" w:lineRule="auto"/>
              <w:ind w:firstLine="0"/>
              <w:rPr>
                <w:rFonts w:cs="Times New Roman"/>
              </w:rPr>
            </w:pPr>
            <w:r w:rsidRPr="006256FC">
              <w:rPr>
                <w:rFonts w:cs="Times New Roman"/>
                <w:color w:val="000000"/>
              </w:rPr>
              <w:t xml:space="preserve">Mesophile to </w:t>
            </w:r>
            <w:r w:rsidRPr="006256FC">
              <w:rPr>
                <w:rFonts w:cs="Times New Roman"/>
                <w:color w:val="000000" w:themeColor="dark1"/>
              </w:rPr>
              <w:t>Arctic/alpine</w:t>
            </w:r>
          </w:p>
        </w:tc>
        <w:tc>
          <w:tcPr>
            <w:tcW w:w="1461"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49FAD8B1" w14:textId="77777777" w:rsidR="001F17B6" w:rsidRPr="006256FC" w:rsidRDefault="001F17B6" w:rsidP="002E3F44">
            <w:pPr>
              <w:spacing w:line="240" w:lineRule="auto"/>
              <w:ind w:firstLine="0"/>
              <w:jc w:val="right"/>
              <w:rPr>
                <w:rFonts w:cs="Times New Roman"/>
              </w:rPr>
            </w:pPr>
            <w:r w:rsidRPr="006256FC">
              <w:rPr>
                <w:rFonts w:cs="Times New Roman"/>
                <w:color w:val="000000"/>
              </w:rPr>
              <w:t>0.325</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3757E195" w14:textId="77777777" w:rsidR="001F17B6" w:rsidRPr="006256FC" w:rsidRDefault="001F17B6" w:rsidP="002E3F44">
            <w:pPr>
              <w:spacing w:line="240" w:lineRule="auto"/>
              <w:ind w:firstLine="0"/>
              <w:jc w:val="right"/>
              <w:rPr>
                <w:rFonts w:cs="Times New Roman"/>
              </w:rPr>
            </w:pPr>
            <w:r w:rsidRPr="006256FC">
              <w:rPr>
                <w:rFonts w:cs="Times New Roman"/>
                <w:color w:val="000000"/>
              </w:rPr>
              <w:t>1.202</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4175DE75" w14:textId="77777777" w:rsidR="001F17B6" w:rsidRPr="006256FC" w:rsidRDefault="001F17B6" w:rsidP="002E3F44">
            <w:pPr>
              <w:spacing w:line="240" w:lineRule="auto"/>
              <w:ind w:firstLine="0"/>
              <w:jc w:val="right"/>
              <w:rPr>
                <w:rFonts w:cs="Times New Roman"/>
              </w:rPr>
            </w:pPr>
            <w:r w:rsidRPr="006256FC">
              <w:rPr>
                <w:rFonts w:cs="Times New Roman"/>
                <w:color w:val="000000"/>
              </w:rPr>
              <w:t>0.27</w:t>
            </w:r>
          </w:p>
        </w:tc>
        <w:tc>
          <w:tcPr>
            <w:tcW w:w="1313"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61E3F35C" w14:textId="77777777" w:rsidR="001F17B6" w:rsidRPr="006256FC" w:rsidRDefault="001F17B6" w:rsidP="002E3F44">
            <w:pPr>
              <w:spacing w:line="240" w:lineRule="auto"/>
              <w:ind w:firstLine="0"/>
              <w:jc w:val="right"/>
              <w:rPr>
                <w:rFonts w:cs="Times New Roman"/>
              </w:rPr>
            </w:pPr>
            <w:r w:rsidRPr="006256FC">
              <w:rPr>
                <w:rFonts w:cs="Times New Roman"/>
                <w:color w:val="000000"/>
              </w:rPr>
              <w:t>0.960</w:t>
            </w:r>
          </w:p>
        </w:tc>
      </w:tr>
      <w:tr w:rsidR="001F17B6" w:rsidRPr="006256FC" w14:paraId="480E1C21" w14:textId="77777777" w:rsidTr="002E3F44">
        <w:trPr>
          <w:trHeight w:val="391"/>
        </w:trPr>
        <w:tc>
          <w:tcPr>
            <w:tcW w:w="1815"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60AC4095" w14:textId="77777777" w:rsidR="001F17B6" w:rsidRPr="006256FC" w:rsidRDefault="001F17B6" w:rsidP="002E3F44">
            <w:pPr>
              <w:spacing w:line="240" w:lineRule="auto"/>
              <w:ind w:firstLine="0"/>
              <w:rPr>
                <w:rFonts w:cs="Times New Roman"/>
              </w:rPr>
            </w:pPr>
            <w:r w:rsidRPr="006256FC">
              <w:rPr>
                <w:rFonts w:cs="Times New Roman"/>
                <w:color w:val="000000"/>
              </w:rPr>
              <w:t> </w:t>
            </w:r>
          </w:p>
        </w:tc>
        <w:tc>
          <w:tcPr>
            <w:tcW w:w="1844"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4B366C8C" w14:textId="77777777" w:rsidR="001F17B6" w:rsidRPr="006256FC" w:rsidRDefault="001F17B6" w:rsidP="002E3F44">
            <w:pPr>
              <w:spacing w:line="240" w:lineRule="auto"/>
              <w:ind w:firstLine="0"/>
              <w:rPr>
                <w:rFonts w:cs="Times New Roman"/>
              </w:rPr>
            </w:pPr>
            <w:r w:rsidRPr="006256FC">
              <w:rPr>
                <w:rFonts w:cs="Times New Roman"/>
                <w:color w:val="000000"/>
              </w:rPr>
              <w:t> </w:t>
            </w:r>
          </w:p>
        </w:tc>
        <w:tc>
          <w:tcPr>
            <w:tcW w:w="1461"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01EF02B1" w14:textId="77777777" w:rsidR="001F17B6" w:rsidRPr="006256FC" w:rsidRDefault="001F17B6" w:rsidP="002E3F44">
            <w:pPr>
              <w:spacing w:line="240" w:lineRule="auto"/>
              <w:ind w:firstLine="0"/>
              <w:jc w:val="right"/>
              <w:rPr>
                <w:rFonts w:cs="Times New Roman"/>
              </w:rPr>
            </w:pPr>
            <w:r w:rsidRPr="006256FC">
              <w:rPr>
                <w:rFonts w:cs="Times New Roman"/>
                <w:color w:val="000000"/>
              </w:rPr>
              <w:t> </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4946ECE2" w14:textId="77777777" w:rsidR="001F17B6" w:rsidRPr="006256FC" w:rsidRDefault="001F17B6" w:rsidP="002E3F44">
            <w:pPr>
              <w:spacing w:line="240" w:lineRule="auto"/>
              <w:ind w:firstLine="0"/>
              <w:jc w:val="right"/>
              <w:rPr>
                <w:rFonts w:cs="Times New Roman"/>
              </w:rPr>
            </w:pPr>
            <w:r w:rsidRPr="006256FC">
              <w:rPr>
                <w:rFonts w:cs="Times New Roman"/>
                <w:color w:val="000000"/>
              </w:rPr>
              <w:t> </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40FA76DE" w14:textId="77777777" w:rsidR="001F17B6" w:rsidRPr="006256FC" w:rsidRDefault="001F17B6" w:rsidP="002E3F44">
            <w:pPr>
              <w:spacing w:line="240" w:lineRule="auto"/>
              <w:ind w:firstLine="0"/>
              <w:jc w:val="right"/>
              <w:rPr>
                <w:rFonts w:cs="Times New Roman"/>
              </w:rPr>
            </w:pPr>
            <w:r w:rsidRPr="006256FC">
              <w:rPr>
                <w:rFonts w:cs="Times New Roman"/>
                <w:color w:val="000000"/>
              </w:rPr>
              <w:t> </w:t>
            </w:r>
          </w:p>
        </w:tc>
        <w:tc>
          <w:tcPr>
            <w:tcW w:w="1313"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63AEE82E" w14:textId="77777777" w:rsidR="001F17B6" w:rsidRPr="006256FC" w:rsidRDefault="001F17B6" w:rsidP="002E3F44">
            <w:pPr>
              <w:spacing w:line="240" w:lineRule="auto"/>
              <w:ind w:firstLine="0"/>
              <w:jc w:val="right"/>
              <w:rPr>
                <w:rFonts w:cs="Times New Roman"/>
              </w:rPr>
            </w:pPr>
            <w:r w:rsidRPr="006256FC">
              <w:rPr>
                <w:rFonts w:cs="Times New Roman"/>
                <w:color w:val="000000"/>
              </w:rPr>
              <w:t> </w:t>
            </w:r>
          </w:p>
        </w:tc>
      </w:tr>
      <w:tr w:rsidR="001F17B6" w:rsidRPr="006256FC" w14:paraId="52852DB7" w14:textId="77777777" w:rsidTr="002E3F44">
        <w:trPr>
          <w:trHeight w:val="391"/>
        </w:trPr>
        <w:tc>
          <w:tcPr>
            <w:tcW w:w="1815" w:type="dxa"/>
            <w:vMerge w:val="restart"/>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6059FBA6" w14:textId="77777777" w:rsidR="001F17B6" w:rsidRPr="006256FC" w:rsidRDefault="001F17B6" w:rsidP="002E3F44">
            <w:pPr>
              <w:spacing w:line="240" w:lineRule="auto"/>
              <w:ind w:firstLine="0"/>
              <w:rPr>
                <w:rFonts w:cs="Times New Roman"/>
              </w:rPr>
            </w:pPr>
            <w:r w:rsidRPr="006256FC">
              <w:rPr>
                <w:rFonts w:cs="Times New Roman"/>
                <w:color w:val="000000"/>
              </w:rPr>
              <w:t>Normalized to genome size*10</w:t>
            </w:r>
            <w:r w:rsidRPr="006256FC">
              <w:rPr>
                <w:rFonts w:cs="Times New Roman"/>
                <w:color w:val="000000"/>
                <w:position w:val="7"/>
                <w:vertAlign w:val="superscript"/>
              </w:rPr>
              <w:t>6</w:t>
            </w:r>
          </w:p>
        </w:tc>
        <w:tc>
          <w:tcPr>
            <w:tcW w:w="1844"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7717EB17" w14:textId="77777777" w:rsidR="001F17B6" w:rsidRPr="006256FC" w:rsidRDefault="001F17B6" w:rsidP="002E3F44">
            <w:pPr>
              <w:spacing w:line="240" w:lineRule="auto"/>
              <w:ind w:firstLine="0"/>
              <w:rPr>
                <w:rFonts w:cs="Times New Roman"/>
              </w:rPr>
            </w:pPr>
            <w:r w:rsidRPr="006256FC">
              <w:rPr>
                <w:rFonts w:cs="Times New Roman"/>
                <w:color w:val="000000"/>
              </w:rPr>
              <w:t>Arctic/alpine to Antarctic</w:t>
            </w:r>
          </w:p>
        </w:tc>
        <w:tc>
          <w:tcPr>
            <w:tcW w:w="1461"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6BA2BEC0" w14:textId="77777777" w:rsidR="001F17B6" w:rsidRPr="006256FC" w:rsidRDefault="001F17B6" w:rsidP="002E3F44">
            <w:pPr>
              <w:spacing w:line="240" w:lineRule="auto"/>
              <w:ind w:firstLine="0"/>
              <w:jc w:val="right"/>
              <w:rPr>
                <w:rFonts w:cs="Times New Roman"/>
              </w:rPr>
            </w:pPr>
            <w:r w:rsidRPr="006256FC">
              <w:rPr>
                <w:rFonts w:cs="Times New Roman"/>
                <w:color w:val="000000"/>
              </w:rPr>
              <w:t>-0.495</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5D7CAD15" w14:textId="77777777" w:rsidR="001F17B6" w:rsidRPr="006256FC" w:rsidRDefault="001F17B6" w:rsidP="002E3F44">
            <w:pPr>
              <w:spacing w:line="240" w:lineRule="auto"/>
              <w:ind w:firstLine="0"/>
              <w:jc w:val="right"/>
              <w:rPr>
                <w:rFonts w:cs="Times New Roman"/>
              </w:rPr>
            </w:pPr>
            <w:r w:rsidRPr="006256FC">
              <w:rPr>
                <w:rFonts w:cs="Times New Roman"/>
                <w:color w:val="000000"/>
              </w:rPr>
              <w:t>0.201</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1308D6AC" w14:textId="77777777" w:rsidR="001F17B6" w:rsidRPr="006256FC" w:rsidRDefault="001F17B6" w:rsidP="002E3F44">
            <w:pPr>
              <w:spacing w:line="240" w:lineRule="auto"/>
              <w:ind w:firstLine="0"/>
              <w:jc w:val="right"/>
              <w:rPr>
                <w:rFonts w:cs="Times New Roman"/>
              </w:rPr>
            </w:pPr>
            <w:r w:rsidRPr="006256FC">
              <w:rPr>
                <w:rFonts w:cs="Times New Roman"/>
                <w:color w:val="000000"/>
              </w:rPr>
              <w:t>-2.467</w:t>
            </w:r>
          </w:p>
        </w:tc>
        <w:tc>
          <w:tcPr>
            <w:tcW w:w="1313"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5520485E" w14:textId="77777777" w:rsidR="001F17B6" w:rsidRPr="006256FC" w:rsidRDefault="001F17B6" w:rsidP="002E3F44">
            <w:pPr>
              <w:spacing w:line="240" w:lineRule="auto"/>
              <w:ind w:firstLine="0"/>
              <w:jc w:val="right"/>
              <w:rPr>
                <w:rFonts w:cs="Times New Roman"/>
              </w:rPr>
            </w:pPr>
            <w:r w:rsidRPr="006256FC">
              <w:rPr>
                <w:rFonts w:cs="Times New Roman"/>
                <w:color w:val="000000"/>
              </w:rPr>
              <w:t>0.048</w:t>
            </w:r>
          </w:p>
        </w:tc>
      </w:tr>
      <w:tr w:rsidR="001F17B6" w:rsidRPr="006256FC" w14:paraId="3C841BDC" w14:textId="77777777" w:rsidTr="002E3F44">
        <w:trPr>
          <w:trHeight w:val="391"/>
        </w:trPr>
        <w:tc>
          <w:tcPr>
            <w:tcW w:w="1815" w:type="dxa"/>
            <w:vMerge/>
            <w:tcBorders>
              <w:top w:val="single" w:sz="6" w:space="0" w:color="FFFFFF"/>
              <w:left w:val="single" w:sz="6" w:space="0" w:color="FFFFFF"/>
              <w:bottom w:val="single" w:sz="6" w:space="0" w:color="FFFFFF"/>
              <w:right w:val="single" w:sz="6" w:space="0" w:color="FFFFFF"/>
            </w:tcBorders>
            <w:vAlign w:val="center"/>
            <w:hideMark/>
          </w:tcPr>
          <w:p w14:paraId="5A37B114" w14:textId="77777777" w:rsidR="001F17B6" w:rsidRPr="006256FC" w:rsidRDefault="001F17B6" w:rsidP="002E3F44">
            <w:pPr>
              <w:spacing w:line="240" w:lineRule="auto"/>
              <w:ind w:firstLine="0"/>
              <w:rPr>
                <w:rFonts w:cs="Times New Roman"/>
              </w:rPr>
            </w:pPr>
          </w:p>
        </w:tc>
        <w:tc>
          <w:tcPr>
            <w:tcW w:w="1844"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25911FD0" w14:textId="77777777" w:rsidR="001F17B6" w:rsidRPr="006256FC" w:rsidRDefault="001F17B6" w:rsidP="002E3F44">
            <w:pPr>
              <w:spacing w:line="240" w:lineRule="auto"/>
              <w:ind w:firstLine="0"/>
              <w:rPr>
                <w:rFonts w:cs="Times New Roman"/>
              </w:rPr>
            </w:pPr>
            <w:r w:rsidRPr="006256FC">
              <w:rPr>
                <w:rFonts w:cs="Times New Roman"/>
                <w:color w:val="000000"/>
              </w:rPr>
              <w:t>Mesophile to Antarctic</w:t>
            </w:r>
          </w:p>
        </w:tc>
        <w:tc>
          <w:tcPr>
            <w:tcW w:w="1461"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4B7E3658" w14:textId="77777777" w:rsidR="001F17B6" w:rsidRPr="006256FC" w:rsidRDefault="001F17B6" w:rsidP="002E3F44">
            <w:pPr>
              <w:spacing w:line="240" w:lineRule="auto"/>
              <w:ind w:firstLine="0"/>
              <w:jc w:val="right"/>
              <w:rPr>
                <w:rFonts w:cs="Times New Roman"/>
              </w:rPr>
            </w:pPr>
            <w:r w:rsidRPr="006256FC">
              <w:rPr>
                <w:rFonts w:cs="Times New Roman"/>
                <w:color w:val="000000"/>
              </w:rPr>
              <w:t>-0.464</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43F7A842" w14:textId="77777777" w:rsidR="001F17B6" w:rsidRPr="006256FC" w:rsidRDefault="001F17B6" w:rsidP="002E3F44">
            <w:pPr>
              <w:spacing w:line="240" w:lineRule="auto"/>
              <w:ind w:firstLine="0"/>
              <w:jc w:val="right"/>
              <w:rPr>
                <w:rFonts w:cs="Times New Roman"/>
              </w:rPr>
            </w:pPr>
            <w:r w:rsidRPr="006256FC">
              <w:rPr>
                <w:rFonts w:cs="Times New Roman"/>
                <w:color w:val="000000"/>
              </w:rPr>
              <w:t>0.166</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0EFEC119" w14:textId="77777777" w:rsidR="001F17B6" w:rsidRPr="006256FC" w:rsidRDefault="001F17B6" w:rsidP="002E3F44">
            <w:pPr>
              <w:spacing w:line="240" w:lineRule="auto"/>
              <w:ind w:firstLine="0"/>
              <w:jc w:val="right"/>
              <w:rPr>
                <w:rFonts w:cs="Times New Roman"/>
              </w:rPr>
            </w:pPr>
            <w:r w:rsidRPr="006256FC">
              <w:rPr>
                <w:rFonts w:cs="Times New Roman"/>
                <w:color w:val="000000"/>
              </w:rPr>
              <w:t>-2.793</w:t>
            </w:r>
          </w:p>
        </w:tc>
        <w:tc>
          <w:tcPr>
            <w:tcW w:w="1313"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5E429CBE" w14:textId="77777777" w:rsidR="001F17B6" w:rsidRPr="006256FC" w:rsidRDefault="001F17B6" w:rsidP="002E3F44">
            <w:pPr>
              <w:spacing w:line="240" w:lineRule="auto"/>
              <w:ind w:firstLine="0"/>
              <w:jc w:val="right"/>
              <w:rPr>
                <w:rFonts w:cs="Times New Roman"/>
              </w:rPr>
            </w:pPr>
            <w:r w:rsidRPr="006256FC">
              <w:rPr>
                <w:rFonts w:cs="Times New Roman"/>
                <w:color w:val="000000"/>
              </w:rPr>
              <w:t>0.023</w:t>
            </w:r>
          </w:p>
        </w:tc>
      </w:tr>
      <w:tr w:rsidR="001F17B6" w:rsidRPr="006256FC" w14:paraId="5BE901FA" w14:textId="77777777" w:rsidTr="002E3F44">
        <w:trPr>
          <w:trHeight w:val="391"/>
        </w:trPr>
        <w:tc>
          <w:tcPr>
            <w:tcW w:w="1815" w:type="dxa"/>
            <w:vMerge/>
            <w:tcBorders>
              <w:top w:val="single" w:sz="6" w:space="0" w:color="FFFFFF"/>
              <w:left w:val="single" w:sz="6" w:space="0" w:color="FFFFFF"/>
              <w:bottom w:val="single" w:sz="6" w:space="0" w:color="FFFFFF"/>
              <w:right w:val="single" w:sz="6" w:space="0" w:color="FFFFFF"/>
            </w:tcBorders>
            <w:vAlign w:val="center"/>
            <w:hideMark/>
          </w:tcPr>
          <w:p w14:paraId="332DA3E9" w14:textId="77777777" w:rsidR="001F17B6" w:rsidRPr="006256FC" w:rsidRDefault="001F17B6" w:rsidP="002E3F44">
            <w:pPr>
              <w:spacing w:line="240" w:lineRule="auto"/>
              <w:ind w:firstLine="0"/>
              <w:rPr>
                <w:rFonts w:cs="Times New Roman"/>
              </w:rPr>
            </w:pPr>
          </w:p>
        </w:tc>
        <w:tc>
          <w:tcPr>
            <w:tcW w:w="1844"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78F5E514" w14:textId="77777777" w:rsidR="001F17B6" w:rsidRPr="006256FC" w:rsidRDefault="001F17B6" w:rsidP="002E3F44">
            <w:pPr>
              <w:spacing w:line="240" w:lineRule="auto"/>
              <w:ind w:firstLine="0"/>
              <w:rPr>
                <w:rFonts w:cs="Times New Roman"/>
              </w:rPr>
            </w:pPr>
            <w:r w:rsidRPr="006256FC">
              <w:rPr>
                <w:rFonts w:cs="Times New Roman"/>
                <w:color w:val="000000"/>
              </w:rPr>
              <w:t xml:space="preserve">Mesophile to </w:t>
            </w:r>
            <w:r w:rsidRPr="006256FC">
              <w:rPr>
                <w:rFonts w:cs="Times New Roman"/>
                <w:color w:val="000000" w:themeColor="dark1"/>
              </w:rPr>
              <w:t>Arctic/alpine</w:t>
            </w:r>
          </w:p>
        </w:tc>
        <w:tc>
          <w:tcPr>
            <w:tcW w:w="1461"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0C621C64" w14:textId="77777777" w:rsidR="001F17B6" w:rsidRPr="006256FC" w:rsidRDefault="001F17B6" w:rsidP="002E3F44">
            <w:pPr>
              <w:spacing w:line="240" w:lineRule="auto"/>
              <w:ind w:firstLine="0"/>
              <w:jc w:val="right"/>
              <w:rPr>
                <w:rFonts w:cs="Times New Roman"/>
              </w:rPr>
            </w:pPr>
            <w:r w:rsidRPr="006256FC">
              <w:rPr>
                <w:rFonts w:cs="Times New Roman"/>
                <w:color w:val="000000"/>
              </w:rPr>
              <w:t>0.031</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2AE7E000" w14:textId="77777777" w:rsidR="001F17B6" w:rsidRPr="006256FC" w:rsidRDefault="001F17B6" w:rsidP="002E3F44">
            <w:pPr>
              <w:spacing w:line="240" w:lineRule="auto"/>
              <w:ind w:firstLine="0"/>
              <w:jc w:val="right"/>
              <w:rPr>
                <w:rFonts w:cs="Times New Roman"/>
              </w:rPr>
            </w:pPr>
            <w:r w:rsidRPr="006256FC">
              <w:rPr>
                <w:rFonts w:cs="Times New Roman"/>
                <w:color w:val="000000"/>
              </w:rPr>
              <w:t>0.156</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1C893845" w14:textId="77777777" w:rsidR="001F17B6" w:rsidRPr="006256FC" w:rsidRDefault="001F17B6" w:rsidP="002E3F44">
            <w:pPr>
              <w:spacing w:line="240" w:lineRule="auto"/>
              <w:ind w:firstLine="0"/>
              <w:jc w:val="right"/>
              <w:rPr>
                <w:rFonts w:cs="Times New Roman"/>
              </w:rPr>
            </w:pPr>
            <w:r w:rsidRPr="006256FC">
              <w:rPr>
                <w:rFonts w:cs="Times New Roman"/>
                <w:color w:val="000000"/>
              </w:rPr>
              <w:t>0.198</w:t>
            </w:r>
          </w:p>
        </w:tc>
        <w:tc>
          <w:tcPr>
            <w:tcW w:w="1313"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5740617E" w14:textId="77777777" w:rsidR="001F17B6" w:rsidRPr="006256FC" w:rsidRDefault="001F17B6" w:rsidP="002E3F44">
            <w:pPr>
              <w:spacing w:line="240" w:lineRule="auto"/>
              <w:ind w:firstLine="0"/>
              <w:jc w:val="right"/>
              <w:rPr>
                <w:rFonts w:cs="Times New Roman"/>
              </w:rPr>
            </w:pPr>
            <w:r w:rsidRPr="006256FC">
              <w:rPr>
                <w:rFonts w:cs="Times New Roman"/>
                <w:color w:val="000000"/>
              </w:rPr>
              <w:t>0.978</w:t>
            </w:r>
          </w:p>
        </w:tc>
      </w:tr>
      <w:tr w:rsidR="001F17B6" w:rsidRPr="006256FC" w14:paraId="62EC74AC" w14:textId="77777777" w:rsidTr="002E3F44">
        <w:trPr>
          <w:trHeight w:val="391"/>
        </w:trPr>
        <w:tc>
          <w:tcPr>
            <w:tcW w:w="1815"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14FDC08B" w14:textId="77777777" w:rsidR="001F17B6" w:rsidRPr="006256FC" w:rsidRDefault="001F17B6" w:rsidP="002E3F44">
            <w:pPr>
              <w:spacing w:line="240" w:lineRule="auto"/>
              <w:ind w:firstLine="0"/>
              <w:rPr>
                <w:rFonts w:cs="Times New Roman"/>
              </w:rPr>
            </w:pPr>
            <w:r w:rsidRPr="006256FC">
              <w:rPr>
                <w:rFonts w:cs="Times New Roman"/>
                <w:color w:val="000000"/>
              </w:rPr>
              <w:t> </w:t>
            </w:r>
          </w:p>
        </w:tc>
        <w:tc>
          <w:tcPr>
            <w:tcW w:w="1844"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65D05D79" w14:textId="77777777" w:rsidR="001F17B6" w:rsidRPr="006256FC" w:rsidRDefault="001F17B6" w:rsidP="002E3F44">
            <w:pPr>
              <w:spacing w:line="240" w:lineRule="auto"/>
              <w:ind w:firstLine="0"/>
              <w:rPr>
                <w:rFonts w:cs="Times New Roman"/>
              </w:rPr>
            </w:pPr>
            <w:r w:rsidRPr="006256FC">
              <w:rPr>
                <w:rFonts w:cs="Times New Roman"/>
                <w:color w:val="000000"/>
              </w:rPr>
              <w:t> </w:t>
            </w:r>
          </w:p>
        </w:tc>
        <w:tc>
          <w:tcPr>
            <w:tcW w:w="1461"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059EE804" w14:textId="77777777" w:rsidR="001F17B6" w:rsidRPr="006256FC" w:rsidRDefault="001F17B6" w:rsidP="002E3F44">
            <w:pPr>
              <w:spacing w:line="240" w:lineRule="auto"/>
              <w:ind w:firstLine="0"/>
              <w:jc w:val="right"/>
              <w:rPr>
                <w:rFonts w:cs="Times New Roman"/>
              </w:rPr>
            </w:pPr>
            <w:r w:rsidRPr="006256FC">
              <w:rPr>
                <w:rFonts w:cs="Times New Roman"/>
                <w:color w:val="000000"/>
              </w:rPr>
              <w:t> </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3C379B00" w14:textId="77777777" w:rsidR="001F17B6" w:rsidRPr="006256FC" w:rsidRDefault="001F17B6" w:rsidP="002E3F44">
            <w:pPr>
              <w:spacing w:line="240" w:lineRule="auto"/>
              <w:ind w:firstLine="0"/>
              <w:jc w:val="right"/>
              <w:rPr>
                <w:rFonts w:cs="Times New Roman"/>
              </w:rPr>
            </w:pPr>
            <w:r w:rsidRPr="006256FC">
              <w:rPr>
                <w:rFonts w:cs="Times New Roman"/>
                <w:color w:val="000000"/>
              </w:rPr>
              <w:t> </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3C4215A8" w14:textId="77777777" w:rsidR="001F17B6" w:rsidRPr="006256FC" w:rsidRDefault="001F17B6" w:rsidP="002E3F44">
            <w:pPr>
              <w:spacing w:line="240" w:lineRule="auto"/>
              <w:ind w:firstLine="0"/>
              <w:jc w:val="right"/>
              <w:rPr>
                <w:rFonts w:cs="Times New Roman"/>
              </w:rPr>
            </w:pPr>
            <w:r w:rsidRPr="006256FC">
              <w:rPr>
                <w:rFonts w:cs="Times New Roman"/>
                <w:color w:val="000000"/>
              </w:rPr>
              <w:t> </w:t>
            </w:r>
          </w:p>
        </w:tc>
        <w:tc>
          <w:tcPr>
            <w:tcW w:w="1313"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4E45B2E2" w14:textId="77777777" w:rsidR="001F17B6" w:rsidRPr="006256FC" w:rsidRDefault="001F17B6" w:rsidP="002E3F44">
            <w:pPr>
              <w:spacing w:line="240" w:lineRule="auto"/>
              <w:ind w:firstLine="0"/>
              <w:jc w:val="right"/>
              <w:rPr>
                <w:rFonts w:cs="Times New Roman"/>
              </w:rPr>
            </w:pPr>
            <w:r w:rsidRPr="006256FC">
              <w:rPr>
                <w:rFonts w:cs="Times New Roman"/>
                <w:color w:val="000000"/>
              </w:rPr>
              <w:t> </w:t>
            </w:r>
          </w:p>
        </w:tc>
      </w:tr>
      <w:tr w:rsidR="001F17B6" w:rsidRPr="006256FC" w14:paraId="4EF5145B" w14:textId="77777777" w:rsidTr="002E3F44">
        <w:trPr>
          <w:trHeight w:val="391"/>
        </w:trPr>
        <w:tc>
          <w:tcPr>
            <w:tcW w:w="1815" w:type="dxa"/>
            <w:vMerge w:val="restart"/>
            <w:tcBorders>
              <w:top w:val="single" w:sz="6" w:space="0" w:color="FFFFFF"/>
              <w:left w:val="single" w:sz="6" w:space="0" w:color="FFFFFF"/>
              <w:bottom w:val="single" w:sz="6" w:space="0" w:color="000000"/>
              <w:right w:val="single" w:sz="6" w:space="0" w:color="FFFFFF"/>
            </w:tcBorders>
            <w:shd w:val="clear" w:color="auto" w:fill="auto"/>
            <w:tcMar>
              <w:top w:w="10" w:type="dxa"/>
              <w:left w:w="10" w:type="dxa"/>
              <w:bottom w:w="0" w:type="dxa"/>
              <w:right w:w="10" w:type="dxa"/>
            </w:tcMar>
            <w:hideMark/>
          </w:tcPr>
          <w:p w14:paraId="2444CBE5" w14:textId="77777777" w:rsidR="001F17B6" w:rsidRPr="006256FC" w:rsidRDefault="001F17B6" w:rsidP="002E3F44">
            <w:pPr>
              <w:spacing w:line="240" w:lineRule="auto"/>
              <w:ind w:firstLine="0"/>
              <w:rPr>
                <w:rFonts w:cs="Times New Roman"/>
              </w:rPr>
            </w:pPr>
            <w:r w:rsidRPr="006256FC">
              <w:rPr>
                <w:rFonts w:cs="Times New Roman"/>
                <w:color w:val="000000"/>
              </w:rPr>
              <w:t>Normalized to number of coding sequences*10</w:t>
            </w:r>
            <w:r w:rsidRPr="006256FC">
              <w:rPr>
                <w:rFonts w:cs="Times New Roman"/>
                <w:color w:val="000000"/>
                <w:position w:val="7"/>
                <w:vertAlign w:val="superscript"/>
              </w:rPr>
              <w:t>3</w:t>
            </w:r>
          </w:p>
        </w:tc>
        <w:tc>
          <w:tcPr>
            <w:tcW w:w="1844"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7E4EC8C2" w14:textId="77777777" w:rsidR="001F17B6" w:rsidRPr="006256FC" w:rsidRDefault="001F17B6" w:rsidP="002E3F44">
            <w:pPr>
              <w:spacing w:line="240" w:lineRule="auto"/>
              <w:ind w:firstLine="0"/>
              <w:rPr>
                <w:rFonts w:cs="Times New Roman"/>
              </w:rPr>
            </w:pPr>
            <w:r w:rsidRPr="006256FC">
              <w:rPr>
                <w:rFonts w:cs="Times New Roman"/>
                <w:color w:val="000000"/>
              </w:rPr>
              <w:t>Arctic/alpine to Antarctic</w:t>
            </w:r>
          </w:p>
        </w:tc>
        <w:tc>
          <w:tcPr>
            <w:tcW w:w="1461"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2F78C000" w14:textId="77777777" w:rsidR="001F17B6" w:rsidRPr="006256FC" w:rsidRDefault="001F17B6" w:rsidP="002E3F44">
            <w:pPr>
              <w:spacing w:line="240" w:lineRule="auto"/>
              <w:ind w:firstLine="0"/>
              <w:jc w:val="right"/>
              <w:rPr>
                <w:rFonts w:cs="Times New Roman"/>
              </w:rPr>
            </w:pPr>
            <w:r w:rsidRPr="006256FC">
              <w:rPr>
                <w:rFonts w:cs="Times New Roman"/>
                <w:color w:val="000000"/>
              </w:rPr>
              <w:t>-0.598</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466A8DDA" w14:textId="77777777" w:rsidR="001F17B6" w:rsidRPr="006256FC" w:rsidRDefault="001F17B6" w:rsidP="002E3F44">
            <w:pPr>
              <w:spacing w:line="240" w:lineRule="auto"/>
              <w:ind w:firstLine="0"/>
              <w:jc w:val="right"/>
              <w:rPr>
                <w:rFonts w:cs="Times New Roman"/>
              </w:rPr>
            </w:pPr>
            <w:r w:rsidRPr="006256FC">
              <w:rPr>
                <w:rFonts w:cs="Times New Roman"/>
                <w:color w:val="000000"/>
              </w:rPr>
              <w:t>0.236</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00D0B379" w14:textId="77777777" w:rsidR="001F17B6" w:rsidRPr="006256FC" w:rsidRDefault="001F17B6" w:rsidP="002E3F44">
            <w:pPr>
              <w:spacing w:line="240" w:lineRule="auto"/>
              <w:ind w:firstLine="0"/>
              <w:jc w:val="right"/>
              <w:rPr>
                <w:rFonts w:cs="Times New Roman"/>
              </w:rPr>
            </w:pPr>
            <w:r w:rsidRPr="006256FC">
              <w:rPr>
                <w:rFonts w:cs="Times New Roman"/>
                <w:color w:val="000000"/>
              </w:rPr>
              <w:t>-2.536</w:t>
            </w:r>
          </w:p>
        </w:tc>
        <w:tc>
          <w:tcPr>
            <w:tcW w:w="1313"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6181E32D" w14:textId="77777777" w:rsidR="001F17B6" w:rsidRPr="006256FC" w:rsidRDefault="001F17B6" w:rsidP="002E3F44">
            <w:pPr>
              <w:spacing w:line="240" w:lineRule="auto"/>
              <w:ind w:firstLine="0"/>
              <w:jc w:val="right"/>
              <w:rPr>
                <w:rFonts w:cs="Times New Roman"/>
              </w:rPr>
            </w:pPr>
            <w:r w:rsidRPr="006256FC">
              <w:rPr>
                <w:rFonts w:cs="Times New Roman"/>
                <w:color w:val="000000"/>
              </w:rPr>
              <w:t>0.041</w:t>
            </w:r>
          </w:p>
        </w:tc>
      </w:tr>
      <w:tr w:rsidR="001F17B6" w:rsidRPr="006256FC" w14:paraId="065AAFAC" w14:textId="77777777" w:rsidTr="002E3F44">
        <w:trPr>
          <w:trHeight w:val="391"/>
        </w:trPr>
        <w:tc>
          <w:tcPr>
            <w:tcW w:w="1815" w:type="dxa"/>
            <w:vMerge/>
            <w:tcBorders>
              <w:top w:val="single" w:sz="6" w:space="0" w:color="FFFFFF"/>
              <w:left w:val="single" w:sz="6" w:space="0" w:color="FFFFFF"/>
              <w:bottom w:val="single" w:sz="6" w:space="0" w:color="000000"/>
              <w:right w:val="single" w:sz="6" w:space="0" w:color="FFFFFF"/>
            </w:tcBorders>
            <w:vAlign w:val="center"/>
            <w:hideMark/>
          </w:tcPr>
          <w:p w14:paraId="2B1AD8A7" w14:textId="77777777" w:rsidR="001F17B6" w:rsidRPr="006256FC" w:rsidRDefault="001F17B6" w:rsidP="002E3F44">
            <w:pPr>
              <w:spacing w:line="240" w:lineRule="auto"/>
              <w:ind w:firstLine="0"/>
              <w:rPr>
                <w:rFonts w:cs="Times New Roman"/>
              </w:rPr>
            </w:pPr>
          </w:p>
        </w:tc>
        <w:tc>
          <w:tcPr>
            <w:tcW w:w="1844"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3FF6403B" w14:textId="77777777" w:rsidR="001F17B6" w:rsidRPr="006256FC" w:rsidRDefault="001F17B6" w:rsidP="002E3F44">
            <w:pPr>
              <w:spacing w:line="240" w:lineRule="auto"/>
              <w:ind w:firstLine="0"/>
              <w:rPr>
                <w:rFonts w:cs="Times New Roman"/>
              </w:rPr>
            </w:pPr>
            <w:r w:rsidRPr="006256FC">
              <w:rPr>
                <w:rFonts w:cs="Times New Roman"/>
                <w:color w:val="000000"/>
              </w:rPr>
              <w:t>Mesophile to Antarctic</w:t>
            </w:r>
          </w:p>
        </w:tc>
        <w:tc>
          <w:tcPr>
            <w:tcW w:w="1461"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650AEECC" w14:textId="77777777" w:rsidR="001F17B6" w:rsidRPr="006256FC" w:rsidRDefault="001F17B6" w:rsidP="002E3F44">
            <w:pPr>
              <w:spacing w:line="240" w:lineRule="auto"/>
              <w:ind w:firstLine="0"/>
              <w:jc w:val="right"/>
              <w:rPr>
                <w:rFonts w:cs="Times New Roman"/>
              </w:rPr>
            </w:pPr>
            <w:r w:rsidRPr="006256FC">
              <w:rPr>
                <w:rFonts w:cs="Times New Roman"/>
                <w:color w:val="000000"/>
              </w:rPr>
              <w:t>-0.548</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6F78005E" w14:textId="77777777" w:rsidR="001F17B6" w:rsidRPr="006256FC" w:rsidRDefault="001F17B6" w:rsidP="002E3F44">
            <w:pPr>
              <w:spacing w:line="240" w:lineRule="auto"/>
              <w:ind w:firstLine="0"/>
              <w:jc w:val="right"/>
              <w:rPr>
                <w:rFonts w:cs="Times New Roman"/>
              </w:rPr>
            </w:pPr>
            <w:r w:rsidRPr="006256FC">
              <w:rPr>
                <w:rFonts w:cs="Times New Roman"/>
                <w:color w:val="000000"/>
              </w:rPr>
              <w:t>0.195</w:t>
            </w:r>
          </w:p>
        </w:tc>
        <w:tc>
          <w:tcPr>
            <w:tcW w:w="1082"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69B30471" w14:textId="77777777" w:rsidR="001F17B6" w:rsidRPr="006256FC" w:rsidRDefault="001F17B6" w:rsidP="002E3F44">
            <w:pPr>
              <w:spacing w:line="240" w:lineRule="auto"/>
              <w:ind w:firstLine="0"/>
              <w:jc w:val="right"/>
              <w:rPr>
                <w:rFonts w:cs="Times New Roman"/>
              </w:rPr>
            </w:pPr>
            <w:r w:rsidRPr="006256FC">
              <w:rPr>
                <w:rFonts w:cs="Times New Roman"/>
                <w:color w:val="000000"/>
              </w:rPr>
              <w:t>-2.808</w:t>
            </w:r>
          </w:p>
        </w:tc>
        <w:tc>
          <w:tcPr>
            <w:tcW w:w="1313" w:type="dxa"/>
            <w:tcBorders>
              <w:top w:val="single" w:sz="6" w:space="0" w:color="FFFFFF"/>
              <w:left w:val="single" w:sz="6" w:space="0" w:color="FFFFFF"/>
              <w:bottom w:val="single" w:sz="6" w:space="0" w:color="FFFFFF"/>
              <w:right w:val="single" w:sz="6" w:space="0" w:color="FFFFFF"/>
            </w:tcBorders>
            <w:shd w:val="clear" w:color="auto" w:fill="auto"/>
            <w:tcMar>
              <w:top w:w="10" w:type="dxa"/>
              <w:left w:w="10" w:type="dxa"/>
              <w:bottom w:w="0" w:type="dxa"/>
              <w:right w:w="10" w:type="dxa"/>
            </w:tcMar>
            <w:hideMark/>
          </w:tcPr>
          <w:p w14:paraId="13BE4B47" w14:textId="77777777" w:rsidR="001F17B6" w:rsidRPr="006256FC" w:rsidRDefault="001F17B6" w:rsidP="002E3F44">
            <w:pPr>
              <w:spacing w:line="240" w:lineRule="auto"/>
              <w:ind w:firstLine="0"/>
              <w:jc w:val="right"/>
              <w:rPr>
                <w:rFonts w:cs="Times New Roman"/>
              </w:rPr>
            </w:pPr>
            <w:r w:rsidRPr="006256FC">
              <w:rPr>
                <w:rFonts w:cs="Times New Roman"/>
                <w:color w:val="000000"/>
              </w:rPr>
              <w:t>0.021</w:t>
            </w:r>
          </w:p>
        </w:tc>
      </w:tr>
      <w:tr w:rsidR="001F17B6" w:rsidRPr="006256FC" w14:paraId="6902A8DE" w14:textId="77777777" w:rsidTr="002E3F44">
        <w:trPr>
          <w:trHeight w:val="391"/>
        </w:trPr>
        <w:tc>
          <w:tcPr>
            <w:tcW w:w="1815" w:type="dxa"/>
            <w:vMerge/>
            <w:tcBorders>
              <w:top w:val="single" w:sz="6" w:space="0" w:color="FFFFFF"/>
              <w:left w:val="single" w:sz="6" w:space="0" w:color="FFFFFF"/>
              <w:bottom w:val="single" w:sz="6" w:space="0" w:color="000000"/>
              <w:right w:val="single" w:sz="6" w:space="0" w:color="FFFFFF"/>
            </w:tcBorders>
            <w:vAlign w:val="center"/>
            <w:hideMark/>
          </w:tcPr>
          <w:p w14:paraId="60121AE5" w14:textId="77777777" w:rsidR="001F17B6" w:rsidRPr="006256FC" w:rsidRDefault="001F17B6" w:rsidP="002E3F44">
            <w:pPr>
              <w:spacing w:line="240" w:lineRule="auto"/>
              <w:ind w:firstLine="0"/>
              <w:rPr>
                <w:rFonts w:cs="Times New Roman"/>
              </w:rPr>
            </w:pPr>
          </w:p>
        </w:tc>
        <w:tc>
          <w:tcPr>
            <w:tcW w:w="1844" w:type="dxa"/>
            <w:tcBorders>
              <w:top w:val="single" w:sz="6" w:space="0" w:color="FFFFFF"/>
              <w:left w:val="single" w:sz="6" w:space="0" w:color="FFFFFF"/>
              <w:bottom w:val="single" w:sz="6" w:space="0" w:color="000000"/>
              <w:right w:val="single" w:sz="6" w:space="0" w:color="FFFFFF"/>
            </w:tcBorders>
            <w:shd w:val="clear" w:color="auto" w:fill="auto"/>
            <w:tcMar>
              <w:top w:w="10" w:type="dxa"/>
              <w:left w:w="10" w:type="dxa"/>
              <w:bottom w:w="0" w:type="dxa"/>
              <w:right w:w="10" w:type="dxa"/>
            </w:tcMar>
            <w:hideMark/>
          </w:tcPr>
          <w:p w14:paraId="319EB2FC" w14:textId="77777777" w:rsidR="001F17B6" w:rsidRPr="006256FC" w:rsidRDefault="001F17B6" w:rsidP="002E3F44">
            <w:pPr>
              <w:spacing w:line="240" w:lineRule="auto"/>
              <w:ind w:firstLine="0"/>
              <w:rPr>
                <w:rFonts w:cs="Times New Roman"/>
              </w:rPr>
            </w:pPr>
            <w:r w:rsidRPr="006256FC">
              <w:rPr>
                <w:rFonts w:cs="Times New Roman"/>
                <w:color w:val="000000"/>
              </w:rPr>
              <w:t xml:space="preserve">Mesophile to </w:t>
            </w:r>
            <w:r w:rsidRPr="006256FC">
              <w:rPr>
                <w:rFonts w:cs="Times New Roman"/>
                <w:color w:val="000000" w:themeColor="dark1"/>
              </w:rPr>
              <w:t>Arctic/alpine</w:t>
            </w:r>
          </w:p>
        </w:tc>
        <w:tc>
          <w:tcPr>
            <w:tcW w:w="1461" w:type="dxa"/>
            <w:tcBorders>
              <w:top w:val="single" w:sz="6" w:space="0" w:color="FFFFFF"/>
              <w:left w:val="single" w:sz="6" w:space="0" w:color="FFFFFF"/>
              <w:bottom w:val="single" w:sz="6" w:space="0" w:color="000000"/>
              <w:right w:val="single" w:sz="6" w:space="0" w:color="FFFFFF"/>
            </w:tcBorders>
            <w:shd w:val="clear" w:color="auto" w:fill="auto"/>
            <w:tcMar>
              <w:top w:w="10" w:type="dxa"/>
              <w:left w:w="10" w:type="dxa"/>
              <w:bottom w:w="0" w:type="dxa"/>
              <w:right w:w="10" w:type="dxa"/>
            </w:tcMar>
            <w:hideMark/>
          </w:tcPr>
          <w:p w14:paraId="304547B0" w14:textId="77777777" w:rsidR="001F17B6" w:rsidRPr="006256FC" w:rsidRDefault="001F17B6" w:rsidP="002E3F44">
            <w:pPr>
              <w:spacing w:line="240" w:lineRule="auto"/>
              <w:ind w:firstLine="0"/>
              <w:jc w:val="right"/>
              <w:rPr>
                <w:rFonts w:cs="Times New Roman"/>
              </w:rPr>
            </w:pPr>
            <w:r w:rsidRPr="006256FC">
              <w:rPr>
                <w:rFonts w:cs="Times New Roman"/>
                <w:color w:val="000000"/>
              </w:rPr>
              <w:t>0.050</w:t>
            </w:r>
          </w:p>
        </w:tc>
        <w:tc>
          <w:tcPr>
            <w:tcW w:w="1082" w:type="dxa"/>
            <w:tcBorders>
              <w:top w:val="single" w:sz="6" w:space="0" w:color="FFFFFF"/>
              <w:left w:val="single" w:sz="6" w:space="0" w:color="FFFFFF"/>
              <w:bottom w:val="single" w:sz="6" w:space="0" w:color="000000"/>
              <w:right w:val="single" w:sz="6" w:space="0" w:color="FFFFFF"/>
            </w:tcBorders>
            <w:shd w:val="clear" w:color="auto" w:fill="auto"/>
            <w:tcMar>
              <w:top w:w="10" w:type="dxa"/>
              <w:left w:w="10" w:type="dxa"/>
              <w:bottom w:w="0" w:type="dxa"/>
              <w:right w:w="10" w:type="dxa"/>
            </w:tcMar>
            <w:hideMark/>
          </w:tcPr>
          <w:p w14:paraId="6CDBF21E" w14:textId="77777777" w:rsidR="001F17B6" w:rsidRPr="006256FC" w:rsidRDefault="001F17B6" w:rsidP="002E3F44">
            <w:pPr>
              <w:spacing w:line="240" w:lineRule="auto"/>
              <w:ind w:firstLine="0"/>
              <w:jc w:val="right"/>
              <w:rPr>
                <w:rFonts w:cs="Times New Roman"/>
              </w:rPr>
            </w:pPr>
            <w:r w:rsidRPr="006256FC">
              <w:rPr>
                <w:rFonts w:cs="Times New Roman"/>
                <w:color w:val="000000"/>
              </w:rPr>
              <w:t>0.184</w:t>
            </w:r>
          </w:p>
        </w:tc>
        <w:tc>
          <w:tcPr>
            <w:tcW w:w="1082" w:type="dxa"/>
            <w:tcBorders>
              <w:top w:val="single" w:sz="6" w:space="0" w:color="FFFFFF"/>
              <w:left w:val="single" w:sz="6" w:space="0" w:color="FFFFFF"/>
              <w:bottom w:val="single" w:sz="6" w:space="0" w:color="000000"/>
              <w:right w:val="single" w:sz="6" w:space="0" w:color="FFFFFF"/>
            </w:tcBorders>
            <w:shd w:val="clear" w:color="auto" w:fill="auto"/>
            <w:tcMar>
              <w:top w:w="10" w:type="dxa"/>
              <w:left w:w="10" w:type="dxa"/>
              <w:bottom w:w="0" w:type="dxa"/>
              <w:right w:w="10" w:type="dxa"/>
            </w:tcMar>
            <w:hideMark/>
          </w:tcPr>
          <w:p w14:paraId="4CE4582B" w14:textId="77777777" w:rsidR="001F17B6" w:rsidRPr="006256FC" w:rsidRDefault="001F17B6" w:rsidP="002E3F44">
            <w:pPr>
              <w:spacing w:line="240" w:lineRule="auto"/>
              <w:ind w:firstLine="0"/>
              <w:jc w:val="right"/>
              <w:rPr>
                <w:rFonts w:cs="Times New Roman"/>
              </w:rPr>
            </w:pPr>
            <w:r w:rsidRPr="006256FC">
              <w:rPr>
                <w:rFonts w:cs="Times New Roman"/>
                <w:color w:val="000000"/>
              </w:rPr>
              <w:t>0.272</w:t>
            </w:r>
          </w:p>
        </w:tc>
        <w:tc>
          <w:tcPr>
            <w:tcW w:w="1313" w:type="dxa"/>
            <w:tcBorders>
              <w:top w:val="single" w:sz="6" w:space="0" w:color="FFFFFF"/>
              <w:left w:val="single" w:sz="6" w:space="0" w:color="FFFFFF"/>
              <w:bottom w:val="single" w:sz="6" w:space="0" w:color="000000"/>
              <w:right w:val="single" w:sz="6" w:space="0" w:color="FFFFFF"/>
            </w:tcBorders>
            <w:shd w:val="clear" w:color="auto" w:fill="auto"/>
            <w:tcMar>
              <w:top w:w="10" w:type="dxa"/>
              <w:left w:w="10" w:type="dxa"/>
              <w:bottom w:w="0" w:type="dxa"/>
              <w:right w:w="10" w:type="dxa"/>
            </w:tcMar>
            <w:hideMark/>
          </w:tcPr>
          <w:p w14:paraId="6F17396B" w14:textId="77777777" w:rsidR="001F17B6" w:rsidRPr="006256FC" w:rsidRDefault="001F17B6" w:rsidP="002E3F44">
            <w:pPr>
              <w:spacing w:line="240" w:lineRule="auto"/>
              <w:ind w:firstLine="0"/>
              <w:jc w:val="right"/>
              <w:rPr>
                <w:rFonts w:cs="Times New Roman"/>
              </w:rPr>
            </w:pPr>
            <w:r w:rsidRPr="006256FC">
              <w:rPr>
                <w:rFonts w:cs="Times New Roman"/>
                <w:color w:val="000000"/>
              </w:rPr>
              <w:t>0.955</w:t>
            </w:r>
          </w:p>
        </w:tc>
      </w:tr>
    </w:tbl>
    <w:p w14:paraId="2615352D" w14:textId="77777777" w:rsidR="001F17B6" w:rsidRPr="006256FC" w:rsidRDefault="001F17B6" w:rsidP="001F17B6">
      <w:pPr>
        <w:spacing w:before="240" w:line="240" w:lineRule="auto"/>
        <w:rPr>
          <w:rFonts w:cs="Times New Roman"/>
          <w:b/>
        </w:rPr>
      </w:pPr>
    </w:p>
    <w:p w14:paraId="16A5C1BD" w14:textId="77777777" w:rsidR="001F17B6" w:rsidRPr="006256FC" w:rsidRDefault="001F17B6" w:rsidP="001F17B6">
      <w:pPr>
        <w:spacing w:line="240" w:lineRule="auto"/>
        <w:ind w:firstLine="0"/>
        <w:rPr>
          <w:rFonts w:cs="Times New Roman"/>
          <w:b/>
        </w:rPr>
      </w:pPr>
      <w:r w:rsidRPr="006256FC">
        <w:rPr>
          <w:rFonts w:cs="Times New Roman"/>
          <w:b/>
        </w:rPr>
        <w:br w:type="page"/>
      </w:r>
    </w:p>
    <w:p w14:paraId="70062096" w14:textId="031855CA" w:rsidR="001F17B6" w:rsidRPr="006256FC" w:rsidRDefault="001F17B6" w:rsidP="00F13F6D">
      <w:pPr>
        <w:pStyle w:val="Caption"/>
        <w:rPr>
          <w:i/>
        </w:rPr>
      </w:pPr>
      <w:bookmarkStart w:id="255" w:name="_Toc193668465"/>
      <w:r w:rsidRPr="006256FC">
        <w:lastRenderedPageBreak/>
        <w:t xml:space="preserve">Table </w:t>
      </w:r>
      <w:fldSimple w:instr=" STYLEREF 1 \s ">
        <w:r w:rsidR="00971287">
          <w:rPr>
            <w:noProof/>
          </w:rPr>
          <w:t>6</w:t>
        </w:r>
      </w:fldSimple>
      <w:r w:rsidR="00A46B68">
        <w:t>.</w:t>
      </w:r>
      <w:fldSimple w:instr=" SEQ Table \* ARABIC \s 1 ">
        <w:r w:rsidR="00971287">
          <w:rPr>
            <w:noProof/>
          </w:rPr>
          <w:t>5</w:t>
        </w:r>
      </w:fldSimple>
      <w:r w:rsidRPr="006256FC">
        <w:t xml:space="preserve"> Table of prodiginine features detected by MPACT. </w:t>
      </w:r>
      <w:r w:rsidRPr="006256FC">
        <w:rPr>
          <w:i/>
        </w:rPr>
        <w:t>FC – fold change. RT – retention time.</w:t>
      </w:r>
      <w:bookmarkEnd w:id="255"/>
    </w:p>
    <w:tbl>
      <w:tblPr>
        <w:tblW w:w="8601" w:type="dxa"/>
        <w:tblLayout w:type="fixed"/>
        <w:tblLook w:val="04A0" w:firstRow="1" w:lastRow="0" w:firstColumn="1" w:lastColumn="0" w:noHBand="0" w:noVBand="1"/>
      </w:tblPr>
      <w:tblGrid>
        <w:gridCol w:w="2070"/>
        <w:gridCol w:w="1350"/>
        <w:gridCol w:w="827"/>
        <w:gridCol w:w="764"/>
        <w:gridCol w:w="1274"/>
        <w:gridCol w:w="85"/>
        <w:gridCol w:w="679"/>
        <w:gridCol w:w="764"/>
        <w:gridCol w:w="788"/>
      </w:tblGrid>
      <w:tr w:rsidR="001F17B6" w:rsidRPr="006256FC" w14:paraId="17DE5DE4" w14:textId="77777777" w:rsidTr="006256FC">
        <w:trPr>
          <w:trHeight w:val="295"/>
          <w:tblHeader/>
        </w:trPr>
        <w:tc>
          <w:tcPr>
            <w:tcW w:w="2070" w:type="dxa"/>
            <w:tcBorders>
              <w:top w:val="nil"/>
              <w:left w:val="nil"/>
              <w:bottom w:val="single" w:sz="4" w:space="0" w:color="auto"/>
              <w:right w:val="nil"/>
            </w:tcBorders>
            <w:shd w:val="clear" w:color="auto" w:fill="auto"/>
            <w:noWrap/>
            <w:vAlign w:val="bottom"/>
            <w:hideMark/>
          </w:tcPr>
          <w:p w14:paraId="361D0BC9" w14:textId="77777777" w:rsidR="001F17B6" w:rsidRPr="006256FC" w:rsidRDefault="001F17B6" w:rsidP="002E3F44">
            <w:pPr>
              <w:spacing w:line="240" w:lineRule="auto"/>
              <w:ind w:firstLine="0"/>
              <w:rPr>
                <w:rFonts w:cs="Times New Roman"/>
                <w:b/>
                <w:color w:val="000000"/>
              </w:rPr>
            </w:pPr>
            <w:r w:rsidRPr="006256FC">
              <w:rPr>
                <w:rFonts w:cs="Times New Roman"/>
                <w:b/>
                <w:color w:val="000000"/>
              </w:rPr>
              <w:t>Compound</w:t>
            </w:r>
          </w:p>
        </w:tc>
        <w:tc>
          <w:tcPr>
            <w:tcW w:w="1350" w:type="dxa"/>
            <w:tcBorders>
              <w:top w:val="nil"/>
              <w:left w:val="nil"/>
              <w:bottom w:val="single" w:sz="4" w:space="0" w:color="auto"/>
              <w:right w:val="nil"/>
            </w:tcBorders>
            <w:shd w:val="clear" w:color="auto" w:fill="auto"/>
            <w:noWrap/>
            <w:vAlign w:val="bottom"/>
            <w:hideMark/>
          </w:tcPr>
          <w:p w14:paraId="1359EA13" w14:textId="77777777" w:rsidR="001F17B6" w:rsidRPr="006256FC" w:rsidRDefault="001F17B6" w:rsidP="002E3F44">
            <w:pPr>
              <w:spacing w:line="240" w:lineRule="auto"/>
              <w:ind w:firstLine="0"/>
              <w:jc w:val="center"/>
              <w:rPr>
                <w:rFonts w:cs="Times New Roman"/>
                <w:b/>
                <w:iCs/>
                <w:color w:val="000000"/>
              </w:rPr>
            </w:pPr>
            <w:r w:rsidRPr="006256FC">
              <w:rPr>
                <w:rFonts w:cs="Times New Roman"/>
                <w:b/>
                <w:iCs/>
                <w:color w:val="000000"/>
              </w:rPr>
              <w:t>m/z</w:t>
            </w:r>
          </w:p>
        </w:tc>
        <w:tc>
          <w:tcPr>
            <w:tcW w:w="827" w:type="dxa"/>
            <w:tcBorders>
              <w:top w:val="nil"/>
              <w:left w:val="nil"/>
              <w:bottom w:val="single" w:sz="4" w:space="0" w:color="auto"/>
              <w:right w:val="nil"/>
            </w:tcBorders>
            <w:shd w:val="clear" w:color="auto" w:fill="auto"/>
            <w:noWrap/>
            <w:vAlign w:val="bottom"/>
            <w:hideMark/>
          </w:tcPr>
          <w:p w14:paraId="7B759C63" w14:textId="77777777" w:rsidR="001F17B6" w:rsidRPr="006256FC" w:rsidRDefault="001F17B6" w:rsidP="002E3F44">
            <w:pPr>
              <w:spacing w:line="240" w:lineRule="auto"/>
              <w:ind w:firstLine="0"/>
              <w:jc w:val="center"/>
              <w:rPr>
                <w:rFonts w:cs="Times New Roman"/>
                <w:b/>
                <w:color w:val="000000"/>
              </w:rPr>
            </w:pPr>
            <w:r w:rsidRPr="006256FC">
              <w:rPr>
                <w:rFonts w:cs="Times New Roman"/>
                <w:b/>
                <w:color w:val="000000"/>
              </w:rPr>
              <w:t>RT (min)</w:t>
            </w:r>
          </w:p>
        </w:tc>
        <w:tc>
          <w:tcPr>
            <w:tcW w:w="764" w:type="dxa"/>
            <w:tcBorders>
              <w:top w:val="nil"/>
              <w:left w:val="nil"/>
              <w:bottom w:val="single" w:sz="4" w:space="0" w:color="auto"/>
              <w:right w:val="nil"/>
            </w:tcBorders>
            <w:shd w:val="clear" w:color="auto" w:fill="auto"/>
            <w:noWrap/>
            <w:vAlign w:val="bottom"/>
            <w:hideMark/>
          </w:tcPr>
          <w:p w14:paraId="69FD78B9" w14:textId="77777777" w:rsidR="001F17B6" w:rsidRPr="006256FC" w:rsidRDefault="001F17B6" w:rsidP="002E3F44">
            <w:pPr>
              <w:spacing w:line="240" w:lineRule="auto"/>
              <w:ind w:firstLine="0"/>
              <w:jc w:val="center"/>
              <w:rPr>
                <w:rFonts w:cs="Times New Roman"/>
                <w:b/>
                <w:color w:val="000000"/>
              </w:rPr>
            </w:pPr>
            <w:r w:rsidRPr="006256FC">
              <w:rPr>
                <w:rFonts w:cs="Times New Roman"/>
                <w:b/>
                <w:color w:val="000000"/>
              </w:rPr>
              <w:t>FC</w:t>
            </w:r>
          </w:p>
        </w:tc>
        <w:tc>
          <w:tcPr>
            <w:tcW w:w="1274" w:type="dxa"/>
            <w:tcBorders>
              <w:top w:val="nil"/>
              <w:left w:val="nil"/>
              <w:bottom w:val="single" w:sz="4" w:space="0" w:color="auto"/>
              <w:right w:val="nil"/>
            </w:tcBorders>
            <w:shd w:val="clear" w:color="auto" w:fill="auto"/>
            <w:noWrap/>
            <w:vAlign w:val="bottom"/>
            <w:hideMark/>
          </w:tcPr>
          <w:p w14:paraId="3C0D4DAA" w14:textId="77777777" w:rsidR="001F17B6" w:rsidRPr="006256FC" w:rsidRDefault="001F17B6" w:rsidP="002E3F44">
            <w:pPr>
              <w:spacing w:line="240" w:lineRule="auto"/>
              <w:ind w:firstLine="0"/>
              <w:jc w:val="center"/>
              <w:rPr>
                <w:rFonts w:cs="Times New Roman"/>
                <w:b/>
                <w:color w:val="000000"/>
              </w:rPr>
            </w:pPr>
            <w:r w:rsidRPr="006256FC">
              <w:rPr>
                <w:rFonts w:cs="Times New Roman"/>
                <w:b/>
                <w:color w:val="000000"/>
              </w:rPr>
              <w:t>max</w:t>
            </w:r>
          </w:p>
        </w:tc>
        <w:tc>
          <w:tcPr>
            <w:tcW w:w="764" w:type="dxa"/>
            <w:gridSpan w:val="2"/>
            <w:tcBorders>
              <w:top w:val="nil"/>
              <w:left w:val="nil"/>
              <w:bottom w:val="single" w:sz="4" w:space="0" w:color="auto"/>
              <w:right w:val="nil"/>
            </w:tcBorders>
            <w:shd w:val="clear" w:color="auto" w:fill="auto"/>
            <w:noWrap/>
            <w:vAlign w:val="bottom"/>
            <w:hideMark/>
          </w:tcPr>
          <w:p w14:paraId="65694148" w14:textId="77777777" w:rsidR="001F17B6" w:rsidRPr="006256FC" w:rsidRDefault="001F17B6" w:rsidP="002E3F44">
            <w:pPr>
              <w:spacing w:line="240" w:lineRule="auto"/>
              <w:ind w:firstLine="0"/>
              <w:jc w:val="center"/>
              <w:rPr>
                <w:rFonts w:cs="Times New Roman"/>
                <w:b/>
                <w:color w:val="000000"/>
              </w:rPr>
            </w:pPr>
            <w:r w:rsidRPr="006256FC">
              <w:rPr>
                <w:rFonts w:cs="Times New Roman"/>
                <w:b/>
                <w:color w:val="000000"/>
              </w:rPr>
              <w:t>-logp</w:t>
            </w:r>
          </w:p>
        </w:tc>
        <w:tc>
          <w:tcPr>
            <w:tcW w:w="764" w:type="dxa"/>
            <w:tcBorders>
              <w:top w:val="nil"/>
              <w:left w:val="nil"/>
              <w:bottom w:val="single" w:sz="4" w:space="0" w:color="auto"/>
              <w:right w:val="nil"/>
            </w:tcBorders>
            <w:shd w:val="clear" w:color="auto" w:fill="auto"/>
            <w:noWrap/>
            <w:vAlign w:val="bottom"/>
            <w:hideMark/>
          </w:tcPr>
          <w:p w14:paraId="11FA4EC9" w14:textId="77777777" w:rsidR="001F17B6" w:rsidRPr="006256FC" w:rsidRDefault="001F17B6" w:rsidP="002E3F44">
            <w:pPr>
              <w:spacing w:line="240" w:lineRule="auto"/>
              <w:ind w:firstLine="0"/>
              <w:jc w:val="center"/>
              <w:rPr>
                <w:rFonts w:cs="Times New Roman"/>
                <w:b/>
                <w:color w:val="000000"/>
              </w:rPr>
            </w:pPr>
            <w:r w:rsidRPr="006256FC">
              <w:rPr>
                <w:rFonts w:cs="Times New Roman"/>
                <w:b/>
                <w:color w:val="000000"/>
              </w:rPr>
              <w:t>-logq</w:t>
            </w:r>
          </w:p>
        </w:tc>
        <w:tc>
          <w:tcPr>
            <w:tcW w:w="788" w:type="dxa"/>
            <w:tcBorders>
              <w:top w:val="nil"/>
              <w:left w:val="nil"/>
              <w:bottom w:val="single" w:sz="4" w:space="0" w:color="auto"/>
              <w:right w:val="nil"/>
            </w:tcBorders>
            <w:shd w:val="clear" w:color="auto" w:fill="auto"/>
            <w:noWrap/>
            <w:vAlign w:val="bottom"/>
            <w:hideMark/>
          </w:tcPr>
          <w:p w14:paraId="4AAD3083" w14:textId="77777777" w:rsidR="001F17B6" w:rsidRPr="006256FC" w:rsidRDefault="001F17B6" w:rsidP="002E3F44">
            <w:pPr>
              <w:spacing w:line="240" w:lineRule="auto"/>
              <w:ind w:firstLine="0"/>
              <w:jc w:val="center"/>
              <w:rPr>
                <w:rFonts w:cs="Times New Roman"/>
                <w:b/>
                <w:color w:val="000000"/>
              </w:rPr>
            </w:pPr>
            <w:r w:rsidRPr="006256FC">
              <w:rPr>
                <w:rFonts w:cs="Times New Roman"/>
                <w:b/>
                <w:color w:val="000000"/>
              </w:rPr>
              <w:t>log</w:t>
            </w:r>
          </w:p>
          <w:p w14:paraId="712AF3F8" w14:textId="77777777" w:rsidR="001F17B6" w:rsidRPr="006256FC" w:rsidRDefault="001F17B6" w:rsidP="002E3F44">
            <w:pPr>
              <w:spacing w:line="240" w:lineRule="auto"/>
              <w:ind w:firstLine="0"/>
              <w:jc w:val="center"/>
              <w:rPr>
                <w:rFonts w:cs="Times New Roman"/>
                <w:b/>
                <w:color w:val="000000"/>
              </w:rPr>
            </w:pPr>
            <w:r w:rsidRPr="006256FC">
              <w:rPr>
                <w:rFonts w:cs="Times New Roman"/>
                <w:b/>
                <w:color w:val="000000"/>
              </w:rPr>
              <w:t>FC</w:t>
            </w:r>
          </w:p>
        </w:tc>
      </w:tr>
      <w:tr w:rsidR="001F17B6" w:rsidRPr="006256FC" w14:paraId="64E4E7A7" w14:textId="77777777" w:rsidTr="006256FC">
        <w:trPr>
          <w:trHeight w:val="295"/>
        </w:trPr>
        <w:tc>
          <w:tcPr>
            <w:tcW w:w="2070" w:type="dxa"/>
            <w:tcBorders>
              <w:top w:val="nil"/>
              <w:left w:val="nil"/>
              <w:bottom w:val="nil"/>
              <w:right w:val="nil"/>
            </w:tcBorders>
            <w:shd w:val="clear" w:color="auto" w:fill="auto"/>
            <w:noWrap/>
            <w:vAlign w:val="bottom"/>
            <w:hideMark/>
          </w:tcPr>
          <w:p w14:paraId="48C4C3C7"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6.883_266.12851</w:t>
            </w:r>
          </w:p>
        </w:tc>
        <w:tc>
          <w:tcPr>
            <w:tcW w:w="1350" w:type="dxa"/>
            <w:tcBorders>
              <w:top w:val="nil"/>
              <w:left w:val="nil"/>
              <w:bottom w:val="nil"/>
              <w:right w:val="nil"/>
            </w:tcBorders>
            <w:shd w:val="clear" w:color="auto" w:fill="auto"/>
            <w:noWrap/>
            <w:vAlign w:val="bottom"/>
            <w:hideMark/>
          </w:tcPr>
          <w:p w14:paraId="3F977BDD"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266.12851</w:t>
            </w:r>
          </w:p>
        </w:tc>
        <w:tc>
          <w:tcPr>
            <w:tcW w:w="827" w:type="dxa"/>
            <w:tcBorders>
              <w:top w:val="nil"/>
              <w:left w:val="nil"/>
              <w:bottom w:val="nil"/>
              <w:right w:val="nil"/>
            </w:tcBorders>
            <w:shd w:val="clear" w:color="auto" w:fill="auto"/>
            <w:noWrap/>
            <w:vAlign w:val="bottom"/>
            <w:hideMark/>
          </w:tcPr>
          <w:p w14:paraId="3177AD92"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6.883</w:t>
            </w:r>
          </w:p>
        </w:tc>
        <w:tc>
          <w:tcPr>
            <w:tcW w:w="764" w:type="dxa"/>
            <w:tcBorders>
              <w:top w:val="nil"/>
              <w:left w:val="nil"/>
              <w:bottom w:val="nil"/>
              <w:right w:val="nil"/>
            </w:tcBorders>
            <w:shd w:val="clear" w:color="auto" w:fill="auto"/>
            <w:noWrap/>
            <w:vAlign w:val="bottom"/>
            <w:hideMark/>
          </w:tcPr>
          <w:p w14:paraId="574A7D2C"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0.338</w:t>
            </w:r>
          </w:p>
        </w:tc>
        <w:tc>
          <w:tcPr>
            <w:tcW w:w="1359" w:type="dxa"/>
            <w:gridSpan w:val="2"/>
            <w:tcBorders>
              <w:top w:val="nil"/>
              <w:left w:val="nil"/>
              <w:bottom w:val="nil"/>
              <w:right w:val="nil"/>
            </w:tcBorders>
            <w:shd w:val="clear" w:color="auto" w:fill="auto"/>
            <w:noWrap/>
            <w:vAlign w:val="bottom"/>
            <w:hideMark/>
          </w:tcPr>
          <w:p w14:paraId="5FB0F79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2.62E+07</w:t>
            </w:r>
          </w:p>
        </w:tc>
        <w:tc>
          <w:tcPr>
            <w:tcW w:w="679" w:type="dxa"/>
            <w:tcBorders>
              <w:top w:val="nil"/>
              <w:left w:val="nil"/>
              <w:bottom w:val="nil"/>
              <w:right w:val="nil"/>
            </w:tcBorders>
            <w:shd w:val="clear" w:color="auto" w:fill="auto"/>
            <w:noWrap/>
            <w:vAlign w:val="bottom"/>
            <w:hideMark/>
          </w:tcPr>
          <w:p w14:paraId="231770AA"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4.97</w:t>
            </w:r>
          </w:p>
        </w:tc>
        <w:tc>
          <w:tcPr>
            <w:tcW w:w="764" w:type="dxa"/>
            <w:tcBorders>
              <w:top w:val="nil"/>
              <w:left w:val="nil"/>
              <w:bottom w:val="nil"/>
              <w:right w:val="nil"/>
            </w:tcBorders>
            <w:shd w:val="clear" w:color="auto" w:fill="auto"/>
            <w:noWrap/>
            <w:vAlign w:val="bottom"/>
            <w:hideMark/>
          </w:tcPr>
          <w:p w14:paraId="5549F98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4.62</w:t>
            </w:r>
          </w:p>
        </w:tc>
        <w:tc>
          <w:tcPr>
            <w:tcW w:w="788" w:type="dxa"/>
            <w:tcBorders>
              <w:top w:val="nil"/>
              <w:left w:val="nil"/>
              <w:bottom w:val="nil"/>
              <w:right w:val="nil"/>
            </w:tcBorders>
            <w:shd w:val="clear" w:color="auto" w:fill="auto"/>
            <w:noWrap/>
            <w:vAlign w:val="bottom"/>
            <w:hideMark/>
          </w:tcPr>
          <w:p w14:paraId="11F7A79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-1.57</w:t>
            </w:r>
          </w:p>
        </w:tc>
      </w:tr>
      <w:tr w:rsidR="001F17B6" w:rsidRPr="006256FC" w14:paraId="2AD89148" w14:textId="77777777" w:rsidTr="006256FC">
        <w:trPr>
          <w:trHeight w:val="295"/>
        </w:trPr>
        <w:tc>
          <w:tcPr>
            <w:tcW w:w="2070" w:type="dxa"/>
            <w:tcBorders>
              <w:top w:val="nil"/>
              <w:left w:val="nil"/>
              <w:bottom w:val="nil"/>
              <w:right w:val="nil"/>
            </w:tcBorders>
            <w:shd w:val="clear" w:color="auto" w:fill="auto"/>
            <w:noWrap/>
            <w:vAlign w:val="bottom"/>
            <w:hideMark/>
          </w:tcPr>
          <w:p w14:paraId="3C97DA6B"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6.894_282.15964</w:t>
            </w:r>
          </w:p>
        </w:tc>
        <w:tc>
          <w:tcPr>
            <w:tcW w:w="1350" w:type="dxa"/>
            <w:tcBorders>
              <w:top w:val="nil"/>
              <w:left w:val="nil"/>
              <w:bottom w:val="nil"/>
              <w:right w:val="nil"/>
            </w:tcBorders>
            <w:shd w:val="clear" w:color="auto" w:fill="auto"/>
            <w:noWrap/>
            <w:vAlign w:val="bottom"/>
            <w:hideMark/>
          </w:tcPr>
          <w:p w14:paraId="28A3122A"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282.15964</w:t>
            </w:r>
          </w:p>
        </w:tc>
        <w:tc>
          <w:tcPr>
            <w:tcW w:w="827" w:type="dxa"/>
            <w:tcBorders>
              <w:top w:val="nil"/>
              <w:left w:val="nil"/>
              <w:bottom w:val="nil"/>
              <w:right w:val="nil"/>
            </w:tcBorders>
            <w:shd w:val="clear" w:color="auto" w:fill="auto"/>
            <w:noWrap/>
            <w:vAlign w:val="bottom"/>
            <w:hideMark/>
          </w:tcPr>
          <w:p w14:paraId="12FCA030"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6.894</w:t>
            </w:r>
          </w:p>
        </w:tc>
        <w:tc>
          <w:tcPr>
            <w:tcW w:w="764" w:type="dxa"/>
            <w:tcBorders>
              <w:top w:val="nil"/>
              <w:left w:val="nil"/>
              <w:bottom w:val="nil"/>
              <w:right w:val="nil"/>
            </w:tcBorders>
            <w:shd w:val="clear" w:color="auto" w:fill="auto"/>
            <w:noWrap/>
            <w:vAlign w:val="bottom"/>
            <w:hideMark/>
          </w:tcPr>
          <w:p w14:paraId="009A1D7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0.625</w:t>
            </w:r>
          </w:p>
        </w:tc>
        <w:tc>
          <w:tcPr>
            <w:tcW w:w="1359" w:type="dxa"/>
            <w:gridSpan w:val="2"/>
            <w:tcBorders>
              <w:top w:val="nil"/>
              <w:left w:val="nil"/>
              <w:bottom w:val="nil"/>
              <w:right w:val="nil"/>
            </w:tcBorders>
            <w:shd w:val="clear" w:color="auto" w:fill="auto"/>
            <w:noWrap/>
            <w:vAlign w:val="bottom"/>
            <w:hideMark/>
          </w:tcPr>
          <w:p w14:paraId="336A2C43"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4.34E+07</w:t>
            </w:r>
          </w:p>
        </w:tc>
        <w:tc>
          <w:tcPr>
            <w:tcW w:w="679" w:type="dxa"/>
            <w:tcBorders>
              <w:top w:val="nil"/>
              <w:left w:val="nil"/>
              <w:bottom w:val="nil"/>
              <w:right w:val="nil"/>
            </w:tcBorders>
            <w:shd w:val="clear" w:color="auto" w:fill="auto"/>
            <w:noWrap/>
            <w:vAlign w:val="bottom"/>
            <w:hideMark/>
          </w:tcPr>
          <w:p w14:paraId="0B30D6B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3.68</w:t>
            </w:r>
          </w:p>
        </w:tc>
        <w:tc>
          <w:tcPr>
            <w:tcW w:w="764" w:type="dxa"/>
            <w:tcBorders>
              <w:top w:val="nil"/>
              <w:left w:val="nil"/>
              <w:bottom w:val="nil"/>
              <w:right w:val="nil"/>
            </w:tcBorders>
            <w:shd w:val="clear" w:color="auto" w:fill="auto"/>
            <w:noWrap/>
            <w:vAlign w:val="bottom"/>
            <w:hideMark/>
          </w:tcPr>
          <w:p w14:paraId="6BAAF22D"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3.52</w:t>
            </w:r>
          </w:p>
        </w:tc>
        <w:tc>
          <w:tcPr>
            <w:tcW w:w="788" w:type="dxa"/>
            <w:tcBorders>
              <w:top w:val="nil"/>
              <w:left w:val="nil"/>
              <w:bottom w:val="nil"/>
              <w:right w:val="nil"/>
            </w:tcBorders>
            <w:shd w:val="clear" w:color="auto" w:fill="auto"/>
            <w:noWrap/>
            <w:vAlign w:val="bottom"/>
            <w:hideMark/>
          </w:tcPr>
          <w:p w14:paraId="1819A4EB"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-0.68</w:t>
            </w:r>
          </w:p>
        </w:tc>
      </w:tr>
      <w:tr w:rsidR="001F17B6" w:rsidRPr="006256FC" w14:paraId="016E99AA" w14:textId="77777777" w:rsidTr="006256FC">
        <w:trPr>
          <w:trHeight w:val="295"/>
        </w:trPr>
        <w:tc>
          <w:tcPr>
            <w:tcW w:w="2070" w:type="dxa"/>
            <w:tcBorders>
              <w:top w:val="nil"/>
              <w:left w:val="nil"/>
              <w:bottom w:val="nil"/>
              <w:right w:val="nil"/>
            </w:tcBorders>
            <w:shd w:val="clear" w:color="auto" w:fill="auto"/>
            <w:noWrap/>
            <w:vAlign w:val="bottom"/>
            <w:hideMark/>
          </w:tcPr>
          <w:p w14:paraId="514A3CB0"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5.963_294.1597</w:t>
            </w:r>
          </w:p>
        </w:tc>
        <w:tc>
          <w:tcPr>
            <w:tcW w:w="1350" w:type="dxa"/>
            <w:tcBorders>
              <w:top w:val="nil"/>
              <w:left w:val="nil"/>
              <w:bottom w:val="nil"/>
              <w:right w:val="nil"/>
            </w:tcBorders>
            <w:shd w:val="clear" w:color="auto" w:fill="auto"/>
            <w:noWrap/>
            <w:vAlign w:val="bottom"/>
            <w:hideMark/>
          </w:tcPr>
          <w:p w14:paraId="28071B5C"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294.1597</w:t>
            </w:r>
          </w:p>
        </w:tc>
        <w:tc>
          <w:tcPr>
            <w:tcW w:w="827" w:type="dxa"/>
            <w:tcBorders>
              <w:top w:val="nil"/>
              <w:left w:val="nil"/>
              <w:bottom w:val="nil"/>
              <w:right w:val="nil"/>
            </w:tcBorders>
            <w:shd w:val="clear" w:color="auto" w:fill="auto"/>
            <w:noWrap/>
            <w:vAlign w:val="bottom"/>
            <w:hideMark/>
          </w:tcPr>
          <w:p w14:paraId="33B14FB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5.963</w:t>
            </w:r>
          </w:p>
        </w:tc>
        <w:tc>
          <w:tcPr>
            <w:tcW w:w="764" w:type="dxa"/>
            <w:tcBorders>
              <w:top w:val="nil"/>
              <w:left w:val="nil"/>
              <w:bottom w:val="nil"/>
              <w:right w:val="nil"/>
            </w:tcBorders>
            <w:shd w:val="clear" w:color="auto" w:fill="auto"/>
            <w:noWrap/>
            <w:vAlign w:val="bottom"/>
            <w:hideMark/>
          </w:tcPr>
          <w:p w14:paraId="344C21A2"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2.167</w:t>
            </w:r>
          </w:p>
        </w:tc>
        <w:tc>
          <w:tcPr>
            <w:tcW w:w="1359" w:type="dxa"/>
            <w:gridSpan w:val="2"/>
            <w:tcBorders>
              <w:top w:val="nil"/>
              <w:left w:val="nil"/>
              <w:bottom w:val="nil"/>
              <w:right w:val="nil"/>
            </w:tcBorders>
            <w:shd w:val="clear" w:color="auto" w:fill="auto"/>
            <w:noWrap/>
            <w:vAlign w:val="bottom"/>
            <w:hideMark/>
          </w:tcPr>
          <w:p w14:paraId="67B30AE2"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2.67E+07</w:t>
            </w:r>
          </w:p>
        </w:tc>
        <w:tc>
          <w:tcPr>
            <w:tcW w:w="679" w:type="dxa"/>
            <w:tcBorders>
              <w:top w:val="nil"/>
              <w:left w:val="nil"/>
              <w:bottom w:val="nil"/>
              <w:right w:val="nil"/>
            </w:tcBorders>
            <w:shd w:val="clear" w:color="auto" w:fill="auto"/>
            <w:noWrap/>
            <w:vAlign w:val="bottom"/>
            <w:hideMark/>
          </w:tcPr>
          <w:p w14:paraId="5AB5616F"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2.12</w:t>
            </w:r>
          </w:p>
        </w:tc>
        <w:tc>
          <w:tcPr>
            <w:tcW w:w="764" w:type="dxa"/>
            <w:tcBorders>
              <w:top w:val="nil"/>
              <w:left w:val="nil"/>
              <w:bottom w:val="nil"/>
              <w:right w:val="nil"/>
            </w:tcBorders>
            <w:shd w:val="clear" w:color="auto" w:fill="auto"/>
            <w:noWrap/>
            <w:vAlign w:val="bottom"/>
            <w:hideMark/>
          </w:tcPr>
          <w:p w14:paraId="7B67B74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2.04</w:t>
            </w:r>
          </w:p>
        </w:tc>
        <w:tc>
          <w:tcPr>
            <w:tcW w:w="788" w:type="dxa"/>
            <w:tcBorders>
              <w:top w:val="nil"/>
              <w:left w:val="nil"/>
              <w:bottom w:val="nil"/>
              <w:right w:val="nil"/>
            </w:tcBorders>
            <w:shd w:val="clear" w:color="auto" w:fill="auto"/>
            <w:noWrap/>
            <w:vAlign w:val="bottom"/>
            <w:hideMark/>
          </w:tcPr>
          <w:p w14:paraId="54EF752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1.12</w:t>
            </w:r>
          </w:p>
        </w:tc>
      </w:tr>
      <w:tr w:rsidR="001F17B6" w:rsidRPr="006256FC" w14:paraId="6A52535B" w14:textId="77777777" w:rsidTr="006256FC">
        <w:trPr>
          <w:trHeight w:val="295"/>
        </w:trPr>
        <w:tc>
          <w:tcPr>
            <w:tcW w:w="2070" w:type="dxa"/>
            <w:tcBorders>
              <w:top w:val="nil"/>
              <w:left w:val="nil"/>
              <w:bottom w:val="nil"/>
              <w:right w:val="nil"/>
            </w:tcBorders>
            <w:shd w:val="clear" w:color="auto" w:fill="auto"/>
            <w:noWrap/>
            <w:vAlign w:val="bottom"/>
            <w:hideMark/>
          </w:tcPr>
          <w:p w14:paraId="0B09B43A"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7.328_296.17532</w:t>
            </w:r>
          </w:p>
        </w:tc>
        <w:tc>
          <w:tcPr>
            <w:tcW w:w="1350" w:type="dxa"/>
            <w:tcBorders>
              <w:top w:val="nil"/>
              <w:left w:val="nil"/>
              <w:bottom w:val="nil"/>
              <w:right w:val="nil"/>
            </w:tcBorders>
            <w:shd w:val="clear" w:color="auto" w:fill="auto"/>
            <w:noWrap/>
            <w:vAlign w:val="bottom"/>
            <w:hideMark/>
          </w:tcPr>
          <w:p w14:paraId="0E53C1A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296.17532</w:t>
            </w:r>
          </w:p>
        </w:tc>
        <w:tc>
          <w:tcPr>
            <w:tcW w:w="827" w:type="dxa"/>
            <w:tcBorders>
              <w:top w:val="nil"/>
              <w:left w:val="nil"/>
              <w:bottom w:val="nil"/>
              <w:right w:val="nil"/>
            </w:tcBorders>
            <w:shd w:val="clear" w:color="auto" w:fill="auto"/>
            <w:noWrap/>
            <w:vAlign w:val="bottom"/>
            <w:hideMark/>
          </w:tcPr>
          <w:p w14:paraId="3E390BE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7.328</w:t>
            </w:r>
          </w:p>
        </w:tc>
        <w:tc>
          <w:tcPr>
            <w:tcW w:w="764" w:type="dxa"/>
            <w:tcBorders>
              <w:top w:val="nil"/>
              <w:left w:val="nil"/>
              <w:bottom w:val="nil"/>
              <w:right w:val="nil"/>
            </w:tcBorders>
            <w:shd w:val="clear" w:color="auto" w:fill="auto"/>
            <w:noWrap/>
            <w:vAlign w:val="bottom"/>
            <w:hideMark/>
          </w:tcPr>
          <w:p w14:paraId="2D8B8D01"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0.010</w:t>
            </w:r>
          </w:p>
        </w:tc>
        <w:tc>
          <w:tcPr>
            <w:tcW w:w="1359" w:type="dxa"/>
            <w:gridSpan w:val="2"/>
            <w:tcBorders>
              <w:top w:val="nil"/>
              <w:left w:val="nil"/>
              <w:bottom w:val="nil"/>
              <w:right w:val="nil"/>
            </w:tcBorders>
            <w:shd w:val="clear" w:color="auto" w:fill="auto"/>
            <w:noWrap/>
            <w:vAlign w:val="bottom"/>
            <w:hideMark/>
          </w:tcPr>
          <w:p w14:paraId="5DAD31EF"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1.39E+07</w:t>
            </w:r>
          </w:p>
        </w:tc>
        <w:tc>
          <w:tcPr>
            <w:tcW w:w="679" w:type="dxa"/>
            <w:tcBorders>
              <w:top w:val="nil"/>
              <w:left w:val="nil"/>
              <w:bottom w:val="nil"/>
              <w:right w:val="nil"/>
            </w:tcBorders>
            <w:shd w:val="clear" w:color="auto" w:fill="auto"/>
            <w:noWrap/>
            <w:vAlign w:val="bottom"/>
            <w:hideMark/>
          </w:tcPr>
          <w:p w14:paraId="58617E1B"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6.35</w:t>
            </w:r>
          </w:p>
        </w:tc>
        <w:tc>
          <w:tcPr>
            <w:tcW w:w="764" w:type="dxa"/>
            <w:tcBorders>
              <w:top w:val="nil"/>
              <w:left w:val="nil"/>
              <w:bottom w:val="nil"/>
              <w:right w:val="nil"/>
            </w:tcBorders>
            <w:shd w:val="clear" w:color="auto" w:fill="auto"/>
            <w:noWrap/>
            <w:vAlign w:val="bottom"/>
            <w:hideMark/>
          </w:tcPr>
          <w:p w14:paraId="2F2FBB4F"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5.76</w:t>
            </w:r>
          </w:p>
        </w:tc>
        <w:tc>
          <w:tcPr>
            <w:tcW w:w="788" w:type="dxa"/>
            <w:tcBorders>
              <w:top w:val="nil"/>
              <w:left w:val="nil"/>
              <w:bottom w:val="nil"/>
              <w:right w:val="nil"/>
            </w:tcBorders>
            <w:shd w:val="clear" w:color="auto" w:fill="auto"/>
            <w:noWrap/>
            <w:vAlign w:val="bottom"/>
            <w:hideMark/>
          </w:tcPr>
          <w:p w14:paraId="553195F2"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-6.64</w:t>
            </w:r>
          </w:p>
        </w:tc>
      </w:tr>
      <w:tr w:rsidR="001F17B6" w:rsidRPr="006256FC" w14:paraId="3F44F656" w14:textId="77777777" w:rsidTr="006256FC">
        <w:trPr>
          <w:trHeight w:val="295"/>
        </w:trPr>
        <w:tc>
          <w:tcPr>
            <w:tcW w:w="2070" w:type="dxa"/>
            <w:tcBorders>
              <w:top w:val="nil"/>
              <w:left w:val="nil"/>
              <w:bottom w:val="nil"/>
              <w:right w:val="nil"/>
            </w:tcBorders>
            <w:shd w:val="clear" w:color="auto" w:fill="auto"/>
            <w:noWrap/>
            <w:vAlign w:val="bottom"/>
            <w:hideMark/>
          </w:tcPr>
          <w:p w14:paraId="7354C038"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7.328_298.19122</w:t>
            </w:r>
          </w:p>
        </w:tc>
        <w:tc>
          <w:tcPr>
            <w:tcW w:w="1350" w:type="dxa"/>
            <w:tcBorders>
              <w:top w:val="nil"/>
              <w:left w:val="nil"/>
              <w:bottom w:val="nil"/>
              <w:right w:val="nil"/>
            </w:tcBorders>
            <w:shd w:val="clear" w:color="auto" w:fill="auto"/>
            <w:noWrap/>
            <w:vAlign w:val="bottom"/>
            <w:hideMark/>
          </w:tcPr>
          <w:p w14:paraId="155F0F5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298.19122</w:t>
            </w:r>
          </w:p>
        </w:tc>
        <w:tc>
          <w:tcPr>
            <w:tcW w:w="827" w:type="dxa"/>
            <w:tcBorders>
              <w:top w:val="nil"/>
              <w:left w:val="nil"/>
              <w:bottom w:val="nil"/>
              <w:right w:val="nil"/>
            </w:tcBorders>
            <w:shd w:val="clear" w:color="auto" w:fill="auto"/>
            <w:noWrap/>
            <w:vAlign w:val="bottom"/>
            <w:hideMark/>
          </w:tcPr>
          <w:p w14:paraId="7ADC6521"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7.328</w:t>
            </w:r>
          </w:p>
        </w:tc>
        <w:tc>
          <w:tcPr>
            <w:tcW w:w="764" w:type="dxa"/>
            <w:tcBorders>
              <w:top w:val="nil"/>
              <w:left w:val="nil"/>
              <w:bottom w:val="nil"/>
              <w:right w:val="nil"/>
            </w:tcBorders>
            <w:shd w:val="clear" w:color="auto" w:fill="auto"/>
            <w:noWrap/>
            <w:vAlign w:val="bottom"/>
            <w:hideMark/>
          </w:tcPr>
          <w:p w14:paraId="74208BBC"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0.010</w:t>
            </w:r>
          </w:p>
        </w:tc>
        <w:tc>
          <w:tcPr>
            <w:tcW w:w="1359" w:type="dxa"/>
            <w:gridSpan w:val="2"/>
            <w:tcBorders>
              <w:top w:val="nil"/>
              <w:left w:val="nil"/>
              <w:bottom w:val="nil"/>
              <w:right w:val="nil"/>
            </w:tcBorders>
            <w:shd w:val="clear" w:color="auto" w:fill="auto"/>
            <w:noWrap/>
            <w:vAlign w:val="bottom"/>
            <w:hideMark/>
          </w:tcPr>
          <w:p w14:paraId="1F9DA91B"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1.84E+07</w:t>
            </w:r>
          </w:p>
        </w:tc>
        <w:tc>
          <w:tcPr>
            <w:tcW w:w="679" w:type="dxa"/>
            <w:tcBorders>
              <w:top w:val="nil"/>
              <w:left w:val="nil"/>
              <w:bottom w:val="nil"/>
              <w:right w:val="nil"/>
            </w:tcBorders>
            <w:shd w:val="clear" w:color="auto" w:fill="auto"/>
            <w:noWrap/>
            <w:vAlign w:val="bottom"/>
            <w:hideMark/>
          </w:tcPr>
          <w:p w14:paraId="7E6D2362"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5.80</w:t>
            </w:r>
          </w:p>
        </w:tc>
        <w:tc>
          <w:tcPr>
            <w:tcW w:w="764" w:type="dxa"/>
            <w:tcBorders>
              <w:top w:val="nil"/>
              <w:left w:val="nil"/>
              <w:bottom w:val="nil"/>
              <w:right w:val="nil"/>
            </w:tcBorders>
            <w:shd w:val="clear" w:color="auto" w:fill="auto"/>
            <w:noWrap/>
            <w:vAlign w:val="bottom"/>
            <w:hideMark/>
          </w:tcPr>
          <w:p w14:paraId="3BF357B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5.32</w:t>
            </w:r>
          </w:p>
        </w:tc>
        <w:tc>
          <w:tcPr>
            <w:tcW w:w="788" w:type="dxa"/>
            <w:tcBorders>
              <w:top w:val="nil"/>
              <w:left w:val="nil"/>
              <w:bottom w:val="nil"/>
              <w:right w:val="nil"/>
            </w:tcBorders>
            <w:shd w:val="clear" w:color="auto" w:fill="auto"/>
            <w:noWrap/>
            <w:vAlign w:val="bottom"/>
            <w:hideMark/>
          </w:tcPr>
          <w:p w14:paraId="0179F8A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-6.64</w:t>
            </w:r>
          </w:p>
        </w:tc>
      </w:tr>
      <w:tr w:rsidR="001F17B6" w:rsidRPr="006256FC" w14:paraId="486B39D9" w14:textId="77777777" w:rsidTr="006256FC">
        <w:trPr>
          <w:trHeight w:val="295"/>
        </w:trPr>
        <w:tc>
          <w:tcPr>
            <w:tcW w:w="2070" w:type="dxa"/>
            <w:tcBorders>
              <w:top w:val="nil"/>
              <w:left w:val="nil"/>
              <w:bottom w:val="nil"/>
              <w:right w:val="nil"/>
            </w:tcBorders>
            <w:shd w:val="clear" w:color="auto" w:fill="auto"/>
            <w:noWrap/>
            <w:vAlign w:val="bottom"/>
            <w:hideMark/>
          </w:tcPr>
          <w:p w14:paraId="53AB08A6"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6.88_308.17499</w:t>
            </w:r>
          </w:p>
        </w:tc>
        <w:tc>
          <w:tcPr>
            <w:tcW w:w="1350" w:type="dxa"/>
            <w:tcBorders>
              <w:top w:val="nil"/>
              <w:left w:val="nil"/>
              <w:bottom w:val="nil"/>
              <w:right w:val="nil"/>
            </w:tcBorders>
            <w:shd w:val="clear" w:color="auto" w:fill="auto"/>
            <w:noWrap/>
            <w:vAlign w:val="bottom"/>
            <w:hideMark/>
          </w:tcPr>
          <w:p w14:paraId="6377B19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308.17499</w:t>
            </w:r>
          </w:p>
        </w:tc>
        <w:tc>
          <w:tcPr>
            <w:tcW w:w="827" w:type="dxa"/>
            <w:tcBorders>
              <w:top w:val="nil"/>
              <w:left w:val="nil"/>
              <w:bottom w:val="nil"/>
              <w:right w:val="nil"/>
            </w:tcBorders>
            <w:shd w:val="clear" w:color="auto" w:fill="auto"/>
            <w:noWrap/>
            <w:vAlign w:val="bottom"/>
            <w:hideMark/>
          </w:tcPr>
          <w:p w14:paraId="01E45C7A"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6.880</w:t>
            </w:r>
          </w:p>
        </w:tc>
        <w:tc>
          <w:tcPr>
            <w:tcW w:w="764" w:type="dxa"/>
            <w:tcBorders>
              <w:top w:val="nil"/>
              <w:left w:val="nil"/>
              <w:bottom w:val="nil"/>
              <w:right w:val="nil"/>
            </w:tcBorders>
            <w:shd w:val="clear" w:color="auto" w:fill="auto"/>
            <w:noWrap/>
            <w:vAlign w:val="bottom"/>
            <w:hideMark/>
          </w:tcPr>
          <w:p w14:paraId="30BC6267"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0.335</w:t>
            </w:r>
          </w:p>
        </w:tc>
        <w:tc>
          <w:tcPr>
            <w:tcW w:w="1359" w:type="dxa"/>
            <w:gridSpan w:val="2"/>
            <w:tcBorders>
              <w:top w:val="nil"/>
              <w:left w:val="nil"/>
              <w:bottom w:val="nil"/>
              <w:right w:val="nil"/>
            </w:tcBorders>
            <w:shd w:val="clear" w:color="auto" w:fill="auto"/>
            <w:noWrap/>
            <w:vAlign w:val="bottom"/>
            <w:hideMark/>
          </w:tcPr>
          <w:p w14:paraId="4617D81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1.58E+07</w:t>
            </w:r>
          </w:p>
        </w:tc>
        <w:tc>
          <w:tcPr>
            <w:tcW w:w="679" w:type="dxa"/>
            <w:tcBorders>
              <w:top w:val="nil"/>
              <w:left w:val="nil"/>
              <w:bottom w:val="nil"/>
              <w:right w:val="nil"/>
            </w:tcBorders>
            <w:shd w:val="clear" w:color="auto" w:fill="auto"/>
            <w:noWrap/>
            <w:vAlign w:val="bottom"/>
            <w:hideMark/>
          </w:tcPr>
          <w:p w14:paraId="1BC9F6EC"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3.80</w:t>
            </w:r>
          </w:p>
        </w:tc>
        <w:tc>
          <w:tcPr>
            <w:tcW w:w="764" w:type="dxa"/>
            <w:tcBorders>
              <w:top w:val="nil"/>
              <w:left w:val="nil"/>
              <w:bottom w:val="nil"/>
              <w:right w:val="nil"/>
            </w:tcBorders>
            <w:shd w:val="clear" w:color="auto" w:fill="auto"/>
            <w:noWrap/>
            <w:vAlign w:val="bottom"/>
            <w:hideMark/>
          </w:tcPr>
          <w:p w14:paraId="2E128C4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3.63</w:t>
            </w:r>
          </w:p>
        </w:tc>
        <w:tc>
          <w:tcPr>
            <w:tcW w:w="788" w:type="dxa"/>
            <w:tcBorders>
              <w:top w:val="nil"/>
              <w:left w:val="nil"/>
              <w:bottom w:val="nil"/>
              <w:right w:val="nil"/>
            </w:tcBorders>
            <w:shd w:val="clear" w:color="auto" w:fill="auto"/>
            <w:noWrap/>
            <w:vAlign w:val="bottom"/>
            <w:hideMark/>
          </w:tcPr>
          <w:p w14:paraId="189C8A1D"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-1.58</w:t>
            </w:r>
          </w:p>
        </w:tc>
      </w:tr>
      <w:tr w:rsidR="001F17B6" w:rsidRPr="006256FC" w14:paraId="5EE41087" w14:textId="77777777" w:rsidTr="006256FC">
        <w:trPr>
          <w:trHeight w:val="295"/>
        </w:trPr>
        <w:tc>
          <w:tcPr>
            <w:tcW w:w="2070" w:type="dxa"/>
            <w:tcBorders>
              <w:top w:val="nil"/>
              <w:left w:val="nil"/>
              <w:bottom w:val="nil"/>
              <w:right w:val="nil"/>
            </w:tcBorders>
            <w:shd w:val="clear" w:color="auto" w:fill="auto"/>
            <w:noWrap/>
            <w:vAlign w:val="bottom"/>
            <w:hideMark/>
          </w:tcPr>
          <w:p w14:paraId="54972654"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7.328_308.17569</w:t>
            </w:r>
          </w:p>
        </w:tc>
        <w:tc>
          <w:tcPr>
            <w:tcW w:w="1350" w:type="dxa"/>
            <w:tcBorders>
              <w:top w:val="nil"/>
              <w:left w:val="nil"/>
              <w:bottom w:val="nil"/>
              <w:right w:val="nil"/>
            </w:tcBorders>
            <w:shd w:val="clear" w:color="auto" w:fill="auto"/>
            <w:noWrap/>
            <w:vAlign w:val="bottom"/>
            <w:hideMark/>
          </w:tcPr>
          <w:p w14:paraId="45A63EF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308.17569</w:t>
            </w:r>
          </w:p>
        </w:tc>
        <w:tc>
          <w:tcPr>
            <w:tcW w:w="827" w:type="dxa"/>
            <w:tcBorders>
              <w:top w:val="nil"/>
              <w:left w:val="nil"/>
              <w:bottom w:val="nil"/>
              <w:right w:val="nil"/>
            </w:tcBorders>
            <w:shd w:val="clear" w:color="auto" w:fill="auto"/>
            <w:noWrap/>
            <w:vAlign w:val="bottom"/>
            <w:hideMark/>
          </w:tcPr>
          <w:p w14:paraId="15C9F9B3"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7.328</w:t>
            </w:r>
          </w:p>
        </w:tc>
        <w:tc>
          <w:tcPr>
            <w:tcW w:w="764" w:type="dxa"/>
            <w:tcBorders>
              <w:top w:val="nil"/>
              <w:left w:val="nil"/>
              <w:bottom w:val="nil"/>
              <w:right w:val="nil"/>
            </w:tcBorders>
            <w:shd w:val="clear" w:color="auto" w:fill="auto"/>
            <w:noWrap/>
            <w:vAlign w:val="bottom"/>
            <w:hideMark/>
          </w:tcPr>
          <w:p w14:paraId="007D007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0.014</w:t>
            </w:r>
          </w:p>
        </w:tc>
        <w:tc>
          <w:tcPr>
            <w:tcW w:w="1359" w:type="dxa"/>
            <w:gridSpan w:val="2"/>
            <w:tcBorders>
              <w:top w:val="nil"/>
              <w:left w:val="nil"/>
              <w:bottom w:val="nil"/>
              <w:right w:val="nil"/>
            </w:tcBorders>
            <w:shd w:val="clear" w:color="auto" w:fill="auto"/>
            <w:noWrap/>
            <w:vAlign w:val="bottom"/>
            <w:hideMark/>
          </w:tcPr>
          <w:p w14:paraId="56870D00"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2.74E+07</w:t>
            </w:r>
          </w:p>
        </w:tc>
        <w:tc>
          <w:tcPr>
            <w:tcW w:w="679" w:type="dxa"/>
            <w:tcBorders>
              <w:top w:val="nil"/>
              <w:left w:val="nil"/>
              <w:bottom w:val="nil"/>
              <w:right w:val="nil"/>
            </w:tcBorders>
            <w:shd w:val="clear" w:color="auto" w:fill="auto"/>
            <w:noWrap/>
            <w:vAlign w:val="bottom"/>
            <w:hideMark/>
          </w:tcPr>
          <w:p w14:paraId="160A8EF2"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5.64</w:t>
            </w:r>
          </w:p>
        </w:tc>
        <w:tc>
          <w:tcPr>
            <w:tcW w:w="764" w:type="dxa"/>
            <w:tcBorders>
              <w:top w:val="nil"/>
              <w:left w:val="nil"/>
              <w:bottom w:val="nil"/>
              <w:right w:val="nil"/>
            </w:tcBorders>
            <w:shd w:val="clear" w:color="auto" w:fill="auto"/>
            <w:noWrap/>
            <w:vAlign w:val="bottom"/>
            <w:hideMark/>
          </w:tcPr>
          <w:p w14:paraId="2E1AA5F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5.18</w:t>
            </w:r>
          </w:p>
        </w:tc>
        <w:tc>
          <w:tcPr>
            <w:tcW w:w="788" w:type="dxa"/>
            <w:tcBorders>
              <w:top w:val="nil"/>
              <w:left w:val="nil"/>
              <w:bottom w:val="nil"/>
              <w:right w:val="nil"/>
            </w:tcBorders>
            <w:shd w:val="clear" w:color="auto" w:fill="auto"/>
            <w:noWrap/>
            <w:vAlign w:val="bottom"/>
            <w:hideMark/>
          </w:tcPr>
          <w:p w14:paraId="4F5DDC95"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-6.20</w:t>
            </w:r>
          </w:p>
        </w:tc>
      </w:tr>
      <w:tr w:rsidR="001F17B6" w:rsidRPr="006256FC" w14:paraId="17785F06" w14:textId="77777777" w:rsidTr="006256FC">
        <w:trPr>
          <w:trHeight w:val="295"/>
        </w:trPr>
        <w:tc>
          <w:tcPr>
            <w:tcW w:w="2070" w:type="dxa"/>
            <w:tcBorders>
              <w:top w:val="nil"/>
              <w:left w:val="nil"/>
              <w:bottom w:val="nil"/>
              <w:right w:val="nil"/>
            </w:tcBorders>
            <w:shd w:val="clear" w:color="auto" w:fill="auto"/>
            <w:noWrap/>
            <w:vAlign w:val="bottom"/>
            <w:hideMark/>
          </w:tcPr>
          <w:p w14:paraId="6E5AE10F"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6.739_310.19122</w:t>
            </w:r>
          </w:p>
        </w:tc>
        <w:tc>
          <w:tcPr>
            <w:tcW w:w="1350" w:type="dxa"/>
            <w:tcBorders>
              <w:top w:val="nil"/>
              <w:left w:val="nil"/>
              <w:bottom w:val="nil"/>
              <w:right w:val="nil"/>
            </w:tcBorders>
            <w:shd w:val="clear" w:color="auto" w:fill="auto"/>
            <w:noWrap/>
            <w:vAlign w:val="bottom"/>
            <w:hideMark/>
          </w:tcPr>
          <w:p w14:paraId="2F78EA5F"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310.19122</w:t>
            </w:r>
          </w:p>
        </w:tc>
        <w:tc>
          <w:tcPr>
            <w:tcW w:w="827" w:type="dxa"/>
            <w:tcBorders>
              <w:top w:val="nil"/>
              <w:left w:val="nil"/>
              <w:bottom w:val="nil"/>
              <w:right w:val="nil"/>
            </w:tcBorders>
            <w:shd w:val="clear" w:color="auto" w:fill="auto"/>
            <w:noWrap/>
            <w:vAlign w:val="bottom"/>
            <w:hideMark/>
          </w:tcPr>
          <w:p w14:paraId="4CC403F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6.739</w:t>
            </w:r>
          </w:p>
        </w:tc>
        <w:tc>
          <w:tcPr>
            <w:tcW w:w="764" w:type="dxa"/>
            <w:tcBorders>
              <w:top w:val="nil"/>
              <w:left w:val="nil"/>
              <w:bottom w:val="nil"/>
              <w:right w:val="nil"/>
            </w:tcBorders>
            <w:shd w:val="clear" w:color="auto" w:fill="auto"/>
            <w:noWrap/>
            <w:vAlign w:val="bottom"/>
            <w:hideMark/>
          </w:tcPr>
          <w:p w14:paraId="16D9298C"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0.265</w:t>
            </w:r>
          </w:p>
        </w:tc>
        <w:tc>
          <w:tcPr>
            <w:tcW w:w="1359" w:type="dxa"/>
            <w:gridSpan w:val="2"/>
            <w:tcBorders>
              <w:top w:val="nil"/>
              <w:left w:val="nil"/>
              <w:bottom w:val="nil"/>
              <w:right w:val="nil"/>
            </w:tcBorders>
            <w:shd w:val="clear" w:color="auto" w:fill="auto"/>
            <w:noWrap/>
            <w:vAlign w:val="bottom"/>
            <w:hideMark/>
          </w:tcPr>
          <w:p w14:paraId="241B9B4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2.48E+07</w:t>
            </w:r>
          </w:p>
        </w:tc>
        <w:tc>
          <w:tcPr>
            <w:tcW w:w="679" w:type="dxa"/>
            <w:tcBorders>
              <w:top w:val="nil"/>
              <w:left w:val="nil"/>
              <w:bottom w:val="nil"/>
              <w:right w:val="nil"/>
            </w:tcBorders>
            <w:shd w:val="clear" w:color="auto" w:fill="auto"/>
            <w:noWrap/>
            <w:vAlign w:val="bottom"/>
            <w:hideMark/>
          </w:tcPr>
          <w:p w14:paraId="5220CE3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0.98</w:t>
            </w:r>
          </w:p>
        </w:tc>
        <w:tc>
          <w:tcPr>
            <w:tcW w:w="764" w:type="dxa"/>
            <w:tcBorders>
              <w:top w:val="nil"/>
              <w:left w:val="nil"/>
              <w:bottom w:val="nil"/>
              <w:right w:val="nil"/>
            </w:tcBorders>
            <w:shd w:val="clear" w:color="auto" w:fill="auto"/>
            <w:noWrap/>
            <w:vAlign w:val="bottom"/>
            <w:hideMark/>
          </w:tcPr>
          <w:p w14:paraId="4F9391CF"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0.94</w:t>
            </w:r>
          </w:p>
        </w:tc>
        <w:tc>
          <w:tcPr>
            <w:tcW w:w="788" w:type="dxa"/>
            <w:tcBorders>
              <w:top w:val="nil"/>
              <w:left w:val="nil"/>
              <w:bottom w:val="nil"/>
              <w:right w:val="nil"/>
            </w:tcBorders>
            <w:shd w:val="clear" w:color="auto" w:fill="auto"/>
            <w:noWrap/>
            <w:vAlign w:val="bottom"/>
            <w:hideMark/>
          </w:tcPr>
          <w:p w14:paraId="6B4D81C5"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-1.91</w:t>
            </w:r>
          </w:p>
        </w:tc>
      </w:tr>
      <w:tr w:rsidR="001F17B6" w:rsidRPr="006256FC" w14:paraId="65317CE5" w14:textId="77777777" w:rsidTr="006256FC">
        <w:trPr>
          <w:trHeight w:val="295"/>
        </w:trPr>
        <w:tc>
          <w:tcPr>
            <w:tcW w:w="2070" w:type="dxa"/>
            <w:tcBorders>
              <w:top w:val="nil"/>
              <w:left w:val="nil"/>
              <w:bottom w:val="nil"/>
              <w:right w:val="nil"/>
            </w:tcBorders>
            <w:shd w:val="clear" w:color="auto" w:fill="auto"/>
            <w:noWrap/>
            <w:vAlign w:val="bottom"/>
            <w:hideMark/>
          </w:tcPr>
          <w:p w14:paraId="7FE237C7"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7.325_310.1915</w:t>
            </w:r>
          </w:p>
        </w:tc>
        <w:tc>
          <w:tcPr>
            <w:tcW w:w="1350" w:type="dxa"/>
            <w:tcBorders>
              <w:top w:val="nil"/>
              <w:left w:val="nil"/>
              <w:bottom w:val="nil"/>
              <w:right w:val="nil"/>
            </w:tcBorders>
            <w:shd w:val="clear" w:color="auto" w:fill="auto"/>
            <w:noWrap/>
            <w:vAlign w:val="bottom"/>
            <w:hideMark/>
          </w:tcPr>
          <w:p w14:paraId="2482BBE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310.1915</w:t>
            </w:r>
          </w:p>
        </w:tc>
        <w:tc>
          <w:tcPr>
            <w:tcW w:w="827" w:type="dxa"/>
            <w:tcBorders>
              <w:top w:val="nil"/>
              <w:left w:val="nil"/>
              <w:bottom w:val="nil"/>
              <w:right w:val="nil"/>
            </w:tcBorders>
            <w:shd w:val="clear" w:color="auto" w:fill="auto"/>
            <w:noWrap/>
            <w:vAlign w:val="bottom"/>
            <w:hideMark/>
          </w:tcPr>
          <w:p w14:paraId="466ED133"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7.325</w:t>
            </w:r>
          </w:p>
        </w:tc>
        <w:tc>
          <w:tcPr>
            <w:tcW w:w="764" w:type="dxa"/>
            <w:tcBorders>
              <w:top w:val="nil"/>
              <w:left w:val="nil"/>
              <w:bottom w:val="nil"/>
              <w:right w:val="nil"/>
            </w:tcBorders>
            <w:shd w:val="clear" w:color="auto" w:fill="auto"/>
            <w:noWrap/>
            <w:vAlign w:val="bottom"/>
            <w:hideMark/>
          </w:tcPr>
          <w:p w14:paraId="245C744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0.010</w:t>
            </w:r>
          </w:p>
        </w:tc>
        <w:tc>
          <w:tcPr>
            <w:tcW w:w="1359" w:type="dxa"/>
            <w:gridSpan w:val="2"/>
            <w:tcBorders>
              <w:top w:val="nil"/>
              <w:left w:val="nil"/>
              <w:bottom w:val="nil"/>
              <w:right w:val="nil"/>
            </w:tcBorders>
            <w:shd w:val="clear" w:color="auto" w:fill="auto"/>
            <w:noWrap/>
            <w:vAlign w:val="bottom"/>
            <w:hideMark/>
          </w:tcPr>
          <w:p w14:paraId="09E5D76F"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2.37E+09</w:t>
            </w:r>
          </w:p>
        </w:tc>
        <w:tc>
          <w:tcPr>
            <w:tcW w:w="679" w:type="dxa"/>
            <w:tcBorders>
              <w:top w:val="nil"/>
              <w:left w:val="nil"/>
              <w:bottom w:val="nil"/>
              <w:right w:val="nil"/>
            </w:tcBorders>
            <w:shd w:val="clear" w:color="auto" w:fill="auto"/>
            <w:noWrap/>
            <w:vAlign w:val="bottom"/>
            <w:hideMark/>
          </w:tcPr>
          <w:p w14:paraId="518678AB"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4.02</w:t>
            </w:r>
          </w:p>
        </w:tc>
        <w:tc>
          <w:tcPr>
            <w:tcW w:w="764" w:type="dxa"/>
            <w:tcBorders>
              <w:top w:val="nil"/>
              <w:left w:val="nil"/>
              <w:bottom w:val="nil"/>
              <w:right w:val="nil"/>
            </w:tcBorders>
            <w:shd w:val="clear" w:color="auto" w:fill="auto"/>
            <w:noWrap/>
            <w:vAlign w:val="bottom"/>
            <w:hideMark/>
          </w:tcPr>
          <w:p w14:paraId="2ED00C91"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3.79</w:t>
            </w:r>
          </w:p>
        </w:tc>
        <w:tc>
          <w:tcPr>
            <w:tcW w:w="788" w:type="dxa"/>
            <w:tcBorders>
              <w:top w:val="nil"/>
              <w:left w:val="nil"/>
              <w:bottom w:val="nil"/>
              <w:right w:val="nil"/>
            </w:tcBorders>
            <w:shd w:val="clear" w:color="auto" w:fill="auto"/>
            <w:noWrap/>
            <w:vAlign w:val="bottom"/>
            <w:hideMark/>
          </w:tcPr>
          <w:p w14:paraId="7E7EE55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-6.64</w:t>
            </w:r>
          </w:p>
        </w:tc>
      </w:tr>
      <w:tr w:rsidR="001F17B6" w:rsidRPr="006256FC" w14:paraId="774197C4" w14:textId="77777777" w:rsidTr="006256FC">
        <w:trPr>
          <w:trHeight w:val="295"/>
        </w:trPr>
        <w:tc>
          <w:tcPr>
            <w:tcW w:w="2070" w:type="dxa"/>
            <w:tcBorders>
              <w:top w:val="nil"/>
              <w:left w:val="nil"/>
              <w:bottom w:val="nil"/>
              <w:right w:val="nil"/>
            </w:tcBorders>
            <w:shd w:val="clear" w:color="auto" w:fill="auto"/>
            <w:noWrap/>
            <w:vAlign w:val="bottom"/>
            <w:hideMark/>
          </w:tcPr>
          <w:p w14:paraId="369136E2"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6.886_322.19125</w:t>
            </w:r>
          </w:p>
        </w:tc>
        <w:tc>
          <w:tcPr>
            <w:tcW w:w="1350" w:type="dxa"/>
            <w:tcBorders>
              <w:top w:val="nil"/>
              <w:left w:val="nil"/>
              <w:bottom w:val="nil"/>
              <w:right w:val="nil"/>
            </w:tcBorders>
            <w:shd w:val="clear" w:color="auto" w:fill="auto"/>
            <w:noWrap/>
            <w:vAlign w:val="bottom"/>
            <w:hideMark/>
          </w:tcPr>
          <w:p w14:paraId="7BF33FD5"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322.19125</w:t>
            </w:r>
          </w:p>
        </w:tc>
        <w:tc>
          <w:tcPr>
            <w:tcW w:w="827" w:type="dxa"/>
            <w:tcBorders>
              <w:top w:val="nil"/>
              <w:left w:val="nil"/>
              <w:bottom w:val="nil"/>
              <w:right w:val="nil"/>
            </w:tcBorders>
            <w:shd w:val="clear" w:color="auto" w:fill="auto"/>
            <w:noWrap/>
            <w:vAlign w:val="bottom"/>
            <w:hideMark/>
          </w:tcPr>
          <w:p w14:paraId="3DE4D660"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6.886</w:t>
            </w:r>
          </w:p>
        </w:tc>
        <w:tc>
          <w:tcPr>
            <w:tcW w:w="764" w:type="dxa"/>
            <w:tcBorders>
              <w:top w:val="nil"/>
              <w:left w:val="nil"/>
              <w:bottom w:val="nil"/>
              <w:right w:val="nil"/>
            </w:tcBorders>
            <w:shd w:val="clear" w:color="auto" w:fill="auto"/>
            <w:noWrap/>
            <w:vAlign w:val="bottom"/>
            <w:hideMark/>
          </w:tcPr>
          <w:p w14:paraId="0F00EE6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0.328</w:t>
            </w:r>
          </w:p>
        </w:tc>
        <w:tc>
          <w:tcPr>
            <w:tcW w:w="1359" w:type="dxa"/>
            <w:gridSpan w:val="2"/>
            <w:tcBorders>
              <w:top w:val="nil"/>
              <w:left w:val="nil"/>
              <w:bottom w:val="nil"/>
              <w:right w:val="nil"/>
            </w:tcBorders>
            <w:shd w:val="clear" w:color="auto" w:fill="auto"/>
            <w:noWrap/>
            <w:vAlign w:val="bottom"/>
            <w:hideMark/>
          </w:tcPr>
          <w:p w14:paraId="31C7A55D"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2.06E+07</w:t>
            </w:r>
          </w:p>
        </w:tc>
        <w:tc>
          <w:tcPr>
            <w:tcW w:w="679" w:type="dxa"/>
            <w:tcBorders>
              <w:top w:val="nil"/>
              <w:left w:val="nil"/>
              <w:bottom w:val="nil"/>
              <w:right w:val="nil"/>
            </w:tcBorders>
            <w:shd w:val="clear" w:color="auto" w:fill="auto"/>
            <w:noWrap/>
            <w:vAlign w:val="bottom"/>
            <w:hideMark/>
          </w:tcPr>
          <w:p w14:paraId="531FAB7D"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4.60</w:t>
            </w:r>
          </w:p>
        </w:tc>
        <w:tc>
          <w:tcPr>
            <w:tcW w:w="764" w:type="dxa"/>
            <w:tcBorders>
              <w:top w:val="nil"/>
              <w:left w:val="nil"/>
              <w:bottom w:val="nil"/>
              <w:right w:val="nil"/>
            </w:tcBorders>
            <w:shd w:val="clear" w:color="auto" w:fill="auto"/>
            <w:noWrap/>
            <w:vAlign w:val="bottom"/>
            <w:hideMark/>
          </w:tcPr>
          <w:p w14:paraId="0102B7ED"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4.30</w:t>
            </w:r>
          </w:p>
        </w:tc>
        <w:tc>
          <w:tcPr>
            <w:tcW w:w="788" w:type="dxa"/>
            <w:tcBorders>
              <w:top w:val="nil"/>
              <w:left w:val="nil"/>
              <w:bottom w:val="nil"/>
              <w:right w:val="nil"/>
            </w:tcBorders>
            <w:shd w:val="clear" w:color="auto" w:fill="auto"/>
            <w:noWrap/>
            <w:vAlign w:val="bottom"/>
            <w:hideMark/>
          </w:tcPr>
          <w:p w14:paraId="6056A695"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-1.61</w:t>
            </w:r>
          </w:p>
        </w:tc>
      </w:tr>
      <w:tr w:rsidR="001F17B6" w:rsidRPr="006256FC" w14:paraId="42F7C514" w14:textId="77777777" w:rsidTr="006256FC">
        <w:trPr>
          <w:trHeight w:val="295"/>
        </w:trPr>
        <w:tc>
          <w:tcPr>
            <w:tcW w:w="2070" w:type="dxa"/>
            <w:tcBorders>
              <w:top w:val="nil"/>
              <w:left w:val="nil"/>
              <w:bottom w:val="nil"/>
              <w:right w:val="nil"/>
            </w:tcBorders>
            <w:shd w:val="clear" w:color="auto" w:fill="auto"/>
            <w:noWrap/>
            <w:vAlign w:val="bottom"/>
            <w:hideMark/>
          </w:tcPr>
          <w:p w14:paraId="2A682640"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6.635_322.19153</w:t>
            </w:r>
          </w:p>
        </w:tc>
        <w:tc>
          <w:tcPr>
            <w:tcW w:w="1350" w:type="dxa"/>
            <w:tcBorders>
              <w:top w:val="nil"/>
              <w:left w:val="nil"/>
              <w:bottom w:val="nil"/>
              <w:right w:val="nil"/>
            </w:tcBorders>
            <w:shd w:val="clear" w:color="auto" w:fill="auto"/>
            <w:noWrap/>
            <w:vAlign w:val="bottom"/>
            <w:hideMark/>
          </w:tcPr>
          <w:p w14:paraId="78903C63"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322.19153</w:t>
            </w:r>
          </w:p>
        </w:tc>
        <w:tc>
          <w:tcPr>
            <w:tcW w:w="827" w:type="dxa"/>
            <w:tcBorders>
              <w:top w:val="nil"/>
              <w:left w:val="nil"/>
              <w:bottom w:val="nil"/>
              <w:right w:val="nil"/>
            </w:tcBorders>
            <w:shd w:val="clear" w:color="auto" w:fill="auto"/>
            <w:noWrap/>
            <w:vAlign w:val="bottom"/>
            <w:hideMark/>
          </w:tcPr>
          <w:p w14:paraId="5069ABAF"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6.635</w:t>
            </w:r>
          </w:p>
        </w:tc>
        <w:tc>
          <w:tcPr>
            <w:tcW w:w="764" w:type="dxa"/>
            <w:tcBorders>
              <w:top w:val="nil"/>
              <w:left w:val="nil"/>
              <w:bottom w:val="nil"/>
              <w:right w:val="nil"/>
            </w:tcBorders>
            <w:shd w:val="clear" w:color="auto" w:fill="auto"/>
            <w:noWrap/>
            <w:vAlign w:val="bottom"/>
            <w:hideMark/>
          </w:tcPr>
          <w:p w14:paraId="00EC2D0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0.097</w:t>
            </w:r>
          </w:p>
        </w:tc>
        <w:tc>
          <w:tcPr>
            <w:tcW w:w="1359" w:type="dxa"/>
            <w:gridSpan w:val="2"/>
            <w:tcBorders>
              <w:top w:val="nil"/>
              <w:left w:val="nil"/>
              <w:bottom w:val="nil"/>
              <w:right w:val="nil"/>
            </w:tcBorders>
            <w:shd w:val="clear" w:color="auto" w:fill="auto"/>
            <w:noWrap/>
            <w:vAlign w:val="bottom"/>
            <w:hideMark/>
          </w:tcPr>
          <w:p w14:paraId="7F87E77D"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1.06E+07</w:t>
            </w:r>
          </w:p>
        </w:tc>
        <w:tc>
          <w:tcPr>
            <w:tcW w:w="679" w:type="dxa"/>
            <w:tcBorders>
              <w:top w:val="nil"/>
              <w:left w:val="nil"/>
              <w:bottom w:val="nil"/>
              <w:right w:val="nil"/>
            </w:tcBorders>
            <w:shd w:val="clear" w:color="auto" w:fill="auto"/>
            <w:noWrap/>
            <w:vAlign w:val="bottom"/>
            <w:hideMark/>
          </w:tcPr>
          <w:p w14:paraId="1BC89BFA"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2.15</w:t>
            </w:r>
          </w:p>
        </w:tc>
        <w:tc>
          <w:tcPr>
            <w:tcW w:w="764" w:type="dxa"/>
            <w:tcBorders>
              <w:top w:val="nil"/>
              <w:left w:val="nil"/>
              <w:bottom w:val="nil"/>
              <w:right w:val="nil"/>
            </w:tcBorders>
            <w:shd w:val="clear" w:color="auto" w:fill="auto"/>
            <w:noWrap/>
            <w:vAlign w:val="bottom"/>
            <w:hideMark/>
          </w:tcPr>
          <w:p w14:paraId="7A1484AF"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2.06</w:t>
            </w:r>
          </w:p>
        </w:tc>
        <w:tc>
          <w:tcPr>
            <w:tcW w:w="788" w:type="dxa"/>
            <w:tcBorders>
              <w:top w:val="nil"/>
              <w:left w:val="nil"/>
              <w:bottom w:val="nil"/>
              <w:right w:val="nil"/>
            </w:tcBorders>
            <w:shd w:val="clear" w:color="auto" w:fill="auto"/>
            <w:noWrap/>
            <w:vAlign w:val="bottom"/>
            <w:hideMark/>
          </w:tcPr>
          <w:p w14:paraId="003316A1"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-3.37</w:t>
            </w:r>
          </w:p>
        </w:tc>
      </w:tr>
      <w:tr w:rsidR="001F17B6" w:rsidRPr="006256FC" w14:paraId="37BBD1BF" w14:textId="77777777" w:rsidTr="006256FC">
        <w:trPr>
          <w:trHeight w:val="295"/>
        </w:trPr>
        <w:tc>
          <w:tcPr>
            <w:tcW w:w="2070" w:type="dxa"/>
            <w:tcBorders>
              <w:top w:val="nil"/>
              <w:left w:val="nil"/>
              <w:bottom w:val="nil"/>
              <w:right w:val="nil"/>
            </w:tcBorders>
            <w:shd w:val="clear" w:color="auto" w:fill="auto"/>
            <w:noWrap/>
            <w:vAlign w:val="bottom"/>
            <w:hideMark/>
          </w:tcPr>
          <w:p w14:paraId="365058A6"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6.881_324.20724</w:t>
            </w:r>
          </w:p>
        </w:tc>
        <w:tc>
          <w:tcPr>
            <w:tcW w:w="1350" w:type="dxa"/>
            <w:tcBorders>
              <w:top w:val="nil"/>
              <w:left w:val="nil"/>
              <w:bottom w:val="nil"/>
              <w:right w:val="nil"/>
            </w:tcBorders>
            <w:shd w:val="clear" w:color="auto" w:fill="auto"/>
            <w:noWrap/>
            <w:vAlign w:val="bottom"/>
            <w:hideMark/>
          </w:tcPr>
          <w:p w14:paraId="4365AC00"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324.20724</w:t>
            </w:r>
          </w:p>
        </w:tc>
        <w:tc>
          <w:tcPr>
            <w:tcW w:w="827" w:type="dxa"/>
            <w:tcBorders>
              <w:top w:val="nil"/>
              <w:left w:val="nil"/>
              <w:bottom w:val="nil"/>
              <w:right w:val="nil"/>
            </w:tcBorders>
            <w:shd w:val="clear" w:color="auto" w:fill="auto"/>
            <w:noWrap/>
            <w:vAlign w:val="bottom"/>
            <w:hideMark/>
          </w:tcPr>
          <w:p w14:paraId="2E8451B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6.881</w:t>
            </w:r>
          </w:p>
        </w:tc>
        <w:tc>
          <w:tcPr>
            <w:tcW w:w="764" w:type="dxa"/>
            <w:tcBorders>
              <w:top w:val="nil"/>
              <w:left w:val="nil"/>
              <w:bottom w:val="nil"/>
              <w:right w:val="nil"/>
            </w:tcBorders>
            <w:shd w:val="clear" w:color="auto" w:fill="auto"/>
            <w:noWrap/>
            <w:vAlign w:val="bottom"/>
            <w:hideMark/>
          </w:tcPr>
          <w:p w14:paraId="253FD1E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0.083</w:t>
            </w:r>
          </w:p>
        </w:tc>
        <w:tc>
          <w:tcPr>
            <w:tcW w:w="1359" w:type="dxa"/>
            <w:gridSpan w:val="2"/>
            <w:tcBorders>
              <w:top w:val="nil"/>
              <w:left w:val="nil"/>
              <w:bottom w:val="nil"/>
              <w:right w:val="nil"/>
            </w:tcBorders>
            <w:shd w:val="clear" w:color="auto" w:fill="auto"/>
            <w:noWrap/>
            <w:vAlign w:val="bottom"/>
            <w:hideMark/>
          </w:tcPr>
          <w:p w14:paraId="1C63EDB3"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8.89E+09</w:t>
            </w:r>
          </w:p>
        </w:tc>
        <w:tc>
          <w:tcPr>
            <w:tcW w:w="679" w:type="dxa"/>
            <w:tcBorders>
              <w:top w:val="nil"/>
              <w:left w:val="nil"/>
              <w:bottom w:val="nil"/>
              <w:right w:val="nil"/>
            </w:tcBorders>
            <w:shd w:val="clear" w:color="auto" w:fill="auto"/>
            <w:noWrap/>
            <w:vAlign w:val="bottom"/>
            <w:hideMark/>
          </w:tcPr>
          <w:p w14:paraId="40A2A5A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3.59</w:t>
            </w:r>
          </w:p>
        </w:tc>
        <w:tc>
          <w:tcPr>
            <w:tcW w:w="764" w:type="dxa"/>
            <w:tcBorders>
              <w:top w:val="nil"/>
              <w:left w:val="nil"/>
              <w:bottom w:val="nil"/>
              <w:right w:val="nil"/>
            </w:tcBorders>
            <w:shd w:val="clear" w:color="auto" w:fill="auto"/>
            <w:noWrap/>
            <w:vAlign w:val="bottom"/>
            <w:hideMark/>
          </w:tcPr>
          <w:p w14:paraId="3AB99EE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3.44</w:t>
            </w:r>
          </w:p>
        </w:tc>
        <w:tc>
          <w:tcPr>
            <w:tcW w:w="788" w:type="dxa"/>
            <w:tcBorders>
              <w:top w:val="nil"/>
              <w:left w:val="nil"/>
              <w:bottom w:val="nil"/>
              <w:right w:val="nil"/>
            </w:tcBorders>
            <w:shd w:val="clear" w:color="auto" w:fill="auto"/>
            <w:noWrap/>
            <w:vAlign w:val="bottom"/>
            <w:hideMark/>
          </w:tcPr>
          <w:p w14:paraId="7E12F131"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-3.58</w:t>
            </w:r>
          </w:p>
        </w:tc>
      </w:tr>
      <w:tr w:rsidR="001F17B6" w:rsidRPr="006256FC" w14:paraId="3F1E463A" w14:textId="77777777" w:rsidTr="006256FC">
        <w:trPr>
          <w:trHeight w:val="295"/>
        </w:trPr>
        <w:tc>
          <w:tcPr>
            <w:tcW w:w="2070" w:type="dxa"/>
            <w:tcBorders>
              <w:top w:val="nil"/>
              <w:left w:val="nil"/>
              <w:bottom w:val="nil"/>
              <w:right w:val="nil"/>
            </w:tcBorders>
            <w:shd w:val="clear" w:color="auto" w:fill="auto"/>
            <w:noWrap/>
            <w:vAlign w:val="bottom"/>
            <w:hideMark/>
          </w:tcPr>
          <w:p w14:paraId="3B6A6A6C"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7.326_326.18634</w:t>
            </w:r>
          </w:p>
        </w:tc>
        <w:tc>
          <w:tcPr>
            <w:tcW w:w="1350" w:type="dxa"/>
            <w:tcBorders>
              <w:top w:val="nil"/>
              <w:left w:val="nil"/>
              <w:bottom w:val="nil"/>
              <w:right w:val="nil"/>
            </w:tcBorders>
            <w:shd w:val="clear" w:color="auto" w:fill="auto"/>
            <w:noWrap/>
            <w:vAlign w:val="bottom"/>
            <w:hideMark/>
          </w:tcPr>
          <w:p w14:paraId="7C81897F"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326.18634</w:t>
            </w:r>
          </w:p>
        </w:tc>
        <w:tc>
          <w:tcPr>
            <w:tcW w:w="827" w:type="dxa"/>
            <w:tcBorders>
              <w:top w:val="nil"/>
              <w:left w:val="nil"/>
              <w:bottom w:val="nil"/>
              <w:right w:val="nil"/>
            </w:tcBorders>
            <w:shd w:val="clear" w:color="auto" w:fill="auto"/>
            <w:noWrap/>
            <w:vAlign w:val="bottom"/>
            <w:hideMark/>
          </w:tcPr>
          <w:p w14:paraId="1084CC4B"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7.326</w:t>
            </w:r>
          </w:p>
        </w:tc>
        <w:tc>
          <w:tcPr>
            <w:tcW w:w="764" w:type="dxa"/>
            <w:tcBorders>
              <w:top w:val="nil"/>
              <w:left w:val="nil"/>
              <w:bottom w:val="nil"/>
              <w:right w:val="nil"/>
            </w:tcBorders>
            <w:shd w:val="clear" w:color="auto" w:fill="auto"/>
            <w:noWrap/>
            <w:vAlign w:val="bottom"/>
            <w:hideMark/>
          </w:tcPr>
          <w:p w14:paraId="519E162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0.017</w:t>
            </w:r>
          </w:p>
        </w:tc>
        <w:tc>
          <w:tcPr>
            <w:tcW w:w="1359" w:type="dxa"/>
            <w:gridSpan w:val="2"/>
            <w:tcBorders>
              <w:top w:val="nil"/>
              <w:left w:val="nil"/>
              <w:bottom w:val="nil"/>
              <w:right w:val="nil"/>
            </w:tcBorders>
            <w:shd w:val="clear" w:color="auto" w:fill="auto"/>
            <w:noWrap/>
            <w:vAlign w:val="bottom"/>
            <w:hideMark/>
          </w:tcPr>
          <w:p w14:paraId="38C5169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2.36E+09</w:t>
            </w:r>
          </w:p>
        </w:tc>
        <w:tc>
          <w:tcPr>
            <w:tcW w:w="679" w:type="dxa"/>
            <w:tcBorders>
              <w:top w:val="nil"/>
              <w:left w:val="nil"/>
              <w:bottom w:val="nil"/>
              <w:right w:val="nil"/>
            </w:tcBorders>
            <w:shd w:val="clear" w:color="auto" w:fill="auto"/>
            <w:noWrap/>
            <w:vAlign w:val="bottom"/>
            <w:hideMark/>
          </w:tcPr>
          <w:p w14:paraId="7C003D5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6.04</w:t>
            </w:r>
          </w:p>
        </w:tc>
        <w:tc>
          <w:tcPr>
            <w:tcW w:w="764" w:type="dxa"/>
            <w:tcBorders>
              <w:top w:val="nil"/>
              <w:left w:val="nil"/>
              <w:bottom w:val="nil"/>
              <w:right w:val="nil"/>
            </w:tcBorders>
            <w:shd w:val="clear" w:color="auto" w:fill="auto"/>
            <w:noWrap/>
            <w:vAlign w:val="bottom"/>
            <w:hideMark/>
          </w:tcPr>
          <w:p w14:paraId="303E7CC3"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5.51</w:t>
            </w:r>
          </w:p>
        </w:tc>
        <w:tc>
          <w:tcPr>
            <w:tcW w:w="788" w:type="dxa"/>
            <w:tcBorders>
              <w:top w:val="nil"/>
              <w:left w:val="nil"/>
              <w:bottom w:val="nil"/>
              <w:right w:val="nil"/>
            </w:tcBorders>
            <w:shd w:val="clear" w:color="auto" w:fill="auto"/>
            <w:noWrap/>
            <w:vAlign w:val="bottom"/>
            <w:hideMark/>
          </w:tcPr>
          <w:p w14:paraId="68452160"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-5.87</w:t>
            </w:r>
          </w:p>
        </w:tc>
      </w:tr>
      <w:tr w:rsidR="001F17B6" w:rsidRPr="006256FC" w14:paraId="4375F0D1" w14:textId="77777777" w:rsidTr="006256FC">
        <w:trPr>
          <w:trHeight w:val="295"/>
        </w:trPr>
        <w:tc>
          <w:tcPr>
            <w:tcW w:w="2070" w:type="dxa"/>
            <w:tcBorders>
              <w:top w:val="nil"/>
              <w:left w:val="nil"/>
              <w:bottom w:val="nil"/>
              <w:right w:val="nil"/>
            </w:tcBorders>
            <w:shd w:val="clear" w:color="auto" w:fill="auto"/>
            <w:noWrap/>
            <w:vAlign w:val="bottom"/>
            <w:hideMark/>
          </w:tcPr>
          <w:p w14:paraId="0778FD8F"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6.992_326.1864</w:t>
            </w:r>
          </w:p>
        </w:tc>
        <w:tc>
          <w:tcPr>
            <w:tcW w:w="1350" w:type="dxa"/>
            <w:tcBorders>
              <w:top w:val="nil"/>
              <w:left w:val="nil"/>
              <w:bottom w:val="nil"/>
              <w:right w:val="nil"/>
            </w:tcBorders>
            <w:shd w:val="clear" w:color="auto" w:fill="auto"/>
            <w:noWrap/>
            <w:vAlign w:val="bottom"/>
            <w:hideMark/>
          </w:tcPr>
          <w:p w14:paraId="47A40C4C"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326.1864</w:t>
            </w:r>
          </w:p>
        </w:tc>
        <w:tc>
          <w:tcPr>
            <w:tcW w:w="827" w:type="dxa"/>
            <w:tcBorders>
              <w:top w:val="nil"/>
              <w:left w:val="nil"/>
              <w:bottom w:val="nil"/>
              <w:right w:val="nil"/>
            </w:tcBorders>
            <w:shd w:val="clear" w:color="auto" w:fill="auto"/>
            <w:noWrap/>
            <w:vAlign w:val="bottom"/>
            <w:hideMark/>
          </w:tcPr>
          <w:p w14:paraId="7B78A60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6.992</w:t>
            </w:r>
          </w:p>
        </w:tc>
        <w:tc>
          <w:tcPr>
            <w:tcW w:w="764" w:type="dxa"/>
            <w:tcBorders>
              <w:top w:val="nil"/>
              <w:left w:val="nil"/>
              <w:bottom w:val="nil"/>
              <w:right w:val="nil"/>
            </w:tcBorders>
            <w:shd w:val="clear" w:color="auto" w:fill="auto"/>
            <w:noWrap/>
            <w:vAlign w:val="bottom"/>
            <w:hideMark/>
          </w:tcPr>
          <w:p w14:paraId="5E868CB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0.010</w:t>
            </w:r>
          </w:p>
        </w:tc>
        <w:tc>
          <w:tcPr>
            <w:tcW w:w="1359" w:type="dxa"/>
            <w:gridSpan w:val="2"/>
            <w:tcBorders>
              <w:top w:val="nil"/>
              <w:left w:val="nil"/>
              <w:bottom w:val="nil"/>
              <w:right w:val="nil"/>
            </w:tcBorders>
            <w:shd w:val="clear" w:color="auto" w:fill="auto"/>
            <w:noWrap/>
            <w:vAlign w:val="bottom"/>
            <w:hideMark/>
          </w:tcPr>
          <w:p w14:paraId="6AD16CF2"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2.74E+08</w:t>
            </w:r>
          </w:p>
        </w:tc>
        <w:tc>
          <w:tcPr>
            <w:tcW w:w="679" w:type="dxa"/>
            <w:tcBorders>
              <w:top w:val="nil"/>
              <w:left w:val="nil"/>
              <w:bottom w:val="nil"/>
              <w:right w:val="nil"/>
            </w:tcBorders>
            <w:shd w:val="clear" w:color="auto" w:fill="auto"/>
            <w:noWrap/>
            <w:vAlign w:val="bottom"/>
            <w:hideMark/>
          </w:tcPr>
          <w:p w14:paraId="7F4D74A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5.39</w:t>
            </w:r>
          </w:p>
        </w:tc>
        <w:tc>
          <w:tcPr>
            <w:tcW w:w="764" w:type="dxa"/>
            <w:tcBorders>
              <w:top w:val="nil"/>
              <w:left w:val="nil"/>
              <w:bottom w:val="nil"/>
              <w:right w:val="nil"/>
            </w:tcBorders>
            <w:shd w:val="clear" w:color="auto" w:fill="auto"/>
            <w:noWrap/>
            <w:vAlign w:val="bottom"/>
            <w:hideMark/>
          </w:tcPr>
          <w:p w14:paraId="59810481"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5.00</w:t>
            </w:r>
          </w:p>
        </w:tc>
        <w:tc>
          <w:tcPr>
            <w:tcW w:w="788" w:type="dxa"/>
            <w:tcBorders>
              <w:top w:val="nil"/>
              <w:left w:val="nil"/>
              <w:bottom w:val="nil"/>
              <w:right w:val="nil"/>
            </w:tcBorders>
            <w:shd w:val="clear" w:color="auto" w:fill="auto"/>
            <w:noWrap/>
            <w:vAlign w:val="bottom"/>
            <w:hideMark/>
          </w:tcPr>
          <w:p w14:paraId="4596C0F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-6.64</w:t>
            </w:r>
          </w:p>
        </w:tc>
      </w:tr>
      <w:tr w:rsidR="001F17B6" w:rsidRPr="006256FC" w14:paraId="0B11A95A" w14:textId="77777777" w:rsidTr="006256FC">
        <w:trPr>
          <w:trHeight w:val="295"/>
        </w:trPr>
        <w:tc>
          <w:tcPr>
            <w:tcW w:w="2070" w:type="dxa"/>
            <w:tcBorders>
              <w:top w:val="nil"/>
              <w:left w:val="nil"/>
              <w:bottom w:val="nil"/>
              <w:right w:val="nil"/>
            </w:tcBorders>
            <w:shd w:val="clear" w:color="auto" w:fill="auto"/>
            <w:noWrap/>
            <w:vAlign w:val="bottom"/>
            <w:hideMark/>
          </w:tcPr>
          <w:p w14:paraId="1EA44C08"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6.746_326.18655</w:t>
            </w:r>
          </w:p>
        </w:tc>
        <w:tc>
          <w:tcPr>
            <w:tcW w:w="1350" w:type="dxa"/>
            <w:tcBorders>
              <w:top w:val="nil"/>
              <w:left w:val="nil"/>
              <w:bottom w:val="nil"/>
              <w:right w:val="nil"/>
            </w:tcBorders>
            <w:shd w:val="clear" w:color="auto" w:fill="auto"/>
            <w:noWrap/>
            <w:vAlign w:val="bottom"/>
            <w:hideMark/>
          </w:tcPr>
          <w:p w14:paraId="20059B0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326.18655</w:t>
            </w:r>
          </w:p>
        </w:tc>
        <w:tc>
          <w:tcPr>
            <w:tcW w:w="827" w:type="dxa"/>
            <w:tcBorders>
              <w:top w:val="nil"/>
              <w:left w:val="nil"/>
              <w:bottom w:val="nil"/>
              <w:right w:val="nil"/>
            </w:tcBorders>
            <w:shd w:val="clear" w:color="auto" w:fill="auto"/>
            <w:noWrap/>
            <w:vAlign w:val="bottom"/>
            <w:hideMark/>
          </w:tcPr>
          <w:p w14:paraId="121970BA"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6.746</w:t>
            </w:r>
          </w:p>
        </w:tc>
        <w:tc>
          <w:tcPr>
            <w:tcW w:w="764" w:type="dxa"/>
            <w:tcBorders>
              <w:top w:val="nil"/>
              <w:left w:val="nil"/>
              <w:bottom w:val="nil"/>
              <w:right w:val="nil"/>
            </w:tcBorders>
            <w:shd w:val="clear" w:color="auto" w:fill="auto"/>
            <w:noWrap/>
            <w:vAlign w:val="bottom"/>
            <w:hideMark/>
          </w:tcPr>
          <w:p w14:paraId="75065BD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0.010</w:t>
            </w:r>
          </w:p>
        </w:tc>
        <w:tc>
          <w:tcPr>
            <w:tcW w:w="1359" w:type="dxa"/>
            <w:gridSpan w:val="2"/>
            <w:tcBorders>
              <w:top w:val="nil"/>
              <w:left w:val="nil"/>
              <w:bottom w:val="nil"/>
              <w:right w:val="nil"/>
            </w:tcBorders>
            <w:shd w:val="clear" w:color="auto" w:fill="auto"/>
            <w:noWrap/>
            <w:vAlign w:val="bottom"/>
            <w:hideMark/>
          </w:tcPr>
          <w:p w14:paraId="0FFE6A3A"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5.62E+08</w:t>
            </w:r>
          </w:p>
        </w:tc>
        <w:tc>
          <w:tcPr>
            <w:tcW w:w="679" w:type="dxa"/>
            <w:tcBorders>
              <w:top w:val="nil"/>
              <w:left w:val="nil"/>
              <w:bottom w:val="nil"/>
              <w:right w:val="nil"/>
            </w:tcBorders>
            <w:shd w:val="clear" w:color="auto" w:fill="auto"/>
            <w:noWrap/>
            <w:vAlign w:val="bottom"/>
            <w:hideMark/>
          </w:tcPr>
          <w:p w14:paraId="2E3DF72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5.99</w:t>
            </w:r>
          </w:p>
        </w:tc>
        <w:tc>
          <w:tcPr>
            <w:tcW w:w="764" w:type="dxa"/>
            <w:tcBorders>
              <w:top w:val="nil"/>
              <w:left w:val="nil"/>
              <w:bottom w:val="nil"/>
              <w:right w:val="nil"/>
            </w:tcBorders>
            <w:shd w:val="clear" w:color="auto" w:fill="auto"/>
            <w:noWrap/>
            <w:vAlign w:val="bottom"/>
            <w:hideMark/>
          </w:tcPr>
          <w:p w14:paraId="1A407DD3"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5.47</w:t>
            </w:r>
          </w:p>
        </w:tc>
        <w:tc>
          <w:tcPr>
            <w:tcW w:w="788" w:type="dxa"/>
            <w:tcBorders>
              <w:top w:val="nil"/>
              <w:left w:val="nil"/>
              <w:bottom w:val="nil"/>
              <w:right w:val="nil"/>
            </w:tcBorders>
            <w:shd w:val="clear" w:color="auto" w:fill="auto"/>
            <w:noWrap/>
            <w:vAlign w:val="bottom"/>
            <w:hideMark/>
          </w:tcPr>
          <w:p w14:paraId="3727C08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-6.64</w:t>
            </w:r>
          </w:p>
        </w:tc>
      </w:tr>
      <w:tr w:rsidR="001F17B6" w:rsidRPr="006256FC" w14:paraId="6B9866D0" w14:textId="77777777" w:rsidTr="006256FC">
        <w:trPr>
          <w:trHeight w:val="295"/>
        </w:trPr>
        <w:tc>
          <w:tcPr>
            <w:tcW w:w="2070" w:type="dxa"/>
            <w:tcBorders>
              <w:top w:val="nil"/>
              <w:left w:val="nil"/>
              <w:bottom w:val="nil"/>
              <w:right w:val="nil"/>
            </w:tcBorders>
            <w:shd w:val="clear" w:color="auto" w:fill="auto"/>
            <w:noWrap/>
            <w:vAlign w:val="bottom"/>
            <w:hideMark/>
          </w:tcPr>
          <w:p w14:paraId="3F9A9EE9"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5.977_326.18665</w:t>
            </w:r>
          </w:p>
        </w:tc>
        <w:tc>
          <w:tcPr>
            <w:tcW w:w="1350" w:type="dxa"/>
            <w:tcBorders>
              <w:top w:val="nil"/>
              <w:left w:val="nil"/>
              <w:bottom w:val="nil"/>
              <w:right w:val="nil"/>
            </w:tcBorders>
            <w:shd w:val="clear" w:color="auto" w:fill="auto"/>
            <w:noWrap/>
            <w:vAlign w:val="bottom"/>
            <w:hideMark/>
          </w:tcPr>
          <w:p w14:paraId="29CF39D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326.18665</w:t>
            </w:r>
          </w:p>
        </w:tc>
        <w:tc>
          <w:tcPr>
            <w:tcW w:w="827" w:type="dxa"/>
            <w:tcBorders>
              <w:top w:val="nil"/>
              <w:left w:val="nil"/>
              <w:bottom w:val="nil"/>
              <w:right w:val="nil"/>
            </w:tcBorders>
            <w:shd w:val="clear" w:color="auto" w:fill="auto"/>
            <w:noWrap/>
            <w:vAlign w:val="bottom"/>
            <w:hideMark/>
          </w:tcPr>
          <w:p w14:paraId="0DEAEE3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5.977</w:t>
            </w:r>
          </w:p>
        </w:tc>
        <w:tc>
          <w:tcPr>
            <w:tcW w:w="764" w:type="dxa"/>
            <w:tcBorders>
              <w:top w:val="nil"/>
              <w:left w:val="nil"/>
              <w:bottom w:val="nil"/>
              <w:right w:val="nil"/>
            </w:tcBorders>
            <w:shd w:val="clear" w:color="auto" w:fill="auto"/>
            <w:noWrap/>
            <w:vAlign w:val="bottom"/>
            <w:hideMark/>
          </w:tcPr>
          <w:p w14:paraId="08C13FD3"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0.016</w:t>
            </w:r>
          </w:p>
        </w:tc>
        <w:tc>
          <w:tcPr>
            <w:tcW w:w="1359" w:type="dxa"/>
            <w:gridSpan w:val="2"/>
            <w:tcBorders>
              <w:top w:val="nil"/>
              <w:left w:val="nil"/>
              <w:bottom w:val="nil"/>
              <w:right w:val="nil"/>
            </w:tcBorders>
            <w:shd w:val="clear" w:color="auto" w:fill="auto"/>
            <w:noWrap/>
            <w:vAlign w:val="bottom"/>
            <w:hideMark/>
          </w:tcPr>
          <w:p w14:paraId="78BA299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2.26E+08</w:t>
            </w:r>
          </w:p>
        </w:tc>
        <w:tc>
          <w:tcPr>
            <w:tcW w:w="679" w:type="dxa"/>
            <w:tcBorders>
              <w:top w:val="nil"/>
              <w:left w:val="nil"/>
              <w:bottom w:val="nil"/>
              <w:right w:val="nil"/>
            </w:tcBorders>
            <w:shd w:val="clear" w:color="auto" w:fill="auto"/>
            <w:noWrap/>
            <w:vAlign w:val="bottom"/>
            <w:hideMark/>
          </w:tcPr>
          <w:p w14:paraId="18DA589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2.86</w:t>
            </w:r>
          </w:p>
        </w:tc>
        <w:tc>
          <w:tcPr>
            <w:tcW w:w="764" w:type="dxa"/>
            <w:tcBorders>
              <w:top w:val="nil"/>
              <w:left w:val="nil"/>
              <w:bottom w:val="nil"/>
              <w:right w:val="nil"/>
            </w:tcBorders>
            <w:shd w:val="clear" w:color="auto" w:fill="auto"/>
            <w:noWrap/>
            <w:vAlign w:val="bottom"/>
            <w:hideMark/>
          </w:tcPr>
          <w:p w14:paraId="0B84EDA0"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2.74</w:t>
            </w:r>
          </w:p>
        </w:tc>
        <w:tc>
          <w:tcPr>
            <w:tcW w:w="788" w:type="dxa"/>
            <w:tcBorders>
              <w:top w:val="nil"/>
              <w:left w:val="nil"/>
              <w:bottom w:val="nil"/>
              <w:right w:val="nil"/>
            </w:tcBorders>
            <w:shd w:val="clear" w:color="auto" w:fill="auto"/>
            <w:noWrap/>
            <w:vAlign w:val="bottom"/>
            <w:hideMark/>
          </w:tcPr>
          <w:p w14:paraId="059CCE0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-6.01</w:t>
            </w:r>
          </w:p>
        </w:tc>
      </w:tr>
      <w:tr w:rsidR="001F17B6" w:rsidRPr="006256FC" w14:paraId="24C0599C" w14:textId="77777777" w:rsidTr="006256FC">
        <w:trPr>
          <w:trHeight w:val="295"/>
        </w:trPr>
        <w:tc>
          <w:tcPr>
            <w:tcW w:w="2070" w:type="dxa"/>
            <w:tcBorders>
              <w:top w:val="nil"/>
              <w:left w:val="nil"/>
              <w:bottom w:val="nil"/>
              <w:right w:val="nil"/>
            </w:tcBorders>
            <w:shd w:val="clear" w:color="auto" w:fill="auto"/>
            <w:noWrap/>
            <w:vAlign w:val="bottom"/>
            <w:hideMark/>
          </w:tcPr>
          <w:p w14:paraId="50AD20F6"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6.893_340.20172</w:t>
            </w:r>
          </w:p>
        </w:tc>
        <w:tc>
          <w:tcPr>
            <w:tcW w:w="1350" w:type="dxa"/>
            <w:tcBorders>
              <w:top w:val="nil"/>
              <w:left w:val="nil"/>
              <w:bottom w:val="nil"/>
              <w:right w:val="nil"/>
            </w:tcBorders>
            <w:shd w:val="clear" w:color="auto" w:fill="auto"/>
            <w:noWrap/>
            <w:vAlign w:val="bottom"/>
            <w:hideMark/>
          </w:tcPr>
          <w:p w14:paraId="1CD670AF"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340.20172</w:t>
            </w:r>
          </w:p>
        </w:tc>
        <w:tc>
          <w:tcPr>
            <w:tcW w:w="827" w:type="dxa"/>
            <w:tcBorders>
              <w:top w:val="nil"/>
              <w:left w:val="nil"/>
              <w:bottom w:val="nil"/>
              <w:right w:val="nil"/>
            </w:tcBorders>
            <w:shd w:val="clear" w:color="auto" w:fill="auto"/>
            <w:noWrap/>
            <w:vAlign w:val="bottom"/>
            <w:hideMark/>
          </w:tcPr>
          <w:p w14:paraId="69ADB1F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6.893</w:t>
            </w:r>
          </w:p>
        </w:tc>
        <w:tc>
          <w:tcPr>
            <w:tcW w:w="764" w:type="dxa"/>
            <w:tcBorders>
              <w:top w:val="nil"/>
              <w:left w:val="nil"/>
              <w:bottom w:val="nil"/>
              <w:right w:val="nil"/>
            </w:tcBorders>
            <w:shd w:val="clear" w:color="auto" w:fill="auto"/>
            <w:noWrap/>
            <w:vAlign w:val="bottom"/>
            <w:hideMark/>
          </w:tcPr>
          <w:p w14:paraId="4790C950"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0.601</w:t>
            </w:r>
          </w:p>
        </w:tc>
        <w:tc>
          <w:tcPr>
            <w:tcW w:w="1359" w:type="dxa"/>
            <w:gridSpan w:val="2"/>
            <w:tcBorders>
              <w:top w:val="nil"/>
              <w:left w:val="nil"/>
              <w:bottom w:val="nil"/>
              <w:right w:val="nil"/>
            </w:tcBorders>
            <w:shd w:val="clear" w:color="auto" w:fill="auto"/>
            <w:noWrap/>
            <w:vAlign w:val="bottom"/>
            <w:hideMark/>
          </w:tcPr>
          <w:p w14:paraId="1887DC9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1.33E+09</w:t>
            </w:r>
          </w:p>
        </w:tc>
        <w:tc>
          <w:tcPr>
            <w:tcW w:w="679" w:type="dxa"/>
            <w:tcBorders>
              <w:top w:val="nil"/>
              <w:left w:val="nil"/>
              <w:bottom w:val="nil"/>
              <w:right w:val="nil"/>
            </w:tcBorders>
            <w:shd w:val="clear" w:color="auto" w:fill="auto"/>
            <w:noWrap/>
            <w:vAlign w:val="bottom"/>
            <w:hideMark/>
          </w:tcPr>
          <w:p w14:paraId="2F25DD6D"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3.78</w:t>
            </w:r>
          </w:p>
        </w:tc>
        <w:tc>
          <w:tcPr>
            <w:tcW w:w="764" w:type="dxa"/>
            <w:tcBorders>
              <w:top w:val="nil"/>
              <w:left w:val="nil"/>
              <w:bottom w:val="nil"/>
              <w:right w:val="nil"/>
            </w:tcBorders>
            <w:shd w:val="clear" w:color="auto" w:fill="auto"/>
            <w:noWrap/>
            <w:vAlign w:val="bottom"/>
            <w:hideMark/>
          </w:tcPr>
          <w:p w14:paraId="5AAC7942"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3.61</w:t>
            </w:r>
          </w:p>
        </w:tc>
        <w:tc>
          <w:tcPr>
            <w:tcW w:w="788" w:type="dxa"/>
            <w:tcBorders>
              <w:top w:val="nil"/>
              <w:left w:val="nil"/>
              <w:bottom w:val="nil"/>
              <w:right w:val="nil"/>
            </w:tcBorders>
            <w:shd w:val="clear" w:color="auto" w:fill="auto"/>
            <w:noWrap/>
            <w:vAlign w:val="bottom"/>
            <w:hideMark/>
          </w:tcPr>
          <w:p w14:paraId="25B4D0F0"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-0.73</w:t>
            </w:r>
          </w:p>
        </w:tc>
      </w:tr>
      <w:tr w:rsidR="001F17B6" w:rsidRPr="006256FC" w14:paraId="4DD9064E" w14:textId="77777777" w:rsidTr="006256FC">
        <w:trPr>
          <w:trHeight w:val="295"/>
        </w:trPr>
        <w:tc>
          <w:tcPr>
            <w:tcW w:w="2070" w:type="dxa"/>
            <w:tcBorders>
              <w:top w:val="nil"/>
              <w:left w:val="nil"/>
              <w:bottom w:val="nil"/>
              <w:right w:val="nil"/>
            </w:tcBorders>
            <w:shd w:val="clear" w:color="auto" w:fill="auto"/>
            <w:noWrap/>
            <w:vAlign w:val="bottom"/>
            <w:hideMark/>
          </w:tcPr>
          <w:p w14:paraId="023A8806"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6.461_340.20197</w:t>
            </w:r>
          </w:p>
        </w:tc>
        <w:tc>
          <w:tcPr>
            <w:tcW w:w="1350" w:type="dxa"/>
            <w:tcBorders>
              <w:top w:val="nil"/>
              <w:left w:val="nil"/>
              <w:bottom w:val="nil"/>
              <w:right w:val="nil"/>
            </w:tcBorders>
            <w:shd w:val="clear" w:color="auto" w:fill="auto"/>
            <w:noWrap/>
            <w:vAlign w:val="bottom"/>
            <w:hideMark/>
          </w:tcPr>
          <w:p w14:paraId="1A80F332"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340.20197</w:t>
            </w:r>
          </w:p>
        </w:tc>
        <w:tc>
          <w:tcPr>
            <w:tcW w:w="827" w:type="dxa"/>
            <w:tcBorders>
              <w:top w:val="nil"/>
              <w:left w:val="nil"/>
              <w:bottom w:val="nil"/>
              <w:right w:val="nil"/>
            </w:tcBorders>
            <w:shd w:val="clear" w:color="auto" w:fill="auto"/>
            <w:noWrap/>
            <w:vAlign w:val="bottom"/>
            <w:hideMark/>
          </w:tcPr>
          <w:p w14:paraId="5FFE94AA"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6.461</w:t>
            </w:r>
          </w:p>
        </w:tc>
        <w:tc>
          <w:tcPr>
            <w:tcW w:w="764" w:type="dxa"/>
            <w:tcBorders>
              <w:top w:val="nil"/>
              <w:left w:val="nil"/>
              <w:bottom w:val="nil"/>
              <w:right w:val="nil"/>
            </w:tcBorders>
            <w:shd w:val="clear" w:color="auto" w:fill="auto"/>
            <w:noWrap/>
            <w:vAlign w:val="bottom"/>
            <w:hideMark/>
          </w:tcPr>
          <w:p w14:paraId="449A23E3"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5.475</w:t>
            </w:r>
          </w:p>
        </w:tc>
        <w:tc>
          <w:tcPr>
            <w:tcW w:w="1359" w:type="dxa"/>
            <w:gridSpan w:val="2"/>
            <w:tcBorders>
              <w:top w:val="nil"/>
              <w:left w:val="nil"/>
              <w:bottom w:val="nil"/>
              <w:right w:val="nil"/>
            </w:tcBorders>
            <w:shd w:val="clear" w:color="auto" w:fill="auto"/>
            <w:noWrap/>
            <w:vAlign w:val="bottom"/>
            <w:hideMark/>
          </w:tcPr>
          <w:p w14:paraId="685F850B"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4.77E+07</w:t>
            </w:r>
          </w:p>
        </w:tc>
        <w:tc>
          <w:tcPr>
            <w:tcW w:w="679" w:type="dxa"/>
            <w:tcBorders>
              <w:top w:val="nil"/>
              <w:left w:val="nil"/>
              <w:bottom w:val="nil"/>
              <w:right w:val="nil"/>
            </w:tcBorders>
            <w:shd w:val="clear" w:color="auto" w:fill="auto"/>
            <w:noWrap/>
            <w:vAlign w:val="bottom"/>
            <w:hideMark/>
          </w:tcPr>
          <w:p w14:paraId="337FDF13"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5.44</w:t>
            </w:r>
          </w:p>
        </w:tc>
        <w:tc>
          <w:tcPr>
            <w:tcW w:w="764" w:type="dxa"/>
            <w:tcBorders>
              <w:top w:val="nil"/>
              <w:left w:val="nil"/>
              <w:bottom w:val="nil"/>
              <w:right w:val="nil"/>
            </w:tcBorders>
            <w:shd w:val="clear" w:color="auto" w:fill="auto"/>
            <w:noWrap/>
            <w:vAlign w:val="bottom"/>
            <w:hideMark/>
          </w:tcPr>
          <w:p w14:paraId="4B9D9AD7"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5.03</w:t>
            </w:r>
          </w:p>
        </w:tc>
        <w:tc>
          <w:tcPr>
            <w:tcW w:w="788" w:type="dxa"/>
            <w:tcBorders>
              <w:top w:val="nil"/>
              <w:left w:val="nil"/>
              <w:bottom w:val="nil"/>
              <w:right w:val="nil"/>
            </w:tcBorders>
            <w:shd w:val="clear" w:color="auto" w:fill="auto"/>
            <w:noWrap/>
            <w:vAlign w:val="bottom"/>
            <w:hideMark/>
          </w:tcPr>
          <w:p w14:paraId="784A1A1F"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2.45</w:t>
            </w:r>
          </w:p>
        </w:tc>
      </w:tr>
      <w:tr w:rsidR="001F17B6" w:rsidRPr="006256FC" w14:paraId="16EC976B" w14:textId="77777777" w:rsidTr="006256FC">
        <w:trPr>
          <w:trHeight w:val="295"/>
        </w:trPr>
        <w:tc>
          <w:tcPr>
            <w:tcW w:w="2070" w:type="dxa"/>
            <w:tcBorders>
              <w:top w:val="nil"/>
              <w:left w:val="nil"/>
              <w:bottom w:val="nil"/>
              <w:right w:val="nil"/>
            </w:tcBorders>
            <w:shd w:val="clear" w:color="auto" w:fill="auto"/>
            <w:noWrap/>
            <w:vAlign w:val="bottom"/>
            <w:hideMark/>
          </w:tcPr>
          <w:p w14:paraId="19D3BFAC"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6.521_340.20209</w:t>
            </w:r>
          </w:p>
        </w:tc>
        <w:tc>
          <w:tcPr>
            <w:tcW w:w="1350" w:type="dxa"/>
            <w:tcBorders>
              <w:top w:val="nil"/>
              <w:left w:val="nil"/>
              <w:bottom w:val="nil"/>
              <w:right w:val="nil"/>
            </w:tcBorders>
            <w:shd w:val="clear" w:color="auto" w:fill="auto"/>
            <w:noWrap/>
            <w:vAlign w:val="bottom"/>
            <w:hideMark/>
          </w:tcPr>
          <w:p w14:paraId="6B6CDB1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340.20209</w:t>
            </w:r>
          </w:p>
        </w:tc>
        <w:tc>
          <w:tcPr>
            <w:tcW w:w="827" w:type="dxa"/>
            <w:tcBorders>
              <w:top w:val="nil"/>
              <w:left w:val="nil"/>
              <w:bottom w:val="nil"/>
              <w:right w:val="nil"/>
            </w:tcBorders>
            <w:shd w:val="clear" w:color="auto" w:fill="auto"/>
            <w:noWrap/>
            <w:vAlign w:val="bottom"/>
            <w:hideMark/>
          </w:tcPr>
          <w:p w14:paraId="4A1DBE4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6.521</w:t>
            </w:r>
          </w:p>
        </w:tc>
        <w:tc>
          <w:tcPr>
            <w:tcW w:w="764" w:type="dxa"/>
            <w:tcBorders>
              <w:top w:val="nil"/>
              <w:left w:val="nil"/>
              <w:bottom w:val="nil"/>
              <w:right w:val="nil"/>
            </w:tcBorders>
            <w:shd w:val="clear" w:color="auto" w:fill="auto"/>
            <w:noWrap/>
            <w:vAlign w:val="bottom"/>
            <w:hideMark/>
          </w:tcPr>
          <w:p w14:paraId="721950D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0.407</w:t>
            </w:r>
          </w:p>
        </w:tc>
        <w:tc>
          <w:tcPr>
            <w:tcW w:w="1359" w:type="dxa"/>
            <w:gridSpan w:val="2"/>
            <w:tcBorders>
              <w:top w:val="nil"/>
              <w:left w:val="nil"/>
              <w:bottom w:val="nil"/>
              <w:right w:val="nil"/>
            </w:tcBorders>
            <w:shd w:val="clear" w:color="auto" w:fill="auto"/>
            <w:noWrap/>
            <w:vAlign w:val="bottom"/>
            <w:hideMark/>
          </w:tcPr>
          <w:p w14:paraId="503EC735"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3.61E+07</w:t>
            </w:r>
          </w:p>
        </w:tc>
        <w:tc>
          <w:tcPr>
            <w:tcW w:w="679" w:type="dxa"/>
            <w:tcBorders>
              <w:top w:val="nil"/>
              <w:left w:val="nil"/>
              <w:bottom w:val="nil"/>
              <w:right w:val="nil"/>
            </w:tcBorders>
            <w:shd w:val="clear" w:color="auto" w:fill="auto"/>
            <w:noWrap/>
            <w:vAlign w:val="bottom"/>
            <w:hideMark/>
          </w:tcPr>
          <w:p w14:paraId="136D0F3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1.56</w:t>
            </w:r>
          </w:p>
        </w:tc>
        <w:tc>
          <w:tcPr>
            <w:tcW w:w="764" w:type="dxa"/>
            <w:tcBorders>
              <w:top w:val="nil"/>
              <w:left w:val="nil"/>
              <w:bottom w:val="nil"/>
              <w:right w:val="nil"/>
            </w:tcBorders>
            <w:shd w:val="clear" w:color="auto" w:fill="auto"/>
            <w:noWrap/>
            <w:vAlign w:val="bottom"/>
            <w:hideMark/>
          </w:tcPr>
          <w:p w14:paraId="59ECF44A"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1.51</w:t>
            </w:r>
          </w:p>
        </w:tc>
        <w:tc>
          <w:tcPr>
            <w:tcW w:w="788" w:type="dxa"/>
            <w:tcBorders>
              <w:top w:val="nil"/>
              <w:left w:val="nil"/>
              <w:bottom w:val="nil"/>
              <w:right w:val="nil"/>
            </w:tcBorders>
            <w:shd w:val="clear" w:color="auto" w:fill="auto"/>
            <w:noWrap/>
            <w:vAlign w:val="bottom"/>
            <w:hideMark/>
          </w:tcPr>
          <w:p w14:paraId="72648FC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-1.30</w:t>
            </w:r>
          </w:p>
        </w:tc>
      </w:tr>
      <w:tr w:rsidR="001F17B6" w:rsidRPr="006256FC" w14:paraId="32AAF350" w14:textId="77777777" w:rsidTr="006256FC">
        <w:trPr>
          <w:trHeight w:val="295"/>
        </w:trPr>
        <w:tc>
          <w:tcPr>
            <w:tcW w:w="2070" w:type="dxa"/>
            <w:tcBorders>
              <w:top w:val="nil"/>
              <w:left w:val="nil"/>
              <w:bottom w:val="nil"/>
              <w:right w:val="nil"/>
            </w:tcBorders>
            <w:shd w:val="clear" w:color="auto" w:fill="auto"/>
            <w:noWrap/>
            <w:vAlign w:val="bottom"/>
            <w:hideMark/>
          </w:tcPr>
          <w:p w14:paraId="0D799A59"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6.146_340.20221</w:t>
            </w:r>
          </w:p>
        </w:tc>
        <w:tc>
          <w:tcPr>
            <w:tcW w:w="1350" w:type="dxa"/>
            <w:tcBorders>
              <w:top w:val="nil"/>
              <w:left w:val="nil"/>
              <w:bottom w:val="nil"/>
              <w:right w:val="nil"/>
            </w:tcBorders>
            <w:shd w:val="clear" w:color="auto" w:fill="auto"/>
            <w:noWrap/>
            <w:vAlign w:val="bottom"/>
            <w:hideMark/>
          </w:tcPr>
          <w:p w14:paraId="0D22FDD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340.20221</w:t>
            </w:r>
          </w:p>
        </w:tc>
        <w:tc>
          <w:tcPr>
            <w:tcW w:w="827" w:type="dxa"/>
            <w:tcBorders>
              <w:top w:val="nil"/>
              <w:left w:val="nil"/>
              <w:bottom w:val="nil"/>
              <w:right w:val="nil"/>
            </w:tcBorders>
            <w:shd w:val="clear" w:color="auto" w:fill="auto"/>
            <w:noWrap/>
            <w:vAlign w:val="bottom"/>
            <w:hideMark/>
          </w:tcPr>
          <w:p w14:paraId="1270A262"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6.146</w:t>
            </w:r>
          </w:p>
        </w:tc>
        <w:tc>
          <w:tcPr>
            <w:tcW w:w="764" w:type="dxa"/>
            <w:tcBorders>
              <w:top w:val="nil"/>
              <w:left w:val="nil"/>
              <w:bottom w:val="nil"/>
              <w:right w:val="nil"/>
            </w:tcBorders>
            <w:shd w:val="clear" w:color="auto" w:fill="auto"/>
            <w:noWrap/>
            <w:vAlign w:val="bottom"/>
            <w:hideMark/>
          </w:tcPr>
          <w:p w14:paraId="0612407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1.837</w:t>
            </w:r>
          </w:p>
        </w:tc>
        <w:tc>
          <w:tcPr>
            <w:tcW w:w="1359" w:type="dxa"/>
            <w:gridSpan w:val="2"/>
            <w:tcBorders>
              <w:top w:val="nil"/>
              <w:left w:val="nil"/>
              <w:bottom w:val="nil"/>
              <w:right w:val="nil"/>
            </w:tcBorders>
            <w:shd w:val="clear" w:color="auto" w:fill="auto"/>
            <w:noWrap/>
            <w:vAlign w:val="bottom"/>
            <w:hideMark/>
          </w:tcPr>
          <w:p w14:paraId="053F541F"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2.18E+07</w:t>
            </w:r>
          </w:p>
        </w:tc>
        <w:tc>
          <w:tcPr>
            <w:tcW w:w="679" w:type="dxa"/>
            <w:tcBorders>
              <w:top w:val="nil"/>
              <w:left w:val="nil"/>
              <w:bottom w:val="nil"/>
              <w:right w:val="nil"/>
            </w:tcBorders>
            <w:shd w:val="clear" w:color="auto" w:fill="auto"/>
            <w:noWrap/>
            <w:vAlign w:val="bottom"/>
            <w:hideMark/>
          </w:tcPr>
          <w:p w14:paraId="698AE2A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1.84</w:t>
            </w:r>
          </w:p>
        </w:tc>
        <w:tc>
          <w:tcPr>
            <w:tcW w:w="764" w:type="dxa"/>
            <w:tcBorders>
              <w:top w:val="nil"/>
              <w:left w:val="nil"/>
              <w:bottom w:val="nil"/>
              <w:right w:val="nil"/>
            </w:tcBorders>
            <w:shd w:val="clear" w:color="auto" w:fill="auto"/>
            <w:noWrap/>
            <w:vAlign w:val="bottom"/>
            <w:hideMark/>
          </w:tcPr>
          <w:p w14:paraId="1026261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1.77</w:t>
            </w:r>
          </w:p>
        </w:tc>
        <w:tc>
          <w:tcPr>
            <w:tcW w:w="788" w:type="dxa"/>
            <w:tcBorders>
              <w:top w:val="nil"/>
              <w:left w:val="nil"/>
              <w:bottom w:val="nil"/>
              <w:right w:val="nil"/>
            </w:tcBorders>
            <w:shd w:val="clear" w:color="auto" w:fill="auto"/>
            <w:noWrap/>
            <w:vAlign w:val="bottom"/>
            <w:hideMark/>
          </w:tcPr>
          <w:p w14:paraId="229113A2"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0.88</w:t>
            </w:r>
          </w:p>
        </w:tc>
      </w:tr>
      <w:tr w:rsidR="001F17B6" w:rsidRPr="006256FC" w14:paraId="6103ECCA" w14:textId="77777777" w:rsidTr="006256FC">
        <w:trPr>
          <w:trHeight w:val="295"/>
        </w:trPr>
        <w:tc>
          <w:tcPr>
            <w:tcW w:w="2070" w:type="dxa"/>
            <w:tcBorders>
              <w:top w:val="nil"/>
              <w:left w:val="nil"/>
              <w:bottom w:val="nil"/>
              <w:right w:val="nil"/>
            </w:tcBorders>
            <w:shd w:val="clear" w:color="auto" w:fill="auto"/>
            <w:noWrap/>
            <w:vAlign w:val="bottom"/>
            <w:hideMark/>
          </w:tcPr>
          <w:p w14:paraId="63450626"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7.317_352.23792</w:t>
            </w:r>
          </w:p>
        </w:tc>
        <w:tc>
          <w:tcPr>
            <w:tcW w:w="1350" w:type="dxa"/>
            <w:tcBorders>
              <w:top w:val="nil"/>
              <w:left w:val="nil"/>
              <w:bottom w:val="nil"/>
              <w:right w:val="nil"/>
            </w:tcBorders>
            <w:shd w:val="clear" w:color="auto" w:fill="auto"/>
            <w:noWrap/>
            <w:vAlign w:val="bottom"/>
            <w:hideMark/>
          </w:tcPr>
          <w:p w14:paraId="6A09C195"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352.23792</w:t>
            </w:r>
          </w:p>
        </w:tc>
        <w:tc>
          <w:tcPr>
            <w:tcW w:w="827" w:type="dxa"/>
            <w:tcBorders>
              <w:top w:val="nil"/>
              <w:left w:val="nil"/>
              <w:bottom w:val="nil"/>
              <w:right w:val="nil"/>
            </w:tcBorders>
            <w:shd w:val="clear" w:color="auto" w:fill="auto"/>
            <w:noWrap/>
            <w:vAlign w:val="bottom"/>
            <w:hideMark/>
          </w:tcPr>
          <w:p w14:paraId="135472E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7.317</w:t>
            </w:r>
          </w:p>
        </w:tc>
        <w:tc>
          <w:tcPr>
            <w:tcW w:w="764" w:type="dxa"/>
            <w:tcBorders>
              <w:top w:val="nil"/>
              <w:left w:val="nil"/>
              <w:bottom w:val="nil"/>
              <w:right w:val="nil"/>
            </w:tcBorders>
            <w:shd w:val="clear" w:color="auto" w:fill="auto"/>
            <w:noWrap/>
            <w:vAlign w:val="bottom"/>
            <w:hideMark/>
          </w:tcPr>
          <w:p w14:paraId="29C8F8D6"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0.013</w:t>
            </w:r>
          </w:p>
        </w:tc>
        <w:tc>
          <w:tcPr>
            <w:tcW w:w="1359" w:type="dxa"/>
            <w:gridSpan w:val="2"/>
            <w:tcBorders>
              <w:top w:val="nil"/>
              <w:left w:val="nil"/>
              <w:bottom w:val="nil"/>
              <w:right w:val="nil"/>
            </w:tcBorders>
            <w:shd w:val="clear" w:color="auto" w:fill="auto"/>
            <w:noWrap/>
            <w:vAlign w:val="bottom"/>
            <w:hideMark/>
          </w:tcPr>
          <w:p w14:paraId="1DFEF952"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1.10E+08</w:t>
            </w:r>
          </w:p>
        </w:tc>
        <w:tc>
          <w:tcPr>
            <w:tcW w:w="679" w:type="dxa"/>
            <w:tcBorders>
              <w:top w:val="nil"/>
              <w:left w:val="nil"/>
              <w:bottom w:val="nil"/>
              <w:right w:val="nil"/>
            </w:tcBorders>
            <w:shd w:val="clear" w:color="auto" w:fill="auto"/>
            <w:noWrap/>
            <w:vAlign w:val="bottom"/>
            <w:hideMark/>
          </w:tcPr>
          <w:p w14:paraId="59AF6E8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7.44</w:t>
            </w:r>
          </w:p>
        </w:tc>
        <w:tc>
          <w:tcPr>
            <w:tcW w:w="764" w:type="dxa"/>
            <w:tcBorders>
              <w:top w:val="nil"/>
              <w:left w:val="nil"/>
              <w:bottom w:val="nil"/>
              <w:right w:val="nil"/>
            </w:tcBorders>
            <w:shd w:val="clear" w:color="auto" w:fill="auto"/>
            <w:noWrap/>
            <w:vAlign w:val="bottom"/>
            <w:hideMark/>
          </w:tcPr>
          <w:p w14:paraId="3A2FB2D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6.38</w:t>
            </w:r>
          </w:p>
        </w:tc>
        <w:tc>
          <w:tcPr>
            <w:tcW w:w="788" w:type="dxa"/>
            <w:tcBorders>
              <w:top w:val="nil"/>
              <w:left w:val="nil"/>
              <w:bottom w:val="nil"/>
              <w:right w:val="nil"/>
            </w:tcBorders>
            <w:shd w:val="clear" w:color="auto" w:fill="auto"/>
            <w:noWrap/>
            <w:vAlign w:val="bottom"/>
            <w:hideMark/>
          </w:tcPr>
          <w:p w14:paraId="52ECC9BB"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-6.22</w:t>
            </w:r>
          </w:p>
        </w:tc>
      </w:tr>
      <w:tr w:rsidR="001F17B6" w:rsidRPr="006256FC" w14:paraId="65FCBEF6" w14:textId="77777777" w:rsidTr="006256FC">
        <w:trPr>
          <w:trHeight w:val="295"/>
        </w:trPr>
        <w:tc>
          <w:tcPr>
            <w:tcW w:w="2070" w:type="dxa"/>
            <w:tcBorders>
              <w:top w:val="nil"/>
              <w:left w:val="nil"/>
              <w:bottom w:val="nil"/>
              <w:right w:val="nil"/>
            </w:tcBorders>
            <w:shd w:val="clear" w:color="auto" w:fill="auto"/>
            <w:noWrap/>
            <w:vAlign w:val="bottom"/>
            <w:hideMark/>
          </w:tcPr>
          <w:p w14:paraId="6E9FE3C3"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7.265_352.23822</w:t>
            </w:r>
          </w:p>
        </w:tc>
        <w:tc>
          <w:tcPr>
            <w:tcW w:w="1350" w:type="dxa"/>
            <w:tcBorders>
              <w:top w:val="nil"/>
              <w:left w:val="nil"/>
              <w:bottom w:val="nil"/>
              <w:right w:val="nil"/>
            </w:tcBorders>
            <w:shd w:val="clear" w:color="auto" w:fill="auto"/>
            <w:noWrap/>
            <w:vAlign w:val="bottom"/>
            <w:hideMark/>
          </w:tcPr>
          <w:p w14:paraId="06F19CA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352.23822</w:t>
            </w:r>
          </w:p>
        </w:tc>
        <w:tc>
          <w:tcPr>
            <w:tcW w:w="827" w:type="dxa"/>
            <w:tcBorders>
              <w:top w:val="nil"/>
              <w:left w:val="nil"/>
              <w:bottom w:val="nil"/>
              <w:right w:val="nil"/>
            </w:tcBorders>
            <w:shd w:val="clear" w:color="auto" w:fill="auto"/>
            <w:noWrap/>
            <w:vAlign w:val="bottom"/>
            <w:hideMark/>
          </w:tcPr>
          <w:p w14:paraId="7E12E92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7.265</w:t>
            </w:r>
          </w:p>
        </w:tc>
        <w:tc>
          <w:tcPr>
            <w:tcW w:w="764" w:type="dxa"/>
            <w:tcBorders>
              <w:top w:val="nil"/>
              <w:left w:val="nil"/>
              <w:bottom w:val="nil"/>
              <w:right w:val="nil"/>
            </w:tcBorders>
            <w:shd w:val="clear" w:color="auto" w:fill="auto"/>
            <w:noWrap/>
            <w:vAlign w:val="bottom"/>
            <w:hideMark/>
          </w:tcPr>
          <w:p w14:paraId="3687C2D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0.039</w:t>
            </w:r>
          </w:p>
        </w:tc>
        <w:tc>
          <w:tcPr>
            <w:tcW w:w="1359" w:type="dxa"/>
            <w:gridSpan w:val="2"/>
            <w:tcBorders>
              <w:top w:val="nil"/>
              <w:left w:val="nil"/>
              <w:bottom w:val="nil"/>
              <w:right w:val="nil"/>
            </w:tcBorders>
            <w:shd w:val="clear" w:color="auto" w:fill="auto"/>
            <w:noWrap/>
            <w:vAlign w:val="bottom"/>
            <w:hideMark/>
          </w:tcPr>
          <w:p w14:paraId="114A1F7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7.42E+07</w:t>
            </w:r>
          </w:p>
        </w:tc>
        <w:tc>
          <w:tcPr>
            <w:tcW w:w="679" w:type="dxa"/>
            <w:tcBorders>
              <w:top w:val="nil"/>
              <w:left w:val="nil"/>
              <w:bottom w:val="nil"/>
              <w:right w:val="nil"/>
            </w:tcBorders>
            <w:shd w:val="clear" w:color="auto" w:fill="auto"/>
            <w:noWrap/>
            <w:vAlign w:val="bottom"/>
            <w:hideMark/>
          </w:tcPr>
          <w:p w14:paraId="63A54FD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7.57</w:t>
            </w:r>
          </w:p>
        </w:tc>
        <w:tc>
          <w:tcPr>
            <w:tcW w:w="764" w:type="dxa"/>
            <w:tcBorders>
              <w:top w:val="nil"/>
              <w:left w:val="nil"/>
              <w:bottom w:val="nil"/>
              <w:right w:val="nil"/>
            </w:tcBorders>
            <w:shd w:val="clear" w:color="auto" w:fill="auto"/>
            <w:noWrap/>
            <w:vAlign w:val="bottom"/>
            <w:hideMark/>
          </w:tcPr>
          <w:p w14:paraId="57F52633"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6.41</w:t>
            </w:r>
          </w:p>
        </w:tc>
        <w:tc>
          <w:tcPr>
            <w:tcW w:w="788" w:type="dxa"/>
            <w:tcBorders>
              <w:top w:val="nil"/>
              <w:left w:val="nil"/>
              <w:bottom w:val="nil"/>
              <w:right w:val="nil"/>
            </w:tcBorders>
            <w:shd w:val="clear" w:color="auto" w:fill="auto"/>
            <w:noWrap/>
            <w:vAlign w:val="bottom"/>
            <w:hideMark/>
          </w:tcPr>
          <w:p w14:paraId="72C761B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-4.70</w:t>
            </w:r>
          </w:p>
        </w:tc>
      </w:tr>
      <w:tr w:rsidR="001F17B6" w:rsidRPr="006256FC" w14:paraId="40C2A7B9" w14:textId="77777777" w:rsidTr="006256FC">
        <w:trPr>
          <w:trHeight w:val="295"/>
        </w:trPr>
        <w:tc>
          <w:tcPr>
            <w:tcW w:w="2070" w:type="dxa"/>
            <w:tcBorders>
              <w:top w:val="nil"/>
              <w:left w:val="nil"/>
              <w:bottom w:val="nil"/>
              <w:right w:val="nil"/>
            </w:tcBorders>
            <w:shd w:val="clear" w:color="auto" w:fill="auto"/>
            <w:noWrap/>
            <w:vAlign w:val="bottom"/>
            <w:hideMark/>
          </w:tcPr>
          <w:p w14:paraId="2C36CB98"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7.854_354.21735</w:t>
            </w:r>
          </w:p>
        </w:tc>
        <w:tc>
          <w:tcPr>
            <w:tcW w:w="1350" w:type="dxa"/>
            <w:tcBorders>
              <w:top w:val="nil"/>
              <w:left w:val="nil"/>
              <w:bottom w:val="nil"/>
              <w:right w:val="nil"/>
            </w:tcBorders>
            <w:shd w:val="clear" w:color="auto" w:fill="auto"/>
            <w:noWrap/>
            <w:vAlign w:val="bottom"/>
            <w:hideMark/>
          </w:tcPr>
          <w:p w14:paraId="4D2D5318"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354.21735</w:t>
            </w:r>
          </w:p>
        </w:tc>
        <w:tc>
          <w:tcPr>
            <w:tcW w:w="827" w:type="dxa"/>
            <w:tcBorders>
              <w:top w:val="nil"/>
              <w:left w:val="nil"/>
              <w:bottom w:val="nil"/>
              <w:right w:val="nil"/>
            </w:tcBorders>
            <w:shd w:val="clear" w:color="auto" w:fill="auto"/>
            <w:noWrap/>
            <w:vAlign w:val="bottom"/>
            <w:hideMark/>
          </w:tcPr>
          <w:p w14:paraId="5ED9A77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7.854</w:t>
            </w:r>
          </w:p>
        </w:tc>
        <w:tc>
          <w:tcPr>
            <w:tcW w:w="764" w:type="dxa"/>
            <w:tcBorders>
              <w:top w:val="nil"/>
              <w:left w:val="nil"/>
              <w:bottom w:val="nil"/>
              <w:right w:val="nil"/>
            </w:tcBorders>
            <w:shd w:val="clear" w:color="auto" w:fill="auto"/>
            <w:noWrap/>
            <w:vAlign w:val="bottom"/>
            <w:hideMark/>
          </w:tcPr>
          <w:p w14:paraId="5EFB7C91"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0.010</w:t>
            </w:r>
          </w:p>
        </w:tc>
        <w:tc>
          <w:tcPr>
            <w:tcW w:w="1359" w:type="dxa"/>
            <w:gridSpan w:val="2"/>
            <w:tcBorders>
              <w:top w:val="nil"/>
              <w:left w:val="nil"/>
              <w:bottom w:val="nil"/>
              <w:right w:val="nil"/>
            </w:tcBorders>
            <w:shd w:val="clear" w:color="auto" w:fill="auto"/>
            <w:noWrap/>
            <w:vAlign w:val="bottom"/>
            <w:hideMark/>
          </w:tcPr>
          <w:p w14:paraId="70E6A0D0"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6.42E+07</w:t>
            </w:r>
          </w:p>
        </w:tc>
        <w:tc>
          <w:tcPr>
            <w:tcW w:w="679" w:type="dxa"/>
            <w:tcBorders>
              <w:top w:val="nil"/>
              <w:left w:val="nil"/>
              <w:bottom w:val="nil"/>
              <w:right w:val="nil"/>
            </w:tcBorders>
            <w:shd w:val="clear" w:color="auto" w:fill="auto"/>
            <w:noWrap/>
            <w:vAlign w:val="bottom"/>
            <w:hideMark/>
          </w:tcPr>
          <w:p w14:paraId="5AB4391B"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3.61</w:t>
            </w:r>
          </w:p>
        </w:tc>
        <w:tc>
          <w:tcPr>
            <w:tcW w:w="764" w:type="dxa"/>
            <w:tcBorders>
              <w:top w:val="nil"/>
              <w:left w:val="nil"/>
              <w:bottom w:val="nil"/>
              <w:right w:val="nil"/>
            </w:tcBorders>
            <w:shd w:val="clear" w:color="auto" w:fill="auto"/>
            <w:noWrap/>
            <w:vAlign w:val="bottom"/>
            <w:hideMark/>
          </w:tcPr>
          <w:p w14:paraId="4EFFB03A"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3.46</w:t>
            </w:r>
          </w:p>
        </w:tc>
        <w:tc>
          <w:tcPr>
            <w:tcW w:w="788" w:type="dxa"/>
            <w:tcBorders>
              <w:top w:val="nil"/>
              <w:left w:val="nil"/>
              <w:bottom w:val="nil"/>
              <w:right w:val="nil"/>
            </w:tcBorders>
            <w:shd w:val="clear" w:color="auto" w:fill="auto"/>
            <w:noWrap/>
            <w:vAlign w:val="bottom"/>
            <w:hideMark/>
          </w:tcPr>
          <w:p w14:paraId="42187EBB"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-6.64</w:t>
            </w:r>
          </w:p>
        </w:tc>
      </w:tr>
      <w:tr w:rsidR="001F17B6" w:rsidRPr="006256FC" w14:paraId="148C7217" w14:textId="77777777" w:rsidTr="006256FC">
        <w:trPr>
          <w:trHeight w:val="295"/>
        </w:trPr>
        <w:tc>
          <w:tcPr>
            <w:tcW w:w="2070" w:type="dxa"/>
            <w:tcBorders>
              <w:top w:val="nil"/>
              <w:left w:val="nil"/>
              <w:bottom w:val="nil"/>
              <w:right w:val="nil"/>
            </w:tcBorders>
            <w:shd w:val="clear" w:color="auto" w:fill="auto"/>
            <w:noWrap/>
            <w:vAlign w:val="bottom"/>
            <w:hideMark/>
          </w:tcPr>
          <w:p w14:paraId="06A92B3E"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7.088_354.21753</w:t>
            </w:r>
          </w:p>
        </w:tc>
        <w:tc>
          <w:tcPr>
            <w:tcW w:w="1350" w:type="dxa"/>
            <w:tcBorders>
              <w:top w:val="nil"/>
              <w:left w:val="nil"/>
              <w:bottom w:val="nil"/>
              <w:right w:val="nil"/>
            </w:tcBorders>
            <w:shd w:val="clear" w:color="auto" w:fill="auto"/>
            <w:noWrap/>
            <w:vAlign w:val="bottom"/>
            <w:hideMark/>
          </w:tcPr>
          <w:p w14:paraId="22ECA47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354.21753</w:t>
            </w:r>
          </w:p>
        </w:tc>
        <w:tc>
          <w:tcPr>
            <w:tcW w:w="827" w:type="dxa"/>
            <w:tcBorders>
              <w:top w:val="nil"/>
              <w:left w:val="nil"/>
              <w:bottom w:val="nil"/>
              <w:right w:val="nil"/>
            </w:tcBorders>
            <w:shd w:val="clear" w:color="auto" w:fill="auto"/>
            <w:noWrap/>
            <w:vAlign w:val="bottom"/>
            <w:hideMark/>
          </w:tcPr>
          <w:p w14:paraId="6B6F4DBD"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7.088</w:t>
            </w:r>
          </w:p>
        </w:tc>
        <w:tc>
          <w:tcPr>
            <w:tcW w:w="764" w:type="dxa"/>
            <w:tcBorders>
              <w:top w:val="nil"/>
              <w:left w:val="nil"/>
              <w:bottom w:val="nil"/>
              <w:right w:val="nil"/>
            </w:tcBorders>
            <w:shd w:val="clear" w:color="auto" w:fill="auto"/>
            <w:noWrap/>
            <w:vAlign w:val="bottom"/>
            <w:hideMark/>
          </w:tcPr>
          <w:p w14:paraId="28062EF1"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0.245</w:t>
            </w:r>
          </w:p>
        </w:tc>
        <w:tc>
          <w:tcPr>
            <w:tcW w:w="1359" w:type="dxa"/>
            <w:gridSpan w:val="2"/>
            <w:tcBorders>
              <w:top w:val="nil"/>
              <w:left w:val="nil"/>
              <w:bottom w:val="nil"/>
              <w:right w:val="nil"/>
            </w:tcBorders>
            <w:shd w:val="clear" w:color="auto" w:fill="auto"/>
            <w:noWrap/>
            <w:vAlign w:val="bottom"/>
            <w:hideMark/>
          </w:tcPr>
          <w:p w14:paraId="1043A0F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5.82E+07</w:t>
            </w:r>
          </w:p>
        </w:tc>
        <w:tc>
          <w:tcPr>
            <w:tcW w:w="679" w:type="dxa"/>
            <w:tcBorders>
              <w:top w:val="nil"/>
              <w:left w:val="nil"/>
              <w:bottom w:val="nil"/>
              <w:right w:val="nil"/>
            </w:tcBorders>
            <w:shd w:val="clear" w:color="auto" w:fill="auto"/>
            <w:noWrap/>
            <w:vAlign w:val="bottom"/>
            <w:hideMark/>
          </w:tcPr>
          <w:p w14:paraId="0D827C7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3.00</w:t>
            </w:r>
          </w:p>
        </w:tc>
        <w:tc>
          <w:tcPr>
            <w:tcW w:w="764" w:type="dxa"/>
            <w:tcBorders>
              <w:top w:val="nil"/>
              <w:left w:val="nil"/>
              <w:bottom w:val="nil"/>
              <w:right w:val="nil"/>
            </w:tcBorders>
            <w:shd w:val="clear" w:color="auto" w:fill="auto"/>
            <w:noWrap/>
            <w:vAlign w:val="bottom"/>
            <w:hideMark/>
          </w:tcPr>
          <w:p w14:paraId="61EDDA8A"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2.87</w:t>
            </w:r>
          </w:p>
        </w:tc>
        <w:tc>
          <w:tcPr>
            <w:tcW w:w="788" w:type="dxa"/>
            <w:tcBorders>
              <w:top w:val="nil"/>
              <w:left w:val="nil"/>
              <w:bottom w:val="nil"/>
              <w:right w:val="nil"/>
            </w:tcBorders>
            <w:shd w:val="clear" w:color="auto" w:fill="auto"/>
            <w:noWrap/>
            <w:vAlign w:val="bottom"/>
            <w:hideMark/>
          </w:tcPr>
          <w:p w14:paraId="7CE5BCE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-2.03</w:t>
            </w:r>
          </w:p>
        </w:tc>
      </w:tr>
      <w:tr w:rsidR="001F17B6" w:rsidRPr="006256FC" w14:paraId="226B6201" w14:textId="77777777" w:rsidTr="006256FC">
        <w:trPr>
          <w:trHeight w:val="295"/>
        </w:trPr>
        <w:tc>
          <w:tcPr>
            <w:tcW w:w="2070" w:type="dxa"/>
            <w:tcBorders>
              <w:top w:val="nil"/>
              <w:left w:val="nil"/>
              <w:bottom w:val="single" w:sz="4" w:space="0" w:color="auto"/>
              <w:right w:val="nil"/>
            </w:tcBorders>
            <w:shd w:val="clear" w:color="auto" w:fill="auto"/>
            <w:noWrap/>
            <w:vAlign w:val="bottom"/>
            <w:hideMark/>
          </w:tcPr>
          <w:p w14:paraId="6B018830" w14:textId="77777777" w:rsidR="001F17B6" w:rsidRPr="006256FC" w:rsidRDefault="001F17B6" w:rsidP="002E3F44">
            <w:pPr>
              <w:spacing w:line="240" w:lineRule="auto"/>
              <w:ind w:firstLine="0"/>
              <w:rPr>
                <w:rFonts w:cs="Times New Roman"/>
                <w:bCs/>
                <w:color w:val="000000"/>
              </w:rPr>
            </w:pPr>
            <w:r w:rsidRPr="006256FC">
              <w:rPr>
                <w:rFonts w:cs="Times New Roman"/>
                <w:bCs/>
                <w:color w:val="000000"/>
              </w:rPr>
              <w:t>7.275_368.23285</w:t>
            </w:r>
          </w:p>
        </w:tc>
        <w:tc>
          <w:tcPr>
            <w:tcW w:w="1350" w:type="dxa"/>
            <w:tcBorders>
              <w:top w:val="nil"/>
              <w:left w:val="nil"/>
              <w:bottom w:val="single" w:sz="4" w:space="0" w:color="auto"/>
              <w:right w:val="nil"/>
            </w:tcBorders>
            <w:shd w:val="clear" w:color="auto" w:fill="auto"/>
            <w:noWrap/>
            <w:vAlign w:val="bottom"/>
            <w:hideMark/>
          </w:tcPr>
          <w:p w14:paraId="34D27D3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368.23285</w:t>
            </w:r>
          </w:p>
        </w:tc>
        <w:tc>
          <w:tcPr>
            <w:tcW w:w="827" w:type="dxa"/>
            <w:tcBorders>
              <w:top w:val="nil"/>
              <w:left w:val="nil"/>
              <w:bottom w:val="single" w:sz="4" w:space="0" w:color="auto"/>
              <w:right w:val="nil"/>
            </w:tcBorders>
            <w:shd w:val="clear" w:color="auto" w:fill="auto"/>
            <w:noWrap/>
            <w:vAlign w:val="bottom"/>
            <w:hideMark/>
          </w:tcPr>
          <w:p w14:paraId="0A1B8B45"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7.275</w:t>
            </w:r>
          </w:p>
        </w:tc>
        <w:tc>
          <w:tcPr>
            <w:tcW w:w="764" w:type="dxa"/>
            <w:tcBorders>
              <w:top w:val="nil"/>
              <w:left w:val="nil"/>
              <w:bottom w:val="single" w:sz="4" w:space="0" w:color="auto"/>
              <w:right w:val="nil"/>
            </w:tcBorders>
            <w:shd w:val="clear" w:color="auto" w:fill="auto"/>
            <w:noWrap/>
            <w:vAlign w:val="bottom"/>
            <w:hideMark/>
          </w:tcPr>
          <w:p w14:paraId="5DBA7E1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0.116</w:t>
            </w:r>
          </w:p>
        </w:tc>
        <w:tc>
          <w:tcPr>
            <w:tcW w:w="1359" w:type="dxa"/>
            <w:gridSpan w:val="2"/>
            <w:tcBorders>
              <w:top w:val="nil"/>
              <w:left w:val="nil"/>
              <w:bottom w:val="single" w:sz="4" w:space="0" w:color="auto"/>
              <w:right w:val="nil"/>
            </w:tcBorders>
            <w:shd w:val="clear" w:color="auto" w:fill="auto"/>
            <w:noWrap/>
            <w:vAlign w:val="bottom"/>
            <w:hideMark/>
          </w:tcPr>
          <w:p w14:paraId="56839EF4"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3.53E+08</w:t>
            </w:r>
          </w:p>
        </w:tc>
        <w:tc>
          <w:tcPr>
            <w:tcW w:w="679" w:type="dxa"/>
            <w:tcBorders>
              <w:top w:val="nil"/>
              <w:left w:val="nil"/>
              <w:bottom w:val="single" w:sz="4" w:space="0" w:color="auto"/>
              <w:right w:val="nil"/>
            </w:tcBorders>
            <w:shd w:val="clear" w:color="auto" w:fill="auto"/>
            <w:noWrap/>
            <w:vAlign w:val="bottom"/>
            <w:hideMark/>
          </w:tcPr>
          <w:p w14:paraId="1275E0BE"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6.06</w:t>
            </w:r>
          </w:p>
        </w:tc>
        <w:tc>
          <w:tcPr>
            <w:tcW w:w="764" w:type="dxa"/>
            <w:tcBorders>
              <w:top w:val="nil"/>
              <w:left w:val="nil"/>
              <w:bottom w:val="single" w:sz="4" w:space="0" w:color="auto"/>
              <w:right w:val="nil"/>
            </w:tcBorders>
            <w:shd w:val="clear" w:color="auto" w:fill="auto"/>
            <w:noWrap/>
            <w:vAlign w:val="bottom"/>
            <w:hideMark/>
          </w:tcPr>
          <w:p w14:paraId="4F3B944B"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5.51</w:t>
            </w:r>
          </w:p>
        </w:tc>
        <w:tc>
          <w:tcPr>
            <w:tcW w:w="788" w:type="dxa"/>
            <w:tcBorders>
              <w:top w:val="nil"/>
              <w:left w:val="nil"/>
              <w:bottom w:val="single" w:sz="4" w:space="0" w:color="auto"/>
              <w:right w:val="nil"/>
            </w:tcBorders>
            <w:shd w:val="clear" w:color="auto" w:fill="auto"/>
            <w:noWrap/>
            <w:vAlign w:val="bottom"/>
            <w:hideMark/>
          </w:tcPr>
          <w:p w14:paraId="3BB4CEB9" w14:textId="77777777" w:rsidR="001F17B6" w:rsidRPr="006256FC" w:rsidRDefault="001F17B6" w:rsidP="002E3F44">
            <w:pPr>
              <w:spacing w:line="240" w:lineRule="auto"/>
              <w:ind w:firstLine="0"/>
              <w:jc w:val="center"/>
              <w:rPr>
                <w:rFonts w:cs="Times New Roman"/>
                <w:bCs/>
                <w:color w:val="000000"/>
              </w:rPr>
            </w:pPr>
            <w:r w:rsidRPr="006256FC">
              <w:rPr>
                <w:rFonts w:cs="Times New Roman"/>
                <w:bCs/>
                <w:color w:val="000000"/>
              </w:rPr>
              <w:t>-3.11</w:t>
            </w:r>
          </w:p>
        </w:tc>
      </w:tr>
    </w:tbl>
    <w:p w14:paraId="3390753E" w14:textId="77777777" w:rsidR="00A16CD3" w:rsidRDefault="002D12B0" w:rsidP="00F13F6D">
      <w:pPr>
        <w:pStyle w:val="Caption"/>
      </w:pPr>
      <w:r w:rsidRPr="006256FC">
        <w:br w:type="page"/>
      </w:r>
    </w:p>
    <w:p w14:paraId="2FAF33F7" w14:textId="131D55AC" w:rsidR="00A16CD3" w:rsidRPr="00A16CD3" w:rsidRDefault="00E0562D" w:rsidP="00E0562D">
      <w:pPr>
        <w:pStyle w:val="Caption"/>
      </w:pPr>
      <w:r>
        <w:rPr>
          <w:rFonts w:cs="Times New Roman"/>
          <w:noProof/>
        </w:rPr>
        <w:lastRenderedPageBreak/>
        <w:drawing>
          <wp:anchor distT="0" distB="0" distL="114300" distR="114300" simplePos="0" relativeHeight="251713536" behindDoc="0" locked="0" layoutInCell="1" allowOverlap="1" wp14:anchorId="79B98F28" wp14:editId="3FE3D14D">
            <wp:simplePos x="0" y="0"/>
            <wp:positionH relativeFrom="margin">
              <wp:posOffset>1188645</wp:posOffset>
            </wp:positionH>
            <wp:positionV relativeFrom="margin">
              <wp:posOffset>226663</wp:posOffset>
            </wp:positionV>
            <wp:extent cx="3649345" cy="2098675"/>
            <wp:effectExtent l="0" t="0" r="825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407">
                      <a:extLst>
                        <a:ext uri="{28A0092B-C50C-407E-A947-70E740481C1C}">
                          <a14:useLocalDpi xmlns:a14="http://schemas.microsoft.com/office/drawing/2010/main" val="0"/>
                        </a:ext>
                      </a:extLst>
                    </a:blip>
                    <a:stretch>
                      <a:fillRect/>
                    </a:stretch>
                  </pic:blipFill>
                  <pic:spPr>
                    <a:xfrm>
                      <a:off x="0" y="0"/>
                      <a:ext cx="3649345" cy="2098675"/>
                    </a:xfrm>
                    <a:prstGeom prst="rect">
                      <a:avLst/>
                    </a:prstGeom>
                  </pic:spPr>
                </pic:pic>
              </a:graphicData>
            </a:graphic>
            <wp14:sizeRelH relativeFrom="margin">
              <wp14:pctWidth>0</wp14:pctWidth>
            </wp14:sizeRelH>
            <wp14:sizeRelV relativeFrom="margin">
              <wp14:pctHeight>0</wp14:pctHeight>
            </wp14:sizeRelV>
          </wp:anchor>
        </w:drawing>
      </w:r>
    </w:p>
    <w:p w14:paraId="413CBCBE" w14:textId="1FE83C85" w:rsidR="008C5889" w:rsidRPr="00CE4E6D" w:rsidRDefault="008C5889" w:rsidP="00F13F6D">
      <w:pPr>
        <w:pStyle w:val="Caption"/>
      </w:pPr>
      <w:bookmarkStart w:id="256" w:name="_Toc193695187"/>
      <w:r>
        <w:t xml:space="preserve">Figure </w:t>
      </w:r>
      <w:fldSimple w:instr=" STYLEREF 1 \s ">
        <w:r w:rsidR="00971287">
          <w:rPr>
            <w:noProof/>
          </w:rPr>
          <w:t>6</w:t>
        </w:r>
      </w:fldSimple>
      <w:r w:rsidR="00F13F6D">
        <w:t>.</w:t>
      </w:r>
      <w:fldSimple w:instr=" SEQ Figure \* ARABIC \s 1 ">
        <w:r w:rsidR="00971287">
          <w:rPr>
            <w:noProof/>
          </w:rPr>
          <w:t>1</w:t>
        </w:r>
      </w:fldSimple>
      <w:r>
        <w:t xml:space="preserve"> </w:t>
      </w:r>
      <w:r w:rsidRPr="00E03292">
        <w:t>Output spectrum of UV-A light</w:t>
      </w:r>
      <w:r w:rsidRPr="00F13F6D">
        <w:rPr>
          <w:b w:val="0"/>
          <w:bCs w:val="0"/>
        </w:rPr>
        <w:t>, as sourced from the Item User Guide (SANSI Lighting 5W LED Black Light Bulb; Item Model Number C21BB-TE26-5W-UVA).</w:t>
      </w:r>
      <w:bookmarkEnd w:id="256"/>
    </w:p>
    <w:p w14:paraId="70FD5D41" w14:textId="77777777" w:rsidR="008C5889" w:rsidRPr="00CE4E6D" w:rsidRDefault="008C5889">
      <w:pPr>
        <w:spacing w:line="240" w:lineRule="auto"/>
        <w:ind w:firstLine="0"/>
        <w:rPr>
          <w:iCs/>
          <w:color w:val="000000" w:themeColor="text1"/>
          <w:szCs w:val="22"/>
        </w:rPr>
      </w:pPr>
      <w:r w:rsidRPr="00CE4E6D">
        <w:br w:type="page"/>
      </w:r>
    </w:p>
    <w:p w14:paraId="48C2156E" w14:textId="6E0C4426" w:rsidR="008C5889" w:rsidRDefault="00E0562D">
      <w:pPr>
        <w:spacing w:line="240" w:lineRule="auto"/>
        <w:ind w:firstLine="0"/>
        <w:rPr>
          <w:b/>
          <w:bCs/>
          <w:iCs/>
          <w:color w:val="000000" w:themeColor="text1"/>
          <w:szCs w:val="22"/>
        </w:rPr>
      </w:pPr>
      <w:r>
        <w:rPr>
          <w:rFonts w:cs="Times New Roman"/>
          <w:noProof/>
        </w:rPr>
        <w:lastRenderedPageBreak/>
        <w:drawing>
          <wp:anchor distT="0" distB="0" distL="114300" distR="114300" simplePos="0" relativeHeight="251715584" behindDoc="0" locked="0" layoutInCell="1" allowOverlap="1" wp14:anchorId="6C3CEC8C" wp14:editId="64949666">
            <wp:simplePos x="0" y="0"/>
            <wp:positionH relativeFrom="margin">
              <wp:posOffset>9525</wp:posOffset>
            </wp:positionH>
            <wp:positionV relativeFrom="margin">
              <wp:posOffset>0</wp:posOffset>
            </wp:positionV>
            <wp:extent cx="5460365" cy="5093970"/>
            <wp:effectExtent l="0" t="0" r="6985" b="0"/>
            <wp:wrapSquare wrapText="bothSides"/>
            <wp:docPr id="746531228" name="Picture 74653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31228" name="Picture 746531228"/>
                    <pic:cNvPicPr/>
                  </pic:nvPicPr>
                  <pic:blipFill>
                    <a:blip r:embed="rId408" cstate="print">
                      <a:extLst>
                        <a:ext uri="{28A0092B-C50C-407E-A947-70E740481C1C}">
                          <a14:useLocalDpi xmlns:a14="http://schemas.microsoft.com/office/drawing/2010/main" val="0"/>
                        </a:ext>
                      </a:extLst>
                    </a:blip>
                    <a:stretch>
                      <a:fillRect/>
                    </a:stretch>
                  </pic:blipFill>
                  <pic:spPr>
                    <a:xfrm>
                      <a:off x="0" y="0"/>
                      <a:ext cx="5460365" cy="5093970"/>
                    </a:xfrm>
                    <a:prstGeom prst="rect">
                      <a:avLst/>
                    </a:prstGeom>
                  </pic:spPr>
                </pic:pic>
              </a:graphicData>
            </a:graphic>
            <wp14:sizeRelH relativeFrom="margin">
              <wp14:pctWidth>0</wp14:pctWidth>
            </wp14:sizeRelH>
            <wp14:sizeRelV relativeFrom="margin">
              <wp14:pctHeight>0</wp14:pctHeight>
            </wp14:sizeRelV>
          </wp:anchor>
        </w:drawing>
      </w:r>
      <w:r w:rsidR="008C5889">
        <w:rPr>
          <w:noProof/>
        </w:rPr>
        <mc:AlternateContent>
          <mc:Choice Requires="wps">
            <w:drawing>
              <wp:anchor distT="0" distB="0" distL="114300" distR="114300" simplePos="0" relativeHeight="251716608" behindDoc="0" locked="0" layoutInCell="1" allowOverlap="1" wp14:anchorId="073FC617" wp14:editId="76B70BCB">
                <wp:simplePos x="0" y="0"/>
                <wp:positionH relativeFrom="column">
                  <wp:posOffset>0</wp:posOffset>
                </wp:positionH>
                <wp:positionV relativeFrom="paragraph">
                  <wp:posOffset>5257800</wp:posOffset>
                </wp:positionV>
                <wp:extent cx="5937250" cy="635"/>
                <wp:effectExtent l="0" t="0" r="6350" b="0"/>
                <wp:wrapSquare wrapText="bothSides"/>
                <wp:docPr id="1456779688" name="Text Box 1"/>
                <wp:cNvGraphicFramePr/>
                <a:graphic xmlns:a="http://schemas.openxmlformats.org/drawingml/2006/main">
                  <a:graphicData uri="http://schemas.microsoft.com/office/word/2010/wordprocessingShape">
                    <wps:wsp>
                      <wps:cNvSpPr txBox="1"/>
                      <wps:spPr>
                        <a:xfrm>
                          <a:off x="0" y="0"/>
                          <a:ext cx="5937250" cy="635"/>
                        </a:xfrm>
                        <a:prstGeom prst="rect">
                          <a:avLst/>
                        </a:prstGeom>
                        <a:solidFill>
                          <a:prstClr val="white"/>
                        </a:solidFill>
                        <a:ln>
                          <a:noFill/>
                        </a:ln>
                      </wps:spPr>
                      <wps:txbx>
                        <w:txbxContent>
                          <w:p w14:paraId="2478A3FD" w14:textId="2E534F05" w:rsidR="008C5889" w:rsidRDefault="008C5889" w:rsidP="008C5889">
                            <w:pPr>
                              <w:spacing w:line="240" w:lineRule="auto"/>
                              <w:ind w:firstLine="0"/>
                              <w:jc w:val="both"/>
                            </w:pPr>
                            <w:bookmarkStart w:id="257" w:name="_Toc193695188"/>
                            <w:r w:rsidRPr="00596514">
                              <w:rPr>
                                <w:b/>
                                <w:bCs/>
                              </w:rPr>
                              <w:t xml:space="preserve">Figure </w:t>
                            </w:r>
                            <w:r w:rsidR="00F13F6D">
                              <w:rPr>
                                <w:b/>
                                <w:bCs/>
                              </w:rPr>
                              <w:fldChar w:fldCharType="begin"/>
                            </w:r>
                            <w:r w:rsidR="00F13F6D">
                              <w:rPr>
                                <w:b/>
                                <w:bCs/>
                              </w:rPr>
                              <w:instrText xml:space="preserve"> STYLEREF 1 \s </w:instrText>
                            </w:r>
                            <w:r w:rsidR="00F13F6D">
                              <w:rPr>
                                <w:b/>
                                <w:bCs/>
                              </w:rPr>
                              <w:fldChar w:fldCharType="separate"/>
                            </w:r>
                            <w:r w:rsidR="00971287">
                              <w:rPr>
                                <w:b/>
                                <w:bCs/>
                                <w:noProof/>
                              </w:rPr>
                              <w:t>6</w:t>
                            </w:r>
                            <w:r w:rsidR="00F13F6D">
                              <w:rPr>
                                <w:b/>
                                <w:bCs/>
                              </w:rPr>
                              <w:fldChar w:fldCharType="end"/>
                            </w:r>
                            <w:r w:rsidR="00F13F6D">
                              <w:rPr>
                                <w:b/>
                                <w:bCs/>
                              </w:rPr>
                              <w:t>.</w:t>
                            </w:r>
                            <w:r w:rsidR="00F13F6D">
                              <w:rPr>
                                <w:b/>
                                <w:bCs/>
                              </w:rPr>
                              <w:fldChar w:fldCharType="begin"/>
                            </w:r>
                            <w:r w:rsidR="00F13F6D">
                              <w:rPr>
                                <w:b/>
                                <w:bCs/>
                              </w:rPr>
                              <w:instrText xml:space="preserve"> SEQ Figure \* ARABIC \s 1 </w:instrText>
                            </w:r>
                            <w:r w:rsidR="00F13F6D">
                              <w:rPr>
                                <w:b/>
                                <w:bCs/>
                              </w:rPr>
                              <w:fldChar w:fldCharType="separate"/>
                            </w:r>
                            <w:r w:rsidR="00971287">
                              <w:rPr>
                                <w:b/>
                                <w:bCs/>
                                <w:noProof/>
                              </w:rPr>
                              <w:t>2</w:t>
                            </w:r>
                            <w:r w:rsidR="00F13F6D">
                              <w:rPr>
                                <w:b/>
                                <w:bCs/>
                              </w:rPr>
                              <w:fldChar w:fldCharType="end"/>
                            </w:r>
                            <w:r w:rsidRPr="00596514">
                              <w:rPr>
                                <w:b/>
                                <w:bCs/>
                              </w:rPr>
                              <w:t xml:space="preserve"> Effect of temperature on DJPM01.</w:t>
                            </w:r>
                            <w:r w:rsidRPr="008340F3">
                              <w:t xml:space="preserve"> (A) Calculated growth rates for strain DJPM01 grown at temperatures 4, 10, 15, 20, and 25 °C. Growth curves were performed in a 96-well plate and measurements were taken once per day. </w:t>
                            </w:r>
                            <w:r w:rsidRPr="001F0C9B">
                              <w:rPr>
                                <w:rFonts w:cs="Times New Roman"/>
                              </w:rPr>
                              <w:t>Wells on the outside of the plate were excluded from final calculations (n=30). (B) Images of streak plates of strain DJPM01 incubated at 4, 10, 20, and 25 °C, respectively.</w:t>
                            </w:r>
                            <w:bookmarkEnd w:id="257"/>
                          </w:p>
                          <w:p w14:paraId="4337E013" w14:textId="77777777" w:rsidR="008C5889" w:rsidRPr="00F477AA" w:rsidRDefault="008C5889" w:rsidP="00F13F6D">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73FC617" id="_x0000_s1036" type="#_x0000_t202" style="position:absolute;margin-left:0;margin-top:414pt;width:467.5pt;height:.0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" stroked="f">
                <v:textbox style="mso-fit-shape-to-text:t" inset="0,0,0,0">
                  <w:txbxContent>
                    <w:p w14:paraId="2478A3FD" w14:textId="2E534F05" w:rsidR="008C5889" w:rsidRDefault="008C5889" w:rsidP="008C5889">
                      <w:pPr>
                        <w:spacing w:line="240" w:lineRule="auto"/>
                        <w:ind w:firstLine="0"/>
                        <w:jc w:val="both"/>
                      </w:pPr>
                      <w:bookmarkStart w:id="268" w:name="_Toc193695188"/>
                      <w:r w:rsidRPr="00596514">
                        <w:rPr>
                          <w:b/>
                          <w:bCs/>
                        </w:rPr>
                        <w:t xml:space="preserve">Figure </w:t>
                      </w:r>
                      <w:r w:rsidR="00F13F6D">
                        <w:rPr>
                          <w:b/>
                          <w:bCs/>
                        </w:rPr>
                        <w:fldChar w:fldCharType="begin"/>
                      </w:r>
                      <w:r w:rsidR="00F13F6D">
                        <w:rPr>
                          <w:b/>
                          <w:bCs/>
                        </w:rPr>
                        <w:instrText xml:space="preserve"> STYLEREF 1 \s </w:instrText>
                      </w:r>
                      <w:r w:rsidR="00F13F6D">
                        <w:rPr>
                          <w:b/>
                          <w:bCs/>
                        </w:rPr>
                        <w:fldChar w:fldCharType="separate"/>
                      </w:r>
                      <w:r w:rsidR="00971287">
                        <w:rPr>
                          <w:b/>
                          <w:bCs/>
                          <w:noProof/>
                        </w:rPr>
                        <w:t>6</w:t>
                      </w:r>
                      <w:r w:rsidR="00F13F6D">
                        <w:rPr>
                          <w:b/>
                          <w:bCs/>
                        </w:rPr>
                        <w:fldChar w:fldCharType="end"/>
                      </w:r>
                      <w:r w:rsidR="00F13F6D">
                        <w:rPr>
                          <w:b/>
                          <w:bCs/>
                        </w:rPr>
                        <w:t>.</w:t>
                      </w:r>
                      <w:r w:rsidR="00F13F6D">
                        <w:rPr>
                          <w:b/>
                          <w:bCs/>
                        </w:rPr>
                        <w:fldChar w:fldCharType="begin"/>
                      </w:r>
                      <w:r w:rsidR="00F13F6D">
                        <w:rPr>
                          <w:b/>
                          <w:bCs/>
                        </w:rPr>
                        <w:instrText xml:space="preserve"> SEQ Figure \* ARABIC \s 1 </w:instrText>
                      </w:r>
                      <w:r w:rsidR="00F13F6D">
                        <w:rPr>
                          <w:b/>
                          <w:bCs/>
                        </w:rPr>
                        <w:fldChar w:fldCharType="separate"/>
                      </w:r>
                      <w:r w:rsidR="00971287">
                        <w:rPr>
                          <w:b/>
                          <w:bCs/>
                          <w:noProof/>
                        </w:rPr>
                        <w:t>2</w:t>
                      </w:r>
                      <w:r w:rsidR="00F13F6D">
                        <w:rPr>
                          <w:b/>
                          <w:bCs/>
                        </w:rPr>
                        <w:fldChar w:fldCharType="end"/>
                      </w:r>
                      <w:r w:rsidRPr="00596514">
                        <w:rPr>
                          <w:b/>
                          <w:bCs/>
                        </w:rPr>
                        <w:t xml:space="preserve"> Effect of temperature on DJPM01.</w:t>
                      </w:r>
                      <w:r w:rsidRPr="008340F3">
                        <w:t xml:space="preserve"> (A) Calculated growth rates for strain DJPM01 grown at temperatures 4, 10, 15, 20, and 25 °C. Growth curves were performed in a 96-well plate and measurements were taken once per day. </w:t>
                      </w:r>
                      <w:r w:rsidRPr="001F0C9B">
                        <w:rPr>
                          <w:rFonts w:cs="Times New Roman"/>
                        </w:rPr>
                        <w:t>Wells on the outside of the plate were excluded from final calculations (n=30). (B) Images of streak plates of strain DJPM01 incubated at 4, 10, 20, and 25 °C, respectively.</w:t>
                      </w:r>
                      <w:bookmarkEnd w:id="268"/>
                    </w:p>
                    <w:p w14:paraId="4337E013" w14:textId="77777777" w:rsidR="008C5889" w:rsidRPr="00F477AA" w:rsidRDefault="008C5889" w:rsidP="00F13F6D">
                      <w:pPr>
                        <w:pStyle w:val="Caption"/>
                        <w:rPr>
                          <w:noProof/>
                        </w:rPr>
                      </w:pPr>
                    </w:p>
                  </w:txbxContent>
                </v:textbox>
                <w10:wrap type="square"/>
              </v:shape>
            </w:pict>
          </mc:Fallback>
        </mc:AlternateContent>
      </w:r>
      <w:r w:rsidR="001F17B6">
        <w:br w:type="page"/>
      </w:r>
      <w:r w:rsidR="00215CDD">
        <w:rPr>
          <w:rFonts w:cs="Times New Roman"/>
          <w:noProof/>
        </w:rPr>
        <w:lastRenderedPageBreak/>
        <w:drawing>
          <wp:anchor distT="0" distB="0" distL="114300" distR="114300" simplePos="0" relativeHeight="251718656" behindDoc="0" locked="0" layoutInCell="1" allowOverlap="1" wp14:anchorId="45E83E4E" wp14:editId="519DE921">
            <wp:simplePos x="0" y="0"/>
            <wp:positionH relativeFrom="margin">
              <wp:posOffset>266700</wp:posOffset>
            </wp:positionH>
            <wp:positionV relativeFrom="margin">
              <wp:posOffset>111760</wp:posOffset>
            </wp:positionV>
            <wp:extent cx="5339715" cy="5715000"/>
            <wp:effectExtent l="0" t="0" r="0" b="0"/>
            <wp:wrapTopAndBottom/>
            <wp:docPr id="1856756676" name="Picture 1856756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756676" name="Picture 1856756676"/>
                    <pic:cNvPicPr/>
                  </pic:nvPicPr>
                  <pic:blipFill>
                    <a:blip r:embed="rId409" cstate="print">
                      <a:extLst>
                        <a:ext uri="{28A0092B-C50C-407E-A947-70E740481C1C}">
                          <a14:useLocalDpi xmlns:a14="http://schemas.microsoft.com/office/drawing/2010/main" val="0"/>
                        </a:ext>
                      </a:extLst>
                    </a:blip>
                    <a:stretch>
                      <a:fillRect/>
                    </a:stretch>
                  </pic:blipFill>
                  <pic:spPr>
                    <a:xfrm>
                      <a:off x="0" y="0"/>
                      <a:ext cx="5339715" cy="5715000"/>
                    </a:xfrm>
                    <a:prstGeom prst="rect">
                      <a:avLst/>
                    </a:prstGeom>
                  </pic:spPr>
                </pic:pic>
              </a:graphicData>
            </a:graphic>
            <wp14:sizeRelH relativeFrom="page">
              <wp14:pctWidth>0</wp14:pctWidth>
            </wp14:sizeRelH>
            <wp14:sizeRelV relativeFrom="page">
              <wp14:pctHeight>0</wp14:pctHeight>
            </wp14:sizeRelV>
          </wp:anchor>
        </w:drawing>
      </w:r>
      <w:r w:rsidR="00A16CD3">
        <w:rPr>
          <w:noProof/>
        </w:rPr>
        <mc:AlternateContent>
          <mc:Choice Requires="wps">
            <w:drawing>
              <wp:anchor distT="0" distB="0" distL="114300" distR="114300" simplePos="0" relativeHeight="251719680" behindDoc="0" locked="0" layoutInCell="1" allowOverlap="1" wp14:anchorId="33EE70A1" wp14:editId="679F57FE">
                <wp:simplePos x="0" y="0"/>
                <wp:positionH relativeFrom="column">
                  <wp:posOffset>25400</wp:posOffset>
                </wp:positionH>
                <wp:positionV relativeFrom="paragraph">
                  <wp:posOffset>6057900</wp:posOffset>
                </wp:positionV>
                <wp:extent cx="5911850" cy="635"/>
                <wp:effectExtent l="0" t="0" r="0" b="0"/>
                <wp:wrapTopAndBottom/>
                <wp:docPr id="913029718" name="Text Box 1"/>
                <wp:cNvGraphicFramePr/>
                <a:graphic xmlns:a="http://schemas.openxmlformats.org/drawingml/2006/main">
                  <a:graphicData uri="http://schemas.microsoft.com/office/word/2010/wordprocessingShape">
                    <wps:wsp>
                      <wps:cNvSpPr txBox="1"/>
                      <wps:spPr>
                        <a:xfrm>
                          <a:off x="0" y="0"/>
                          <a:ext cx="5911850" cy="635"/>
                        </a:xfrm>
                        <a:prstGeom prst="rect">
                          <a:avLst/>
                        </a:prstGeom>
                        <a:solidFill>
                          <a:prstClr val="white"/>
                        </a:solidFill>
                        <a:ln>
                          <a:noFill/>
                        </a:ln>
                      </wps:spPr>
                      <wps:txbx>
                        <w:txbxContent>
                          <w:p w14:paraId="69ACB818" w14:textId="2718F350" w:rsidR="008C5889" w:rsidRPr="001D6E31" w:rsidRDefault="008C5889" w:rsidP="00F13F6D">
                            <w:pPr>
                              <w:pStyle w:val="Caption"/>
                              <w:rPr>
                                <w:b w:val="0"/>
                                <w:bCs w:val="0"/>
                              </w:rPr>
                            </w:pPr>
                            <w:bookmarkStart w:id="258" w:name="_Toc193695189"/>
                            <w:r>
                              <w:t xml:space="preserve">Figure </w:t>
                            </w:r>
                            <w:fldSimple w:instr=" STYLEREF 1 \s ">
                              <w:r w:rsidR="00971287">
                                <w:rPr>
                                  <w:noProof/>
                                </w:rPr>
                                <w:t>6</w:t>
                              </w:r>
                            </w:fldSimple>
                            <w:r w:rsidR="00F13F6D">
                              <w:t>.</w:t>
                            </w:r>
                            <w:fldSimple w:instr=" SEQ Figure \* ARABIC \s 1 ">
                              <w:r w:rsidR="00971287">
                                <w:rPr>
                                  <w:noProof/>
                                </w:rPr>
                                <w:t>3</w:t>
                              </w:r>
                            </w:fldSimple>
                            <w:r w:rsidRPr="00596514">
                              <w:t xml:space="preserve"> </w:t>
                            </w:r>
                            <w:r w:rsidRPr="00794A4D">
                              <w:t>Maximum likelihood phylogenetic tree constructed using 16S rRNA genes from members of the Oxalobacteraceae family and strain DJPM01</w:t>
                            </w:r>
                            <w:r>
                              <w:t>.</w:t>
                            </w:r>
                            <w:r w:rsidRPr="00596514">
                              <w:t xml:space="preserve"> </w:t>
                            </w:r>
                            <w:r w:rsidRPr="001D6E31">
                              <w:rPr>
                                <w:b w:val="0"/>
                                <w:bCs w:val="0"/>
                              </w:rPr>
                              <w:t xml:space="preserve">Sequences from strains with phenotypic and genotypic evidence for prodigiosin production are indicated in red. Strain DJPM01 was highly similar to other Antarctic and cryosphere </w:t>
                            </w:r>
                            <w:r w:rsidRPr="001D6E31">
                              <w:rPr>
                                <w:b w:val="0"/>
                                <w:bCs w:val="0"/>
                                <w:i/>
                              </w:rPr>
                              <w:t>Massilia</w:t>
                            </w:r>
                            <w:r w:rsidRPr="001D6E31">
                              <w:rPr>
                                <w:b w:val="0"/>
                                <w:bCs w:val="0"/>
                              </w:rPr>
                              <w:t xml:space="preserve"> isolates. Bootstrap values &gt;50 (9999 replicates) are indicated at nodes. An Antarctic </w:t>
                            </w:r>
                            <w:r w:rsidRPr="001D6E31">
                              <w:rPr>
                                <w:b w:val="0"/>
                                <w:bCs w:val="0"/>
                                <w:i/>
                              </w:rPr>
                              <w:t>Shewanella</w:t>
                            </w:r>
                            <w:r w:rsidRPr="001D6E31">
                              <w:rPr>
                                <w:b w:val="0"/>
                                <w:bCs w:val="0"/>
                              </w:rPr>
                              <w:t xml:space="preserve"> species (strain BF02_Schw) was used as an outgroup (DQ677870.1).</w:t>
                            </w:r>
                            <w:bookmarkEnd w:id="25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3EE70A1" id="_x0000_s1037" type="#_x0000_t202" style="position:absolute;margin-left:2pt;margin-top:477pt;width:465.5pt;height:.05pt;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" stroked="f">
                <v:textbox style="mso-fit-shape-to-text:t" inset="0,0,0,0">
                  <w:txbxContent>
                    <w:p w14:paraId="69ACB818" w14:textId="2718F350" w:rsidR="008C5889" w:rsidRPr="001D6E31" w:rsidRDefault="008C5889" w:rsidP="00F13F6D">
                      <w:pPr>
                        <w:pStyle w:val="Caption"/>
                        <w:rPr>
                          <w:b w:val="0"/>
                          <w:bCs w:val="0"/>
                        </w:rPr>
                      </w:pPr>
                      <w:bookmarkStart w:id="270" w:name="_Toc193695189"/>
                      <w:r>
                        <w:t xml:space="preserve">Figure </w:t>
                      </w:r>
                      <w:r w:rsidR="00971287">
                        <w:fldChar w:fldCharType="begin"/>
                      </w:r>
                      <w:r w:rsidR="00971287">
                        <w:instrText xml:space="preserve"> STYLEREF 1 \s </w:instrText>
                      </w:r>
                      <w:r w:rsidR="00971287">
                        <w:fldChar w:fldCharType="separate"/>
                      </w:r>
                      <w:r w:rsidR="00971287">
                        <w:rPr>
                          <w:noProof/>
                        </w:rPr>
                        <w:t>6</w:t>
                      </w:r>
                      <w:r w:rsidR="00971287">
                        <w:rPr>
                          <w:noProof/>
                        </w:rPr>
                        <w:fldChar w:fldCharType="end"/>
                      </w:r>
                      <w:r w:rsidR="00F13F6D">
                        <w:t>.</w:t>
                      </w:r>
                      <w:r w:rsidR="00971287">
                        <w:fldChar w:fldCharType="begin"/>
                      </w:r>
                      <w:r w:rsidR="00971287">
                        <w:instrText xml:space="preserve"> SEQ Figure \* ARABIC \s 1 </w:instrText>
                      </w:r>
                      <w:r w:rsidR="00971287">
                        <w:fldChar w:fldCharType="separate"/>
                      </w:r>
                      <w:r w:rsidR="00971287">
                        <w:rPr>
                          <w:noProof/>
                        </w:rPr>
                        <w:t>3</w:t>
                      </w:r>
                      <w:r w:rsidR="00971287">
                        <w:rPr>
                          <w:noProof/>
                        </w:rPr>
                        <w:fldChar w:fldCharType="end"/>
                      </w:r>
                      <w:r w:rsidRPr="00596514">
                        <w:t xml:space="preserve"> </w:t>
                      </w:r>
                      <w:r w:rsidRPr="00794A4D">
                        <w:t>Maximum likelihood phylogenetic tree constructed using 16S rRNA genes from members of the Oxalobacteraceae family and strain DJPM01</w:t>
                      </w:r>
                      <w:r>
                        <w:t>.</w:t>
                      </w:r>
                      <w:r w:rsidRPr="00596514">
                        <w:t xml:space="preserve"> </w:t>
                      </w:r>
                      <w:r w:rsidRPr="001D6E31">
                        <w:rPr>
                          <w:b w:val="0"/>
                          <w:bCs w:val="0"/>
                        </w:rPr>
                        <w:t xml:space="preserve">Sequences from strains with phenotypic and genotypic evidence for prodigiosin production are indicated in red. Strain DJPM01 was highly </w:t>
                      </w:r>
                      <w:proofErr w:type="gramStart"/>
                      <w:r w:rsidRPr="001D6E31">
                        <w:rPr>
                          <w:b w:val="0"/>
                          <w:bCs w:val="0"/>
                        </w:rPr>
                        <w:t>similar to</w:t>
                      </w:r>
                      <w:proofErr w:type="gramEnd"/>
                      <w:r w:rsidRPr="001D6E31">
                        <w:rPr>
                          <w:b w:val="0"/>
                          <w:bCs w:val="0"/>
                        </w:rPr>
                        <w:t xml:space="preserve"> other Antarctic and cryosphere </w:t>
                      </w:r>
                      <w:r w:rsidRPr="001D6E31">
                        <w:rPr>
                          <w:b w:val="0"/>
                          <w:bCs w:val="0"/>
                          <w:i/>
                        </w:rPr>
                        <w:t>Massilia</w:t>
                      </w:r>
                      <w:r w:rsidRPr="001D6E31">
                        <w:rPr>
                          <w:b w:val="0"/>
                          <w:bCs w:val="0"/>
                        </w:rPr>
                        <w:t xml:space="preserve"> isolates. Bootstrap values &gt;50 (9999 replicates) </w:t>
                      </w:r>
                      <w:proofErr w:type="gramStart"/>
                      <w:r w:rsidRPr="001D6E31">
                        <w:rPr>
                          <w:b w:val="0"/>
                          <w:bCs w:val="0"/>
                        </w:rPr>
                        <w:t>are</w:t>
                      </w:r>
                      <w:proofErr w:type="gramEnd"/>
                      <w:r w:rsidRPr="001D6E31">
                        <w:rPr>
                          <w:b w:val="0"/>
                          <w:bCs w:val="0"/>
                        </w:rPr>
                        <w:t xml:space="preserve"> indicated at nodes. An Antarctic </w:t>
                      </w:r>
                      <w:r w:rsidRPr="001D6E31">
                        <w:rPr>
                          <w:b w:val="0"/>
                          <w:bCs w:val="0"/>
                          <w:i/>
                        </w:rPr>
                        <w:t>Shewanella</w:t>
                      </w:r>
                      <w:r w:rsidRPr="001D6E31">
                        <w:rPr>
                          <w:b w:val="0"/>
                          <w:bCs w:val="0"/>
                        </w:rPr>
                        <w:t xml:space="preserve"> species (strain BF02_Schw) was used as an outgroup (DQ677870.1).</w:t>
                      </w:r>
                      <w:bookmarkEnd w:id="270"/>
                    </w:p>
                  </w:txbxContent>
                </v:textbox>
                <w10:wrap type="topAndBottom"/>
              </v:shape>
            </w:pict>
          </mc:Fallback>
        </mc:AlternateContent>
      </w:r>
      <w:r w:rsidR="008C5889">
        <w:br w:type="page"/>
      </w:r>
    </w:p>
    <w:p w14:paraId="26E37175" w14:textId="77777777" w:rsidR="008C5889" w:rsidRDefault="008C5889" w:rsidP="008C5889">
      <w:pPr>
        <w:keepNext/>
        <w:spacing w:line="240" w:lineRule="auto"/>
        <w:ind w:firstLine="0"/>
      </w:pPr>
      <w:r>
        <w:rPr>
          <w:rFonts w:cs="Times New Roman"/>
          <w:noProof/>
        </w:rPr>
        <w:lastRenderedPageBreak/>
        <w:drawing>
          <wp:inline distT="0" distB="0" distL="0" distR="0" wp14:anchorId="45388A91" wp14:editId="586263DD">
            <wp:extent cx="5486400" cy="3420503"/>
            <wp:effectExtent l="0" t="0" r="0" b="8890"/>
            <wp:docPr id="329128771" name="Picture 329128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28771" name="Picture 329128771"/>
                    <pic:cNvPicPr>
                      <a:picLocks noChangeAspect="1" noChangeArrowheads="1"/>
                    </pic:cNvPicPr>
                  </pic:nvPicPr>
                  <pic:blipFill>
                    <a:blip r:embed="rId410" cstate="print">
                      <a:extLst>
                        <a:ext uri="{28A0092B-C50C-407E-A947-70E740481C1C}">
                          <a14:useLocalDpi xmlns:a14="http://schemas.microsoft.com/office/drawing/2010/main" val="0"/>
                        </a:ext>
                      </a:extLst>
                    </a:blip>
                    <a:stretch>
                      <a:fillRect/>
                    </a:stretch>
                  </pic:blipFill>
                  <pic:spPr bwMode="auto">
                    <a:xfrm>
                      <a:off x="0" y="0"/>
                      <a:ext cx="5486400" cy="3420503"/>
                    </a:xfrm>
                    <a:prstGeom prst="rect">
                      <a:avLst/>
                    </a:prstGeom>
                    <a:noFill/>
                    <a:ln>
                      <a:noFill/>
                    </a:ln>
                  </pic:spPr>
                </pic:pic>
              </a:graphicData>
            </a:graphic>
          </wp:inline>
        </w:drawing>
      </w:r>
    </w:p>
    <w:p w14:paraId="4B0DC79E" w14:textId="77777777" w:rsidR="00A16CD3" w:rsidRDefault="00A16CD3" w:rsidP="008C5889">
      <w:pPr>
        <w:keepNext/>
        <w:spacing w:line="240" w:lineRule="auto"/>
        <w:ind w:firstLine="0"/>
        <w:rPr>
          <w:b/>
          <w:bCs/>
        </w:rPr>
      </w:pPr>
    </w:p>
    <w:p w14:paraId="48B84804" w14:textId="1D64B793" w:rsidR="00A16CD3" w:rsidRDefault="008C5889" w:rsidP="008C5889">
      <w:pPr>
        <w:keepNext/>
        <w:spacing w:line="240" w:lineRule="auto"/>
        <w:ind w:firstLine="0"/>
        <w:rPr>
          <w:rFonts w:cs="Times New Roman"/>
        </w:rPr>
      </w:pPr>
      <w:bookmarkStart w:id="259" w:name="_Toc193695190"/>
      <w:r w:rsidRPr="00596514">
        <w:rPr>
          <w:b/>
          <w:bCs/>
        </w:rPr>
        <w:t xml:space="preserve">Figure </w:t>
      </w:r>
      <w:r w:rsidR="00F13F6D">
        <w:rPr>
          <w:b/>
          <w:bCs/>
        </w:rPr>
        <w:fldChar w:fldCharType="begin"/>
      </w:r>
      <w:r w:rsidR="00F13F6D">
        <w:rPr>
          <w:b/>
          <w:bCs/>
        </w:rPr>
        <w:instrText xml:space="preserve"> STYLEREF 1 \s </w:instrText>
      </w:r>
      <w:r w:rsidR="00F13F6D">
        <w:rPr>
          <w:b/>
          <w:bCs/>
        </w:rPr>
        <w:fldChar w:fldCharType="separate"/>
      </w:r>
      <w:r w:rsidR="00971287">
        <w:rPr>
          <w:b/>
          <w:bCs/>
          <w:noProof/>
        </w:rPr>
        <w:t>6</w:t>
      </w:r>
      <w:r w:rsidR="00F13F6D">
        <w:rPr>
          <w:b/>
          <w:bCs/>
        </w:rPr>
        <w:fldChar w:fldCharType="end"/>
      </w:r>
      <w:r w:rsidR="00F13F6D">
        <w:rPr>
          <w:b/>
          <w:bCs/>
        </w:rPr>
        <w:t>.</w:t>
      </w:r>
      <w:r w:rsidR="00F13F6D">
        <w:rPr>
          <w:b/>
          <w:bCs/>
        </w:rPr>
        <w:fldChar w:fldCharType="begin"/>
      </w:r>
      <w:r w:rsidR="00F13F6D">
        <w:rPr>
          <w:b/>
          <w:bCs/>
        </w:rPr>
        <w:instrText xml:space="preserve"> SEQ Figure \* ARABIC \s 1 </w:instrText>
      </w:r>
      <w:r w:rsidR="00F13F6D">
        <w:rPr>
          <w:b/>
          <w:bCs/>
        </w:rPr>
        <w:fldChar w:fldCharType="separate"/>
      </w:r>
      <w:r w:rsidR="00971287">
        <w:rPr>
          <w:b/>
          <w:bCs/>
          <w:noProof/>
        </w:rPr>
        <w:t>4</w:t>
      </w:r>
      <w:r w:rsidR="00F13F6D">
        <w:rPr>
          <w:b/>
          <w:bCs/>
        </w:rPr>
        <w:fldChar w:fldCharType="end"/>
      </w:r>
      <w:r>
        <w:t xml:space="preserve"> </w:t>
      </w:r>
      <w:r>
        <w:rPr>
          <w:b/>
          <w:bCs/>
        </w:rPr>
        <w:t xml:space="preserve">Proposed </w:t>
      </w:r>
      <w:r w:rsidRPr="00D916FA">
        <w:rPr>
          <w:b/>
          <w:bCs/>
        </w:rPr>
        <w:t xml:space="preserve">DJPM01 </w:t>
      </w:r>
      <w:r>
        <w:rPr>
          <w:b/>
          <w:bCs/>
        </w:rPr>
        <w:t>g</w:t>
      </w:r>
      <w:r w:rsidRPr="00D916FA">
        <w:rPr>
          <w:b/>
          <w:bCs/>
        </w:rPr>
        <w:t>ladiofungin BGC.</w:t>
      </w:r>
      <w:r>
        <w:t xml:space="preserve"> </w:t>
      </w:r>
      <w:r w:rsidRPr="001F0C9B">
        <w:rPr>
          <w:rFonts w:cs="Times New Roman"/>
        </w:rPr>
        <w:t>PRISM v4.4.</w:t>
      </w:r>
      <w:r w:rsidRPr="00F012CE">
        <w:rPr>
          <w:rFonts w:cs="Times New Roman"/>
        </w:rPr>
        <w:t>5 (Skinnider et al., 2020)</w:t>
      </w:r>
      <w:bookmarkEnd w:id="259"/>
      <w:r w:rsidRPr="00F012CE">
        <w:rPr>
          <w:rFonts w:cs="Times New Roman"/>
        </w:rPr>
        <w:t xml:space="preserve"> </w:t>
      </w:r>
    </w:p>
    <w:p w14:paraId="7E845E7B" w14:textId="4B4C49CE" w:rsidR="008C5889" w:rsidRDefault="008C5889" w:rsidP="008C5889">
      <w:pPr>
        <w:keepNext/>
        <w:spacing w:line="240" w:lineRule="auto"/>
        <w:ind w:firstLine="0"/>
        <w:rPr>
          <w:rFonts w:cs="Times New Roman"/>
          <w:i/>
          <w:iCs/>
        </w:rPr>
      </w:pPr>
      <w:r w:rsidRPr="00F012CE">
        <w:rPr>
          <w:rFonts w:cs="Times New Roman"/>
        </w:rPr>
        <w:t>output</w:t>
      </w:r>
      <w:r w:rsidRPr="001F0C9B">
        <w:rPr>
          <w:rFonts w:cs="Times New Roman"/>
        </w:rPr>
        <w:t xml:space="preserve"> for (A) putative iso-migrastatin BGC in strain DJPM01 genome and (B) gladiofungin BGC in </w:t>
      </w:r>
      <w:r w:rsidRPr="00F269BF">
        <w:rPr>
          <w:rFonts w:cs="Times New Roman"/>
          <w:i/>
          <w:iCs/>
        </w:rPr>
        <w:t xml:space="preserve">Burkholderia gladioli </w:t>
      </w:r>
      <w:r w:rsidRPr="001F0C9B">
        <w:rPr>
          <w:rFonts w:cs="Times New Roman"/>
        </w:rPr>
        <w:t xml:space="preserve">strain Lv-Sta (WITE01000004.1), with missing PKS modules boxed in red. (C) Alignment of BGCs, highlighting similarity between individual genes. </w:t>
      </w:r>
      <w:r w:rsidRPr="001F0C9B">
        <w:rPr>
          <w:rFonts w:cs="Times New Roman"/>
          <w:i/>
          <w:iCs/>
        </w:rPr>
        <w:t>AH - acylhydrolase. AmT - aminotransferase. B - branching domain. CMT - C-methyltransferase. DH - dehydrotase. KR - ketoreductase. KR0 - inactive ketoreductase. KS - ketosynthase. Mal - acyltransferase (malonyl-CoA). T - Thiolation.</w:t>
      </w:r>
    </w:p>
    <w:p w14:paraId="5D58B110" w14:textId="77777777" w:rsidR="008C5889" w:rsidRDefault="008C5889">
      <w:pPr>
        <w:spacing w:line="240" w:lineRule="auto"/>
        <w:ind w:firstLine="0"/>
        <w:rPr>
          <w:rFonts w:cs="Times New Roman"/>
          <w:i/>
          <w:iCs/>
        </w:rPr>
      </w:pPr>
      <w:r>
        <w:rPr>
          <w:rFonts w:cs="Times New Roman"/>
          <w:i/>
          <w:iCs/>
        </w:rPr>
        <w:br w:type="page"/>
      </w:r>
    </w:p>
    <w:p w14:paraId="50C8DFA5" w14:textId="019EEEA5" w:rsidR="008C5889" w:rsidRDefault="00215CDD" w:rsidP="008C5889">
      <w:pPr>
        <w:keepNext/>
        <w:spacing w:line="240" w:lineRule="auto"/>
        <w:ind w:firstLine="0"/>
        <w:rPr>
          <w:rFonts w:cs="Times New Roman"/>
        </w:rPr>
      </w:pPr>
      <w:r>
        <w:rPr>
          <w:b/>
          <w:noProof/>
          <w:lang w:val="en-GB" w:eastAsia="en-GB"/>
        </w:rPr>
        <w:lastRenderedPageBreak/>
        <w:drawing>
          <wp:anchor distT="0" distB="0" distL="114300" distR="114300" simplePos="0" relativeHeight="251721728" behindDoc="0" locked="0" layoutInCell="1" allowOverlap="1" wp14:anchorId="78011D1D" wp14:editId="480A90D0">
            <wp:simplePos x="0" y="0"/>
            <wp:positionH relativeFrom="margin">
              <wp:posOffset>116205</wp:posOffset>
            </wp:positionH>
            <wp:positionV relativeFrom="margin">
              <wp:posOffset>1270</wp:posOffset>
            </wp:positionV>
            <wp:extent cx="5462270" cy="2915920"/>
            <wp:effectExtent l="0" t="0" r="5080" b="0"/>
            <wp:wrapSquare wrapText="bothSides"/>
            <wp:docPr id="1642775721" name="Picture 1642775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775721" name="Picture 1642775721"/>
                    <pic:cNvPicPr>
                      <a:picLocks noChangeAspect="1" noChangeArrowheads="1"/>
                    </pic:cNvPicPr>
                  </pic:nvPicPr>
                  <pic:blipFill>
                    <a:blip r:embed="rId411" cstate="print">
                      <a:extLst>
                        <a:ext uri="{28A0092B-C50C-407E-A947-70E740481C1C}">
                          <a14:useLocalDpi xmlns:a14="http://schemas.microsoft.com/office/drawing/2010/main" val="0"/>
                        </a:ext>
                      </a:extLst>
                    </a:blip>
                    <a:stretch>
                      <a:fillRect/>
                    </a:stretch>
                  </pic:blipFill>
                  <pic:spPr bwMode="auto">
                    <a:xfrm>
                      <a:off x="0" y="0"/>
                      <a:ext cx="5462270" cy="2915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6CD3">
        <w:rPr>
          <w:noProof/>
        </w:rPr>
        <mc:AlternateContent>
          <mc:Choice Requires="wps">
            <w:drawing>
              <wp:anchor distT="0" distB="0" distL="114300" distR="114300" simplePos="0" relativeHeight="251722752" behindDoc="0" locked="0" layoutInCell="1" allowOverlap="1" wp14:anchorId="32AC3760" wp14:editId="4935DC60">
                <wp:simplePos x="0" y="0"/>
                <wp:positionH relativeFrom="column">
                  <wp:posOffset>-12700</wp:posOffset>
                </wp:positionH>
                <wp:positionV relativeFrom="paragraph">
                  <wp:posOffset>2921000</wp:posOffset>
                </wp:positionV>
                <wp:extent cx="5949950" cy="635"/>
                <wp:effectExtent l="0" t="0" r="0" b="3810"/>
                <wp:wrapSquare wrapText="bothSides"/>
                <wp:docPr id="5083939" name="Text Box 1"/>
                <wp:cNvGraphicFramePr/>
                <a:graphic xmlns:a="http://schemas.openxmlformats.org/drawingml/2006/main">
                  <a:graphicData uri="http://schemas.microsoft.com/office/word/2010/wordprocessingShape">
                    <wps:wsp>
                      <wps:cNvSpPr txBox="1"/>
                      <wps:spPr>
                        <a:xfrm>
                          <a:off x="0" y="0"/>
                          <a:ext cx="5949950" cy="635"/>
                        </a:xfrm>
                        <a:prstGeom prst="rect">
                          <a:avLst/>
                        </a:prstGeom>
                        <a:solidFill>
                          <a:prstClr val="white"/>
                        </a:solidFill>
                        <a:ln>
                          <a:noFill/>
                        </a:ln>
                      </wps:spPr>
                      <wps:txbx>
                        <w:txbxContent>
                          <w:p w14:paraId="2E8D8875" w14:textId="3D097F48" w:rsidR="008C5889" w:rsidRDefault="008C5889" w:rsidP="00F13F6D">
                            <w:pPr>
                              <w:pStyle w:val="Caption"/>
                            </w:pPr>
                            <w:bookmarkStart w:id="260" w:name="_Toc193695191"/>
                            <w:r>
                              <w:t xml:space="preserve">Figure </w:t>
                            </w:r>
                            <w:fldSimple w:instr=" STYLEREF 1 \s ">
                              <w:r w:rsidR="00971287">
                                <w:rPr>
                                  <w:noProof/>
                                </w:rPr>
                                <w:t>6</w:t>
                              </w:r>
                            </w:fldSimple>
                            <w:r w:rsidR="00F13F6D">
                              <w:t>.</w:t>
                            </w:r>
                            <w:fldSimple w:instr=" SEQ Figure \* ARABIC \s 1 ">
                              <w:r w:rsidR="00971287">
                                <w:rPr>
                                  <w:noProof/>
                                </w:rPr>
                                <w:t>5</w:t>
                              </w:r>
                            </w:fldSimple>
                            <w:r>
                              <w:t xml:space="preserve"> </w:t>
                            </w:r>
                            <w:r w:rsidRPr="00596514">
                              <w:t xml:space="preserve">Prodigiosin gene comparisons between </w:t>
                            </w:r>
                            <w:r w:rsidRPr="00596514">
                              <w:rPr>
                                <w:i/>
                              </w:rPr>
                              <w:t>Massilia</w:t>
                            </w:r>
                            <w:r w:rsidRPr="00596514">
                              <w:t xml:space="preserve"> strains. </w:t>
                            </w:r>
                            <w:r w:rsidRPr="00CF16BC">
                              <w:rPr>
                                <w:b w:val="0"/>
                                <w:bCs w:val="0"/>
                              </w:rPr>
                              <w:t xml:space="preserve">(A) Summary of sequence comparisons between </w:t>
                            </w:r>
                            <w:r w:rsidRPr="00CF16BC">
                              <w:rPr>
                                <w:b w:val="0"/>
                                <w:bCs w:val="0"/>
                                <w:i/>
                              </w:rPr>
                              <w:t>Serratia</w:t>
                            </w:r>
                            <w:r w:rsidRPr="00CF16BC">
                              <w:rPr>
                                <w:b w:val="0"/>
                                <w:bCs w:val="0"/>
                              </w:rPr>
                              <w:t xml:space="preserve"> sp. strain  ATCC 39006 and RefSeq </w:t>
                            </w:r>
                            <w:r w:rsidRPr="00CF16BC">
                              <w:rPr>
                                <w:b w:val="0"/>
                                <w:bCs w:val="0"/>
                                <w:i/>
                              </w:rPr>
                              <w:t>Massilia</w:t>
                            </w:r>
                            <w:r w:rsidRPr="00CF16BC">
                              <w:rPr>
                                <w:b w:val="0"/>
                                <w:bCs w:val="0"/>
                              </w:rPr>
                              <w:t xml:space="preserve"> genomes. Similarities are expressed in Average bit score for each gene per group of genomes. (B) Comparison of putative prodigiosin BGCs for Antarctic </w:t>
                            </w:r>
                            <w:r w:rsidRPr="00CF16BC">
                              <w:rPr>
                                <w:b w:val="0"/>
                                <w:bCs w:val="0"/>
                                <w:i/>
                              </w:rPr>
                              <w:t>Massilia</w:t>
                            </w:r>
                            <w:r w:rsidRPr="00CF16BC">
                              <w:rPr>
                                <w:b w:val="0"/>
                                <w:bCs w:val="0"/>
                              </w:rPr>
                              <w:t xml:space="preserve"> species. Lines between individual genes highlight percent identity between those two genes.</w:t>
                            </w:r>
                            <w:bookmarkEnd w:id="260"/>
                          </w:p>
                          <w:p w14:paraId="48AB8B11" w14:textId="77777777" w:rsidR="00CE4E6D" w:rsidRPr="00CE4E6D" w:rsidRDefault="00CE4E6D" w:rsidP="00CE4E6D"/>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2AC3760" id="_x0000_s1038" type="#_x0000_t202" style="position:absolute;margin-left:-1pt;margin-top:230pt;width:468.5pt;height:.0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" stroked="f">
                <v:textbox style="mso-fit-shape-to-text:t" inset="0,0,0,0">
                  <w:txbxContent>
                    <w:p w14:paraId="2E8D8875" w14:textId="3D097F48" w:rsidR="008C5889" w:rsidRDefault="008C5889" w:rsidP="00F13F6D">
                      <w:pPr>
                        <w:pStyle w:val="Caption"/>
                      </w:pPr>
                      <w:bookmarkStart w:id="273" w:name="_Toc193695191"/>
                      <w:r>
                        <w:t xml:space="preserve">Figure </w:t>
                      </w:r>
                      <w:r w:rsidR="00971287">
                        <w:fldChar w:fldCharType="begin"/>
                      </w:r>
                      <w:r w:rsidR="00971287">
                        <w:instrText xml:space="preserve"> STYLEREF 1 \s </w:instrText>
                      </w:r>
                      <w:r w:rsidR="00971287">
                        <w:fldChar w:fldCharType="separate"/>
                      </w:r>
                      <w:r w:rsidR="00971287">
                        <w:rPr>
                          <w:noProof/>
                        </w:rPr>
                        <w:t>6</w:t>
                      </w:r>
                      <w:r w:rsidR="00971287">
                        <w:rPr>
                          <w:noProof/>
                        </w:rPr>
                        <w:fldChar w:fldCharType="end"/>
                      </w:r>
                      <w:r w:rsidR="00F13F6D">
                        <w:t>.</w:t>
                      </w:r>
                      <w:r w:rsidR="00971287">
                        <w:fldChar w:fldCharType="begin"/>
                      </w:r>
                      <w:r w:rsidR="00971287">
                        <w:instrText xml:space="preserve"> SEQ Figure \* ARABIC \s 1 </w:instrText>
                      </w:r>
                      <w:r w:rsidR="00971287">
                        <w:fldChar w:fldCharType="separate"/>
                      </w:r>
                      <w:r w:rsidR="00971287">
                        <w:rPr>
                          <w:noProof/>
                        </w:rPr>
                        <w:t>5</w:t>
                      </w:r>
                      <w:r w:rsidR="00971287">
                        <w:rPr>
                          <w:noProof/>
                        </w:rPr>
                        <w:fldChar w:fldCharType="end"/>
                      </w:r>
                      <w:r>
                        <w:t xml:space="preserve"> </w:t>
                      </w:r>
                      <w:r w:rsidRPr="00596514">
                        <w:t xml:space="preserve">Prodigiosin gene comparisons between </w:t>
                      </w:r>
                      <w:r w:rsidRPr="00596514">
                        <w:rPr>
                          <w:i/>
                        </w:rPr>
                        <w:t>Massilia</w:t>
                      </w:r>
                      <w:r w:rsidRPr="00596514">
                        <w:t xml:space="preserve"> strains. </w:t>
                      </w:r>
                      <w:r w:rsidRPr="00CF16BC">
                        <w:rPr>
                          <w:b w:val="0"/>
                          <w:bCs w:val="0"/>
                        </w:rPr>
                        <w:t xml:space="preserve">(A) Summary of sequence comparisons between </w:t>
                      </w:r>
                      <w:r w:rsidRPr="00CF16BC">
                        <w:rPr>
                          <w:b w:val="0"/>
                          <w:bCs w:val="0"/>
                          <w:i/>
                        </w:rPr>
                        <w:t>Serratia</w:t>
                      </w:r>
                      <w:r w:rsidRPr="00CF16BC">
                        <w:rPr>
                          <w:b w:val="0"/>
                          <w:bCs w:val="0"/>
                        </w:rPr>
                        <w:t xml:space="preserve"> sp. </w:t>
                      </w:r>
                      <w:proofErr w:type="gramStart"/>
                      <w:r w:rsidRPr="00CF16BC">
                        <w:rPr>
                          <w:b w:val="0"/>
                          <w:bCs w:val="0"/>
                        </w:rPr>
                        <w:t>strain  ATCC</w:t>
                      </w:r>
                      <w:proofErr w:type="gramEnd"/>
                      <w:r w:rsidRPr="00CF16BC">
                        <w:rPr>
                          <w:b w:val="0"/>
                          <w:bCs w:val="0"/>
                        </w:rPr>
                        <w:t xml:space="preserve"> 39006 and </w:t>
                      </w:r>
                      <w:proofErr w:type="spellStart"/>
                      <w:r w:rsidRPr="00CF16BC">
                        <w:rPr>
                          <w:b w:val="0"/>
                          <w:bCs w:val="0"/>
                        </w:rPr>
                        <w:t>RefSeq</w:t>
                      </w:r>
                      <w:proofErr w:type="spellEnd"/>
                      <w:r w:rsidRPr="00CF16BC">
                        <w:rPr>
                          <w:b w:val="0"/>
                          <w:bCs w:val="0"/>
                        </w:rPr>
                        <w:t xml:space="preserve"> </w:t>
                      </w:r>
                      <w:r w:rsidRPr="00CF16BC">
                        <w:rPr>
                          <w:b w:val="0"/>
                          <w:bCs w:val="0"/>
                          <w:i/>
                        </w:rPr>
                        <w:t>Massilia</w:t>
                      </w:r>
                      <w:r w:rsidRPr="00CF16BC">
                        <w:rPr>
                          <w:b w:val="0"/>
                          <w:bCs w:val="0"/>
                        </w:rPr>
                        <w:t xml:space="preserve"> genomes. Similarities are expressed in Average bit score for each gene per group of genomes. (B) Comparison of putative prodigiosin BGCs for Antarctic </w:t>
                      </w:r>
                      <w:r w:rsidRPr="00CF16BC">
                        <w:rPr>
                          <w:b w:val="0"/>
                          <w:bCs w:val="0"/>
                          <w:i/>
                        </w:rPr>
                        <w:t>Massilia</w:t>
                      </w:r>
                      <w:r w:rsidRPr="00CF16BC">
                        <w:rPr>
                          <w:b w:val="0"/>
                          <w:bCs w:val="0"/>
                        </w:rPr>
                        <w:t xml:space="preserve"> species. Lines between individual genes highlight percent identity between those two genes.</w:t>
                      </w:r>
                      <w:bookmarkEnd w:id="273"/>
                    </w:p>
                    <w:p w14:paraId="48AB8B11" w14:textId="77777777" w:rsidR="00CE4E6D" w:rsidRPr="00CE4E6D" w:rsidRDefault="00CE4E6D" w:rsidP="00CE4E6D"/>
                  </w:txbxContent>
                </v:textbox>
                <w10:wrap type="square"/>
              </v:shape>
            </w:pict>
          </mc:Fallback>
        </mc:AlternateContent>
      </w:r>
    </w:p>
    <w:p w14:paraId="51F6F50B" w14:textId="6C4662D2" w:rsidR="00F72232" w:rsidRDefault="00F72232">
      <w:pPr>
        <w:spacing w:line="240" w:lineRule="auto"/>
        <w:ind w:firstLine="0"/>
        <w:rPr>
          <w:b/>
          <w:bCs/>
          <w:iCs/>
          <w:color w:val="000000" w:themeColor="text1"/>
          <w:szCs w:val="22"/>
        </w:rPr>
      </w:pPr>
      <w:r>
        <w:br w:type="page"/>
      </w:r>
    </w:p>
    <w:p w14:paraId="2FBB31F8" w14:textId="3DBE8F1C" w:rsidR="00F72232" w:rsidRPr="00CF16BC" w:rsidRDefault="00F72232" w:rsidP="00F13F6D">
      <w:pPr>
        <w:pStyle w:val="Caption"/>
        <w:rPr>
          <w:b w:val="0"/>
          <w:bCs w:val="0"/>
        </w:rPr>
      </w:pPr>
      <w:bookmarkStart w:id="261" w:name="_Toc193695192"/>
      <w:r>
        <w:rPr>
          <w:rFonts w:cs="Times New Roman"/>
          <w:noProof/>
        </w:rPr>
        <w:lastRenderedPageBreak/>
        <w:drawing>
          <wp:anchor distT="0" distB="0" distL="114300" distR="114300" simplePos="0" relativeHeight="251724800" behindDoc="0" locked="0" layoutInCell="1" allowOverlap="1" wp14:anchorId="37CCB0CD" wp14:editId="1D184B39">
            <wp:simplePos x="0" y="0"/>
            <wp:positionH relativeFrom="margin">
              <wp:posOffset>525780</wp:posOffset>
            </wp:positionH>
            <wp:positionV relativeFrom="margin">
              <wp:posOffset>-27305</wp:posOffset>
            </wp:positionV>
            <wp:extent cx="4701540" cy="2579370"/>
            <wp:effectExtent l="0" t="0" r="3810" b="0"/>
            <wp:wrapTopAndBottom/>
            <wp:docPr id="785599078" name="Picture 785599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599078" name="Picture 785599078"/>
                    <pic:cNvPicPr>
                      <a:picLocks noChangeAspect="1" noChangeArrowheads="1"/>
                    </pic:cNvPicPr>
                  </pic:nvPicPr>
                  <pic:blipFill>
                    <a:blip r:embed="rId412" cstate="print">
                      <a:extLst>
                        <a:ext uri="{28A0092B-C50C-407E-A947-70E740481C1C}">
                          <a14:useLocalDpi xmlns:a14="http://schemas.microsoft.com/office/drawing/2010/main" val="0"/>
                        </a:ext>
                      </a:extLst>
                    </a:blip>
                    <a:stretch>
                      <a:fillRect/>
                    </a:stretch>
                  </pic:blipFill>
                  <pic:spPr bwMode="auto">
                    <a:xfrm>
                      <a:off x="0" y="0"/>
                      <a:ext cx="4701540" cy="2579370"/>
                    </a:xfrm>
                    <a:prstGeom prst="rect">
                      <a:avLst/>
                    </a:prstGeom>
                    <a:noFill/>
                    <a:ln>
                      <a:noFill/>
                    </a:ln>
                  </pic:spPr>
                </pic:pic>
              </a:graphicData>
            </a:graphic>
          </wp:anchor>
        </w:drawing>
      </w:r>
      <w:r w:rsidR="008C5889">
        <w:t xml:space="preserve">Figure </w:t>
      </w:r>
      <w:fldSimple w:instr=" STYLEREF 1 \s ">
        <w:r w:rsidR="00971287">
          <w:rPr>
            <w:noProof/>
          </w:rPr>
          <w:t>6</w:t>
        </w:r>
      </w:fldSimple>
      <w:r w:rsidR="00F13F6D">
        <w:t>.</w:t>
      </w:r>
      <w:fldSimple w:instr=" SEQ Figure \* ARABIC \s 1 ">
        <w:r w:rsidR="00971287">
          <w:rPr>
            <w:noProof/>
          </w:rPr>
          <w:t>6</w:t>
        </w:r>
      </w:fldSimple>
      <w:r w:rsidR="008C5889">
        <w:t xml:space="preserve"> </w:t>
      </w:r>
      <w:r w:rsidR="008C5889" w:rsidRPr="001B71A2">
        <w:t>Absorbance spectrum of extracted pigment from colonies of strain DJPM01 in butanol</w:t>
      </w:r>
      <w:r w:rsidR="008C5889" w:rsidRPr="001F0C9B">
        <w:t xml:space="preserve">. </w:t>
      </w:r>
      <w:r w:rsidR="008C5889" w:rsidRPr="00CF16BC">
        <w:rPr>
          <w:b w:val="0"/>
          <w:bCs w:val="0"/>
        </w:rPr>
        <w:t>The absorbance maximum is at 540 nm, which corresponds to literature values for prodigiosin at acidic pH.</w:t>
      </w:r>
      <w:bookmarkEnd w:id="261"/>
    </w:p>
    <w:p w14:paraId="5C9593DC" w14:textId="66B4CC75" w:rsidR="00F72232" w:rsidRDefault="00F72232">
      <w:pPr>
        <w:spacing w:line="240" w:lineRule="auto"/>
        <w:ind w:firstLine="0"/>
        <w:rPr>
          <w:b/>
          <w:bCs/>
          <w:iCs/>
          <w:color w:val="000000" w:themeColor="text1"/>
          <w:szCs w:val="22"/>
        </w:rPr>
      </w:pPr>
      <w:r>
        <w:br w:type="page"/>
      </w:r>
    </w:p>
    <w:p w14:paraId="5851D5C1" w14:textId="4114A48E" w:rsidR="008C5889" w:rsidRPr="00CE4E6D" w:rsidRDefault="00F72232" w:rsidP="00F13F6D">
      <w:pPr>
        <w:pStyle w:val="Caption"/>
      </w:pPr>
      <w:r>
        <w:rPr>
          <w:b w:val="0"/>
          <w:noProof/>
          <w:lang w:val="en-GB" w:eastAsia="en-GB"/>
        </w:rPr>
        <w:lastRenderedPageBreak/>
        <w:drawing>
          <wp:anchor distT="0" distB="0" distL="114300" distR="114300" simplePos="0" relativeHeight="251726848" behindDoc="0" locked="0" layoutInCell="1" allowOverlap="1" wp14:anchorId="1F940A35" wp14:editId="64DD692A">
            <wp:simplePos x="0" y="0"/>
            <wp:positionH relativeFrom="margin">
              <wp:posOffset>362585</wp:posOffset>
            </wp:positionH>
            <wp:positionV relativeFrom="margin">
              <wp:posOffset>-273685</wp:posOffset>
            </wp:positionV>
            <wp:extent cx="5407660" cy="3530600"/>
            <wp:effectExtent l="0" t="0" r="0" b="0"/>
            <wp:wrapSquare wrapText="bothSides"/>
            <wp:docPr id="1417520240" name="Picture 141752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520240" name="Picture 1417520240"/>
                    <pic:cNvPicPr>
                      <a:picLocks noChangeAspect="1" noChangeArrowheads="1"/>
                    </pic:cNvPicPr>
                  </pic:nvPicPr>
                  <pic:blipFill>
                    <a:blip r:embed="rId413" cstate="print">
                      <a:extLst>
                        <a:ext uri="{28A0092B-C50C-407E-A947-70E740481C1C}">
                          <a14:useLocalDpi xmlns:a14="http://schemas.microsoft.com/office/drawing/2010/main" val="0"/>
                        </a:ext>
                      </a:extLst>
                    </a:blip>
                    <a:srcRect t="4676" b="4676"/>
                    <a:stretch>
                      <a:fillRect/>
                    </a:stretch>
                  </pic:blipFill>
                  <pic:spPr bwMode="auto">
                    <a:xfrm>
                      <a:off x="0" y="0"/>
                      <a:ext cx="5407660" cy="35306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B78C518" w14:textId="6EEBC61C" w:rsidR="008C5889" w:rsidRPr="00CE4E6D" w:rsidRDefault="00F72232" w:rsidP="008C5889">
      <w:pPr>
        <w:spacing w:line="240" w:lineRule="auto"/>
        <w:ind w:firstLine="0"/>
        <w:rPr>
          <w:rFonts w:cs="Times New Roman"/>
        </w:rPr>
      </w:pPr>
      <w:r>
        <w:rPr>
          <w:noProof/>
        </w:rPr>
        <mc:AlternateContent>
          <mc:Choice Requires="wps">
            <w:drawing>
              <wp:anchor distT="0" distB="0" distL="114300" distR="114300" simplePos="0" relativeHeight="251727872" behindDoc="0" locked="0" layoutInCell="1" allowOverlap="1" wp14:anchorId="0F7E7B85" wp14:editId="136F1C14">
                <wp:simplePos x="0" y="0"/>
                <wp:positionH relativeFrom="column">
                  <wp:posOffset>448886</wp:posOffset>
                </wp:positionH>
                <wp:positionV relativeFrom="paragraph">
                  <wp:posOffset>3060413</wp:posOffset>
                </wp:positionV>
                <wp:extent cx="5407660" cy="635"/>
                <wp:effectExtent l="0" t="0" r="0" b="0"/>
                <wp:wrapSquare wrapText="bothSides"/>
                <wp:docPr id="626150165" name="Text Box 1"/>
                <wp:cNvGraphicFramePr/>
                <a:graphic xmlns:a="http://schemas.openxmlformats.org/drawingml/2006/main">
                  <a:graphicData uri="http://schemas.microsoft.com/office/word/2010/wordprocessingShape">
                    <wps:wsp>
                      <wps:cNvSpPr txBox="1"/>
                      <wps:spPr>
                        <a:xfrm>
                          <a:off x="0" y="0"/>
                          <a:ext cx="5407660" cy="635"/>
                        </a:xfrm>
                        <a:prstGeom prst="rect">
                          <a:avLst/>
                        </a:prstGeom>
                        <a:solidFill>
                          <a:prstClr val="white"/>
                        </a:solidFill>
                        <a:ln>
                          <a:noFill/>
                        </a:ln>
                      </wps:spPr>
                      <wps:txbx>
                        <w:txbxContent>
                          <w:p w14:paraId="1C2F6D51" w14:textId="2EF380EF" w:rsidR="008C5889" w:rsidRPr="00CF16BC" w:rsidRDefault="008C5889" w:rsidP="00F13F6D">
                            <w:pPr>
                              <w:pStyle w:val="Caption"/>
                              <w:rPr>
                                <w:b w:val="0"/>
                                <w:bCs w:val="0"/>
                              </w:rPr>
                            </w:pPr>
                            <w:bookmarkStart w:id="262" w:name="_Toc193695193"/>
                            <w:r>
                              <w:t xml:space="preserve">Figure </w:t>
                            </w:r>
                            <w:fldSimple w:instr=" STYLEREF 1 \s ">
                              <w:r w:rsidR="00971287">
                                <w:rPr>
                                  <w:noProof/>
                                </w:rPr>
                                <w:t>6</w:t>
                              </w:r>
                            </w:fldSimple>
                            <w:r w:rsidR="00F13F6D">
                              <w:t>.</w:t>
                            </w:r>
                            <w:fldSimple w:instr=" SEQ Figure \* ARABIC \s 1 ">
                              <w:r w:rsidR="00971287">
                                <w:rPr>
                                  <w:noProof/>
                                </w:rPr>
                                <w:t>7</w:t>
                              </w:r>
                            </w:fldSimple>
                            <w:r w:rsidR="00CF16BC">
                              <w:t>.</w:t>
                            </w:r>
                            <w:r>
                              <w:t xml:space="preserve"> </w:t>
                            </w:r>
                            <w:r w:rsidRPr="001B71A2">
                              <w:t>Statistically significant differences between blanks, controls, and UV-treated samples</w:t>
                            </w:r>
                            <w:r w:rsidRPr="00CF16BC">
                              <w:t>.</w:t>
                            </w:r>
                            <w:r w:rsidRPr="00CF16BC">
                              <w:rPr>
                                <w:b w:val="0"/>
                                <w:bCs w:val="0"/>
                              </w:rPr>
                              <w:t xml:space="preserve"> Hierarchical clustering analysis of filtered LC/MS data demonstrating the statistically significant differences between samples (4 biological replicates injected in triplicate). Media blanks, UV-treated DJPM01 on R2A, and DJPM01 on R2A controls are indicated by black, red, and blue, respectively.</w:t>
                            </w:r>
                            <w:bookmarkEnd w:id="26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F7E7B85" id="_x0000_s1039" type="#_x0000_t202" style="position:absolute;margin-left:35.35pt;margin-top:241pt;width:425.8pt;height:.0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" stroked="f">
                <v:textbox style="mso-fit-shape-to-text:t" inset="0,0,0,0">
                  <w:txbxContent>
                    <w:p w14:paraId="1C2F6D51" w14:textId="2EF380EF" w:rsidR="008C5889" w:rsidRPr="00CF16BC" w:rsidRDefault="008C5889" w:rsidP="00F13F6D">
                      <w:pPr>
                        <w:pStyle w:val="Caption"/>
                        <w:rPr>
                          <w:b w:val="0"/>
                          <w:bCs w:val="0"/>
                        </w:rPr>
                      </w:pPr>
                      <w:bookmarkStart w:id="276" w:name="_Toc193695193"/>
                      <w:r>
                        <w:t xml:space="preserve">Figure </w:t>
                      </w:r>
                      <w:r w:rsidR="00971287">
                        <w:fldChar w:fldCharType="begin"/>
                      </w:r>
                      <w:r w:rsidR="00971287">
                        <w:instrText xml:space="preserve"> STYLEREF 1 \s </w:instrText>
                      </w:r>
                      <w:r w:rsidR="00971287">
                        <w:fldChar w:fldCharType="separate"/>
                      </w:r>
                      <w:r w:rsidR="00971287">
                        <w:rPr>
                          <w:noProof/>
                        </w:rPr>
                        <w:t>6</w:t>
                      </w:r>
                      <w:r w:rsidR="00971287">
                        <w:rPr>
                          <w:noProof/>
                        </w:rPr>
                        <w:fldChar w:fldCharType="end"/>
                      </w:r>
                      <w:r w:rsidR="00F13F6D">
                        <w:t>.</w:t>
                      </w:r>
                      <w:r w:rsidR="00971287">
                        <w:fldChar w:fldCharType="begin"/>
                      </w:r>
                      <w:r w:rsidR="00971287">
                        <w:instrText xml:space="preserve"> SEQ Figure \* ARABIC \s 1 </w:instrText>
                      </w:r>
                      <w:r w:rsidR="00971287">
                        <w:fldChar w:fldCharType="separate"/>
                      </w:r>
                      <w:r w:rsidR="00971287">
                        <w:rPr>
                          <w:noProof/>
                        </w:rPr>
                        <w:t>7</w:t>
                      </w:r>
                      <w:r w:rsidR="00971287">
                        <w:rPr>
                          <w:noProof/>
                        </w:rPr>
                        <w:fldChar w:fldCharType="end"/>
                      </w:r>
                      <w:r w:rsidR="00CF16BC">
                        <w:t>.</w:t>
                      </w:r>
                      <w:r>
                        <w:t xml:space="preserve"> </w:t>
                      </w:r>
                      <w:r w:rsidRPr="001B71A2">
                        <w:t>Statistically significant differences between blanks, controls, and UV-treated samples</w:t>
                      </w:r>
                      <w:r w:rsidRPr="00CF16BC">
                        <w:t>.</w:t>
                      </w:r>
                      <w:r w:rsidRPr="00CF16BC">
                        <w:rPr>
                          <w:b w:val="0"/>
                          <w:bCs w:val="0"/>
                        </w:rPr>
                        <w:t xml:space="preserve"> Hierarchical clustering analysis of filtered LC/MS data demonstrating the statistically significant differences between samples (4 biological replicates injected in triplicate). Media blanks, UV-treated DJPM01 on R2A, and DJPM01 on R2A controls are indicated by black, red, and blue, respectively.</w:t>
                      </w:r>
                      <w:bookmarkEnd w:id="276"/>
                    </w:p>
                  </w:txbxContent>
                </v:textbox>
                <w10:wrap type="square"/>
              </v:shape>
            </w:pict>
          </mc:Fallback>
        </mc:AlternateContent>
      </w:r>
    </w:p>
    <w:p w14:paraId="232E06EE" w14:textId="4964684F" w:rsidR="008C5889" w:rsidRDefault="008C5889" w:rsidP="008C5889"/>
    <w:p w14:paraId="6E08C192" w14:textId="0D96D811" w:rsidR="008C5889" w:rsidRDefault="008C5889" w:rsidP="008C5889">
      <w:pPr>
        <w:keepNext/>
        <w:spacing w:line="240" w:lineRule="auto"/>
        <w:ind w:firstLine="0"/>
        <w:rPr>
          <w:rFonts w:cs="Times New Roman"/>
        </w:rPr>
      </w:pPr>
    </w:p>
    <w:p w14:paraId="0B1869A6" w14:textId="13F96C4B" w:rsidR="001F17B6" w:rsidRPr="00605623" w:rsidRDefault="001F17B6" w:rsidP="00F13F6D">
      <w:pPr>
        <w:pStyle w:val="Caption"/>
        <w:rPr>
          <w:noProof/>
        </w:rPr>
      </w:pPr>
    </w:p>
    <w:p w14:paraId="26335E65" w14:textId="52D12D43" w:rsidR="001F17B6" w:rsidRDefault="001F17B6">
      <w:pPr>
        <w:spacing w:line="240" w:lineRule="auto"/>
        <w:ind w:firstLine="0"/>
        <w:rPr>
          <w:b/>
          <w:bCs/>
          <w:iCs/>
          <w:szCs w:val="28"/>
        </w:rPr>
      </w:pPr>
    </w:p>
    <w:p w14:paraId="737A846B" w14:textId="49DBF3A0" w:rsidR="00D637AC" w:rsidRPr="002D12B0" w:rsidRDefault="00D637AC" w:rsidP="001D6E31">
      <w:pPr>
        <w:pStyle w:val="Heading2"/>
      </w:pPr>
    </w:p>
    <w:bookmarkEnd w:id="141"/>
    <w:p w14:paraId="5076856B" w14:textId="77DF8829" w:rsidR="008C5889" w:rsidRDefault="008C5889">
      <w:pPr>
        <w:spacing w:line="240" w:lineRule="auto"/>
        <w:ind w:firstLine="0"/>
        <w:rPr>
          <w:rFonts w:cs="Times New Roman"/>
          <w:b/>
          <w:caps/>
          <w:color w:val="000000" w:themeColor="text1"/>
        </w:rPr>
      </w:pPr>
      <w:r>
        <w:br w:type="page"/>
      </w:r>
    </w:p>
    <w:p w14:paraId="0AEE48B2" w14:textId="683F7232" w:rsidR="00121FFD" w:rsidRPr="001A14AF" w:rsidRDefault="00215CDD" w:rsidP="001A14AF">
      <w:pPr>
        <w:spacing w:line="240" w:lineRule="auto"/>
        <w:ind w:firstLine="0"/>
        <w:rPr>
          <w:b/>
          <w:bCs/>
          <w:iCs/>
          <w:szCs w:val="28"/>
        </w:rPr>
      </w:pPr>
      <w:r>
        <w:rPr>
          <w:b/>
          <w:noProof/>
          <w:lang w:val="en-GB" w:eastAsia="en-GB"/>
        </w:rPr>
        <w:lastRenderedPageBreak/>
        <w:drawing>
          <wp:anchor distT="0" distB="0" distL="114300" distR="114300" simplePos="0" relativeHeight="251737088" behindDoc="0" locked="0" layoutInCell="1" allowOverlap="1" wp14:anchorId="4B15A224" wp14:editId="19978531">
            <wp:simplePos x="0" y="0"/>
            <wp:positionH relativeFrom="margin">
              <wp:posOffset>360045</wp:posOffset>
            </wp:positionH>
            <wp:positionV relativeFrom="margin">
              <wp:posOffset>-5080</wp:posOffset>
            </wp:positionV>
            <wp:extent cx="5458460" cy="4234180"/>
            <wp:effectExtent l="0" t="0" r="8890" b="0"/>
            <wp:wrapSquare wrapText="bothSides"/>
            <wp:docPr id="256533586" name="Picture 256533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533586" name="Picture 256533586"/>
                    <pic:cNvPicPr>
                      <a:picLocks noChangeAspect="1" noChangeArrowheads="1"/>
                    </pic:cNvPicPr>
                  </pic:nvPicPr>
                  <pic:blipFill>
                    <a:blip r:embed="rId414" cstate="print">
                      <a:extLst>
                        <a:ext uri="{28A0092B-C50C-407E-A947-70E740481C1C}">
                          <a14:useLocalDpi xmlns:a14="http://schemas.microsoft.com/office/drawing/2010/main" val="0"/>
                        </a:ext>
                      </a:extLst>
                    </a:blip>
                    <a:stretch>
                      <a:fillRect/>
                    </a:stretch>
                  </pic:blipFill>
                  <pic:spPr bwMode="auto">
                    <a:xfrm>
                      <a:off x="0" y="0"/>
                      <a:ext cx="5458460" cy="4234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6CD3">
        <w:rPr>
          <w:noProof/>
        </w:rPr>
        <mc:AlternateContent>
          <mc:Choice Requires="wps">
            <w:drawing>
              <wp:anchor distT="0" distB="0" distL="114300" distR="114300" simplePos="0" relativeHeight="251738112" behindDoc="0" locked="0" layoutInCell="1" allowOverlap="1" wp14:anchorId="70C8BEF9" wp14:editId="0A68037F">
                <wp:simplePos x="0" y="0"/>
                <wp:positionH relativeFrom="column">
                  <wp:posOffset>222885</wp:posOffset>
                </wp:positionH>
                <wp:positionV relativeFrom="paragraph">
                  <wp:posOffset>4244975</wp:posOffset>
                </wp:positionV>
                <wp:extent cx="5462270" cy="635"/>
                <wp:effectExtent l="0" t="0" r="0" b="0"/>
                <wp:wrapSquare wrapText="bothSides"/>
                <wp:docPr id="2084002256" name="Text Box 1"/>
                <wp:cNvGraphicFramePr/>
                <a:graphic xmlns:a="http://schemas.openxmlformats.org/drawingml/2006/main">
                  <a:graphicData uri="http://schemas.microsoft.com/office/word/2010/wordprocessingShape">
                    <wps:wsp>
                      <wps:cNvSpPr txBox="1"/>
                      <wps:spPr>
                        <a:xfrm>
                          <a:off x="0" y="0"/>
                          <a:ext cx="5462270" cy="635"/>
                        </a:xfrm>
                        <a:prstGeom prst="rect">
                          <a:avLst/>
                        </a:prstGeom>
                        <a:solidFill>
                          <a:prstClr val="white"/>
                        </a:solidFill>
                        <a:ln>
                          <a:noFill/>
                        </a:ln>
                      </wps:spPr>
                      <wps:txbx>
                        <w:txbxContent>
                          <w:p w14:paraId="72678FA2" w14:textId="20FCA151" w:rsidR="00121FFD" w:rsidRDefault="00121FFD" w:rsidP="00121FFD">
                            <w:pPr>
                              <w:spacing w:line="240" w:lineRule="auto"/>
                              <w:ind w:firstLine="0"/>
                              <w:rPr>
                                <w:b/>
                                <w:bCs/>
                              </w:rPr>
                            </w:pPr>
                            <w:bookmarkStart w:id="263" w:name="_Toc193695194"/>
                            <w:r w:rsidRPr="00724FF6">
                              <w:rPr>
                                <w:b/>
                                <w:bCs/>
                              </w:rPr>
                              <w:t xml:space="preserve">Figure </w:t>
                            </w:r>
                            <w:r w:rsidR="00F13F6D">
                              <w:rPr>
                                <w:b/>
                                <w:bCs/>
                              </w:rPr>
                              <w:fldChar w:fldCharType="begin"/>
                            </w:r>
                            <w:r w:rsidR="00F13F6D">
                              <w:rPr>
                                <w:b/>
                                <w:bCs/>
                              </w:rPr>
                              <w:instrText xml:space="preserve"> STYLEREF 1 \s </w:instrText>
                            </w:r>
                            <w:r w:rsidR="00F13F6D">
                              <w:rPr>
                                <w:b/>
                                <w:bCs/>
                              </w:rPr>
                              <w:fldChar w:fldCharType="separate"/>
                            </w:r>
                            <w:r w:rsidR="00971287">
                              <w:rPr>
                                <w:b/>
                                <w:bCs/>
                                <w:noProof/>
                              </w:rPr>
                              <w:t>6</w:t>
                            </w:r>
                            <w:r w:rsidR="00F13F6D">
                              <w:rPr>
                                <w:b/>
                                <w:bCs/>
                              </w:rPr>
                              <w:fldChar w:fldCharType="end"/>
                            </w:r>
                            <w:r w:rsidR="00F13F6D">
                              <w:rPr>
                                <w:b/>
                                <w:bCs/>
                              </w:rPr>
                              <w:t>.</w:t>
                            </w:r>
                            <w:r w:rsidR="00F13F6D">
                              <w:rPr>
                                <w:b/>
                                <w:bCs/>
                              </w:rPr>
                              <w:fldChar w:fldCharType="begin"/>
                            </w:r>
                            <w:r w:rsidR="00F13F6D">
                              <w:rPr>
                                <w:b/>
                                <w:bCs/>
                              </w:rPr>
                              <w:instrText xml:space="preserve"> SEQ Figure \* ARABIC \s 1 </w:instrText>
                            </w:r>
                            <w:r w:rsidR="00F13F6D">
                              <w:rPr>
                                <w:b/>
                                <w:bCs/>
                              </w:rPr>
                              <w:fldChar w:fldCharType="separate"/>
                            </w:r>
                            <w:r w:rsidR="00971287">
                              <w:rPr>
                                <w:b/>
                                <w:bCs/>
                                <w:noProof/>
                              </w:rPr>
                              <w:t>8</w:t>
                            </w:r>
                            <w:r w:rsidR="00F13F6D">
                              <w:rPr>
                                <w:b/>
                                <w:bCs/>
                              </w:rPr>
                              <w:fldChar w:fldCharType="end"/>
                            </w:r>
                            <w:r>
                              <w:t xml:space="preserve"> </w:t>
                            </w:r>
                            <w:r w:rsidRPr="006D40FC">
                              <w:rPr>
                                <w:b/>
                                <w:bCs/>
                              </w:rPr>
                              <w:t>UV Photolysis of prodigiosin standard</w:t>
                            </w:r>
                            <w:r w:rsidRPr="00F012CE">
                              <w:rPr>
                                <w:rFonts w:cs="Times New Roman"/>
                                <w:b/>
                                <w:bCs/>
                              </w:rPr>
                              <w:t>.</w:t>
                            </w:r>
                            <w:r w:rsidRPr="001F0C9B">
                              <w:rPr>
                                <w:rFonts w:cs="Times New Roman"/>
                              </w:rPr>
                              <w:t xml:space="preserve"> (A) TIC chromatograms of prodigiosin standard (black) and UV-exposed prodigiosin standard (red) Prodigiosin is present at 6.57 minutes. Inset: Image of degraded standard (left) compared to control standard (right). (B) MS1 spectra at 6.57 minutes for UV-exposed (black) and unexposed (red) prodigiosin standards showing the appearance of a coeluting photolysis product with m/z 354.2169. (C) EIC for prodigiosin (324.208 m/z) in UV-exposed (black) and unexposed (red) prodigiosin standards showing decreased prodigiosin content. (D) EIC for a prodigiosin photolysis product featuring addition of CH2O (324.208 m/z) in UV-exposed (black) and unexposed (red) prodigiosin standards showing an approximate 100-fold increase in abundance of the photolysis product with tR of 6.59 minutes.</w:t>
                            </w:r>
                            <w:bookmarkEnd w:id="263"/>
                          </w:p>
                          <w:p w14:paraId="09FE2033" w14:textId="77777777" w:rsidR="00121FFD" w:rsidRPr="00724C66" w:rsidRDefault="00121FFD" w:rsidP="00F13F6D">
                            <w:pPr>
                              <w:pStyle w:val="Caption"/>
                              <w:rPr>
                                <w:noProof/>
                                <w:lang w:val="en-GB" w:eastAsia="en-G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0C8BEF9" id="_x0000_s1040" type="#_x0000_t202" style="position:absolute;margin-left:17.55pt;margin-top:334.25pt;width:430.1pt;height:.0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" stroked="f">
                <v:textbox style="mso-fit-shape-to-text:t" inset="0,0,0,0">
                  <w:txbxContent>
                    <w:p w14:paraId="72678FA2" w14:textId="20FCA151" w:rsidR="00121FFD" w:rsidRDefault="00121FFD" w:rsidP="00121FFD">
                      <w:pPr>
                        <w:spacing w:line="240" w:lineRule="auto"/>
                        <w:ind w:firstLine="0"/>
                        <w:rPr>
                          <w:b/>
                          <w:bCs/>
                        </w:rPr>
                      </w:pPr>
                      <w:bookmarkStart w:id="278" w:name="_Toc193695194"/>
                      <w:r w:rsidRPr="00724FF6">
                        <w:rPr>
                          <w:b/>
                          <w:bCs/>
                        </w:rPr>
                        <w:t xml:space="preserve">Figure </w:t>
                      </w:r>
                      <w:r w:rsidR="00F13F6D">
                        <w:rPr>
                          <w:b/>
                          <w:bCs/>
                        </w:rPr>
                        <w:fldChar w:fldCharType="begin"/>
                      </w:r>
                      <w:r w:rsidR="00F13F6D">
                        <w:rPr>
                          <w:b/>
                          <w:bCs/>
                        </w:rPr>
                        <w:instrText xml:space="preserve"> STYLEREF 1 \s </w:instrText>
                      </w:r>
                      <w:r w:rsidR="00F13F6D">
                        <w:rPr>
                          <w:b/>
                          <w:bCs/>
                        </w:rPr>
                        <w:fldChar w:fldCharType="separate"/>
                      </w:r>
                      <w:r w:rsidR="00971287">
                        <w:rPr>
                          <w:b/>
                          <w:bCs/>
                          <w:noProof/>
                        </w:rPr>
                        <w:t>6</w:t>
                      </w:r>
                      <w:r w:rsidR="00F13F6D">
                        <w:rPr>
                          <w:b/>
                          <w:bCs/>
                        </w:rPr>
                        <w:fldChar w:fldCharType="end"/>
                      </w:r>
                      <w:r w:rsidR="00F13F6D">
                        <w:rPr>
                          <w:b/>
                          <w:bCs/>
                        </w:rPr>
                        <w:t>.</w:t>
                      </w:r>
                      <w:r w:rsidR="00F13F6D">
                        <w:rPr>
                          <w:b/>
                          <w:bCs/>
                        </w:rPr>
                        <w:fldChar w:fldCharType="begin"/>
                      </w:r>
                      <w:r w:rsidR="00F13F6D">
                        <w:rPr>
                          <w:b/>
                          <w:bCs/>
                        </w:rPr>
                        <w:instrText xml:space="preserve"> SEQ Figure \* ARABIC \s 1 </w:instrText>
                      </w:r>
                      <w:r w:rsidR="00F13F6D">
                        <w:rPr>
                          <w:b/>
                          <w:bCs/>
                        </w:rPr>
                        <w:fldChar w:fldCharType="separate"/>
                      </w:r>
                      <w:r w:rsidR="00971287">
                        <w:rPr>
                          <w:b/>
                          <w:bCs/>
                          <w:noProof/>
                        </w:rPr>
                        <w:t>8</w:t>
                      </w:r>
                      <w:r w:rsidR="00F13F6D">
                        <w:rPr>
                          <w:b/>
                          <w:bCs/>
                        </w:rPr>
                        <w:fldChar w:fldCharType="end"/>
                      </w:r>
                      <w:r>
                        <w:t xml:space="preserve"> </w:t>
                      </w:r>
                      <w:r w:rsidRPr="006D40FC">
                        <w:rPr>
                          <w:b/>
                          <w:bCs/>
                        </w:rPr>
                        <w:t>UV Photolysis of prodigiosin standard</w:t>
                      </w:r>
                      <w:r w:rsidRPr="00F012CE">
                        <w:rPr>
                          <w:rFonts w:cs="Times New Roman"/>
                          <w:b/>
                          <w:bCs/>
                        </w:rPr>
                        <w:t>.</w:t>
                      </w:r>
                      <w:r w:rsidRPr="001F0C9B">
                        <w:rPr>
                          <w:rFonts w:cs="Times New Roman"/>
                        </w:rPr>
                        <w:t xml:space="preserve"> (A) TIC chromatograms of prodigiosin standard (black) and UV-exposed prodigiosin standard (red) Prodigiosin is present at 6.57 minutes. Inset: Image of degraded standard (left) compared to control standard (right). (B) MS1 spectra at 6.57 minutes for UV-exposed (black) and unexposed (red) prodigiosin standards showing the appearance of a coeluting photolysis product with m/z 354.2169. (C) EIC for prodigiosin (324.208 m/z) in UV-exposed (black) and unexposed (red) prodigiosin standards showing decreased prodigiosin content. (D) EIC for a prodigiosin photolysis product featuring addition of CH2O (324.208 m/z) in UV-exposed (black) and unexposed (red) prodigiosin standards showing an approximate 100-fold increase in abundance of the photolysis product with </w:t>
                      </w:r>
                      <w:proofErr w:type="spellStart"/>
                      <w:r w:rsidRPr="001F0C9B">
                        <w:rPr>
                          <w:rFonts w:cs="Times New Roman"/>
                        </w:rPr>
                        <w:t>tR</w:t>
                      </w:r>
                      <w:proofErr w:type="spellEnd"/>
                      <w:r w:rsidRPr="001F0C9B">
                        <w:rPr>
                          <w:rFonts w:cs="Times New Roman"/>
                        </w:rPr>
                        <w:t xml:space="preserve"> of 6.59 minutes.</w:t>
                      </w:r>
                      <w:bookmarkEnd w:id="278"/>
                    </w:p>
                    <w:p w14:paraId="09FE2033" w14:textId="77777777" w:rsidR="00121FFD" w:rsidRPr="00724C66" w:rsidRDefault="00121FFD" w:rsidP="00F13F6D">
                      <w:pPr>
                        <w:pStyle w:val="Caption"/>
                        <w:rPr>
                          <w:noProof/>
                          <w:lang w:val="en-GB" w:eastAsia="en-GB"/>
                        </w:rPr>
                      </w:pPr>
                    </w:p>
                  </w:txbxContent>
                </v:textbox>
                <w10:wrap type="square"/>
              </v:shape>
            </w:pict>
          </mc:Fallback>
        </mc:AlternateContent>
      </w:r>
      <w:r w:rsidR="00121FFD">
        <w:br w:type="page"/>
      </w:r>
    </w:p>
    <w:p w14:paraId="4CF33A67" w14:textId="319B53C3" w:rsidR="00121FFD" w:rsidRPr="00CE4E6D" w:rsidRDefault="00121FFD" w:rsidP="001A14AF">
      <w:pPr>
        <w:pStyle w:val="Heading2"/>
        <w:spacing w:before="0" w:after="0"/>
      </w:pPr>
      <w:bookmarkStart w:id="264" w:name="_Toc196256954"/>
      <w:r w:rsidRPr="00CE4E6D">
        <w:lastRenderedPageBreak/>
        <w:t xml:space="preserve">Chapter </w:t>
      </w:r>
      <w:r w:rsidR="00EC45B2" w:rsidRPr="00CE4E6D">
        <w:t>Four</w:t>
      </w:r>
      <w:r w:rsidRPr="00CE4E6D">
        <w:t xml:space="preserve"> Supplementary Material</w:t>
      </w:r>
      <w:bookmarkEnd w:id="264"/>
      <w:r w:rsidR="00953C9A">
        <w:t>s</w:t>
      </w:r>
    </w:p>
    <w:p w14:paraId="71DAB122" w14:textId="3EF1DC5C" w:rsidR="00121FFD" w:rsidRPr="00CE4E6D" w:rsidRDefault="00C473F3" w:rsidP="001A14AF">
      <w:pPr>
        <w:pStyle w:val="Heading3"/>
        <w:spacing w:before="0" w:after="0"/>
      </w:pPr>
      <w:bookmarkStart w:id="265" w:name="_Toc196256955"/>
      <w:r>
        <w:t>Methods and results for p</w:t>
      </w:r>
      <w:r w:rsidR="00121FFD" w:rsidRPr="00CE4E6D">
        <w:t>reliminary VOC experiments.</w:t>
      </w:r>
      <w:bookmarkEnd w:id="265"/>
    </w:p>
    <w:p w14:paraId="08DA8802" w14:textId="33E89F64" w:rsidR="00121FFD" w:rsidRPr="00CE4E6D" w:rsidRDefault="00121FFD" w:rsidP="001A14AF">
      <w:pPr>
        <w:rPr>
          <w:rFonts w:cs="Times New Roman"/>
        </w:rPr>
      </w:pPr>
      <w:r w:rsidRPr="00CE4E6D">
        <w:rPr>
          <w:rFonts w:cs="Times New Roman"/>
          <w:i/>
          <w:iCs/>
        </w:rPr>
        <w:t>Methods</w:t>
      </w:r>
      <w:r w:rsidR="00CE4E6D" w:rsidRPr="00CE4E6D">
        <w:rPr>
          <w:rFonts w:cs="Times New Roman"/>
          <w:i/>
          <w:iCs/>
        </w:rPr>
        <w:t xml:space="preserve">. </w:t>
      </w:r>
      <w:r w:rsidRPr="00CE4E6D">
        <w:rPr>
          <w:rFonts w:cs="Times New Roman"/>
        </w:rPr>
        <w:t>Preliminary headspace analyses were performed via PTR-MS as described in the main text. Two sets of incubations were analyzed: the first included Live, Dead, or No Cell treatments inoculated in Difco Marine Broth 2216 (BD) under an aerobic headspace flushed with ultra-pure air. The second utilized Live, Dead, and No Cell treatments and were performed in Difco Marine Broth 2216 (BD) supplemented with 100 mM Fh and incubated with an ultra-pure N</w:t>
      </w:r>
      <w:r w:rsidRPr="00CE4E6D">
        <w:rPr>
          <w:rFonts w:cs="Times New Roman"/>
          <w:vertAlign w:val="subscript"/>
        </w:rPr>
        <w:t xml:space="preserve">2 </w:t>
      </w:r>
      <w:r w:rsidRPr="00CE4E6D">
        <w:rPr>
          <w:rFonts w:cs="Times New Roman"/>
        </w:rPr>
        <w:t>headspace.</w:t>
      </w:r>
    </w:p>
    <w:p w14:paraId="6E85341C" w14:textId="77777777" w:rsidR="009C7D45" w:rsidRDefault="00121FFD" w:rsidP="001A14AF">
      <w:pPr>
        <w:rPr>
          <w:rFonts w:cs="Times New Roman"/>
        </w:rPr>
      </w:pPr>
      <w:r w:rsidRPr="00CE4E6D">
        <w:rPr>
          <w:rFonts w:cs="Times New Roman"/>
          <w:i/>
          <w:iCs/>
        </w:rPr>
        <w:t>Results</w:t>
      </w:r>
      <w:r w:rsidR="00CE4E6D" w:rsidRPr="00CE4E6D">
        <w:rPr>
          <w:rFonts w:cs="Times New Roman"/>
          <w:i/>
          <w:iCs/>
        </w:rPr>
        <w:t xml:space="preserve">. </w:t>
      </w:r>
      <w:r w:rsidRPr="00CE4E6D">
        <w:rPr>
          <w:rFonts w:cs="Times New Roman"/>
        </w:rPr>
        <w:t xml:space="preserve">In preliminary Marine Broth incubations, 14 features were identified as significantly higher in aerobic Live treatments, and 5 features were significantly higher in anaerobic Live treatments. Anaerobic features included </w:t>
      </w:r>
      <w:r w:rsidRPr="00CE4E6D">
        <w:rPr>
          <w:rFonts w:cs="Times New Roman"/>
          <w:i/>
        </w:rPr>
        <w:t>m/z</w:t>
      </w:r>
      <w:r w:rsidRPr="00CE4E6D">
        <w:rPr>
          <w:rFonts w:cs="Times New Roman"/>
        </w:rPr>
        <w:t xml:space="preserve"> 44.3, 46.25, 48.23, 49.21, 51.17, 62.95, 78.54, 80.5, 92.21, 94.18, 96.13, 109.72, 125.33, and 171.93. The feature with </w:t>
      </w:r>
      <w:r w:rsidRPr="00CE4E6D">
        <w:rPr>
          <w:rFonts w:cs="Times New Roman"/>
          <w:i/>
        </w:rPr>
        <w:t>m/z</w:t>
      </w:r>
      <w:r w:rsidRPr="00CE4E6D">
        <w:rPr>
          <w:rFonts w:cs="Times New Roman"/>
        </w:rPr>
        <w:t xml:space="preserve"> 96.13 was putatively identified as bromomethane, 62.95 as DMS, 51.17 as chloromethane, and 49.21 as methanethiol (</w:t>
      </w:r>
      <w:r w:rsidRPr="00CE4E6D">
        <w:rPr>
          <w:rFonts w:cs="Times New Roman"/>
          <w:bCs/>
        </w:rPr>
        <w:t>Fig. S15</w:t>
      </w:r>
      <w:r w:rsidRPr="00CE4E6D">
        <w:rPr>
          <w:rFonts w:cs="Times New Roman"/>
        </w:rPr>
        <w:t xml:space="preserve">). Features significantly higher in anaerobic incubations include </w:t>
      </w:r>
      <w:r w:rsidRPr="00CE4E6D">
        <w:rPr>
          <w:rFonts w:cs="Times New Roman"/>
          <w:i/>
        </w:rPr>
        <w:t>m/z</w:t>
      </w:r>
      <w:r w:rsidRPr="00CE4E6D">
        <w:rPr>
          <w:rFonts w:cs="Times New Roman"/>
        </w:rPr>
        <w:t xml:space="preserve"> 48.97, 50.97, 62.99, 78.93, and 94.95. Putative identities include DMS (</w:t>
      </w:r>
      <w:r w:rsidRPr="00CE4E6D">
        <w:rPr>
          <w:rFonts w:cs="Times New Roman"/>
          <w:i/>
        </w:rPr>
        <w:t xml:space="preserve">m/z </w:t>
      </w:r>
      <w:r w:rsidRPr="00CE4E6D">
        <w:rPr>
          <w:rFonts w:cs="Times New Roman"/>
        </w:rPr>
        <w:t>62.99), chloromethane (</w:t>
      </w:r>
      <w:r w:rsidRPr="00CE4E6D">
        <w:rPr>
          <w:rFonts w:cs="Times New Roman"/>
          <w:i/>
        </w:rPr>
        <w:t xml:space="preserve">m/z </w:t>
      </w:r>
      <w:r w:rsidRPr="00CE4E6D">
        <w:rPr>
          <w:rFonts w:cs="Times New Roman"/>
        </w:rPr>
        <w:t>50.97), and methanethiol (</w:t>
      </w:r>
      <w:r w:rsidRPr="00CE4E6D">
        <w:rPr>
          <w:rFonts w:cs="Times New Roman"/>
          <w:i/>
        </w:rPr>
        <w:t>m/z</w:t>
      </w:r>
      <w:r w:rsidRPr="00CE4E6D">
        <w:rPr>
          <w:rFonts w:cs="Times New Roman"/>
        </w:rPr>
        <w:t xml:space="preserve"> 48.97).</w:t>
      </w:r>
    </w:p>
    <w:p w14:paraId="2639F1D5" w14:textId="77777777" w:rsidR="004D7405" w:rsidRDefault="00F86765" w:rsidP="001A14AF">
      <w:pPr>
        <w:ind w:firstLine="0"/>
        <w:rPr>
          <w:rFonts w:cs="Times New Roman"/>
        </w:rPr>
        <w:sectPr w:rsidR="004D7405" w:rsidSect="009C7D45">
          <w:pgSz w:w="12240" w:h="15840"/>
          <w:pgMar w:top="1440" w:right="1440" w:bottom="1440" w:left="1440" w:header="720" w:footer="720" w:gutter="0"/>
          <w:cols w:space="720"/>
          <w:docGrid w:linePitch="299"/>
        </w:sectPr>
      </w:pPr>
      <w:r>
        <w:rPr>
          <w:rFonts w:cs="Times New Roman"/>
        </w:rPr>
        <w:br w:type="page"/>
      </w:r>
    </w:p>
    <w:p w14:paraId="76B0BDAF" w14:textId="77777777" w:rsidR="00F86765" w:rsidRDefault="00F86765">
      <w:pPr>
        <w:spacing w:line="240" w:lineRule="auto"/>
        <w:ind w:firstLine="0"/>
        <w:rPr>
          <w:rFonts w:cs="Times New Roman"/>
        </w:rPr>
      </w:pPr>
    </w:p>
    <w:p w14:paraId="3FA48060" w14:textId="6D823095" w:rsidR="00F86765" w:rsidRDefault="00F86765" w:rsidP="004D7405">
      <w:pPr>
        <w:ind w:firstLine="0"/>
        <w:rPr>
          <w:rFonts w:asciiTheme="majorHAnsi" w:hAnsiTheme="majorHAnsi" w:cstheme="majorHAnsi"/>
          <w:b/>
          <w:bCs/>
        </w:rPr>
      </w:pPr>
    </w:p>
    <w:p w14:paraId="6D085115" w14:textId="77BC1F99" w:rsidR="004D7405" w:rsidRDefault="004D7405" w:rsidP="00F13F6D">
      <w:pPr>
        <w:pStyle w:val="Caption"/>
      </w:pPr>
      <w:bookmarkStart w:id="266" w:name="_Toc193668466"/>
      <w:r>
        <w:t xml:space="preserve">Table </w:t>
      </w:r>
      <w:fldSimple w:instr=" STYLEREF 1 \s ">
        <w:r w:rsidR="00971287">
          <w:rPr>
            <w:noProof/>
          </w:rPr>
          <w:t>6</w:t>
        </w:r>
      </w:fldSimple>
      <w:r w:rsidR="00A46B68">
        <w:t>.</w:t>
      </w:r>
      <w:fldSimple w:instr=" SEQ Table \* ARABIC \s 1 ">
        <w:r w:rsidR="00971287">
          <w:rPr>
            <w:noProof/>
          </w:rPr>
          <w:t>6</w:t>
        </w:r>
      </w:fldSimple>
      <w:r>
        <w:t xml:space="preserve">. </w:t>
      </w:r>
      <w:r>
        <w:rPr>
          <w:rFonts w:asciiTheme="majorHAnsi" w:hAnsiTheme="majorHAnsi" w:cstheme="majorHAnsi"/>
          <w:szCs w:val="24"/>
        </w:rPr>
        <w:t>Mössbauer Parameters: 295K</w:t>
      </w:r>
      <w:bookmarkEnd w:id="266"/>
    </w:p>
    <w:tbl>
      <w:tblPr>
        <w:tblW w:w="12895" w:type="dxa"/>
        <w:tblCellMar>
          <w:left w:w="0" w:type="dxa"/>
          <w:right w:w="0" w:type="dxa"/>
        </w:tblCellMar>
        <w:tblLook w:val="04A0" w:firstRow="1" w:lastRow="0" w:firstColumn="1" w:lastColumn="0" w:noHBand="0" w:noVBand="1"/>
      </w:tblPr>
      <w:tblGrid>
        <w:gridCol w:w="1652"/>
        <w:gridCol w:w="912"/>
        <w:gridCol w:w="922"/>
        <w:gridCol w:w="922"/>
        <w:gridCol w:w="978"/>
        <w:gridCol w:w="916"/>
        <w:gridCol w:w="925"/>
        <w:gridCol w:w="925"/>
        <w:gridCol w:w="980"/>
        <w:gridCol w:w="916"/>
        <w:gridCol w:w="925"/>
        <w:gridCol w:w="925"/>
        <w:gridCol w:w="971"/>
        <w:gridCol w:w="26"/>
      </w:tblGrid>
      <w:tr w:rsidR="004D7405" w:rsidRPr="004D7405" w14:paraId="36599AC5" w14:textId="77777777" w:rsidTr="004D7405">
        <w:trPr>
          <w:gridAfter w:val="1"/>
          <w:wAfter w:w="26" w:type="dxa"/>
          <w:trHeight w:val="246"/>
        </w:trPr>
        <w:tc>
          <w:tcPr>
            <w:tcW w:w="1653"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08935B4"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295K</w:t>
            </w:r>
          </w:p>
        </w:tc>
        <w:tc>
          <w:tcPr>
            <w:tcW w:w="913"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ADDDFC8" w14:textId="77777777" w:rsidR="004D7405" w:rsidRPr="004D7405" w:rsidRDefault="004D7405" w:rsidP="004D7405">
            <w:pPr>
              <w:spacing w:line="240" w:lineRule="auto"/>
              <w:ind w:firstLine="0"/>
              <w:jc w:val="center"/>
              <w:rPr>
                <w:rFonts w:cs="Times New Roman"/>
                <w:b/>
                <w:bCs/>
                <w:i/>
                <w:iCs/>
                <w:color w:val="000000"/>
              </w:rPr>
            </w:pPr>
            <w:r w:rsidRPr="004D7405">
              <w:rPr>
                <w:rFonts w:cs="Times New Roman"/>
                <w:b/>
                <w:bCs/>
                <w:i/>
                <w:iCs/>
                <w:color w:val="000000"/>
              </w:rPr>
              <w:t>CS</w:t>
            </w:r>
          </w:p>
        </w:tc>
        <w:tc>
          <w:tcPr>
            <w:tcW w:w="923"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1CDEC7A3"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QS</w:t>
            </w:r>
          </w:p>
        </w:tc>
        <w:tc>
          <w:tcPr>
            <w:tcW w:w="923"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99D7E3D" w14:textId="77777777" w:rsidR="004D7405" w:rsidRPr="004D7405" w:rsidRDefault="004D7405" w:rsidP="004D7405">
            <w:pPr>
              <w:spacing w:line="240" w:lineRule="auto"/>
              <w:ind w:firstLine="0"/>
              <w:jc w:val="center"/>
              <w:rPr>
                <w:rFonts w:cs="Times New Roman"/>
                <w:b/>
                <w:bCs/>
                <w:color w:val="666666"/>
              </w:rPr>
            </w:pPr>
            <w:r w:rsidRPr="004D7405">
              <w:rPr>
                <w:rFonts w:cs="Times New Roman"/>
                <w:b/>
                <w:bCs/>
                <w:color w:val="666666"/>
              </w:rPr>
              <w:t>W</w:t>
            </w:r>
          </w:p>
        </w:tc>
        <w:tc>
          <w:tcPr>
            <w:tcW w:w="977" w:type="dxa"/>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1A00A6F8"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Area</w:t>
            </w:r>
          </w:p>
        </w:tc>
        <w:tc>
          <w:tcPr>
            <w:tcW w:w="916"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61227CA" w14:textId="77777777" w:rsidR="004D7405" w:rsidRPr="004D7405" w:rsidRDefault="004D7405" w:rsidP="004D7405">
            <w:pPr>
              <w:spacing w:line="240" w:lineRule="auto"/>
              <w:ind w:firstLine="0"/>
              <w:jc w:val="center"/>
              <w:rPr>
                <w:rFonts w:cs="Times New Roman"/>
                <w:b/>
                <w:bCs/>
                <w:i/>
                <w:iCs/>
                <w:color w:val="000000"/>
              </w:rPr>
            </w:pPr>
            <w:r w:rsidRPr="004D7405">
              <w:rPr>
                <w:rFonts w:cs="Times New Roman"/>
                <w:b/>
                <w:bCs/>
                <w:i/>
                <w:iCs/>
                <w:color w:val="000000"/>
              </w:rPr>
              <w:t>CS</w:t>
            </w:r>
          </w:p>
        </w:tc>
        <w:tc>
          <w:tcPr>
            <w:tcW w:w="925"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18D283E"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QS</w:t>
            </w:r>
          </w:p>
        </w:tc>
        <w:tc>
          <w:tcPr>
            <w:tcW w:w="925"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3F4DA907" w14:textId="77777777" w:rsidR="004D7405" w:rsidRPr="004D7405" w:rsidRDefault="004D7405" w:rsidP="004D7405">
            <w:pPr>
              <w:spacing w:line="240" w:lineRule="auto"/>
              <w:ind w:firstLine="0"/>
              <w:jc w:val="center"/>
              <w:rPr>
                <w:rFonts w:cs="Times New Roman"/>
                <w:b/>
                <w:bCs/>
                <w:color w:val="666666"/>
              </w:rPr>
            </w:pPr>
            <w:r w:rsidRPr="004D7405">
              <w:rPr>
                <w:rFonts w:cs="Times New Roman"/>
                <w:b/>
                <w:bCs/>
                <w:color w:val="666666"/>
              </w:rPr>
              <w:t>W</w:t>
            </w:r>
          </w:p>
        </w:tc>
        <w:tc>
          <w:tcPr>
            <w:tcW w:w="977" w:type="dxa"/>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15A5337"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Area</w:t>
            </w:r>
          </w:p>
        </w:tc>
        <w:tc>
          <w:tcPr>
            <w:tcW w:w="916"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13722B9" w14:textId="77777777" w:rsidR="004D7405" w:rsidRPr="004D7405" w:rsidRDefault="004D7405" w:rsidP="004D7405">
            <w:pPr>
              <w:spacing w:line="240" w:lineRule="auto"/>
              <w:ind w:firstLine="0"/>
              <w:jc w:val="center"/>
              <w:rPr>
                <w:rFonts w:cs="Times New Roman"/>
                <w:b/>
                <w:bCs/>
                <w:i/>
                <w:iCs/>
                <w:color w:val="000000"/>
              </w:rPr>
            </w:pPr>
            <w:r w:rsidRPr="004D7405">
              <w:rPr>
                <w:rFonts w:cs="Times New Roman"/>
                <w:b/>
                <w:bCs/>
                <w:i/>
                <w:iCs/>
                <w:color w:val="000000"/>
              </w:rPr>
              <w:t>CS</w:t>
            </w:r>
          </w:p>
        </w:tc>
        <w:tc>
          <w:tcPr>
            <w:tcW w:w="925"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5B3BE075"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QS</w:t>
            </w:r>
          </w:p>
        </w:tc>
        <w:tc>
          <w:tcPr>
            <w:tcW w:w="925"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31ECCC3" w14:textId="77777777" w:rsidR="004D7405" w:rsidRPr="004D7405" w:rsidRDefault="004D7405" w:rsidP="004D7405">
            <w:pPr>
              <w:spacing w:line="240" w:lineRule="auto"/>
              <w:ind w:firstLine="0"/>
              <w:jc w:val="center"/>
              <w:rPr>
                <w:rFonts w:cs="Times New Roman"/>
                <w:b/>
                <w:bCs/>
                <w:color w:val="666666"/>
              </w:rPr>
            </w:pPr>
            <w:r w:rsidRPr="004D7405">
              <w:rPr>
                <w:rFonts w:cs="Times New Roman"/>
                <w:b/>
                <w:bCs/>
                <w:color w:val="666666"/>
              </w:rPr>
              <w:t>W</w:t>
            </w:r>
          </w:p>
        </w:tc>
        <w:tc>
          <w:tcPr>
            <w:tcW w:w="971" w:type="dxa"/>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FA209A9"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Area</w:t>
            </w:r>
          </w:p>
        </w:tc>
      </w:tr>
      <w:tr w:rsidR="004D7405" w:rsidRPr="004D7405" w14:paraId="3EF50ACF" w14:textId="77777777" w:rsidTr="004D7405">
        <w:trPr>
          <w:trHeight w:val="246"/>
        </w:trPr>
        <w:tc>
          <w:tcPr>
            <w:tcW w:w="1653"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540" w:type="dxa"/>
              <w:bottom w:w="0" w:type="dxa"/>
              <w:right w:w="15" w:type="dxa"/>
            </w:tcMar>
            <w:vAlign w:val="center"/>
            <w:hideMark/>
          </w:tcPr>
          <w:p w14:paraId="26935381"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3738" w:type="dxa"/>
            <w:gridSpan w:val="4"/>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CF750D4"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Fe</w:t>
            </w:r>
            <w:r w:rsidRPr="004D7405">
              <w:rPr>
                <w:rFonts w:cs="Times New Roman"/>
                <w:b/>
                <w:bCs/>
                <w:color w:val="000000"/>
                <w:vertAlign w:val="superscript"/>
              </w:rPr>
              <w:t>3+</w:t>
            </w:r>
          </w:p>
        </w:tc>
        <w:tc>
          <w:tcPr>
            <w:tcW w:w="3746" w:type="dxa"/>
            <w:gridSpan w:val="4"/>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6E4D478"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Fe</w:t>
            </w:r>
            <w:r w:rsidRPr="004D7405">
              <w:rPr>
                <w:rFonts w:cs="Times New Roman"/>
                <w:b/>
                <w:bCs/>
                <w:color w:val="000000"/>
                <w:vertAlign w:val="superscript"/>
              </w:rPr>
              <w:t>3+</w:t>
            </w:r>
          </w:p>
        </w:tc>
        <w:tc>
          <w:tcPr>
            <w:tcW w:w="3758" w:type="dxa"/>
            <w:gridSpan w:val="5"/>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3B7D863"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Fe</w:t>
            </w:r>
            <w:r w:rsidRPr="004D7405">
              <w:rPr>
                <w:rFonts w:cs="Times New Roman"/>
                <w:b/>
                <w:bCs/>
                <w:color w:val="000000"/>
                <w:vertAlign w:val="superscript"/>
              </w:rPr>
              <w:t>2+</w:t>
            </w:r>
          </w:p>
        </w:tc>
      </w:tr>
      <w:tr w:rsidR="004D7405" w:rsidRPr="004D7405" w14:paraId="0FB70257" w14:textId="77777777" w:rsidTr="004D7405">
        <w:trPr>
          <w:gridAfter w:val="1"/>
          <w:wAfter w:w="26" w:type="dxa"/>
          <w:trHeight w:val="246"/>
        </w:trPr>
        <w:tc>
          <w:tcPr>
            <w:tcW w:w="1653"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59AC6D8E"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xml:space="preserve">Fh + lactate – </w:t>
            </w:r>
          </w:p>
          <w:p w14:paraId="46F3CFEE" w14:textId="77777777" w:rsidR="004D7405" w:rsidRPr="004D7405" w:rsidRDefault="004D7405" w:rsidP="004D7405">
            <w:pPr>
              <w:spacing w:line="240" w:lineRule="auto"/>
              <w:ind w:firstLine="0"/>
              <w:rPr>
                <w:rFonts w:cs="Times New Roman"/>
                <w:color w:val="000000"/>
              </w:rPr>
            </w:pPr>
            <w:r w:rsidRPr="004D7405">
              <w:rPr>
                <w:rFonts w:cs="Times New Roman"/>
                <w:color w:val="000000"/>
              </w:rPr>
              <w:t>No Cells</w:t>
            </w:r>
          </w:p>
        </w:tc>
        <w:tc>
          <w:tcPr>
            <w:tcW w:w="91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127CB428"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0.35</w:t>
            </w:r>
          </w:p>
        </w:tc>
        <w:tc>
          <w:tcPr>
            <w:tcW w:w="92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55181C13"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0.57</w:t>
            </w:r>
          </w:p>
        </w:tc>
        <w:tc>
          <w:tcPr>
            <w:tcW w:w="92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18F9F1ED"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0.47</w:t>
            </w:r>
          </w:p>
        </w:tc>
        <w:tc>
          <w:tcPr>
            <w:tcW w:w="977"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7C2CF96"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67</w:t>
            </w:r>
          </w:p>
        </w:tc>
        <w:tc>
          <w:tcPr>
            <w:tcW w:w="916"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17A29A11"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0.35</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53FD3938"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1.02</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3488F847"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0.46</w:t>
            </w:r>
          </w:p>
        </w:tc>
        <w:tc>
          <w:tcPr>
            <w:tcW w:w="977"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5A99AF5"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33</w:t>
            </w:r>
          </w:p>
        </w:tc>
        <w:tc>
          <w:tcPr>
            <w:tcW w:w="916"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56AA5057"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5ED9014E"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4613F629"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7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6D76128"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r>
      <w:tr w:rsidR="004D7405" w:rsidRPr="004D7405" w14:paraId="0CD71ACA" w14:textId="77777777" w:rsidTr="004D7405">
        <w:trPr>
          <w:gridAfter w:val="1"/>
          <w:wAfter w:w="26" w:type="dxa"/>
          <w:trHeight w:val="246"/>
        </w:trPr>
        <w:tc>
          <w:tcPr>
            <w:tcW w:w="1653"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7AE19007"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xml:space="preserve">Fh + lactate – </w:t>
            </w:r>
          </w:p>
          <w:p w14:paraId="3A5F673C" w14:textId="77777777" w:rsidR="004D7405" w:rsidRPr="004D7405" w:rsidRDefault="004D7405" w:rsidP="004D7405">
            <w:pPr>
              <w:spacing w:line="240" w:lineRule="auto"/>
              <w:ind w:firstLine="0"/>
              <w:rPr>
                <w:rFonts w:cs="Times New Roman"/>
                <w:color w:val="000000"/>
              </w:rPr>
            </w:pPr>
            <w:r w:rsidRPr="004D7405">
              <w:rPr>
                <w:rFonts w:cs="Times New Roman"/>
                <w:color w:val="000000"/>
              </w:rPr>
              <w:t>Dead Cells</w:t>
            </w:r>
          </w:p>
        </w:tc>
        <w:tc>
          <w:tcPr>
            <w:tcW w:w="91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79084B06"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0.35</w:t>
            </w:r>
          </w:p>
        </w:tc>
        <w:tc>
          <w:tcPr>
            <w:tcW w:w="92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4E332A67"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0.56</w:t>
            </w:r>
          </w:p>
        </w:tc>
        <w:tc>
          <w:tcPr>
            <w:tcW w:w="92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1BEE89C3"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0.41</w:t>
            </w:r>
          </w:p>
        </w:tc>
        <w:tc>
          <w:tcPr>
            <w:tcW w:w="977"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927B73D"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60</w:t>
            </w:r>
          </w:p>
        </w:tc>
        <w:tc>
          <w:tcPr>
            <w:tcW w:w="916"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73AD57E1"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0.35</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5C113FD5"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0.98</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1CCABA34"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0.45</w:t>
            </w:r>
          </w:p>
        </w:tc>
        <w:tc>
          <w:tcPr>
            <w:tcW w:w="977"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8561EFB"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40</w:t>
            </w:r>
          </w:p>
        </w:tc>
        <w:tc>
          <w:tcPr>
            <w:tcW w:w="916"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0AEF3E9B"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1741755C"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454014FA"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7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6718A65"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r>
      <w:tr w:rsidR="004D7405" w:rsidRPr="004D7405" w14:paraId="10995DD7" w14:textId="77777777" w:rsidTr="004D7405">
        <w:trPr>
          <w:gridAfter w:val="1"/>
          <w:wAfter w:w="26" w:type="dxa"/>
          <w:trHeight w:val="246"/>
        </w:trPr>
        <w:tc>
          <w:tcPr>
            <w:tcW w:w="1653"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332B5F8C"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xml:space="preserve">Fh + lactate – </w:t>
            </w:r>
          </w:p>
          <w:p w14:paraId="21FD3F20" w14:textId="77777777" w:rsidR="004D7405" w:rsidRPr="004D7405" w:rsidRDefault="004D7405" w:rsidP="004D7405">
            <w:pPr>
              <w:spacing w:line="240" w:lineRule="auto"/>
              <w:ind w:firstLine="0"/>
              <w:rPr>
                <w:rFonts w:cs="Times New Roman"/>
                <w:color w:val="000000"/>
              </w:rPr>
            </w:pPr>
            <w:r w:rsidRPr="004D7405">
              <w:rPr>
                <w:rFonts w:cs="Times New Roman"/>
                <w:color w:val="000000"/>
              </w:rPr>
              <w:t>Live Cells</w:t>
            </w:r>
          </w:p>
        </w:tc>
        <w:tc>
          <w:tcPr>
            <w:tcW w:w="91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0B6B6A1F"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0.35</w:t>
            </w:r>
          </w:p>
        </w:tc>
        <w:tc>
          <w:tcPr>
            <w:tcW w:w="92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32D2E348"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0.55</w:t>
            </w:r>
          </w:p>
        </w:tc>
        <w:tc>
          <w:tcPr>
            <w:tcW w:w="92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5F660796"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0.55</w:t>
            </w:r>
          </w:p>
        </w:tc>
        <w:tc>
          <w:tcPr>
            <w:tcW w:w="977"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83DFBCD"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67</w:t>
            </w:r>
          </w:p>
        </w:tc>
        <w:tc>
          <w:tcPr>
            <w:tcW w:w="916"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CF1E069"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0.35</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563AD610"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1.04</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A330D50"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0.5</w:t>
            </w:r>
          </w:p>
        </w:tc>
        <w:tc>
          <w:tcPr>
            <w:tcW w:w="977"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3928651"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33</w:t>
            </w:r>
          </w:p>
        </w:tc>
        <w:tc>
          <w:tcPr>
            <w:tcW w:w="916"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7377325"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1549223E"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31B36929"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7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AD60C0E"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r>
      <w:tr w:rsidR="004D7405" w:rsidRPr="004D7405" w14:paraId="4D961A5C" w14:textId="77777777" w:rsidTr="004D7405">
        <w:trPr>
          <w:gridAfter w:val="1"/>
          <w:wAfter w:w="26" w:type="dxa"/>
          <w:trHeight w:val="246"/>
        </w:trPr>
        <w:tc>
          <w:tcPr>
            <w:tcW w:w="1653"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66B1B208"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xml:space="preserve">Fh + lactate + thiosulfate – </w:t>
            </w:r>
          </w:p>
          <w:p w14:paraId="4A07CE33" w14:textId="77777777" w:rsidR="004D7405" w:rsidRPr="004D7405" w:rsidRDefault="004D7405" w:rsidP="004D7405">
            <w:pPr>
              <w:spacing w:line="240" w:lineRule="auto"/>
              <w:ind w:firstLine="0"/>
              <w:rPr>
                <w:rFonts w:cs="Times New Roman"/>
                <w:color w:val="000000"/>
              </w:rPr>
            </w:pPr>
            <w:r w:rsidRPr="004D7405">
              <w:rPr>
                <w:rFonts w:cs="Times New Roman"/>
                <w:color w:val="000000"/>
              </w:rPr>
              <w:t>No Cells</w:t>
            </w:r>
          </w:p>
        </w:tc>
        <w:tc>
          <w:tcPr>
            <w:tcW w:w="91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87E4695"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0.35</w:t>
            </w:r>
          </w:p>
        </w:tc>
        <w:tc>
          <w:tcPr>
            <w:tcW w:w="92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0F66839F"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0.55</w:t>
            </w:r>
          </w:p>
        </w:tc>
        <w:tc>
          <w:tcPr>
            <w:tcW w:w="92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6AD414CB"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0.45</w:t>
            </w:r>
          </w:p>
        </w:tc>
        <w:tc>
          <w:tcPr>
            <w:tcW w:w="977"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52EAC20"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64</w:t>
            </w:r>
          </w:p>
        </w:tc>
        <w:tc>
          <w:tcPr>
            <w:tcW w:w="916"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4A8E358B"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0.35</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4CA9013E"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1</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0AA18902"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0.44</w:t>
            </w:r>
          </w:p>
        </w:tc>
        <w:tc>
          <w:tcPr>
            <w:tcW w:w="977"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211D143"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36</w:t>
            </w:r>
          </w:p>
        </w:tc>
        <w:tc>
          <w:tcPr>
            <w:tcW w:w="916"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3095F8BE"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04745F2D"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7F740621"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7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11C1674"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r>
      <w:tr w:rsidR="004D7405" w:rsidRPr="004D7405" w14:paraId="2E502534" w14:textId="77777777" w:rsidTr="004D7405">
        <w:trPr>
          <w:gridAfter w:val="1"/>
          <w:wAfter w:w="26" w:type="dxa"/>
          <w:trHeight w:val="246"/>
        </w:trPr>
        <w:tc>
          <w:tcPr>
            <w:tcW w:w="1653"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127E1A6F"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xml:space="preserve">Fh + lactate + thiosulfate – </w:t>
            </w:r>
          </w:p>
          <w:p w14:paraId="0AC8D417" w14:textId="77777777" w:rsidR="004D7405" w:rsidRPr="004D7405" w:rsidRDefault="004D7405" w:rsidP="004D7405">
            <w:pPr>
              <w:spacing w:line="240" w:lineRule="auto"/>
              <w:ind w:firstLine="0"/>
              <w:rPr>
                <w:rFonts w:cs="Times New Roman"/>
                <w:color w:val="000000"/>
              </w:rPr>
            </w:pPr>
            <w:r w:rsidRPr="004D7405">
              <w:rPr>
                <w:rFonts w:cs="Times New Roman"/>
                <w:color w:val="000000"/>
              </w:rPr>
              <w:t>Dead Cells</w:t>
            </w:r>
          </w:p>
        </w:tc>
        <w:tc>
          <w:tcPr>
            <w:tcW w:w="91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557D3FEF"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0.35</w:t>
            </w:r>
          </w:p>
        </w:tc>
        <w:tc>
          <w:tcPr>
            <w:tcW w:w="92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410A9BE6"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0.58</w:t>
            </w:r>
          </w:p>
        </w:tc>
        <w:tc>
          <w:tcPr>
            <w:tcW w:w="92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4F0BABDB"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0.45</w:t>
            </w:r>
          </w:p>
        </w:tc>
        <w:tc>
          <w:tcPr>
            <w:tcW w:w="977"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DCCE094"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69</w:t>
            </w:r>
          </w:p>
        </w:tc>
        <w:tc>
          <w:tcPr>
            <w:tcW w:w="916"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07D05673"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0.35</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5E913498"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1.01</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039B9B9D"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0.44</w:t>
            </w:r>
          </w:p>
        </w:tc>
        <w:tc>
          <w:tcPr>
            <w:tcW w:w="977"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3AD9B33"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32</w:t>
            </w:r>
          </w:p>
        </w:tc>
        <w:tc>
          <w:tcPr>
            <w:tcW w:w="916"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362799BE"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841D9ED"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01523304"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c>
          <w:tcPr>
            <w:tcW w:w="97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97BD2BB"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w:t>
            </w:r>
          </w:p>
        </w:tc>
      </w:tr>
      <w:tr w:rsidR="004D7405" w:rsidRPr="004D7405" w14:paraId="1F3E62BE" w14:textId="77777777" w:rsidTr="004D7405">
        <w:trPr>
          <w:gridAfter w:val="1"/>
          <w:wAfter w:w="26" w:type="dxa"/>
          <w:trHeight w:val="246"/>
        </w:trPr>
        <w:tc>
          <w:tcPr>
            <w:tcW w:w="1653"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53B015F4" w14:textId="77777777" w:rsidR="004D7405" w:rsidRPr="004D7405" w:rsidRDefault="004D7405" w:rsidP="004D7405">
            <w:pPr>
              <w:spacing w:line="240" w:lineRule="auto"/>
              <w:ind w:firstLine="0"/>
              <w:rPr>
                <w:rFonts w:cs="Times New Roman"/>
                <w:color w:val="000000"/>
              </w:rPr>
            </w:pPr>
            <w:r w:rsidRPr="004D7405">
              <w:rPr>
                <w:rFonts w:cs="Times New Roman"/>
                <w:color w:val="000000"/>
              </w:rPr>
              <w:t xml:space="preserve">Fh + lactate + thiosulfate – </w:t>
            </w:r>
          </w:p>
          <w:p w14:paraId="25471838" w14:textId="77777777" w:rsidR="004D7405" w:rsidRPr="004D7405" w:rsidRDefault="004D7405" w:rsidP="004D7405">
            <w:pPr>
              <w:spacing w:line="240" w:lineRule="auto"/>
              <w:ind w:firstLine="0"/>
              <w:rPr>
                <w:rFonts w:cs="Times New Roman"/>
                <w:color w:val="000000"/>
              </w:rPr>
            </w:pPr>
            <w:r w:rsidRPr="004D7405">
              <w:rPr>
                <w:rFonts w:cs="Times New Roman"/>
                <w:color w:val="000000"/>
              </w:rPr>
              <w:t>Live Cells</w:t>
            </w:r>
          </w:p>
        </w:tc>
        <w:tc>
          <w:tcPr>
            <w:tcW w:w="91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3378E95F"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0.35</w:t>
            </w:r>
          </w:p>
        </w:tc>
        <w:tc>
          <w:tcPr>
            <w:tcW w:w="92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409DB0DC"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0.52</w:t>
            </w:r>
          </w:p>
        </w:tc>
        <w:tc>
          <w:tcPr>
            <w:tcW w:w="923"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7C96CF78"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0.41</w:t>
            </w:r>
          </w:p>
        </w:tc>
        <w:tc>
          <w:tcPr>
            <w:tcW w:w="977"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0A22FD8"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47</w:t>
            </w:r>
          </w:p>
        </w:tc>
        <w:tc>
          <w:tcPr>
            <w:tcW w:w="916"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912580C"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0.35</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3FC89163"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0.92</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0C7E5251"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0.53</w:t>
            </w:r>
          </w:p>
        </w:tc>
        <w:tc>
          <w:tcPr>
            <w:tcW w:w="977"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528AE9D"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48</w:t>
            </w:r>
          </w:p>
        </w:tc>
        <w:tc>
          <w:tcPr>
            <w:tcW w:w="916"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64BF97EC" w14:textId="77777777" w:rsidR="004D7405" w:rsidRPr="004D7405" w:rsidRDefault="004D7405" w:rsidP="004D7405">
            <w:pPr>
              <w:spacing w:line="240" w:lineRule="auto"/>
              <w:ind w:firstLine="0"/>
              <w:jc w:val="center"/>
              <w:rPr>
                <w:rFonts w:cs="Times New Roman"/>
                <w:i/>
                <w:iCs/>
                <w:color w:val="000000"/>
              </w:rPr>
            </w:pPr>
            <w:r w:rsidRPr="004D7405">
              <w:rPr>
                <w:rFonts w:cs="Times New Roman"/>
                <w:i/>
                <w:iCs/>
                <w:color w:val="000000"/>
              </w:rPr>
              <w:t>1.31</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5341F3D" w14:textId="77777777" w:rsidR="004D7405" w:rsidRPr="004D7405" w:rsidRDefault="004D7405" w:rsidP="004D7405">
            <w:pPr>
              <w:spacing w:line="240" w:lineRule="auto"/>
              <w:ind w:firstLine="0"/>
              <w:jc w:val="center"/>
              <w:rPr>
                <w:rFonts w:cs="Times New Roman"/>
                <w:color w:val="000000"/>
              </w:rPr>
            </w:pPr>
            <w:r w:rsidRPr="004D7405">
              <w:rPr>
                <w:rFonts w:cs="Times New Roman"/>
                <w:color w:val="000000"/>
              </w:rPr>
              <w:t>2.02</w:t>
            </w:r>
          </w:p>
        </w:tc>
        <w:tc>
          <w:tcPr>
            <w:tcW w:w="925" w:type="dxa"/>
            <w:tcBorders>
              <w:top w:val="nil"/>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5B9F2D37" w14:textId="77777777" w:rsidR="004D7405" w:rsidRPr="004D7405" w:rsidRDefault="004D7405" w:rsidP="004D7405">
            <w:pPr>
              <w:spacing w:line="240" w:lineRule="auto"/>
              <w:ind w:firstLine="0"/>
              <w:jc w:val="center"/>
              <w:rPr>
                <w:rFonts w:cs="Times New Roman"/>
                <w:color w:val="666666"/>
              </w:rPr>
            </w:pPr>
            <w:r w:rsidRPr="004D7405">
              <w:rPr>
                <w:rFonts w:cs="Times New Roman"/>
                <w:color w:val="666666"/>
              </w:rPr>
              <w:t>0.58</w:t>
            </w:r>
          </w:p>
        </w:tc>
        <w:tc>
          <w:tcPr>
            <w:tcW w:w="97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49690D1" w14:textId="77777777" w:rsidR="004D7405" w:rsidRPr="004D7405" w:rsidRDefault="004D7405" w:rsidP="004D7405">
            <w:pPr>
              <w:spacing w:line="240" w:lineRule="auto"/>
              <w:ind w:firstLine="0"/>
              <w:jc w:val="center"/>
              <w:rPr>
                <w:rFonts w:cs="Times New Roman"/>
                <w:b/>
                <w:bCs/>
                <w:color w:val="000000"/>
              </w:rPr>
            </w:pPr>
            <w:r w:rsidRPr="004D7405">
              <w:rPr>
                <w:rFonts w:cs="Times New Roman"/>
                <w:b/>
                <w:bCs/>
                <w:color w:val="000000"/>
              </w:rPr>
              <w:t>5</w:t>
            </w:r>
          </w:p>
        </w:tc>
      </w:tr>
    </w:tbl>
    <w:p w14:paraId="4D36723E" w14:textId="77777777" w:rsidR="00F86765" w:rsidRDefault="00F86765" w:rsidP="00F86765">
      <w:pPr>
        <w:rPr>
          <w:rFonts w:asciiTheme="majorHAnsi" w:hAnsiTheme="majorHAnsi" w:cstheme="majorHAnsi"/>
          <w:b/>
          <w:bCs/>
        </w:rPr>
      </w:pPr>
      <w:r>
        <w:rPr>
          <w:rFonts w:asciiTheme="majorHAnsi" w:hAnsiTheme="majorHAnsi" w:cstheme="majorHAnsi"/>
          <w:b/>
          <w:bCs/>
        </w:rPr>
        <w:t xml:space="preserve"> </w:t>
      </w:r>
      <w:r>
        <w:rPr>
          <w:rFonts w:asciiTheme="majorHAnsi" w:hAnsiTheme="majorHAnsi" w:cstheme="majorHAnsi"/>
          <w:b/>
          <w:bCs/>
        </w:rPr>
        <w:br w:type="page"/>
      </w:r>
    </w:p>
    <w:p w14:paraId="14AA9A76" w14:textId="3A396091" w:rsidR="004D7405" w:rsidRDefault="004D7405" w:rsidP="00F13F6D">
      <w:pPr>
        <w:pStyle w:val="Caption"/>
      </w:pPr>
      <w:bookmarkStart w:id="267" w:name="_Toc193668467"/>
      <w:r>
        <w:t xml:space="preserve">Table </w:t>
      </w:r>
      <w:fldSimple w:instr=" STYLEREF 1 \s ">
        <w:r w:rsidR="00971287">
          <w:rPr>
            <w:noProof/>
          </w:rPr>
          <w:t>6</w:t>
        </w:r>
      </w:fldSimple>
      <w:r w:rsidR="00A46B68">
        <w:t>.</w:t>
      </w:r>
      <w:fldSimple w:instr=" SEQ Table \* ARABIC \s 1 ">
        <w:r w:rsidR="00971287">
          <w:rPr>
            <w:noProof/>
          </w:rPr>
          <w:t>7</w:t>
        </w:r>
      </w:fldSimple>
      <w:r>
        <w:t xml:space="preserve">. </w:t>
      </w:r>
      <w:r>
        <w:rPr>
          <w:rFonts w:asciiTheme="majorHAnsi" w:hAnsiTheme="majorHAnsi" w:cstheme="majorHAnsi"/>
          <w:szCs w:val="24"/>
        </w:rPr>
        <w:t>Mössbauer Parameters: 4K</w:t>
      </w:r>
      <w:bookmarkEnd w:id="267"/>
    </w:p>
    <w:tbl>
      <w:tblPr>
        <w:tblW w:w="12902" w:type="dxa"/>
        <w:tblInd w:w="-10" w:type="dxa"/>
        <w:tblCellMar>
          <w:left w:w="0" w:type="dxa"/>
          <w:right w:w="0" w:type="dxa"/>
        </w:tblCellMar>
        <w:tblLook w:val="04A0" w:firstRow="1" w:lastRow="0" w:firstColumn="1" w:lastColumn="0" w:noHBand="0" w:noVBand="1"/>
      </w:tblPr>
      <w:tblGrid>
        <w:gridCol w:w="1471"/>
        <w:gridCol w:w="835"/>
        <w:gridCol w:w="751"/>
        <w:gridCol w:w="751"/>
        <w:gridCol w:w="752"/>
        <w:gridCol w:w="762"/>
        <w:gridCol w:w="754"/>
        <w:gridCol w:w="754"/>
        <w:gridCol w:w="756"/>
        <w:gridCol w:w="754"/>
        <w:gridCol w:w="764"/>
        <w:gridCol w:w="756"/>
        <w:gridCol w:w="756"/>
        <w:gridCol w:w="754"/>
        <w:gridCol w:w="754"/>
        <w:gridCol w:w="770"/>
        <w:gridCol w:w="8"/>
      </w:tblGrid>
      <w:tr w:rsidR="004D7405" w:rsidRPr="004D7405" w14:paraId="5D0C270A" w14:textId="77777777" w:rsidTr="004D7405">
        <w:trPr>
          <w:gridAfter w:val="1"/>
          <w:wAfter w:w="8" w:type="dxa"/>
          <w:trHeight w:val="312"/>
        </w:trPr>
        <w:tc>
          <w:tcPr>
            <w:tcW w:w="1471"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1EEB0EFB"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4K</w:t>
            </w:r>
          </w:p>
        </w:tc>
        <w:tc>
          <w:tcPr>
            <w:tcW w:w="835"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3AAA74AC" w14:textId="77777777" w:rsidR="00F86765" w:rsidRPr="004D7405" w:rsidRDefault="00F86765" w:rsidP="004D7405">
            <w:pPr>
              <w:spacing w:line="240" w:lineRule="auto"/>
              <w:ind w:firstLine="0"/>
              <w:jc w:val="center"/>
              <w:rPr>
                <w:rFonts w:cs="Times New Roman"/>
                <w:b/>
                <w:bCs/>
                <w:i/>
                <w:iCs/>
                <w:color w:val="000000"/>
              </w:rPr>
            </w:pPr>
            <w:r w:rsidRPr="004D7405">
              <w:rPr>
                <w:rFonts w:cs="Times New Roman"/>
                <w:b/>
                <w:bCs/>
                <w:i/>
                <w:iCs/>
                <w:color w:val="000000"/>
              </w:rPr>
              <w:t>CS</w:t>
            </w:r>
          </w:p>
        </w:tc>
        <w:tc>
          <w:tcPr>
            <w:tcW w:w="751"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384ABAE2"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QS</w:t>
            </w:r>
          </w:p>
        </w:tc>
        <w:tc>
          <w:tcPr>
            <w:tcW w:w="751"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25F0461F" w14:textId="77777777" w:rsidR="00F86765" w:rsidRPr="004D7405" w:rsidRDefault="00F86765" w:rsidP="004D7405">
            <w:pPr>
              <w:spacing w:line="240" w:lineRule="auto"/>
              <w:ind w:firstLine="0"/>
              <w:jc w:val="center"/>
              <w:rPr>
                <w:rFonts w:cs="Times New Roman"/>
                <w:b/>
                <w:bCs/>
                <w:color w:val="666666"/>
              </w:rPr>
            </w:pPr>
            <w:r w:rsidRPr="004D7405">
              <w:rPr>
                <w:rFonts w:cs="Times New Roman"/>
                <w:b/>
                <w:bCs/>
                <w:color w:val="666666"/>
              </w:rPr>
              <w:t>W</w:t>
            </w:r>
          </w:p>
        </w:tc>
        <w:tc>
          <w:tcPr>
            <w:tcW w:w="752" w:type="dxa"/>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DBEDAD2"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Field</w:t>
            </w:r>
          </w:p>
        </w:tc>
        <w:tc>
          <w:tcPr>
            <w:tcW w:w="762" w:type="dxa"/>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DDD6FAC"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Area</w:t>
            </w:r>
          </w:p>
        </w:tc>
        <w:tc>
          <w:tcPr>
            <w:tcW w:w="754"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6311FAF7" w14:textId="77777777" w:rsidR="00F86765" w:rsidRPr="004D7405" w:rsidRDefault="00F86765" w:rsidP="004D7405">
            <w:pPr>
              <w:spacing w:line="240" w:lineRule="auto"/>
              <w:ind w:firstLine="0"/>
              <w:jc w:val="center"/>
              <w:rPr>
                <w:rFonts w:cs="Times New Roman"/>
                <w:b/>
                <w:bCs/>
                <w:i/>
                <w:iCs/>
                <w:color w:val="000000"/>
              </w:rPr>
            </w:pPr>
            <w:r w:rsidRPr="004D7405">
              <w:rPr>
                <w:rFonts w:cs="Times New Roman"/>
                <w:b/>
                <w:bCs/>
                <w:i/>
                <w:iCs/>
                <w:color w:val="000000"/>
              </w:rPr>
              <w:t>CS</w:t>
            </w:r>
          </w:p>
        </w:tc>
        <w:tc>
          <w:tcPr>
            <w:tcW w:w="754"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43D5BBB5"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QS</w:t>
            </w:r>
          </w:p>
        </w:tc>
        <w:tc>
          <w:tcPr>
            <w:tcW w:w="756"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798EF0C2" w14:textId="77777777" w:rsidR="00F86765" w:rsidRPr="004D7405" w:rsidRDefault="00F86765" w:rsidP="004D7405">
            <w:pPr>
              <w:spacing w:line="240" w:lineRule="auto"/>
              <w:ind w:firstLine="0"/>
              <w:jc w:val="center"/>
              <w:rPr>
                <w:rFonts w:cs="Times New Roman"/>
                <w:b/>
                <w:bCs/>
                <w:color w:val="666666"/>
              </w:rPr>
            </w:pPr>
            <w:r w:rsidRPr="004D7405">
              <w:rPr>
                <w:rFonts w:cs="Times New Roman"/>
                <w:b/>
                <w:bCs/>
                <w:color w:val="666666"/>
              </w:rPr>
              <w:t>W</w:t>
            </w:r>
          </w:p>
        </w:tc>
        <w:tc>
          <w:tcPr>
            <w:tcW w:w="754" w:type="dxa"/>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BB732CA"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Field</w:t>
            </w:r>
          </w:p>
        </w:tc>
        <w:tc>
          <w:tcPr>
            <w:tcW w:w="764" w:type="dxa"/>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E247A60"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Area</w:t>
            </w:r>
          </w:p>
        </w:tc>
        <w:tc>
          <w:tcPr>
            <w:tcW w:w="756"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18778C9E" w14:textId="77777777" w:rsidR="00F86765" w:rsidRPr="004D7405" w:rsidRDefault="00F86765" w:rsidP="004D7405">
            <w:pPr>
              <w:spacing w:line="240" w:lineRule="auto"/>
              <w:ind w:firstLine="0"/>
              <w:jc w:val="center"/>
              <w:rPr>
                <w:rFonts w:cs="Times New Roman"/>
                <w:b/>
                <w:bCs/>
                <w:i/>
                <w:iCs/>
                <w:color w:val="000000"/>
              </w:rPr>
            </w:pPr>
            <w:r w:rsidRPr="004D7405">
              <w:rPr>
                <w:rFonts w:cs="Times New Roman"/>
                <w:b/>
                <w:bCs/>
                <w:i/>
                <w:iCs/>
                <w:color w:val="000000"/>
              </w:rPr>
              <w:t>CS</w:t>
            </w:r>
          </w:p>
        </w:tc>
        <w:tc>
          <w:tcPr>
            <w:tcW w:w="756"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3D5A57C6"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QS</w:t>
            </w:r>
          </w:p>
        </w:tc>
        <w:tc>
          <w:tcPr>
            <w:tcW w:w="754" w:type="dxa"/>
            <w:tcBorders>
              <w:top w:val="single" w:sz="8" w:space="0" w:color="000000"/>
              <w:left w:val="nil"/>
              <w:bottom w:val="single" w:sz="8" w:space="0" w:color="000000"/>
              <w:right w:val="single" w:sz="8" w:space="0" w:color="FFFFFF"/>
            </w:tcBorders>
            <w:shd w:val="clear" w:color="000000" w:fill="FFFFFF"/>
            <w:tcMar>
              <w:top w:w="15" w:type="dxa"/>
              <w:left w:w="15" w:type="dxa"/>
              <w:bottom w:w="0" w:type="dxa"/>
              <w:right w:w="15" w:type="dxa"/>
            </w:tcMar>
            <w:vAlign w:val="center"/>
            <w:hideMark/>
          </w:tcPr>
          <w:p w14:paraId="4DE6209E" w14:textId="77777777" w:rsidR="00F86765" w:rsidRPr="004D7405" w:rsidRDefault="00F86765" w:rsidP="004D7405">
            <w:pPr>
              <w:spacing w:line="240" w:lineRule="auto"/>
              <w:ind w:firstLine="0"/>
              <w:jc w:val="center"/>
              <w:rPr>
                <w:rFonts w:cs="Times New Roman"/>
                <w:b/>
                <w:bCs/>
                <w:color w:val="666666"/>
              </w:rPr>
            </w:pPr>
            <w:r w:rsidRPr="004D7405">
              <w:rPr>
                <w:rFonts w:cs="Times New Roman"/>
                <w:b/>
                <w:bCs/>
                <w:color w:val="666666"/>
              </w:rPr>
              <w:t>W</w:t>
            </w:r>
          </w:p>
        </w:tc>
        <w:tc>
          <w:tcPr>
            <w:tcW w:w="754" w:type="dxa"/>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107E3780"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Field</w:t>
            </w:r>
          </w:p>
        </w:tc>
        <w:tc>
          <w:tcPr>
            <w:tcW w:w="770" w:type="dxa"/>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523E4C4"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Area</w:t>
            </w:r>
          </w:p>
        </w:tc>
      </w:tr>
      <w:tr w:rsidR="00F86765" w:rsidRPr="004D7405" w14:paraId="262ECCBA" w14:textId="77777777" w:rsidTr="004D7405">
        <w:trPr>
          <w:trHeight w:val="312"/>
        </w:trPr>
        <w:tc>
          <w:tcPr>
            <w:tcW w:w="1471"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642A3CB" w14:textId="77777777" w:rsidR="00F86765" w:rsidRPr="004D7405" w:rsidRDefault="00F86765" w:rsidP="004D7405">
            <w:pPr>
              <w:spacing w:line="240" w:lineRule="auto"/>
              <w:ind w:firstLine="0"/>
              <w:rPr>
                <w:rFonts w:cs="Times New Roman"/>
                <w:color w:val="000000"/>
              </w:rPr>
            </w:pPr>
            <w:r w:rsidRPr="004D7405">
              <w:rPr>
                <w:rFonts w:cs="Times New Roman"/>
                <w:color w:val="000000"/>
              </w:rPr>
              <w:t> </w:t>
            </w:r>
          </w:p>
        </w:tc>
        <w:tc>
          <w:tcPr>
            <w:tcW w:w="3851" w:type="dxa"/>
            <w:gridSpan w:val="5"/>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5927192"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Fe</w:t>
            </w:r>
            <w:r w:rsidRPr="004D7405">
              <w:rPr>
                <w:rFonts w:cs="Times New Roman"/>
                <w:b/>
                <w:bCs/>
                <w:color w:val="000000"/>
                <w:vertAlign w:val="superscript"/>
              </w:rPr>
              <w:t>3+</w:t>
            </w:r>
          </w:p>
        </w:tc>
        <w:tc>
          <w:tcPr>
            <w:tcW w:w="3782" w:type="dxa"/>
            <w:gridSpan w:val="5"/>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E1BCB2D"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Fe</w:t>
            </w:r>
            <w:r w:rsidRPr="004D7405">
              <w:rPr>
                <w:rFonts w:cs="Times New Roman"/>
                <w:b/>
                <w:bCs/>
                <w:color w:val="000000"/>
                <w:vertAlign w:val="superscript"/>
              </w:rPr>
              <w:t>3+</w:t>
            </w:r>
          </w:p>
        </w:tc>
        <w:tc>
          <w:tcPr>
            <w:tcW w:w="3798" w:type="dxa"/>
            <w:gridSpan w:val="6"/>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1B4E4EB9"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Fe</w:t>
            </w:r>
            <w:r w:rsidRPr="004D7405">
              <w:rPr>
                <w:rFonts w:cs="Times New Roman"/>
                <w:b/>
                <w:bCs/>
                <w:color w:val="000000"/>
                <w:vertAlign w:val="superscript"/>
              </w:rPr>
              <w:t>3+</w:t>
            </w:r>
          </w:p>
        </w:tc>
      </w:tr>
      <w:tr w:rsidR="004D7405" w:rsidRPr="004D7405" w14:paraId="1D16CC98" w14:textId="77777777" w:rsidTr="004D7405">
        <w:trPr>
          <w:gridAfter w:val="1"/>
          <w:wAfter w:w="8" w:type="dxa"/>
          <w:trHeight w:val="312"/>
        </w:trPr>
        <w:tc>
          <w:tcPr>
            <w:tcW w:w="1471"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6C70B3EA" w14:textId="77777777" w:rsidR="00F86765" w:rsidRPr="004D7405" w:rsidRDefault="00F86765" w:rsidP="004D7405">
            <w:pPr>
              <w:spacing w:line="240" w:lineRule="auto"/>
              <w:ind w:firstLine="0"/>
              <w:rPr>
                <w:rFonts w:cs="Times New Roman"/>
                <w:color w:val="000000"/>
              </w:rPr>
            </w:pPr>
            <w:r w:rsidRPr="004D7405">
              <w:rPr>
                <w:rFonts w:cs="Times New Roman"/>
                <w:color w:val="000000"/>
              </w:rPr>
              <w:t xml:space="preserve">Fh + lactate – </w:t>
            </w:r>
          </w:p>
          <w:p w14:paraId="3AB308A0" w14:textId="77777777" w:rsidR="00F86765" w:rsidRPr="004D7405" w:rsidRDefault="00F86765" w:rsidP="004D7405">
            <w:pPr>
              <w:spacing w:line="240" w:lineRule="auto"/>
              <w:ind w:firstLine="0"/>
              <w:rPr>
                <w:rFonts w:cs="Times New Roman"/>
                <w:color w:val="000000"/>
              </w:rPr>
            </w:pPr>
            <w:r w:rsidRPr="004D7405">
              <w:rPr>
                <w:rFonts w:cs="Times New Roman"/>
                <w:color w:val="000000"/>
              </w:rPr>
              <w:t>No Cells</w:t>
            </w:r>
          </w:p>
        </w:tc>
        <w:tc>
          <w:tcPr>
            <w:tcW w:w="835"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15EBC45"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0.44</w:t>
            </w:r>
          </w:p>
        </w:tc>
        <w:tc>
          <w:tcPr>
            <w:tcW w:w="75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A6943E3"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-0.06</w:t>
            </w:r>
          </w:p>
        </w:tc>
        <w:tc>
          <w:tcPr>
            <w:tcW w:w="75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35E2460"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0.58</w:t>
            </w:r>
          </w:p>
        </w:tc>
        <w:tc>
          <w:tcPr>
            <w:tcW w:w="752"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DA62BBC"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450</w:t>
            </w:r>
          </w:p>
        </w:tc>
        <w:tc>
          <w:tcPr>
            <w:tcW w:w="762"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1AE8BDFA"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26</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DCCE6A0"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0.47</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8B87AEA"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-0.07</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8504757"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0.75</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ACD9067"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480</w:t>
            </w:r>
          </w:p>
        </w:tc>
        <w:tc>
          <w:tcPr>
            <w:tcW w:w="76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B2970F3"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46</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FDED03A"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0.47</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1E71285"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-0.01</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8BE3CCE"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0.68</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52F5F11"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508</w:t>
            </w:r>
          </w:p>
        </w:tc>
        <w:tc>
          <w:tcPr>
            <w:tcW w:w="770"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55EB372"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28</w:t>
            </w:r>
          </w:p>
        </w:tc>
      </w:tr>
      <w:tr w:rsidR="004D7405" w:rsidRPr="004D7405" w14:paraId="28211768" w14:textId="77777777" w:rsidTr="004D7405">
        <w:trPr>
          <w:gridAfter w:val="1"/>
          <w:wAfter w:w="8" w:type="dxa"/>
          <w:trHeight w:val="312"/>
        </w:trPr>
        <w:tc>
          <w:tcPr>
            <w:tcW w:w="1471"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0EB3B532" w14:textId="77777777" w:rsidR="00F86765" w:rsidRPr="004D7405" w:rsidRDefault="00F86765" w:rsidP="004D7405">
            <w:pPr>
              <w:spacing w:line="240" w:lineRule="auto"/>
              <w:ind w:firstLine="0"/>
              <w:rPr>
                <w:rFonts w:cs="Times New Roman"/>
                <w:color w:val="000000"/>
              </w:rPr>
            </w:pPr>
            <w:r w:rsidRPr="004D7405">
              <w:rPr>
                <w:rFonts w:cs="Times New Roman"/>
                <w:color w:val="000000"/>
              </w:rPr>
              <w:t xml:space="preserve">Fh + lactate – </w:t>
            </w:r>
          </w:p>
          <w:p w14:paraId="1F3AE7B4" w14:textId="77777777" w:rsidR="00F86765" w:rsidRPr="004D7405" w:rsidRDefault="00F86765" w:rsidP="004D7405">
            <w:pPr>
              <w:spacing w:line="240" w:lineRule="auto"/>
              <w:ind w:firstLine="0"/>
              <w:rPr>
                <w:rFonts w:cs="Times New Roman"/>
                <w:color w:val="000000"/>
              </w:rPr>
            </w:pPr>
            <w:r w:rsidRPr="004D7405">
              <w:rPr>
                <w:rFonts w:cs="Times New Roman"/>
                <w:color w:val="000000"/>
              </w:rPr>
              <w:t>Dead Cells</w:t>
            </w:r>
          </w:p>
        </w:tc>
        <w:tc>
          <w:tcPr>
            <w:tcW w:w="835"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1D7A222"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0.44</w:t>
            </w:r>
          </w:p>
        </w:tc>
        <w:tc>
          <w:tcPr>
            <w:tcW w:w="75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873BF9A"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-0.1</w:t>
            </w:r>
          </w:p>
        </w:tc>
        <w:tc>
          <w:tcPr>
            <w:tcW w:w="75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B8A5B33"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0.75</w:t>
            </w:r>
          </w:p>
        </w:tc>
        <w:tc>
          <w:tcPr>
            <w:tcW w:w="752"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15D98EB8"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450</w:t>
            </w:r>
          </w:p>
        </w:tc>
        <w:tc>
          <w:tcPr>
            <w:tcW w:w="762"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644DE7E"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25</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B1863B6"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0.46</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1B61216"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-0.06</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0E0AF16"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0.93</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6A99158"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482</w:t>
            </w:r>
          </w:p>
        </w:tc>
        <w:tc>
          <w:tcPr>
            <w:tcW w:w="76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1239B935"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48</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B82F0BB"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0.47</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95A24E6"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-0.03</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12468C22"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0.83</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77AC281"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511</w:t>
            </w:r>
          </w:p>
        </w:tc>
        <w:tc>
          <w:tcPr>
            <w:tcW w:w="770"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B8493A5"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27</w:t>
            </w:r>
          </w:p>
        </w:tc>
      </w:tr>
      <w:tr w:rsidR="004D7405" w:rsidRPr="004D7405" w14:paraId="7601DECA" w14:textId="77777777" w:rsidTr="004D7405">
        <w:trPr>
          <w:gridAfter w:val="1"/>
          <w:wAfter w:w="8" w:type="dxa"/>
          <w:trHeight w:val="312"/>
        </w:trPr>
        <w:tc>
          <w:tcPr>
            <w:tcW w:w="1471"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188BAB01" w14:textId="77777777" w:rsidR="00F86765" w:rsidRPr="004D7405" w:rsidRDefault="00F86765" w:rsidP="004D7405">
            <w:pPr>
              <w:spacing w:line="240" w:lineRule="auto"/>
              <w:ind w:firstLine="0"/>
              <w:rPr>
                <w:rFonts w:cs="Times New Roman"/>
                <w:color w:val="000000"/>
              </w:rPr>
            </w:pPr>
            <w:r w:rsidRPr="004D7405">
              <w:rPr>
                <w:rFonts w:cs="Times New Roman"/>
                <w:color w:val="000000"/>
              </w:rPr>
              <w:t xml:space="preserve">Fh + lactate – </w:t>
            </w:r>
          </w:p>
          <w:p w14:paraId="412BFE02" w14:textId="77777777" w:rsidR="00F86765" w:rsidRPr="004D7405" w:rsidRDefault="00F86765" w:rsidP="004D7405">
            <w:pPr>
              <w:spacing w:line="240" w:lineRule="auto"/>
              <w:ind w:firstLine="0"/>
              <w:rPr>
                <w:rFonts w:cs="Times New Roman"/>
                <w:color w:val="000000"/>
              </w:rPr>
            </w:pPr>
            <w:r w:rsidRPr="004D7405">
              <w:rPr>
                <w:rFonts w:cs="Times New Roman"/>
                <w:color w:val="000000"/>
              </w:rPr>
              <w:t>Live Cells</w:t>
            </w:r>
          </w:p>
        </w:tc>
        <w:tc>
          <w:tcPr>
            <w:tcW w:w="835"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FBC78DA"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0.45</w:t>
            </w:r>
          </w:p>
        </w:tc>
        <w:tc>
          <w:tcPr>
            <w:tcW w:w="75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C753324"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-0.08</w:t>
            </w:r>
          </w:p>
        </w:tc>
        <w:tc>
          <w:tcPr>
            <w:tcW w:w="75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737ADCB"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0.55</w:t>
            </w:r>
          </w:p>
        </w:tc>
        <w:tc>
          <w:tcPr>
            <w:tcW w:w="752"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E1303AF"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463</w:t>
            </w:r>
          </w:p>
        </w:tc>
        <w:tc>
          <w:tcPr>
            <w:tcW w:w="762"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A814098"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51</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B97CFFA"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0.48</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A126B9B"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-0.06</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FB70595"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0.52</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B5DEAA9"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485</w:t>
            </w:r>
          </w:p>
        </w:tc>
        <w:tc>
          <w:tcPr>
            <w:tcW w:w="76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D0044D0"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25</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E5CBD4C"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0.47</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6D6EF5D"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-0.02</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EA9AC36"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0.55</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E405CF9"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509</w:t>
            </w:r>
          </w:p>
        </w:tc>
        <w:tc>
          <w:tcPr>
            <w:tcW w:w="770"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63B8FA1"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24</w:t>
            </w:r>
          </w:p>
        </w:tc>
      </w:tr>
      <w:tr w:rsidR="004D7405" w:rsidRPr="004D7405" w14:paraId="455D999D" w14:textId="77777777" w:rsidTr="004D7405">
        <w:trPr>
          <w:gridAfter w:val="1"/>
          <w:wAfter w:w="8" w:type="dxa"/>
          <w:trHeight w:val="312"/>
        </w:trPr>
        <w:tc>
          <w:tcPr>
            <w:tcW w:w="1471"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40CCDA47" w14:textId="77777777" w:rsidR="00F86765" w:rsidRPr="004D7405" w:rsidRDefault="00F86765" w:rsidP="004D7405">
            <w:pPr>
              <w:spacing w:line="240" w:lineRule="auto"/>
              <w:ind w:firstLine="0"/>
              <w:rPr>
                <w:rFonts w:cs="Times New Roman"/>
                <w:color w:val="000000"/>
              </w:rPr>
            </w:pPr>
            <w:r w:rsidRPr="004D7405">
              <w:rPr>
                <w:rFonts w:cs="Times New Roman"/>
                <w:color w:val="000000"/>
              </w:rPr>
              <w:t xml:space="preserve">Fh + lactate + thiosulfate – </w:t>
            </w:r>
          </w:p>
          <w:p w14:paraId="0DDEA90B" w14:textId="77777777" w:rsidR="00F86765" w:rsidRPr="004D7405" w:rsidRDefault="00F86765" w:rsidP="004D7405">
            <w:pPr>
              <w:spacing w:line="240" w:lineRule="auto"/>
              <w:ind w:firstLine="0"/>
              <w:rPr>
                <w:rFonts w:cs="Times New Roman"/>
                <w:color w:val="000000"/>
              </w:rPr>
            </w:pPr>
            <w:r w:rsidRPr="004D7405">
              <w:rPr>
                <w:rFonts w:cs="Times New Roman"/>
                <w:color w:val="000000"/>
              </w:rPr>
              <w:t>No Cells</w:t>
            </w:r>
          </w:p>
        </w:tc>
        <w:tc>
          <w:tcPr>
            <w:tcW w:w="835"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207B6E8"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0.44</w:t>
            </w:r>
          </w:p>
        </w:tc>
        <w:tc>
          <w:tcPr>
            <w:tcW w:w="75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D00A6B0"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-0.09</w:t>
            </w:r>
          </w:p>
        </w:tc>
        <w:tc>
          <w:tcPr>
            <w:tcW w:w="75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D07A7EC"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0.52</w:t>
            </w:r>
          </w:p>
        </w:tc>
        <w:tc>
          <w:tcPr>
            <w:tcW w:w="752"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9C1D77C"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465</w:t>
            </w:r>
          </w:p>
        </w:tc>
        <w:tc>
          <w:tcPr>
            <w:tcW w:w="762"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C748637"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42</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D4DC178"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0.48</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B042277"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-0.09</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8AAEB19"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0.67</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009FCF1"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491</w:t>
            </w:r>
          </w:p>
        </w:tc>
        <w:tc>
          <w:tcPr>
            <w:tcW w:w="76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A3981BF"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40</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B3327D8"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0.46</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48C70CB"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-0.02</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AD00818"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0.53</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9D34D39"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514</w:t>
            </w:r>
          </w:p>
        </w:tc>
        <w:tc>
          <w:tcPr>
            <w:tcW w:w="770"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A4648A5"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18</w:t>
            </w:r>
          </w:p>
        </w:tc>
      </w:tr>
      <w:tr w:rsidR="004D7405" w:rsidRPr="004D7405" w14:paraId="3777EFE6" w14:textId="77777777" w:rsidTr="004D7405">
        <w:trPr>
          <w:gridAfter w:val="1"/>
          <w:wAfter w:w="8" w:type="dxa"/>
          <w:trHeight w:val="312"/>
        </w:trPr>
        <w:tc>
          <w:tcPr>
            <w:tcW w:w="1471"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32DAF44D" w14:textId="77777777" w:rsidR="00F86765" w:rsidRPr="004D7405" w:rsidRDefault="00F86765" w:rsidP="004D7405">
            <w:pPr>
              <w:spacing w:line="240" w:lineRule="auto"/>
              <w:ind w:firstLine="0"/>
              <w:rPr>
                <w:rFonts w:cs="Times New Roman"/>
                <w:color w:val="000000"/>
              </w:rPr>
            </w:pPr>
            <w:r w:rsidRPr="004D7405">
              <w:rPr>
                <w:rFonts w:cs="Times New Roman"/>
                <w:color w:val="000000"/>
              </w:rPr>
              <w:t xml:space="preserve">Fh + lactate + thiosulfate – </w:t>
            </w:r>
          </w:p>
          <w:p w14:paraId="14DB06C4" w14:textId="77777777" w:rsidR="00F86765" w:rsidRPr="004D7405" w:rsidRDefault="00F86765" w:rsidP="004D7405">
            <w:pPr>
              <w:spacing w:line="240" w:lineRule="auto"/>
              <w:ind w:firstLine="0"/>
              <w:rPr>
                <w:rFonts w:cs="Times New Roman"/>
                <w:color w:val="000000"/>
              </w:rPr>
            </w:pPr>
            <w:r w:rsidRPr="004D7405">
              <w:rPr>
                <w:rFonts w:cs="Times New Roman"/>
                <w:color w:val="000000"/>
              </w:rPr>
              <w:t>Dead Cells</w:t>
            </w:r>
          </w:p>
        </w:tc>
        <w:tc>
          <w:tcPr>
            <w:tcW w:w="835"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19F4A0C"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0.44</w:t>
            </w:r>
          </w:p>
        </w:tc>
        <w:tc>
          <w:tcPr>
            <w:tcW w:w="75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6E874B8"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-0.1</w:t>
            </w:r>
          </w:p>
        </w:tc>
        <w:tc>
          <w:tcPr>
            <w:tcW w:w="75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ED27FD3"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0.71</w:t>
            </w:r>
          </w:p>
        </w:tc>
        <w:tc>
          <w:tcPr>
            <w:tcW w:w="752"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C7E9858"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456</w:t>
            </w:r>
          </w:p>
        </w:tc>
        <w:tc>
          <w:tcPr>
            <w:tcW w:w="762"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FA747E1"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27</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F7D4965"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0.47</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4758C8C"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-0.07</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C9D9D11"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0.87</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59F7694"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485</w:t>
            </w:r>
          </w:p>
        </w:tc>
        <w:tc>
          <w:tcPr>
            <w:tcW w:w="76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1951111"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44</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EBC720C"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0.47</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E700B08"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-0.04</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1B63FA97"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0.78</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5912DAC"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512</w:t>
            </w:r>
          </w:p>
        </w:tc>
        <w:tc>
          <w:tcPr>
            <w:tcW w:w="770"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D920FE1"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29</w:t>
            </w:r>
          </w:p>
        </w:tc>
      </w:tr>
      <w:tr w:rsidR="004D7405" w:rsidRPr="004D7405" w14:paraId="707E6D9F" w14:textId="77777777" w:rsidTr="004D7405">
        <w:trPr>
          <w:gridAfter w:val="1"/>
          <w:wAfter w:w="8" w:type="dxa"/>
          <w:trHeight w:val="312"/>
        </w:trPr>
        <w:tc>
          <w:tcPr>
            <w:tcW w:w="1471"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0F3B1722" w14:textId="77777777" w:rsidR="00F86765" w:rsidRPr="004D7405" w:rsidRDefault="00F86765" w:rsidP="004D7405">
            <w:pPr>
              <w:spacing w:line="240" w:lineRule="auto"/>
              <w:ind w:firstLine="0"/>
              <w:rPr>
                <w:rFonts w:cs="Times New Roman"/>
                <w:color w:val="000000"/>
              </w:rPr>
            </w:pPr>
            <w:r w:rsidRPr="004D7405">
              <w:rPr>
                <w:rFonts w:cs="Times New Roman"/>
                <w:color w:val="000000"/>
              </w:rPr>
              <w:t xml:space="preserve">Fh + lactate + thiosulfate – </w:t>
            </w:r>
          </w:p>
          <w:p w14:paraId="68F33F40" w14:textId="77777777" w:rsidR="00F86765" w:rsidRPr="004D7405" w:rsidRDefault="00F86765" w:rsidP="004D7405">
            <w:pPr>
              <w:spacing w:line="240" w:lineRule="auto"/>
              <w:ind w:firstLine="0"/>
              <w:rPr>
                <w:rFonts w:cs="Times New Roman"/>
                <w:color w:val="000000"/>
              </w:rPr>
            </w:pPr>
            <w:r w:rsidRPr="004D7405">
              <w:rPr>
                <w:rFonts w:cs="Times New Roman"/>
                <w:color w:val="000000"/>
              </w:rPr>
              <w:t>Live Cells</w:t>
            </w:r>
          </w:p>
        </w:tc>
        <w:tc>
          <w:tcPr>
            <w:tcW w:w="835"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6CE7A87"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0.42</w:t>
            </w:r>
          </w:p>
        </w:tc>
        <w:tc>
          <w:tcPr>
            <w:tcW w:w="75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A3F65AF"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-0.02</w:t>
            </w:r>
          </w:p>
        </w:tc>
        <w:tc>
          <w:tcPr>
            <w:tcW w:w="751"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D2CBFD7"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0.44</w:t>
            </w:r>
          </w:p>
        </w:tc>
        <w:tc>
          <w:tcPr>
            <w:tcW w:w="752"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8C89012"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476</w:t>
            </w:r>
          </w:p>
        </w:tc>
        <w:tc>
          <w:tcPr>
            <w:tcW w:w="762"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14BCAD9"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45</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3B1A52C"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0.5</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11A679E"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-0.23</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D060D83"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0.44</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C4130C1"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494</w:t>
            </w:r>
          </w:p>
        </w:tc>
        <w:tc>
          <w:tcPr>
            <w:tcW w:w="76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BF857F8"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22</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153A8AD"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0.45</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717AB7C2"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-0.05</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0BE86F30"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0.52</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EFE3284"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512</w:t>
            </w:r>
          </w:p>
        </w:tc>
        <w:tc>
          <w:tcPr>
            <w:tcW w:w="770"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8E4E6FE"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24</w:t>
            </w:r>
          </w:p>
        </w:tc>
      </w:tr>
      <w:tr w:rsidR="004D7405" w:rsidRPr="004D7405" w14:paraId="4EE3D117" w14:textId="77777777" w:rsidTr="004D7405">
        <w:trPr>
          <w:gridAfter w:val="1"/>
          <w:wAfter w:w="8" w:type="dxa"/>
          <w:trHeight w:val="512"/>
        </w:trPr>
        <w:tc>
          <w:tcPr>
            <w:tcW w:w="1471"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80" w:type="dxa"/>
              <w:bottom w:w="0" w:type="dxa"/>
              <w:right w:w="15" w:type="dxa"/>
            </w:tcMar>
            <w:vAlign w:val="center"/>
            <w:hideMark/>
          </w:tcPr>
          <w:p w14:paraId="3D405450" w14:textId="77777777" w:rsidR="00F86765" w:rsidRPr="004D7405" w:rsidRDefault="00F86765" w:rsidP="004D7405">
            <w:pPr>
              <w:spacing w:line="240" w:lineRule="auto"/>
              <w:ind w:firstLine="0"/>
              <w:rPr>
                <w:rFonts w:cs="Times New Roman"/>
                <w:color w:val="000000"/>
              </w:rPr>
            </w:pPr>
            <w:r w:rsidRPr="004D7405">
              <w:rPr>
                <w:rFonts w:cs="Times New Roman"/>
                <w:color w:val="000000"/>
              </w:rPr>
              <w:t xml:space="preserve">Fh + lactate + thiosulfate – </w:t>
            </w:r>
          </w:p>
          <w:p w14:paraId="67EF5C19" w14:textId="77777777" w:rsidR="00F86765" w:rsidRPr="004D7405" w:rsidRDefault="00F86765" w:rsidP="004D7405">
            <w:pPr>
              <w:spacing w:line="240" w:lineRule="auto"/>
              <w:ind w:firstLine="0"/>
              <w:rPr>
                <w:rFonts w:cs="Times New Roman"/>
                <w:color w:val="000000"/>
              </w:rPr>
            </w:pPr>
            <w:r w:rsidRPr="004D7405">
              <w:rPr>
                <w:rFonts w:cs="Times New Roman"/>
                <w:color w:val="000000"/>
              </w:rPr>
              <w:t xml:space="preserve">Live Cells </w:t>
            </w:r>
            <w:r w:rsidRPr="004D7405">
              <w:rPr>
                <w:rFonts w:cs="Times New Roman"/>
                <w:i/>
                <w:iCs/>
                <w:color w:val="000000"/>
              </w:rPr>
              <w:t>continued</w:t>
            </w:r>
          </w:p>
        </w:tc>
        <w:tc>
          <w:tcPr>
            <w:tcW w:w="3851" w:type="dxa"/>
            <w:gridSpan w:val="5"/>
            <w:tcBorders>
              <w:top w:val="single" w:sz="8" w:space="0" w:color="000000"/>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4AD1F85"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Fe</w:t>
            </w:r>
            <w:r w:rsidRPr="004D7405">
              <w:rPr>
                <w:rFonts w:cs="Times New Roman"/>
                <w:b/>
                <w:bCs/>
                <w:color w:val="000000"/>
                <w:vertAlign w:val="superscript"/>
              </w:rPr>
              <w:t>2.x+</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09F157E"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0.80*</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2087D5B"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0.80*</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2ABDEC31"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1.00*</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31AEF5D"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276*</w:t>
            </w:r>
          </w:p>
        </w:tc>
        <w:tc>
          <w:tcPr>
            <w:tcW w:w="76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B5D9B46"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6</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611ABA1F" w14:textId="77777777" w:rsidR="00F86765" w:rsidRPr="004D7405" w:rsidRDefault="00F86765" w:rsidP="004D7405">
            <w:pPr>
              <w:spacing w:line="240" w:lineRule="auto"/>
              <w:ind w:firstLine="0"/>
              <w:jc w:val="center"/>
              <w:rPr>
                <w:rFonts w:cs="Times New Roman"/>
                <w:i/>
                <w:iCs/>
                <w:color w:val="000000"/>
              </w:rPr>
            </w:pPr>
            <w:r w:rsidRPr="004D7405">
              <w:rPr>
                <w:rFonts w:cs="Times New Roman"/>
                <w:i/>
                <w:iCs/>
                <w:color w:val="000000"/>
              </w:rPr>
              <w:t>1.30*</w:t>
            </w:r>
          </w:p>
        </w:tc>
        <w:tc>
          <w:tcPr>
            <w:tcW w:w="756"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9633477" w14:textId="77777777" w:rsidR="00F86765" w:rsidRPr="004D7405" w:rsidRDefault="00F86765" w:rsidP="004D7405">
            <w:pPr>
              <w:spacing w:line="240" w:lineRule="auto"/>
              <w:ind w:firstLine="0"/>
              <w:jc w:val="center"/>
              <w:rPr>
                <w:rFonts w:cs="Times New Roman"/>
                <w:color w:val="000000"/>
              </w:rPr>
            </w:pPr>
            <w:r w:rsidRPr="004D7405">
              <w:rPr>
                <w:rFonts w:cs="Times New Roman"/>
                <w:color w:val="000000"/>
              </w:rPr>
              <w:t>3.00*</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4DE0A713" w14:textId="77777777" w:rsidR="00F86765" w:rsidRPr="004D7405" w:rsidRDefault="00F86765" w:rsidP="004D7405">
            <w:pPr>
              <w:spacing w:line="240" w:lineRule="auto"/>
              <w:ind w:firstLine="0"/>
              <w:jc w:val="center"/>
              <w:rPr>
                <w:rFonts w:cs="Times New Roman"/>
                <w:color w:val="666666"/>
              </w:rPr>
            </w:pPr>
            <w:r w:rsidRPr="004D7405">
              <w:rPr>
                <w:rFonts w:cs="Times New Roman"/>
                <w:color w:val="666666"/>
              </w:rPr>
              <w:t>0.90*</w:t>
            </w:r>
          </w:p>
        </w:tc>
        <w:tc>
          <w:tcPr>
            <w:tcW w:w="754"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3E7668AE" w14:textId="77777777" w:rsidR="00F86765" w:rsidRPr="004D7405" w:rsidRDefault="00F86765" w:rsidP="004D7405">
            <w:pPr>
              <w:spacing w:line="240" w:lineRule="auto"/>
              <w:ind w:firstLine="0"/>
              <w:rPr>
                <w:rFonts w:cs="Times New Roman"/>
                <w:color w:val="000000"/>
              </w:rPr>
            </w:pPr>
          </w:p>
        </w:tc>
        <w:tc>
          <w:tcPr>
            <w:tcW w:w="770" w:type="dxa"/>
            <w:tcBorders>
              <w:top w:val="nil"/>
              <w:left w:val="nil"/>
              <w:bottom w:val="single" w:sz="8" w:space="0" w:color="000000"/>
              <w:right w:val="single" w:sz="8" w:space="0" w:color="000000"/>
            </w:tcBorders>
            <w:shd w:val="clear" w:color="000000" w:fill="FFFFFF"/>
            <w:tcMar>
              <w:top w:w="15" w:type="dxa"/>
              <w:left w:w="15" w:type="dxa"/>
              <w:bottom w:w="0" w:type="dxa"/>
              <w:right w:w="15" w:type="dxa"/>
            </w:tcMar>
            <w:vAlign w:val="center"/>
            <w:hideMark/>
          </w:tcPr>
          <w:p w14:paraId="5F9AC0D0" w14:textId="77777777" w:rsidR="00F86765" w:rsidRPr="004D7405" w:rsidRDefault="00F86765" w:rsidP="004D7405">
            <w:pPr>
              <w:spacing w:line="240" w:lineRule="auto"/>
              <w:ind w:firstLine="0"/>
              <w:jc w:val="center"/>
              <w:rPr>
                <w:rFonts w:cs="Times New Roman"/>
                <w:b/>
                <w:bCs/>
                <w:color w:val="000000"/>
              </w:rPr>
            </w:pPr>
            <w:r w:rsidRPr="004D7405">
              <w:rPr>
                <w:rFonts w:cs="Times New Roman"/>
                <w:b/>
                <w:bCs/>
                <w:color w:val="000000"/>
              </w:rPr>
              <w:t>3</w:t>
            </w:r>
          </w:p>
        </w:tc>
      </w:tr>
    </w:tbl>
    <w:p w14:paraId="1706EF8D" w14:textId="76DA8D05" w:rsidR="004D7405" w:rsidRDefault="00F86765" w:rsidP="00F86765">
      <w:pPr>
        <w:rPr>
          <w:rFonts w:asciiTheme="majorHAnsi" w:hAnsiTheme="majorHAnsi" w:cstheme="majorHAnsi"/>
          <w:b/>
          <w:bCs/>
        </w:rPr>
        <w:sectPr w:rsidR="004D7405" w:rsidSect="004D7405">
          <w:pgSz w:w="15840" w:h="12240" w:orient="landscape"/>
          <w:pgMar w:top="1440" w:right="1440" w:bottom="1440" w:left="1440" w:header="720" w:footer="720" w:gutter="0"/>
          <w:cols w:space="720"/>
          <w:docGrid w:linePitch="326"/>
        </w:sectPr>
      </w:pPr>
      <w:r>
        <w:rPr>
          <w:rFonts w:asciiTheme="majorHAnsi" w:hAnsiTheme="majorHAnsi" w:cstheme="majorHAnsi"/>
          <w:b/>
          <w:bCs/>
        </w:rPr>
        <w:t xml:space="preserve"> </w:t>
      </w:r>
    </w:p>
    <w:p w14:paraId="34120556" w14:textId="18D78F3F" w:rsidR="009C7D45" w:rsidRDefault="009C7D45" w:rsidP="00A16CD3">
      <w:pPr>
        <w:spacing w:line="240" w:lineRule="auto"/>
        <w:ind w:firstLine="0"/>
        <w:rPr>
          <w:rFonts w:cs="Times New Roman"/>
          <w:b/>
          <w:bCs/>
        </w:rPr>
      </w:pPr>
      <w:bookmarkStart w:id="268" w:name="_Toc193668468"/>
      <w:r w:rsidRPr="00F86765">
        <w:rPr>
          <w:b/>
          <w:bCs/>
        </w:rPr>
        <w:lastRenderedPageBreak/>
        <w:t xml:space="preserve">Table </w:t>
      </w:r>
      <w:r w:rsidR="00A46B68">
        <w:rPr>
          <w:b/>
          <w:bCs/>
        </w:rPr>
        <w:fldChar w:fldCharType="begin"/>
      </w:r>
      <w:r w:rsidR="00A46B68">
        <w:rPr>
          <w:b/>
          <w:bCs/>
        </w:rPr>
        <w:instrText xml:space="preserve"> STYLEREF 1 \s </w:instrText>
      </w:r>
      <w:r w:rsidR="00A46B68">
        <w:rPr>
          <w:b/>
          <w:bCs/>
        </w:rPr>
        <w:fldChar w:fldCharType="separate"/>
      </w:r>
      <w:r w:rsidR="00971287">
        <w:rPr>
          <w:b/>
          <w:bCs/>
          <w:noProof/>
        </w:rPr>
        <w:t>6</w:t>
      </w:r>
      <w:r w:rsidR="00A46B68">
        <w:rPr>
          <w:b/>
          <w:bCs/>
        </w:rPr>
        <w:fldChar w:fldCharType="end"/>
      </w:r>
      <w:r w:rsidR="00A46B68">
        <w:rPr>
          <w:b/>
          <w:bCs/>
        </w:rPr>
        <w:t>.</w:t>
      </w:r>
      <w:r w:rsidR="00A46B68">
        <w:rPr>
          <w:b/>
          <w:bCs/>
        </w:rPr>
        <w:fldChar w:fldCharType="begin"/>
      </w:r>
      <w:r w:rsidR="00A46B68">
        <w:rPr>
          <w:b/>
          <w:bCs/>
        </w:rPr>
        <w:instrText xml:space="preserve"> SEQ Table \* ARABIC \s 1 </w:instrText>
      </w:r>
      <w:r w:rsidR="00A46B68">
        <w:rPr>
          <w:b/>
          <w:bCs/>
        </w:rPr>
        <w:fldChar w:fldCharType="separate"/>
      </w:r>
      <w:r w:rsidR="00971287">
        <w:rPr>
          <w:b/>
          <w:bCs/>
          <w:noProof/>
        </w:rPr>
        <w:t>8</w:t>
      </w:r>
      <w:r w:rsidR="00A46B68">
        <w:rPr>
          <w:b/>
          <w:bCs/>
        </w:rPr>
        <w:fldChar w:fldCharType="end"/>
      </w:r>
      <w:r w:rsidRPr="00F86765">
        <w:rPr>
          <w:b/>
          <w:bCs/>
        </w:rPr>
        <w:t xml:space="preserve">. </w:t>
      </w:r>
      <w:r w:rsidRPr="00F86765">
        <w:rPr>
          <w:rFonts w:cs="Times New Roman"/>
          <w:b/>
          <w:bCs/>
        </w:rPr>
        <w:t>Differential expression of transcripts of interest.</w:t>
      </w:r>
      <w:bookmarkEnd w:id="268"/>
    </w:p>
    <w:p w14:paraId="00451B1E" w14:textId="5BEE7D6A" w:rsidR="004235CC" w:rsidRPr="00F86765" w:rsidRDefault="004235CC" w:rsidP="00A16CD3">
      <w:pPr>
        <w:spacing w:line="240" w:lineRule="auto"/>
        <w:ind w:firstLine="0"/>
        <w:rPr>
          <w:b/>
          <w:bCs/>
        </w:rPr>
      </w:pPr>
      <w:r>
        <w:rPr>
          <w:rFonts w:asciiTheme="majorHAnsi" w:hAnsiTheme="majorHAnsi" w:cstheme="majorHAnsi"/>
          <w:b/>
          <w:bCs/>
          <w:noProof/>
        </w:rPr>
        <mc:AlternateContent>
          <mc:Choice Requires="wps">
            <w:drawing>
              <wp:anchor distT="0" distB="0" distL="114300" distR="114300" simplePos="0" relativeHeight="251747328" behindDoc="0" locked="0" layoutInCell="1" allowOverlap="1" wp14:anchorId="38EB1057" wp14:editId="3D90E6C5">
                <wp:simplePos x="0" y="0"/>
                <wp:positionH relativeFrom="column">
                  <wp:posOffset>25400</wp:posOffset>
                </wp:positionH>
                <wp:positionV relativeFrom="paragraph">
                  <wp:posOffset>21060</wp:posOffset>
                </wp:positionV>
                <wp:extent cx="1405890" cy="312949"/>
                <wp:effectExtent l="0" t="0" r="22860" b="11430"/>
                <wp:wrapNone/>
                <wp:docPr id="1588131519" name="Rectangle 28"/>
                <wp:cNvGraphicFramePr/>
                <a:graphic xmlns:a="http://schemas.openxmlformats.org/drawingml/2006/main">
                  <a:graphicData uri="http://schemas.microsoft.com/office/word/2010/wordprocessingShape">
                    <wps:wsp>
                      <wps:cNvSpPr/>
                      <wps:spPr>
                        <a:xfrm>
                          <a:off x="0" y="0"/>
                          <a:ext cx="1405890" cy="31294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5243C8" id="Rectangle 28" o:spid="_x0000_s1026" style="position:absolute;margin-left:2pt;margin-top:1.65pt;width:110.7pt;height:24.6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" fillcolor="white [3212]" strokecolor="white [3212]" strokeweight="2pt"/>
            </w:pict>
          </mc:Fallback>
        </mc:AlternateContent>
      </w:r>
    </w:p>
    <w:tbl>
      <w:tblPr>
        <w:tblStyle w:val="PlainTable4"/>
        <w:tblW w:w="9361" w:type="dxa"/>
        <w:tblLayout w:type="fixed"/>
        <w:tblLook w:val="06A0" w:firstRow="1" w:lastRow="0" w:firstColumn="1" w:lastColumn="0" w:noHBand="1" w:noVBand="1"/>
      </w:tblPr>
      <w:tblGrid>
        <w:gridCol w:w="2153"/>
        <w:gridCol w:w="1404"/>
        <w:gridCol w:w="2897"/>
        <w:gridCol w:w="1966"/>
        <w:gridCol w:w="941"/>
      </w:tblGrid>
      <w:tr w:rsidR="009C7D45" w:rsidRPr="00202271" w14:paraId="312063DC" w14:textId="77777777" w:rsidTr="00A16CD3">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9361" w:type="dxa"/>
            <w:gridSpan w:val="5"/>
            <w:tcBorders>
              <w:bottom w:val="single" w:sz="4" w:space="0" w:color="auto"/>
            </w:tcBorders>
            <w:noWrap/>
            <w:vAlign w:val="bottom"/>
          </w:tcPr>
          <w:p w14:paraId="3263938D" w14:textId="77C60322" w:rsidR="009C7D45" w:rsidRPr="00202271" w:rsidRDefault="009C7D45" w:rsidP="002E3F44">
            <w:pPr>
              <w:spacing w:line="240" w:lineRule="auto"/>
              <w:ind w:firstLine="0"/>
              <w:jc w:val="left"/>
            </w:pPr>
            <w:r w:rsidRPr="00202271">
              <w:rPr>
                <w:sz w:val="24"/>
                <w:szCs w:val="24"/>
              </w:rPr>
              <w:t>Table 6.</w:t>
            </w:r>
            <w:r w:rsidR="00A37246">
              <w:rPr>
                <w:sz w:val="24"/>
                <w:szCs w:val="24"/>
              </w:rPr>
              <w:t>8</w:t>
            </w:r>
            <w:r w:rsidRPr="00202271">
              <w:rPr>
                <w:sz w:val="24"/>
                <w:szCs w:val="24"/>
              </w:rPr>
              <w:t xml:space="preserve"> </w:t>
            </w:r>
            <w:r>
              <w:rPr>
                <w:sz w:val="24"/>
                <w:szCs w:val="24"/>
              </w:rPr>
              <w:t>(</w:t>
            </w:r>
            <w:r w:rsidRPr="00202271">
              <w:rPr>
                <w:sz w:val="24"/>
                <w:szCs w:val="24"/>
              </w:rPr>
              <w:t>continued)</w:t>
            </w:r>
          </w:p>
        </w:tc>
      </w:tr>
      <w:tr w:rsidR="009C7D45" w:rsidRPr="00202271" w14:paraId="03EE7F64" w14:textId="77777777" w:rsidTr="00A16CD3">
        <w:trPr>
          <w:cnfStyle w:val="100000000000" w:firstRow="1" w:lastRow="0" w:firstColumn="0" w:lastColumn="0" w:oddVBand="0" w:evenVBand="0" w:oddHBand="0" w:evenHBand="0" w:firstRowFirstColumn="0" w:firstRowLastColumn="0" w:lastRowFirstColumn="0" w:lastRowLastColumn="0"/>
          <w:trHeight w:val="290"/>
          <w:tblHeader/>
        </w:trPr>
        <w:tc>
          <w:tcPr>
            <w:cnfStyle w:val="001000000000" w:firstRow="0" w:lastRow="0" w:firstColumn="1" w:lastColumn="0" w:oddVBand="0" w:evenVBand="0" w:oddHBand="0" w:evenHBand="0" w:firstRowFirstColumn="0" w:firstRowLastColumn="0" w:lastRowFirstColumn="0" w:lastRowLastColumn="0"/>
            <w:tcW w:w="2153" w:type="dxa"/>
            <w:tcBorders>
              <w:top w:val="single" w:sz="4" w:space="0" w:color="auto"/>
              <w:bottom w:val="single" w:sz="4" w:space="0" w:color="auto"/>
            </w:tcBorders>
            <w:noWrap/>
            <w:hideMark/>
          </w:tcPr>
          <w:p w14:paraId="42A3CE61" w14:textId="45282E17" w:rsidR="009C7D45" w:rsidRPr="00202271" w:rsidRDefault="009C7D45" w:rsidP="002E3F44">
            <w:pPr>
              <w:spacing w:line="240" w:lineRule="auto"/>
              <w:ind w:firstLine="0"/>
              <w:jc w:val="center"/>
              <w:rPr>
                <w:sz w:val="24"/>
                <w:szCs w:val="24"/>
              </w:rPr>
            </w:pPr>
            <w:r w:rsidRPr="00202271">
              <w:rPr>
                <w:sz w:val="24"/>
                <w:szCs w:val="24"/>
              </w:rPr>
              <w:t>Pathway</w:t>
            </w:r>
          </w:p>
        </w:tc>
        <w:tc>
          <w:tcPr>
            <w:tcW w:w="1404" w:type="dxa"/>
            <w:tcBorders>
              <w:top w:val="single" w:sz="4" w:space="0" w:color="auto"/>
              <w:bottom w:val="single" w:sz="4" w:space="0" w:color="auto"/>
            </w:tcBorders>
            <w:noWrap/>
            <w:hideMark/>
          </w:tcPr>
          <w:p w14:paraId="213148D0" w14:textId="0B41080E" w:rsidR="009C7D45" w:rsidRPr="00202271" w:rsidRDefault="009C7D45" w:rsidP="002E3F44">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202271">
              <w:rPr>
                <w:sz w:val="24"/>
                <w:szCs w:val="24"/>
              </w:rPr>
              <w:t>Gene Name</w:t>
            </w:r>
          </w:p>
        </w:tc>
        <w:tc>
          <w:tcPr>
            <w:tcW w:w="2897" w:type="dxa"/>
            <w:tcBorders>
              <w:top w:val="single" w:sz="4" w:space="0" w:color="auto"/>
              <w:bottom w:val="single" w:sz="4" w:space="0" w:color="auto"/>
            </w:tcBorders>
            <w:noWrap/>
            <w:hideMark/>
          </w:tcPr>
          <w:p w14:paraId="7AC32AC7" w14:textId="77777777" w:rsidR="009C7D45" w:rsidRPr="00202271" w:rsidRDefault="009C7D45" w:rsidP="002E3F44">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202271">
              <w:rPr>
                <w:sz w:val="24"/>
                <w:szCs w:val="24"/>
              </w:rPr>
              <w:t>Gene ID</w:t>
            </w:r>
          </w:p>
        </w:tc>
        <w:tc>
          <w:tcPr>
            <w:tcW w:w="1966" w:type="dxa"/>
            <w:tcBorders>
              <w:top w:val="single" w:sz="4" w:space="0" w:color="auto"/>
              <w:bottom w:val="single" w:sz="4" w:space="0" w:color="auto"/>
            </w:tcBorders>
            <w:noWrap/>
            <w:hideMark/>
          </w:tcPr>
          <w:p w14:paraId="2C4CFE9E" w14:textId="77777777" w:rsidR="009C7D45" w:rsidRPr="00202271" w:rsidRDefault="009C7D45" w:rsidP="002E3F44">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202271">
              <w:rPr>
                <w:sz w:val="24"/>
                <w:szCs w:val="24"/>
              </w:rPr>
              <w:t>log2</w:t>
            </w:r>
            <w:r w:rsidRPr="00202271">
              <w:rPr>
                <w:b w:val="0"/>
                <w:bCs w:val="0"/>
                <w:sz w:val="24"/>
                <w:szCs w:val="24"/>
              </w:rPr>
              <w:t xml:space="preserve"> </w:t>
            </w:r>
            <w:r w:rsidRPr="00202271">
              <w:rPr>
                <w:sz w:val="24"/>
                <w:szCs w:val="24"/>
              </w:rPr>
              <w:t>Fold</w:t>
            </w:r>
            <w:r w:rsidRPr="00202271">
              <w:rPr>
                <w:b w:val="0"/>
                <w:bCs w:val="0"/>
                <w:sz w:val="24"/>
                <w:szCs w:val="24"/>
              </w:rPr>
              <w:t xml:space="preserve"> </w:t>
            </w:r>
            <w:r w:rsidRPr="00202271">
              <w:rPr>
                <w:sz w:val="24"/>
                <w:szCs w:val="24"/>
              </w:rPr>
              <w:t>Change</w:t>
            </w:r>
          </w:p>
        </w:tc>
        <w:tc>
          <w:tcPr>
            <w:tcW w:w="941" w:type="dxa"/>
            <w:tcBorders>
              <w:top w:val="single" w:sz="4" w:space="0" w:color="auto"/>
              <w:bottom w:val="single" w:sz="4" w:space="0" w:color="auto"/>
            </w:tcBorders>
            <w:noWrap/>
            <w:hideMark/>
          </w:tcPr>
          <w:p w14:paraId="20D0C3A6" w14:textId="77777777" w:rsidR="009C7D45" w:rsidRPr="00202271" w:rsidRDefault="009C7D45" w:rsidP="002E3F44">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sz w:val="24"/>
                <w:szCs w:val="24"/>
              </w:rPr>
            </w:pPr>
            <w:r w:rsidRPr="00202271">
              <w:rPr>
                <w:sz w:val="24"/>
                <w:szCs w:val="24"/>
              </w:rPr>
              <w:t>p</w:t>
            </w:r>
            <w:r w:rsidRPr="00202271">
              <w:rPr>
                <w:sz w:val="24"/>
                <w:szCs w:val="24"/>
                <w:vertAlign w:val="subscript"/>
              </w:rPr>
              <w:t>adj</w:t>
            </w:r>
          </w:p>
        </w:tc>
      </w:tr>
      <w:tr w:rsidR="009C7D45" w:rsidRPr="00202271" w14:paraId="4456CA25"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val="restart"/>
            <w:tcBorders>
              <w:top w:val="single" w:sz="4" w:space="0" w:color="auto"/>
            </w:tcBorders>
            <w:noWrap/>
            <w:hideMark/>
          </w:tcPr>
          <w:p w14:paraId="6F99C8C3" w14:textId="7CE8226D" w:rsidR="009C7D45" w:rsidRPr="00202271" w:rsidRDefault="009C7D45" w:rsidP="002E3F44">
            <w:pPr>
              <w:spacing w:line="240" w:lineRule="auto"/>
              <w:ind w:firstLine="0"/>
              <w:jc w:val="center"/>
              <w:rPr>
                <w:sz w:val="24"/>
                <w:szCs w:val="24"/>
              </w:rPr>
            </w:pPr>
            <w:r w:rsidRPr="00202271">
              <w:rPr>
                <w:sz w:val="24"/>
                <w:szCs w:val="24"/>
              </w:rPr>
              <w:t>Iron reduction</w:t>
            </w:r>
          </w:p>
        </w:tc>
        <w:tc>
          <w:tcPr>
            <w:tcW w:w="1404" w:type="dxa"/>
            <w:tcBorders>
              <w:top w:val="single" w:sz="4" w:space="0" w:color="auto"/>
            </w:tcBorders>
            <w:noWrap/>
            <w:hideMark/>
          </w:tcPr>
          <w:p w14:paraId="79B7CBD6"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omcA</w:t>
            </w:r>
          </w:p>
        </w:tc>
        <w:tc>
          <w:tcPr>
            <w:tcW w:w="2897" w:type="dxa"/>
            <w:tcBorders>
              <w:top w:val="single" w:sz="4" w:space="0" w:color="auto"/>
            </w:tcBorders>
            <w:noWrap/>
            <w:hideMark/>
          </w:tcPr>
          <w:p w14:paraId="1B13B94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KIMDJLCH_03019</w:t>
            </w:r>
          </w:p>
        </w:tc>
        <w:tc>
          <w:tcPr>
            <w:tcW w:w="1966" w:type="dxa"/>
            <w:tcBorders>
              <w:top w:val="single" w:sz="4" w:space="0" w:color="auto"/>
            </w:tcBorders>
            <w:noWrap/>
            <w:hideMark/>
          </w:tcPr>
          <w:p w14:paraId="5EB74E87"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4.79</w:t>
            </w:r>
          </w:p>
        </w:tc>
        <w:tc>
          <w:tcPr>
            <w:tcW w:w="941" w:type="dxa"/>
            <w:tcBorders>
              <w:top w:val="single" w:sz="4" w:space="0" w:color="auto"/>
            </w:tcBorders>
            <w:noWrap/>
            <w:hideMark/>
          </w:tcPr>
          <w:p w14:paraId="394C6F4E"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11CD8A69"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5095B9DE" w14:textId="77777777" w:rsidR="009C7D45" w:rsidRPr="00202271" w:rsidRDefault="009C7D45" w:rsidP="002E3F44">
            <w:pPr>
              <w:spacing w:line="240" w:lineRule="auto"/>
              <w:ind w:firstLine="0"/>
              <w:jc w:val="center"/>
              <w:rPr>
                <w:sz w:val="24"/>
                <w:szCs w:val="24"/>
              </w:rPr>
            </w:pPr>
          </w:p>
        </w:tc>
        <w:tc>
          <w:tcPr>
            <w:tcW w:w="1404" w:type="dxa"/>
            <w:noWrap/>
            <w:hideMark/>
          </w:tcPr>
          <w:p w14:paraId="1B085DFB"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mtrC</w:t>
            </w:r>
          </w:p>
        </w:tc>
        <w:tc>
          <w:tcPr>
            <w:tcW w:w="2897" w:type="dxa"/>
            <w:noWrap/>
            <w:hideMark/>
          </w:tcPr>
          <w:p w14:paraId="2B0A21FA"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KIMDJLCH_03020</w:t>
            </w:r>
          </w:p>
        </w:tc>
        <w:tc>
          <w:tcPr>
            <w:tcW w:w="1966" w:type="dxa"/>
            <w:noWrap/>
            <w:hideMark/>
          </w:tcPr>
          <w:p w14:paraId="3EC64BB6"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4.87</w:t>
            </w:r>
          </w:p>
        </w:tc>
        <w:tc>
          <w:tcPr>
            <w:tcW w:w="941" w:type="dxa"/>
            <w:noWrap/>
            <w:hideMark/>
          </w:tcPr>
          <w:p w14:paraId="5853616D"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379CBCEA"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1543A2A2" w14:textId="77777777" w:rsidR="009C7D45" w:rsidRPr="00202271" w:rsidRDefault="009C7D45" w:rsidP="002E3F44">
            <w:pPr>
              <w:spacing w:line="240" w:lineRule="auto"/>
              <w:ind w:firstLine="0"/>
              <w:jc w:val="center"/>
              <w:rPr>
                <w:sz w:val="24"/>
                <w:szCs w:val="24"/>
              </w:rPr>
            </w:pPr>
          </w:p>
        </w:tc>
        <w:tc>
          <w:tcPr>
            <w:tcW w:w="1404" w:type="dxa"/>
            <w:noWrap/>
            <w:hideMark/>
          </w:tcPr>
          <w:p w14:paraId="5EC2D513"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mtrA</w:t>
            </w:r>
          </w:p>
        </w:tc>
        <w:tc>
          <w:tcPr>
            <w:tcW w:w="2897" w:type="dxa"/>
            <w:noWrap/>
            <w:hideMark/>
          </w:tcPr>
          <w:p w14:paraId="73752AE4"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KIMDJLCH_03021</w:t>
            </w:r>
          </w:p>
        </w:tc>
        <w:tc>
          <w:tcPr>
            <w:tcW w:w="1966" w:type="dxa"/>
            <w:noWrap/>
            <w:hideMark/>
          </w:tcPr>
          <w:p w14:paraId="70FB69BB"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5.79</w:t>
            </w:r>
          </w:p>
        </w:tc>
        <w:tc>
          <w:tcPr>
            <w:tcW w:w="941" w:type="dxa"/>
            <w:noWrap/>
            <w:hideMark/>
          </w:tcPr>
          <w:p w14:paraId="78142357"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5E844755"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13081DAD" w14:textId="77777777" w:rsidR="009C7D45" w:rsidRPr="00202271" w:rsidRDefault="009C7D45" w:rsidP="002E3F44">
            <w:pPr>
              <w:spacing w:line="240" w:lineRule="auto"/>
              <w:ind w:firstLine="0"/>
              <w:jc w:val="center"/>
              <w:rPr>
                <w:sz w:val="24"/>
                <w:szCs w:val="24"/>
              </w:rPr>
            </w:pPr>
          </w:p>
        </w:tc>
        <w:tc>
          <w:tcPr>
            <w:tcW w:w="1404" w:type="dxa"/>
            <w:noWrap/>
            <w:hideMark/>
          </w:tcPr>
          <w:p w14:paraId="39671FF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mtrB</w:t>
            </w:r>
          </w:p>
        </w:tc>
        <w:tc>
          <w:tcPr>
            <w:tcW w:w="2897" w:type="dxa"/>
            <w:noWrap/>
            <w:hideMark/>
          </w:tcPr>
          <w:p w14:paraId="4441D6FD"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KIMDJLCH_03022</w:t>
            </w:r>
          </w:p>
        </w:tc>
        <w:tc>
          <w:tcPr>
            <w:tcW w:w="1966" w:type="dxa"/>
            <w:noWrap/>
            <w:hideMark/>
          </w:tcPr>
          <w:p w14:paraId="2CE191B6"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5.02</w:t>
            </w:r>
          </w:p>
        </w:tc>
        <w:tc>
          <w:tcPr>
            <w:tcW w:w="941" w:type="dxa"/>
            <w:noWrap/>
            <w:hideMark/>
          </w:tcPr>
          <w:p w14:paraId="649FB8E0"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0E62911D"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tcBorders>
              <w:bottom w:val="single" w:sz="4" w:space="0" w:color="auto"/>
            </w:tcBorders>
            <w:noWrap/>
            <w:hideMark/>
          </w:tcPr>
          <w:p w14:paraId="13B17F8B" w14:textId="77777777" w:rsidR="009C7D45" w:rsidRPr="00202271" w:rsidRDefault="009C7D45" w:rsidP="002E3F44">
            <w:pPr>
              <w:spacing w:line="240" w:lineRule="auto"/>
              <w:ind w:firstLine="0"/>
              <w:jc w:val="center"/>
              <w:rPr>
                <w:sz w:val="24"/>
                <w:szCs w:val="24"/>
              </w:rPr>
            </w:pPr>
          </w:p>
        </w:tc>
        <w:tc>
          <w:tcPr>
            <w:tcW w:w="1404" w:type="dxa"/>
            <w:tcBorders>
              <w:bottom w:val="single" w:sz="4" w:space="0" w:color="auto"/>
            </w:tcBorders>
            <w:noWrap/>
            <w:hideMark/>
          </w:tcPr>
          <w:p w14:paraId="1B76AE0C"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cymA</w:t>
            </w:r>
          </w:p>
        </w:tc>
        <w:tc>
          <w:tcPr>
            <w:tcW w:w="2897" w:type="dxa"/>
            <w:tcBorders>
              <w:bottom w:val="single" w:sz="4" w:space="0" w:color="auto"/>
            </w:tcBorders>
            <w:noWrap/>
            <w:hideMark/>
          </w:tcPr>
          <w:p w14:paraId="32FFBED4"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KIMDJLCH_03378</w:t>
            </w:r>
          </w:p>
        </w:tc>
        <w:tc>
          <w:tcPr>
            <w:tcW w:w="1966" w:type="dxa"/>
            <w:tcBorders>
              <w:bottom w:val="single" w:sz="4" w:space="0" w:color="auto"/>
            </w:tcBorders>
            <w:noWrap/>
            <w:hideMark/>
          </w:tcPr>
          <w:p w14:paraId="184894E6"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2.81</w:t>
            </w:r>
          </w:p>
        </w:tc>
        <w:tc>
          <w:tcPr>
            <w:tcW w:w="941" w:type="dxa"/>
            <w:tcBorders>
              <w:bottom w:val="single" w:sz="4" w:space="0" w:color="auto"/>
            </w:tcBorders>
            <w:noWrap/>
            <w:hideMark/>
          </w:tcPr>
          <w:p w14:paraId="3384F2C7"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0.005</w:t>
            </w:r>
          </w:p>
        </w:tc>
      </w:tr>
      <w:tr w:rsidR="009C7D45" w:rsidRPr="00202271" w14:paraId="1543A7A0"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val="restart"/>
            <w:tcBorders>
              <w:top w:val="single" w:sz="4" w:space="0" w:color="auto"/>
            </w:tcBorders>
            <w:noWrap/>
            <w:hideMark/>
          </w:tcPr>
          <w:p w14:paraId="7665D0AF" w14:textId="40BB1203" w:rsidR="009C7D45" w:rsidRPr="00202271" w:rsidRDefault="009C7D45" w:rsidP="002E3F44">
            <w:pPr>
              <w:spacing w:line="240" w:lineRule="auto"/>
              <w:ind w:firstLine="0"/>
              <w:jc w:val="center"/>
              <w:rPr>
                <w:sz w:val="24"/>
                <w:szCs w:val="24"/>
              </w:rPr>
            </w:pPr>
            <w:r w:rsidRPr="00202271">
              <w:rPr>
                <w:sz w:val="24"/>
                <w:szCs w:val="24"/>
              </w:rPr>
              <w:t>Heme biosynthesis</w:t>
            </w:r>
          </w:p>
        </w:tc>
        <w:tc>
          <w:tcPr>
            <w:tcW w:w="1404" w:type="dxa"/>
            <w:tcBorders>
              <w:top w:val="single" w:sz="4" w:space="0" w:color="auto"/>
            </w:tcBorders>
            <w:noWrap/>
            <w:hideMark/>
          </w:tcPr>
          <w:p w14:paraId="3B03D0E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gltX</w:t>
            </w:r>
          </w:p>
        </w:tc>
        <w:tc>
          <w:tcPr>
            <w:tcW w:w="2897" w:type="dxa"/>
            <w:tcBorders>
              <w:top w:val="single" w:sz="4" w:space="0" w:color="auto"/>
            </w:tcBorders>
            <w:noWrap/>
            <w:hideMark/>
          </w:tcPr>
          <w:p w14:paraId="1C71BCD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KIMDJLCH_03156</w:t>
            </w:r>
          </w:p>
        </w:tc>
        <w:tc>
          <w:tcPr>
            <w:tcW w:w="1966" w:type="dxa"/>
            <w:tcBorders>
              <w:top w:val="single" w:sz="4" w:space="0" w:color="auto"/>
            </w:tcBorders>
            <w:noWrap/>
            <w:hideMark/>
          </w:tcPr>
          <w:p w14:paraId="5265F079"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-0.19</w:t>
            </w:r>
          </w:p>
        </w:tc>
        <w:tc>
          <w:tcPr>
            <w:tcW w:w="941" w:type="dxa"/>
            <w:tcBorders>
              <w:top w:val="single" w:sz="4" w:space="0" w:color="auto"/>
            </w:tcBorders>
            <w:noWrap/>
            <w:hideMark/>
          </w:tcPr>
          <w:p w14:paraId="2BC73B8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0CA692FF"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5F826915" w14:textId="77777777" w:rsidR="009C7D45" w:rsidRPr="00202271" w:rsidRDefault="009C7D45" w:rsidP="002E3F44">
            <w:pPr>
              <w:spacing w:line="240" w:lineRule="auto"/>
              <w:ind w:firstLine="0"/>
              <w:jc w:val="center"/>
              <w:rPr>
                <w:sz w:val="24"/>
                <w:szCs w:val="24"/>
              </w:rPr>
            </w:pPr>
          </w:p>
        </w:tc>
        <w:tc>
          <w:tcPr>
            <w:tcW w:w="1404" w:type="dxa"/>
            <w:noWrap/>
            <w:hideMark/>
          </w:tcPr>
          <w:p w14:paraId="2906412B"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hemA</w:t>
            </w:r>
          </w:p>
        </w:tc>
        <w:tc>
          <w:tcPr>
            <w:tcW w:w="2897" w:type="dxa"/>
            <w:noWrap/>
            <w:hideMark/>
          </w:tcPr>
          <w:p w14:paraId="6FFECFBB"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KIMDJLCH_00135</w:t>
            </w:r>
          </w:p>
        </w:tc>
        <w:tc>
          <w:tcPr>
            <w:tcW w:w="1966" w:type="dxa"/>
            <w:noWrap/>
            <w:hideMark/>
          </w:tcPr>
          <w:p w14:paraId="1D74333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0.31</w:t>
            </w:r>
          </w:p>
        </w:tc>
        <w:tc>
          <w:tcPr>
            <w:tcW w:w="941" w:type="dxa"/>
            <w:noWrap/>
            <w:hideMark/>
          </w:tcPr>
          <w:p w14:paraId="0DDDAF9B"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19D85169"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6D61F143" w14:textId="77777777" w:rsidR="009C7D45" w:rsidRPr="00202271" w:rsidRDefault="009C7D45" w:rsidP="002E3F44">
            <w:pPr>
              <w:spacing w:line="240" w:lineRule="auto"/>
              <w:ind w:firstLine="0"/>
              <w:jc w:val="center"/>
              <w:rPr>
                <w:sz w:val="24"/>
                <w:szCs w:val="24"/>
              </w:rPr>
            </w:pPr>
          </w:p>
        </w:tc>
        <w:tc>
          <w:tcPr>
            <w:tcW w:w="1404" w:type="dxa"/>
            <w:noWrap/>
            <w:hideMark/>
          </w:tcPr>
          <w:p w14:paraId="6171931F"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hemL</w:t>
            </w:r>
          </w:p>
        </w:tc>
        <w:tc>
          <w:tcPr>
            <w:tcW w:w="2897" w:type="dxa"/>
            <w:noWrap/>
            <w:hideMark/>
          </w:tcPr>
          <w:p w14:paraId="5D25E8CC"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KIMDJLCH_00267</w:t>
            </w:r>
          </w:p>
        </w:tc>
        <w:tc>
          <w:tcPr>
            <w:tcW w:w="1966" w:type="dxa"/>
            <w:noWrap/>
            <w:hideMark/>
          </w:tcPr>
          <w:p w14:paraId="1260C077"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0.83</w:t>
            </w:r>
          </w:p>
        </w:tc>
        <w:tc>
          <w:tcPr>
            <w:tcW w:w="941" w:type="dxa"/>
            <w:noWrap/>
            <w:hideMark/>
          </w:tcPr>
          <w:p w14:paraId="24C44D5B"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75C5E08F"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1AB7E936" w14:textId="77777777" w:rsidR="009C7D45" w:rsidRPr="00202271" w:rsidRDefault="009C7D45" w:rsidP="002E3F44">
            <w:pPr>
              <w:spacing w:line="240" w:lineRule="auto"/>
              <w:ind w:firstLine="0"/>
              <w:jc w:val="center"/>
              <w:rPr>
                <w:sz w:val="24"/>
                <w:szCs w:val="24"/>
              </w:rPr>
            </w:pPr>
          </w:p>
        </w:tc>
        <w:tc>
          <w:tcPr>
            <w:tcW w:w="1404" w:type="dxa"/>
            <w:noWrap/>
            <w:hideMark/>
          </w:tcPr>
          <w:p w14:paraId="1C7A7BB6" w14:textId="627EDCDC"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hemB</w:t>
            </w:r>
          </w:p>
        </w:tc>
        <w:tc>
          <w:tcPr>
            <w:tcW w:w="2897" w:type="dxa"/>
            <w:noWrap/>
            <w:hideMark/>
          </w:tcPr>
          <w:p w14:paraId="21E8A659"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KIMDJLCH_02573</w:t>
            </w:r>
          </w:p>
        </w:tc>
        <w:tc>
          <w:tcPr>
            <w:tcW w:w="1966" w:type="dxa"/>
            <w:noWrap/>
            <w:hideMark/>
          </w:tcPr>
          <w:p w14:paraId="754264C4"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1.25</w:t>
            </w:r>
          </w:p>
        </w:tc>
        <w:tc>
          <w:tcPr>
            <w:tcW w:w="941" w:type="dxa"/>
            <w:noWrap/>
            <w:hideMark/>
          </w:tcPr>
          <w:p w14:paraId="0F20BB80"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3DEF5F86"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4344BD98" w14:textId="77777777" w:rsidR="009C7D45" w:rsidRPr="00202271" w:rsidRDefault="009C7D45" w:rsidP="002E3F44">
            <w:pPr>
              <w:spacing w:line="240" w:lineRule="auto"/>
              <w:ind w:firstLine="0"/>
              <w:jc w:val="center"/>
              <w:rPr>
                <w:sz w:val="24"/>
                <w:szCs w:val="24"/>
              </w:rPr>
            </w:pPr>
          </w:p>
        </w:tc>
        <w:tc>
          <w:tcPr>
            <w:tcW w:w="1404" w:type="dxa"/>
            <w:noWrap/>
            <w:hideMark/>
          </w:tcPr>
          <w:p w14:paraId="3F2A3C92" w14:textId="79B5D126"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hemC</w:t>
            </w:r>
          </w:p>
        </w:tc>
        <w:tc>
          <w:tcPr>
            <w:tcW w:w="2897" w:type="dxa"/>
            <w:noWrap/>
            <w:hideMark/>
          </w:tcPr>
          <w:p w14:paraId="52628A66"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KIMDJLCH_02603</w:t>
            </w:r>
          </w:p>
        </w:tc>
        <w:tc>
          <w:tcPr>
            <w:tcW w:w="1966" w:type="dxa"/>
            <w:noWrap/>
            <w:hideMark/>
          </w:tcPr>
          <w:p w14:paraId="2964515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2.40</w:t>
            </w:r>
          </w:p>
        </w:tc>
        <w:tc>
          <w:tcPr>
            <w:tcW w:w="941" w:type="dxa"/>
            <w:noWrap/>
            <w:hideMark/>
          </w:tcPr>
          <w:p w14:paraId="08910166"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0.003</w:t>
            </w:r>
          </w:p>
        </w:tc>
      </w:tr>
      <w:tr w:rsidR="009C7D45" w:rsidRPr="00202271" w14:paraId="0B1552E3"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23307DBC" w14:textId="77777777" w:rsidR="009C7D45" w:rsidRPr="00202271" w:rsidRDefault="009C7D45" w:rsidP="002E3F44">
            <w:pPr>
              <w:spacing w:line="240" w:lineRule="auto"/>
              <w:ind w:firstLine="0"/>
              <w:jc w:val="center"/>
              <w:rPr>
                <w:sz w:val="24"/>
                <w:szCs w:val="24"/>
              </w:rPr>
            </w:pPr>
          </w:p>
        </w:tc>
        <w:tc>
          <w:tcPr>
            <w:tcW w:w="1404" w:type="dxa"/>
            <w:noWrap/>
            <w:hideMark/>
          </w:tcPr>
          <w:p w14:paraId="165457E9"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hemD</w:t>
            </w:r>
          </w:p>
        </w:tc>
        <w:tc>
          <w:tcPr>
            <w:tcW w:w="2897" w:type="dxa"/>
            <w:noWrap/>
            <w:hideMark/>
          </w:tcPr>
          <w:p w14:paraId="3CBD4B7A"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KIMDJLCH_02604</w:t>
            </w:r>
          </w:p>
        </w:tc>
        <w:tc>
          <w:tcPr>
            <w:tcW w:w="1966" w:type="dxa"/>
            <w:noWrap/>
            <w:hideMark/>
          </w:tcPr>
          <w:p w14:paraId="45056C40"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2.29</w:t>
            </w:r>
          </w:p>
        </w:tc>
        <w:tc>
          <w:tcPr>
            <w:tcW w:w="941" w:type="dxa"/>
            <w:noWrap/>
            <w:hideMark/>
          </w:tcPr>
          <w:p w14:paraId="7C16A06C"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0.109</w:t>
            </w:r>
          </w:p>
        </w:tc>
      </w:tr>
      <w:tr w:rsidR="009C7D45" w:rsidRPr="00202271" w14:paraId="7CC953EF"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4C19877C" w14:textId="77777777" w:rsidR="009C7D45" w:rsidRPr="00202271" w:rsidRDefault="009C7D45" w:rsidP="002E3F44">
            <w:pPr>
              <w:spacing w:line="240" w:lineRule="auto"/>
              <w:ind w:firstLine="0"/>
              <w:jc w:val="center"/>
              <w:rPr>
                <w:sz w:val="24"/>
                <w:szCs w:val="24"/>
              </w:rPr>
            </w:pPr>
          </w:p>
        </w:tc>
        <w:tc>
          <w:tcPr>
            <w:tcW w:w="1404" w:type="dxa"/>
            <w:noWrap/>
            <w:hideMark/>
          </w:tcPr>
          <w:p w14:paraId="0A6F82A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hemE</w:t>
            </w:r>
          </w:p>
        </w:tc>
        <w:tc>
          <w:tcPr>
            <w:tcW w:w="2897" w:type="dxa"/>
            <w:noWrap/>
            <w:hideMark/>
          </w:tcPr>
          <w:p w14:paraId="72F41C01"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KIMDJLCH_02557</w:t>
            </w:r>
          </w:p>
        </w:tc>
        <w:tc>
          <w:tcPr>
            <w:tcW w:w="1966" w:type="dxa"/>
            <w:noWrap/>
            <w:hideMark/>
          </w:tcPr>
          <w:p w14:paraId="19E33C51"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2.77</w:t>
            </w:r>
          </w:p>
        </w:tc>
        <w:tc>
          <w:tcPr>
            <w:tcW w:w="941" w:type="dxa"/>
            <w:noWrap/>
            <w:hideMark/>
          </w:tcPr>
          <w:p w14:paraId="3D8D9CE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0.001</w:t>
            </w:r>
          </w:p>
        </w:tc>
      </w:tr>
      <w:tr w:rsidR="009C7D45" w:rsidRPr="00202271" w14:paraId="200EA0E1"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52A5E7FE" w14:textId="77777777" w:rsidR="009C7D45" w:rsidRPr="00202271" w:rsidRDefault="009C7D45" w:rsidP="002E3F44">
            <w:pPr>
              <w:spacing w:line="240" w:lineRule="auto"/>
              <w:ind w:firstLine="0"/>
              <w:jc w:val="center"/>
              <w:rPr>
                <w:sz w:val="24"/>
                <w:szCs w:val="24"/>
              </w:rPr>
            </w:pPr>
          </w:p>
        </w:tc>
        <w:tc>
          <w:tcPr>
            <w:tcW w:w="1404" w:type="dxa"/>
            <w:noWrap/>
            <w:hideMark/>
          </w:tcPr>
          <w:p w14:paraId="41C1D1F7"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hemN</w:t>
            </w:r>
          </w:p>
        </w:tc>
        <w:tc>
          <w:tcPr>
            <w:tcW w:w="2897" w:type="dxa"/>
            <w:noWrap/>
            <w:hideMark/>
          </w:tcPr>
          <w:p w14:paraId="43A0D0A4"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KIMDJLCH_01698</w:t>
            </w:r>
          </w:p>
        </w:tc>
        <w:tc>
          <w:tcPr>
            <w:tcW w:w="1966" w:type="dxa"/>
            <w:noWrap/>
            <w:hideMark/>
          </w:tcPr>
          <w:p w14:paraId="0B70EA3D"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3.53</w:t>
            </w:r>
          </w:p>
        </w:tc>
        <w:tc>
          <w:tcPr>
            <w:tcW w:w="941" w:type="dxa"/>
            <w:noWrap/>
            <w:hideMark/>
          </w:tcPr>
          <w:p w14:paraId="05D6E4A7"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2B8BB07E"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6C3E92C8" w14:textId="77777777" w:rsidR="009C7D45" w:rsidRPr="00202271" w:rsidRDefault="009C7D45" w:rsidP="002E3F44">
            <w:pPr>
              <w:spacing w:line="240" w:lineRule="auto"/>
              <w:ind w:firstLine="0"/>
              <w:jc w:val="center"/>
              <w:rPr>
                <w:sz w:val="24"/>
                <w:szCs w:val="24"/>
              </w:rPr>
            </w:pPr>
          </w:p>
        </w:tc>
        <w:tc>
          <w:tcPr>
            <w:tcW w:w="1404" w:type="dxa"/>
            <w:noWrap/>
            <w:hideMark/>
          </w:tcPr>
          <w:p w14:paraId="3791E197"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hemG</w:t>
            </w:r>
            <w:r w:rsidRPr="00202271">
              <w:rPr>
                <w:sz w:val="24"/>
                <w:szCs w:val="24"/>
              </w:rPr>
              <w:t>_1</w:t>
            </w:r>
          </w:p>
        </w:tc>
        <w:tc>
          <w:tcPr>
            <w:tcW w:w="2897" w:type="dxa"/>
            <w:noWrap/>
            <w:hideMark/>
          </w:tcPr>
          <w:p w14:paraId="72883D16"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KIMDJLCH_02180</w:t>
            </w:r>
          </w:p>
        </w:tc>
        <w:tc>
          <w:tcPr>
            <w:tcW w:w="1966" w:type="dxa"/>
            <w:noWrap/>
            <w:hideMark/>
          </w:tcPr>
          <w:p w14:paraId="6F9C7006"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3.04</w:t>
            </w:r>
          </w:p>
        </w:tc>
        <w:tc>
          <w:tcPr>
            <w:tcW w:w="941" w:type="dxa"/>
            <w:noWrap/>
            <w:hideMark/>
          </w:tcPr>
          <w:p w14:paraId="5F8279E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6EE1B2B0"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28FEAB3D" w14:textId="77777777" w:rsidR="009C7D45" w:rsidRPr="00202271" w:rsidRDefault="009C7D45" w:rsidP="002E3F44">
            <w:pPr>
              <w:spacing w:line="240" w:lineRule="auto"/>
              <w:ind w:firstLine="0"/>
              <w:jc w:val="center"/>
              <w:rPr>
                <w:sz w:val="24"/>
                <w:szCs w:val="24"/>
              </w:rPr>
            </w:pPr>
          </w:p>
        </w:tc>
        <w:tc>
          <w:tcPr>
            <w:tcW w:w="1404" w:type="dxa"/>
            <w:noWrap/>
            <w:hideMark/>
          </w:tcPr>
          <w:p w14:paraId="4CFC185A"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hemG</w:t>
            </w:r>
            <w:r w:rsidRPr="00202271">
              <w:rPr>
                <w:sz w:val="24"/>
                <w:szCs w:val="24"/>
              </w:rPr>
              <w:t>_2</w:t>
            </w:r>
          </w:p>
        </w:tc>
        <w:tc>
          <w:tcPr>
            <w:tcW w:w="2897" w:type="dxa"/>
            <w:noWrap/>
            <w:hideMark/>
          </w:tcPr>
          <w:p w14:paraId="7E3F22B0"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KIMDJLCH_04649</w:t>
            </w:r>
          </w:p>
        </w:tc>
        <w:tc>
          <w:tcPr>
            <w:tcW w:w="1966" w:type="dxa"/>
            <w:noWrap/>
            <w:hideMark/>
          </w:tcPr>
          <w:p w14:paraId="5722ACA7"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3.62</w:t>
            </w:r>
          </w:p>
        </w:tc>
        <w:tc>
          <w:tcPr>
            <w:tcW w:w="941" w:type="dxa"/>
            <w:noWrap/>
            <w:hideMark/>
          </w:tcPr>
          <w:p w14:paraId="6846601A"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4AD325E6"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tcBorders>
              <w:bottom w:val="single" w:sz="4" w:space="0" w:color="auto"/>
            </w:tcBorders>
            <w:noWrap/>
            <w:hideMark/>
          </w:tcPr>
          <w:p w14:paraId="639103B2" w14:textId="77777777" w:rsidR="009C7D45" w:rsidRPr="00202271" w:rsidRDefault="009C7D45" w:rsidP="002E3F44">
            <w:pPr>
              <w:spacing w:line="240" w:lineRule="auto"/>
              <w:ind w:firstLine="0"/>
              <w:jc w:val="center"/>
              <w:rPr>
                <w:sz w:val="24"/>
                <w:szCs w:val="24"/>
              </w:rPr>
            </w:pPr>
          </w:p>
        </w:tc>
        <w:tc>
          <w:tcPr>
            <w:tcW w:w="1404" w:type="dxa"/>
            <w:tcBorders>
              <w:bottom w:val="single" w:sz="4" w:space="0" w:color="auto"/>
            </w:tcBorders>
            <w:noWrap/>
            <w:hideMark/>
          </w:tcPr>
          <w:p w14:paraId="4D47A3F2"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hemH</w:t>
            </w:r>
          </w:p>
        </w:tc>
        <w:tc>
          <w:tcPr>
            <w:tcW w:w="2897" w:type="dxa"/>
            <w:tcBorders>
              <w:bottom w:val="single" w:sz="4" w:space="0" w:color="auto"/>
            </w:tcBorders>
            <w:noWrap/>
            <w:hideMark/>
          </w:tcPr>
          <w:p w14:paraId="5069646A"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KIMDJLCH_01944</w:t>
            </w:r>
          </w:p>
        </w:tc>
        <w:tc>
          <w:tcPr>
            <w:tcW w:w="1966" w:type="dxa"/>
            <w:tcBorders>
              <w:bottom w:val="single" w:sz="4" w:space="0" w:color="auto"/>
            </w:tcBorders>
            <w:noWrap/>
            <w:hideMark/>
          </w:tcPr>
          <w:p w14:paraId="763E06C1"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1.09</w:t>
            </w:r>
          </w:p>
        </w:tc>
        <w:tc>
          <w:tcPr>
            <w:tcW w:w="941" w:type="dxa"/>
            <w:tcBorders>
              <w:bottom w:val="single" w:sz="4" w:space="0" w:color="auto"/>
            </w:tcBorders>
            <w:noWrap/>
            <w:hideMark/>
          </w:tcPr>
          <w:p w14:paraId="4496088F"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66889E74"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val="restart"/>
            <w:tcBorders>
              <w:top w:val="single" w:sz="4" w:space="0" w:color="auto"/>
            </w:tcBorders>
            <w:noWrap/>
            <w:hideMark/>
          </w:tcPr>
          <w:p w14:paraId="2161BB21" w14:textId="1B830EBA" w:rsidR="009C7D45" w:rsidRPr="00202271" w:rsidRDefault="009C7D45" w:rsidP="002E3F44">
            <w:pPr>
              <w:spacing w:line="240" w:lineRule="auto"/>
              <w:ind w:firstLine="0"/>
              <w:jc w:val="center"/>
              <w:rPr>
                <w:sz w:val="24"/>
                <w:szCs w:val="24"/>
              </w:rPr>
            </w:pPr>
            <w:r w:rsidRPr="00202271">
              <w:rPr>
                <w:sz w:val="24"/>
                <w:szCs w:val="24"/>
              </w:rPr>
              <w:t>Thiosulfate reduction</w:t>
            </w:r>
          </w:p>
        </w:tc>
        <w:tc>
          <w:tcPr>
            <w:tcW w:w="1404" w:type="dxa"/>
            <w:tcBorders>
              <w:top w:val="single" w:sz="4" w:space="0" w:color="auto"/>
            </w:tcBorders>
            <w:noWrap/>
            <w:hideMark/>
          </w:tcPr>
          <w:p w14:paraId="3D549AE9"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psrB</w:t>
            </w:r>
          </w:p>
        </w:tc>
        <w:tc>
          <w:tcPr>
            <w:tcW w:w="2897" w:type="dxa"/>
            <w:tcBorders>
              <w:top w:val="single" w:sz="4" w:space="0" w:color="auto"/>
            </w:tcBorders>
            <w:noWrap/>
            <w:hideMark/>
          </w:tcPr>
          <w:p w14:paraId="71C79FC7"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KIMDJLCH_01451</w:t>
            </w:r>
          </w:p>
        </w:tc>
        <w:tc>
          <w:tcPr>
            <w:tcW w:w="1966" w:type="dxa"/>
            <w:tcBorders>
              <w:top w:val="single" w:sz="4" w:space="0" w:color="auto"/>
            </w:tcBorders>
            <w:noWrap/>
            <w:hideMark/>
          </w:tcPr>
          <w:p w14:paraId="12498BE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8.29</w:t>
            </w:r>
          </w:p>
        </w:tc>
        <w:tc>
          <w:tcPr>
            <w:tcW w:w="941" w:type="dxa"/>
            <w:tcBorders>
              <w:top w:val="single" w:sz="4" w:space="0" w:color="auto"/>
            </w:tcBorders>
            <w:noWrap/>
            <w:hideMark/>
          </w:tcPr>
          <w:p w14:paraId="2A890B70"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7B38B818"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2233AF05" w14:textId="77777777" w:rsidR="009C7D45" w:rsidRPr="00202271" w:rsidRDefault="009C7D45" w:rsidP="002E3F44">
            <w:pPr>
              <w:spacing w:line="240" w:lineRule="auto"/>
              <w:ind w:firstLine="0"/>
              <w:jc w:val="center"/>
              <w:rPr>
                <w:sz w:val="24"/>
                <w:szCs w:val="24"/>
              </w:rPr>
            </w:pPr>
          </w:p>
        </w:tc>
        <w:tc>
          <w:tcPr>
            <w:tcW w:w="1404" w:type="dxa"/>
            <w:noWrap/>
            <w:hideMark/>
          </w:tcPr>
          <w:p w14:paraId="33CE155B"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psrA</w:t>
            </w:r>
          </w:p>
        </w:tc>
        <w:tc>
          <w:tcPr>
            <w:tcW w:w="2897" w:type="dxa"/>
            <w:noWrap/>
            <w:hideMark/>
          </w:tcPr>
          <w:p w14:paraId="041602ED"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KIMDJLCH_01452</w:t>
            </w:r>
          </w:p>
        </w:tc>
        <w:tc>
          <w:tcPr>
            <w:tcW w:w="1966" w:type="dxa"/>
            <w:noWrap/>
            <w:hideMark/>
          </w:tcPr>
          <w:p w14:paraId="5B7B00C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7.97</w:t>
            </w:r>
          </w:p>
        </w:tc>
        <w:tc>
          <w:tcPr>
            <w:tcW w:w="941" w:type="dxa"/>
            <w:noWrap/>
            <w:hideMark/>
          </w:tcPr>
          <w:p w14:paraId="18D9EBD3"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5396CA33"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tcBorders>
              <w:bottom w:val="single" w:sz="4" w:space="0" w:color="auto"/>
            </w:tcBorders>
            <w:noWrap/>
            <w:hideMark/>
          </w:tcPr>
          <w:p w14:paraId="49FB64A2" w14:textId="77777777" w:rsidR="009C7D45" w:rsidRPr="00202271" w:rsidRDefault="009C7D45" w:rsidP="002E3F44">
            <w:pPr>
              <w:spacing w:line="240" w:lineRule="auto"/>
              <w:ind w:firstLine="0"/>
              <w:jc w:val="center"/>
              <w:rPr>
                <w:sz w:val="24"/>
                <w:szCs w:val="24"/>
              </w:rPr>
            </w:pPr>
          </w:p>
        </w:tc>
        <w:tc>
          <w:tcPr>
            <w:tcW w:w="1404" w:type="dxa"/>
            <w:tcBorders>
              <w:bottom w:val="single" w:sz="4" w:space="0" w:color="auto"/>
            </w:tcBorders>
            <w:noWrap/>
            <w:hideMark/>
          </w:tcPr>
          <w:p w14:paraId="4C5074B1"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psrC</w:t>
            </w:r>
          </w:p>
        </w:tc>
        <w:tc>
          <w:tcPr>
            <w:tcW w:w="2897" w:type="dxa"/>
            <w:tcBorders>
              <w:bottom w:val="single" w:sz="4" w:space="0" w:color="auto"/>
            </w:tcBorders>
            <w:noWrap/>
            <w:hideMark/>
          </w:tcPr>
          <w:p w14:paraId="45997BF9"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KIMDJLCH_01450</w:t>
            </w:r>
          </w:p>
        </w:tc>
        <w:tc>
          <w:tcPr>
            <w:tcW w:w="1966" w:type="dxa"/>
            <w:tcBorders>
              <w:bottom w:val="single" w:sz="4" w:space="0" w:color="auto"/>
            </w:tcBorders>
            <w:noWrap/>
            <w:hideMark/>
          </w:tcPr>
          <w:p w14:paraId="2C35D8D9"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7.08</w:t>
            </w:r>
          </w:p>
        </w:tc>
        <w:tc>
          <w:tcPr>
            <w:tcW w:w="941" w:type="dxa"/>
            <w:tcBorders>
              <w:bottom w:val="single" w:sz="4" w:space="0" w:color="auto"/>
            </w:tcBorders>
            <w:noWrap/>
            <w:hideMark/>
          </w:tcPr>
          <w:p w14:paraId="28CCCB0F"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587F2A6F"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val="restart"/>
            <w:tcBorders>
              <w:top w:val="single" w:sz="4" w:space="0" w:color="auto"/>
            </w:tcBorders>
            <w:noWrap/>
            <w:hideMark/>
          </w:tcPr>
          <w:p w14:paraId="5AD7F8DE" w14:textId="77777777" w:rsidR="009C7D45" w:rsidRPr="00202271" w:rsidRDefault="009C7D45" w:rsidP="002E3F44">
            <w:pPr>
              <w:spacing w:line="240" w:lineRule="auto"/>
              <w:ind w:firstLine="0"/>
              <w:jc w:val="center"/>
              <w:rPr>
                <w:sz w:val="24"/>
                <w:szCs w:val="24"/>
              </w:rPr>
            </w:pPr>
            <w:r w:rsidRPr="00202271">
              <w:rPr>
                <w:sz w:val="24"/>
                <w:szCs w:val="24"/>
              </w:rPr>
              <w:t>DMSO reduction</w:t>
            </w:r>
          </w:p>
        </w:tc>
        <w:tc>
          <w:tcPr>
            <w:tcW w:w="1404" w:type="dxa"/>
            <w:tcBorders>
              <w:top w:val="single" w:sz="4" w:space="0" w:color="auto"/>
            </w:tcBorders>
            <w:noWrap/>
            <w:hideMark/>
          </w:tcPr>
          <w:p w14:paraId="2A733D8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dmsE</w:t>
            </w:r>
          </w:p>
        </w:tc>
        <w:tc>
          <w:tcPr>
            <w:tcW w:w="2897" w:type="dxa"/>
            <w:tcBorders>
              <w:top w:val="single" w:sz="4" w:space="0" w:color="auto"/>
            </w:tcBorders>
            <w:noWrap/>
            <w:hideMark/>
          </w:tcPr>
          <w:p w14:paraId="220C5EED"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KIMDJLCH_03495</w:t>
            </w:r>
          </w:p>
        </w:tc>
        <w:tc>
          <w:tcPr>
            <w:tcW w:w="1966" w:type="dxa"/>
            <w:tcBorders>
              <w:top w:val="single" w:sz="4" w:space="0" w:color="auto"/>
            </w:tcBorders>
            <w:noWrap/>
            <w:hideMark/>
          </w:tcPr>
          <w:p w14:paraId="4FA27FBD"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3.58</w:t>
            </w:r>
          </w:p>
        </w:tc>
        <w:tc>
          <w:tcPr>
            <w:tcW w:w="941" w:type="dxa"/>
            <w:tcBorders>
              <w:top w:val="single" w:sz="4" w:space="0" w:color="auto"/>
            </w:tcBorders>
            <w:noWrap/>
            <w:hideMark/>
          </w:tcPr>
          <w:p w14:paraId="280B671A"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3CAFF9AF"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218BC3EF" w14:textId="77777777" w:rsidR="009C7D45" w:rsidRPr="00202271" w:rsidRDefault="009C7D45" w:rsidP="002E3F44">
            <w:pPr>
              <w:spacing w:line="240" w:lineRule="auto"/>
              <w:ind w:firstLine="0"/>
              <w:jc w:val="center"/>
              <w:rPr>
                <w:sz w:val="24"/>
                <w:szCs w:val="24"/>
              </w:rPr>
            </w:pPr>
          </w:p>
        </w:tc>
        <w:tc>
          <w:tcPr>
            <w:tcW w:w="1404" w:type="dxa"/>
            <w:noWrap/>
            <w:hideMark/>
          </w:tcPr>
          <w:p w14:paraId="09E878FA"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dmsF</w:t>
            </w:r>
          </w:p>
        </w:tc>
        <w:tc>
          <w:tcPr>
            <w:tcW w:w="2897" w:type="dxa"/>
            <w:noWrap/>
            <w:hideMark/>
          </w:tcPr>
          <w:p w14:paraId="3675B76F"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KIMDJLCH_03496</w:t>
            </w:r>
          </w:p>
        </w:tc>
        <w:tc>
          <w:tcPr>
            <w:tcW w:w="1966" w:type="dxa"/>
            <w:noWrap/>
            <w:hideMark/>
          </w:tcPr>
          <w:p w14:paraId="5D0AE20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2.89</w:t>
            </w:r>
          </w:p>
        </w:tc>
        <w:tc>
          <w:tcPr>
            <w:tcW w:w="941" w:type="dxa"/>
            <w:noWrap/>
            <w:hideMark/>
          </w:tcPr>
          <w:p w14:paraId="058E3C67"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5FC362CB"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460A863E" w14:textId="77777777" w:rsidR="009C7D45" w:rsidRPr="00202271" w:rsidRDefault="009C7D45" w:rsidP="002E3F44">
            <w:pPr>
              <w:spacing w:line="240" w:lineRule="auto"/>
              <w:ind w:firstLine="0"/>
              <w:jc w:val="center"/>
              <w:rPr>
                <w:sz w:val="24"/>
                <w:szCs w:val="24"/>
              </w:rPr>
            </w:pPr>
          </w:p>
        </w:tc>
        <w:tc>
          <w:tcPr>
            <w:tcW w:w="1404" w:type="dxa"/>
            <w:noWrap/>
            <w:hideMark/>
          </w:tcPr>
          <w:p w14:paraId="1CCCBFEF"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dmsA</w:t>
            </w:r>
          </w:p>
        </w:tc>
        <w:tc>
          <w:tcPr>
            <w:tcW w:w="2897" w:type="dxa"/>
            <w:noWrap/>
            <w:hideMark/>
          </w:tcPr>
          <w:p w14:paraId="75EBEB4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KIMDJLCH_03497</w:t>
            </w:r>
          </w:p>
        </w:tc>
        <w:tc>
          <w:tcPr>
            <w:tcW w:w="1966" w:type="dxa"/>
            <w:noWrap/>
            <w:hideMark/>
          </w:tcPr>
          <w:p w14:paraId="76AD9FCA"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3.56</w:t>
            </w:r>
          </w:p>
        </w:tc>
        <w:tc>
          <w:tcPr>
            <w:tcW w:w="941" w:type="dxa"/>
            <w:noWrap/>
            <w:hideMark/>
          </w:tcPr>
          <w:p w14:paraId="7DD7ED9C"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4C056C58"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65B1FFF4" w14:textId="77777777" w:rsidR="009C7D45" w:rsidRPr="00202271" w:rsidRDefault="009C7D45" w:rsidP="002E3F44">
            <w:pPr>
              <w:spacing w:line="240" w:lineRule="auto"/>
              <w:ind w:firstLine="0"/>
              <w:jc w:val="center"/>
              <w:rPr>
                <w:sz w:val="24"/>
                <w:szCs w:val="24"/>
              </w:rPr>
            </w:pPr>
          </w:p>
        </w:tc>
        <w:tc>
          <w:tcPr>
            <w:tcW w:w="1404" w:type="dxa"/>
            <w:noWrap/>
            <w:hideMark/>
          </w:tcPr>
          <w:p w14:paraId="78B5174B"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dmsB</w:t>
            </w:r>
          </w:p>
        </w:tc>
        <w:tc>
          <w:tcPr>
            <w:tcW w:w="2897" w:type="dxa"/>
            <w:noWrap/>
            <w:hideMark/>
          </w:tcPr>
          <w:p w14:paraId="564B886A"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KIMDJLCH_03498</w:t>
            </w:r>
          </w:p>
        </w:tc>
        <w:tc>
          <w:tcPr>
            <w:tcW w:w="1966" w:type="dxa"/>
            <w:noWrap/>
            <w:hideMark/>
          </w:tcPr>
          <w:p w14:paraId="2ABD2134"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3.64</w:t>
            </w:r>
          </w:p>
        </w:tc>
        <w:tc>
          <w:tcPr>
            <w:tcW w:w="941" w:type="dxa"/>
            <w:noWrap/>
            <w:hideMark/>
          </w:tcPr>
          <w:p w14:paraId="34AF8170"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&gt; 0.001</w:t>
            </w:r>
          </w:p>
        </w:tc>
      </w:tr>
      <w:tr w:rsidR="009C7D45" w:rsidRPr="00202271" w14:paraId="505D04E3"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071A50D3" w14:textId="77777777" w:rsidR="009C7D45" w:rsidRPr="00202271" w:rsidRDefault="009C7D45" w:rsidP="002E3F44">
            <w:pPr>
              <w:spacing w:line="240" w:lineRule="auto"/>
              <w:ind w:firstLine="0"/>
              <w:jc w:val="center"/>
              <w:rPr>
                <w:sz w:val="24"/>
                <w:szCs w:val="24"/>
              </w:rPr>
            </w:pPr>
          </w:p>
        </w:tc>
        <w:tc>
          <w:tcPr>
            <w:tcW w:w="1404" w:type="dxa"/>
            <w:noWrap/>
            <w:hideMark/>
          </w:tcPr>
          <w:p w14:paraId="179B74DD"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dmsG</w:t>
            </w:r>
          </w:p>
        </w:tc>
        <w:tc>
          <w:tcPr>
            <w:tcW w:w="2897" w:type="dxa"/>
            <w:noWrap/>
            <w:hideMark/>
          </w:tcPr>
          <w:p w14:paraId="41DEFD54"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KIMDJLCH_03499</w:t>
            </w:r>
          </w:p>
        </w:tc>
        <w:tc>
          <w:tcPr>
            <w:tcW w:w="1966" w:type="dxa"/>
            <w:noWrap/>
            <w:hideMark/>
          </w:tcPr>
          <w:p w14:paraId="22A95E74"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1.85</w:t>
            </w:r>
          </w:p>
        </w:tc>
        <w:tc>
          <w:tcPr>
            <w:tcW w:w="941" w:type="dxa"/>
            <w:noWrap/>
            <w:hideMark/>
          </w:tcPr>
          <w:p w14:paraId="569940EF"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0.133</w:t>
            </w:r>
          </w:p>
        </w:tc>
      </w:tr>
      <w:tr w:rsidR="009C7D45" w:rsidRPr="00202271" w14:paraId="2C40C8E9"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tcBorders>
              <w:bottom w:val="single" w:sz="4" w:space="0" w:color="auto"/>
            </w:tcBorders>
            <w:noWrap/>
            <w:hideMark/>
          </w:tcPr>
          <w:p w14:paraId="1B91602B" w14:textId="77777777" w:rsidR="009C7D45" w:rsidRPr="00202271" w:rsidRDefault="009C7D45" w:rsidP="002E3F44">
            <w:pPr>
              <w:spacing w:line="240" w:lineRule="auto"/>
              <w:ind w:firstLine="0"/>
              <w:jc w:val="center"/>
              <w:rPr>
                <w:sz w:val="24"/>
                <w:szCs w:val="24"/>
              </w:rPr>
            </w:pPr>
          </w:p>
        </w:tc>
        <w:tc>
          <w:tcPr>
            <w:tcW w:w="1404" w:type="dxa"/>
            <w:tcBorders>
              <w:bottom w:val="single" w:sz="4" w:space="0" w:color="auto"/>
            </w:tcBorders>
            <w:noWrap/>
            <w:hideMark/>
          </w:tcPr>
          <w:p w14:paraId="3323141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dmsH</w:t>
            </w:r>
          </w:p>
        </w:tc>
        <w:tc>
          <w:tcPr>
            <w:tcW w:w="2897" w:type="dxa"/>
            <w:tcBorders>
              <w:bottom w:val="single" w:sz="4" w:space="0" w:color="auto"/>
            </w:tcBorders>
            <w:noWrap/>
            <w:hideMark/>
          </w:tcPr>
          <w:p w14:paraId="63C647E3"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KIMDJLCH_03500</w:t>
            </w:r>
          </w:p>
        </w:tc>
        <w:tc>
          <w:tcPr>
            <w:tcW w:w="1966" w:type="dxa"/>
            <w:tcBorders>
              <w:bottom w:val="single" w:sz="4" w:space="0" w:color="auto"/>
            </w:tcBorders>
            <w:noWrap/>
            <w:hideMark/>
          </w:tcPr>
          <w:p w14:paraId="48C0BCA3"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1.55</w:t>
            </w:r>
          </w:p>
        </w:tc>
        <w:tc>
          <w:tcPr>
            <w:tcW w:w="941" w:type="dxa"/>
            <w:tcBorders>
              <w:bottom w:val="single" w:sz="4" w:space="0" w:color="auto"/>
            </w:tcBorders>
            <w:noWrap/>
            <w:hideMark/>
          </w:tcPr>
          <w:p w14:paraId="251185A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19CCA679"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val="restart"/>
            <w:tcBorders>
              <w:top w:val="single" w:sz="4" w:space="0" w:color="auto"/>
            </w:tcBorders>
            <w:noWrap/>
            <w:hideMark/>
          </w:tcPr>
          <w:p w14:paraId="4C684E70" w14:textId="7D824434" w:rsidR="009C7D45" w:rsidRPr="00202271" w:rsidRDefault="009C7D45" w:rsidP="002E3F44">
            <w:pPr>
              <w:spacing w:line="240" w:lineRule="auto"/>
              <w:ind w:firstLine="0"/>
              <w:jc w:val="center"/>
              <w:rPr>
                <w:sz w:val="24"/>
                <w:szCs w:val="24"/>
              </w:rPr>
            </w:pPr>
            <w:r w:rsidRPr="00202271">
              <w:rPr>
                <w:sz w:val="24"/>
                <w:szCs w:val="24"/>
              </w:rPr>
              <w:t>Riboflavin biosynthesis</w:t>
            </w:r>
          </w:p>
        </w:tc>
        <w:tc>
          <w:tcPr>
            <w:tcW w:w="1404" w:type="dxa"/>
            <w:tcBorders>
              <w:top w:val="single" w:sz="4" w:space="0" w:color="auto"/>
            </w:tcBorders>
            <w:noWrap/>
            <w:hideMark/>
          </w:tcPr>
          <w:p w14:paraId="5895F694"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ribA</w:t>
            </w:r>
          </w:p>
        </w:tc>
        <w:tc>
          <w:tcPr>
            <w:tcW w:w="2897" w:type="dxa"/>
            <w:tcBorders>
              <w:top w:val="single" w:sz="4" w:space="0" w:color="auto"/>
            </w:tcBorders>
            <w:noWrap/>
            <w:hideMark/>
          </w:tcPr>
          <w:p w14:paraId="0C21681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KIMDJLCH_02823</w:t>
            </w:r>
          </w:p>
        </w:tc>
        <w:tc>
          <w:tcPr>
            <w:tcW w:w="1966" w:type="dxa"/>
            <w:tcBorders>
              <w:top w:val="single" w:sz="4" w:space="0" w:color="auto"/>
            </w:tcBorders>
            <w:noWrap/>
            <w:hideMark/>
          </w:tcPr>
          <w:p w14:paraId="78A298B6"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-0.24</w:t>
            </w:r>
          </w:p>
        </w:tc>
        <w:tc>
          <w:tcPr>
            <w:tcW w:w="941" w:type="dxa"/>
            <w:tcBorders>
              <w:top w:val="single" w:sz="4" w:space="0" w:color="auto"/>
            </w:tcBorders>
            <w:noWrap/>
            <w:hideMark/>
          </w:tcPr>
          <w:p w14:paraId="10C968F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1928D55D"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5B1B2228" w14:textId="77777777" w:rsidR="009C7D45" w:rsidRPr="00202271" w:rsidRDefault="009C7D45" w:rsidP="002E3F44">
            <w:pPr>
              <w:spacing w:line="240" w:lineRule="auto"/>
              <w:ind w:firstLine="0"/>
              <w:jc w:val="center"/>
              <w:rPr>
                <w:sz w:val="24"/>
                <w:szCs w:val="24"/>
              </w:rPr>
            </w:pPr>
          </w:p>
        </w:tc>
        <w:tc>
          <w:tcPr>
            <w:tcW w:w="1404" w:type="dxa"/>
            <w:noWrap/>
            <w:hideMark/>
          </w:tcPr>
          <w:p w14:paraId="3AFA4D32"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ribBA</w:t>
            </w:r>
          </w:p>
        </w:tc>
        <w:tc>
          <w:tcPr>
            <w:tcW w:w="2897" w:type="dxa"/>
            <w:noWrap/>
            <w:hideMark/>
          </w:tcPr>
          <w:p w14:paraId="2F7049E3"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KIMDJLCH_00406</w:t>
            </w:r>
          </w:p>
        </w:tc>
        <w:tc>
          <w:tcPr>
            <w:tcW w:w="1966" w:type="dxa"/>
            <w:noWrap/>
            <w:hideMark/>
          </w:tcPr>
          <w:p w14:paraId="01CF5153"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-0.40</w:t>
            </w:r>
          </w:p>
        </w:tc>
        <w:tc>
          <w:tcPr>
            <w:tcW w:w="941" w:type="dxa"/>
            <w:noWrap/>
            <w:hideMark/>
          </w:tcPr>
          <w:p w14:paraId="096F980D"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7A5B2FCE"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4E8E0274" w14:textId="77777777" w:rsidR="009C7D45" w:rsidRPr="00202271" w:rsidRDefault="009C7D45" w:rsidP="002E3F44">
            <w:pPr>
              <w:spacing w:line="240" w:lineRule="auto"/>
              <w:ind w:firstLine="0"/>
              <w:jc w:val="center"/>
              <w:rPr>
                <w:sz w:val="24"/>
                <w:szCs w:val="24"/>
              </w:rPr>
            </w:pPr>
          </w:p>
        </w:tc>
        <w:tc>
          <w:tcPr>
            <w:tcW w:w="1404" w:type="dxa"/>
            <w:noWrap/>
            <w:hideMark/>
          </w:tcPr>
          <w:p w14:paraId="3900F724"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ribD</w:t>
            </w:r>
          </w:p>
        </w:tc>
        <w:tc>
          <w:tcPr>
            <w:tcW w:w="2897" w:type="dxa"/>
            <w:noWrap/>
            <w:hideMark/>
          </w:tcPr>
          <w:p w14:paraId="7515FDE3"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KIMDJLCH_00404</w:t>
            </w:r>
          </w:p>
        </w:tc>
        <w:tc>
          <w:tcPr>
            <w:tcW w:w="1966" w:type="dxa"/>
            <w:noWrap/>
            <w:hideMark/>
          </w:tcPr>
          <w:p w14:paraId="67B9D730"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0.54</w:t>
            </w:r>
          </w:p>
        </w:tc>
        <w:tc>
          <w:tcPr>
            <w:tcW w:w="941" w:type="dxa"/>
            <w:noWrap/>
            <w:hideMark/>
          </w:tcPr>
          <w:p w14:paraId="5F8131AA"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24C7BDEA"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1745E501" w14:textId="77777777" w:rsidR="009C7D45" w:rsidRPr="00202271" w:rsidRDefault="009C7D45" w:rsidP="002E3F44">
            <w:pPr>
              <w:spacing w:line="240" w:lineRule="auto"/>
              <w:ind w:firstLine="0"/>
              <w:jc w:val="center"/>
              <w:rPr>
                <w:sz w:val="24"/>
                <w:szCs w:val="24"/>
              </w:rPr>
            </w:pPr>
          </w:p>
        </w:tc>
        <w:tc>
          <w:tcPr>
            <w:tcW w:w="1404" w:type="dxa"/>
            <w:noWrap/>
            <w:hideMark/>
          </w:tcPr>
          <w:p w14:paraId="6F6F11E1"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yigB</w:t>
            </w:r>
          </w:p>
        </w:tc>
        <w:tc>
          <w:tcPr>
            <w:tcW w:w="2897" w:type="dxa"/>
            <w:noWrap/>
            <w:hideMark/>
          </w:tcPr>
          <w:p w14:paraId="130DDFA0"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KIMDJLCH_02595</w:t>
            </w:r>
          </w:p>
        </w:tc>
        <w:tc>
          <w:tcPr>
            <w:tcW w:w="1966" w:type="dxa"/>
            <w:noWrap/>
            <w:hideMark/>
          </w:tcPr>
          <w:p w14:paraId="1648AC6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0.36</w:t>
            </w:r>
          </w:p>
        </w:tc>
        <w:tc>
          <w:tcPr>
            <w:tcW w:w="941" w:type="dxa"/>
            <w:noWrap/>
            <w:hideMark/>
          </w:tcPr>
          <w:p w14:paraId="7D0ADCDB"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34A82D8C"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1DCD7355" w14:textId="77777777" w:rsidR="009C7D45" w:rsidRPr="00202271" w:rsidRDefault="009C7D45" w:rsidP="002E3F44">
            <w:pPr>
              <w:spacing w:line="240" w:lineRule="auto"/>
              <w:ind w:firstLine="0"/>
              <w:jc w:val="center"/>
              <w:rPr>
                <w:sz w:val="24"/>
                <w:szCs w:val="24"/>
              </w:rPr>
            </w:pPr>
          </w:p>
        </w:tc>
        <w:tc>
          <w:tcPr>
            <w:tcW w:w="1404" w:type="dxa"/>
            <w:noWrap/>
            <w:hideMark/>
          </w:tcPr>
          <w:p w14:paraId="6DCE35A1"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ribC</w:t>
            </w:r>
          </w:p>
        </w:tc>
        <w:tc>
          <w:tcPr>
            <w:tcW w:w="2897" w:type="dxa"/>
            <w:noWrap/>
            <w:hideMark/>
          </w:tcPr>
          <w:p w14:paraId="1AEC52B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KIMDJLCH_01398</w:t>
            </w:r>
          </w:p>
        </w:tc>
        <w:tc>
          <w:tcPr>
            <w:tcW w:w="1966" w:type="dxa"/>
            <w:noWrap/>
            <w:hideMark/>
          </w:tcPr>
          <w:p w14:paraId="772DAEE9"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-0.83</w:t>
            </w:r>
          </w:p>
        </w:tc>
        <w:tc>
          <w:tcPr>
            <w:tcW w:w="941" w:type="dxa"/>
            <w:noWrap/>
            <w:hideMark/>
          </w:tcPr>
          <w:p w14:paraId="2E9C1396"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18B4C721"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32E81559" w14:textId="77777777" w:rsidR="009C7D45" w:rsidRPr="00202271" w:rsidRDefault="009C7D45" w:rsidP="002E3F44">
            <w:pPr>
              <w:spacing w:line="240" w:lineRule="auto"/>
              <w:ind w:firstLine="0"/>
              <w:jc w:val="center"/>
              <w:rPr>
                <w:sz w:val="24"/>
                <w:szCs w:val="24"/>
              </w:rPr>
            </w:pPr>
          </w:p>
        </w:tc>
        <w:tc>
          <w:tcPr>
            <w:tcW w:w="1404" w:type="dxa"/>
            <w:noWrap/>
            <w:hideMark/>
          </w:tcPr>
          <w:p w14:paraId="0C87C7BC"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ribE</w:t>
            </w:r>
            <w:r w:rsidRPr="00202271">
              <w:rPr>
                <w:sz w:val="24"/>
                <w:szCs w:val="24"/>
              </w:rPr>
              <w:t>_1</w:t>
            </w:r>
          </w:p>
        </w:tc>
        <w:tc>
          <w:tcPr>
            <w:tcW w:w="2897" w:type="dxa"/>
            <w:noWrap/>
            <w:hideMark/>
          </w:tcPr>
          <w:p w14:paraId="500626F3"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KIMDJLCH_00405</w:t>
            </w:r>
          </w:p>
        </w:tc>
        <w:tc>
          <w:tcPr>
            <w:tcW w:w="1966" w:type="dxa"/>
            <w:noWrap/>
            <w:hideMark/>
          </w:tcPr>
          <w:p w14:paraId="17112633"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0.24</w:t>
            </w:r>
          </w:p>
        </w:tc>
        <w:tc>
          <w:tcPr>
            <w:tcW w:w="941" w:type="dxa"/>
            <w:noWrap/>
            <w:hideMark/>
          </w:tcPr>
          <w:p w14:paraId="07F337EA"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46C1EB0E"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tcBorders>
              <w:bottom w:val="single" w:sz="4" w:space="0" w:color="auto"/>
            </w:tcBorders>
            <w:noWrap/>
            <w:hideMark/>
          </w:tcPr>
          <w:p w14:paraId="6A47FC86" w14:textId="77777777" w:rsidR="009C7D45" w:rsidRPr="00202271" w:rsidRDefault="009C7D45" w:rsidP="002E3F44">
            <w:pPr>
              <w:spacing w:line="240" w:lineRule="auto"/>
              <w:ind w:firstLine="0"/>
              <w:jc w:val="center"/>
              <w:rPr>
                <w:sz w:val="24"/>
                <w:szCs w:val="24"/>
              </w:rPr>
            </w:pPr>
          </w:p>
        </w:tc>
        <w:tc>
          <w:tcPr>
            <w:tcW w:w="1404" w:type="dxa"/>
            <w:tcBorders>
              <w:bottom w:val="single" w:sz="4" w:space="0" w:color="auto"/>
            </w:tcBorders>
            <w:noWrap/>
            <w:hideMark/>
          </w:tcPr>
          <w:p w14:paraId="66AFA214"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ribE</w:t>
            </w:r>
            <w:r w:rsidRPr="00202271">
              <w:rPr>
                <w:sz w:val="24"/>
                <w:szCs w:val="24"/>
              </w:rPr>
              <w:t>_2</w:t>
            </w:r>
          </w:p>
        </w:tc>
        <w:tc>
          <w:tcPr>
            <w:tcW w:w="2897" w:type="dxa"/>
            <w:tcBorders>
              <w:bottom w:val="single" w:sz="4" w:space="0" w:color="auto"/>
            </w:tcBorders>
            <w:noWrap/>
            <w:hideMark/>
          </w:tcPr>
          <w:p w14:paraId="7AE9CDB3"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KIMDJLCH_00407</w:t>
            </w:r>
          </w:p>
        </w:tc>
        <w:tc>
          <w:tcPr>
            <w:tcW w:w="1966" w:type="dxa"/>
            <w:tcBorders>
              <w:bottom w:val="single" w:sz="4" w:space="0" w:color="auto"/>
            </w:tcBorders>
            <w:noWrap/>
            <w:hideMark/>
          </w:tcPr>
          <w:p w14:paraId="76855691"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-1.05</w:t>
            </w:r>
          </w:p>
        </w:tc>
        <w:tc>
          <w:tcPr>
            <w:tcW w:w="941" w:type="dxa"/>
            <w:tcBorders>
              <w:bottom w:val="single" w:sz="4" w:space="0" w:color="auto"/>
            </w:tcBorders>
            <w:noWrap/>
            <w:hideMark/>
          </w:tcPr>
          <w:p w14:paraId="7456F35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46530D9D"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val="restart"/>
            <w:tcBorders>
              <w:top w:val="single" w:sz="4" w:space="0" w:color="auto"/>
            </w:tcBorders>
            <w:noWrap/>
            <w:hideMark/>
          </w:tcPr>
          <w:p w14:paraId="18635693" w14:textId="77777777" w:rsidR="009C7D45" w:rsidRPr="00202271" w:rsidRDefault="009C7D45" w:rsidP="002E3F44">
            <w:pPr>
              <w:spacing w:line="240" w:lineRule="auto"/>
              <w:ind w:firstLine="0"/>
              <w:jc w:val="center"/>
              <w:rPr>
                <w:sz w:val="24"/>
                <w:szCs w:val="24"/>
              </w:rPr>
            </w:pPr>
            <w:r w:rsidRPr="00202271">
              <w:rPr>
                <w:sz w:val="24"/>
                <w:szCs w:val="24"/>
              </w:rPr>
              <w:t>Halogenases</w:t>
            </w:r>
          </w:p>
        </w:tc>
        <w:tc>
          <w:tcPr>
            <w:tcW w:w="1404" w:type="dxa"/>
            <w:tcBorders>
              <w:top w:val="single" w:sz="4" w:space="0" w:color="auto"/>
            </w:tcBorders>
            <w:noWrap/>
            <w:hideMark/>
          </w:tcPr>
          <w:p w14:paraId="35FCFAC1"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rebH</w:t>
            </w:r>
            <w:r w:rsidRPr="00202271">
              <w:rPr>
                <w:sz w:val="24"/>
                <w:szCs w:val="24"/>
              </w:rPr>
              <w:t>_1</w:t>
            </w:r>
          </w:p>
        </w:tc>
        <w:tc>
          <w:tcPr>
            <w:tcW w:w="2897" w:type="dxa"/>
            <w:tcBorders>
              <w:top w:val="single" w:sz="4" w:space="0" w:color="auto"/>
            </w:tcBorders>
            <w:noWrap/>
            <w:hideMark/>
          </w:tcPr>
          <w:p w14:paraId="452C7E2D"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KIMDJLCH_00717</w:t>
            </w:r>
          </w:p>
        </w:tc>
        <w:tc>
          <w:tcPr>
            <w:tcW w:w="1966" w:type="dxa"/>
            <w:tcBorders>
              <w:top w:val="single" w:sz="4" w:space="0" w:color="auto"/>
            </w:tcBorders>
            <w:noWrap/>
            <w:hideMark/>
          </w:tcPr>
          <w:p w14:paraId="56F169CD"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0.27</w:t>
            </w:r>
          </w:p>
        </w:tc>
        <w:tc>
          <w:tcPr>
            <w:tcW w:w="941" w:type="dxa"/>
            <w:tcBorders>
              <w:top w:val="single" w:sz="4" w:space="0" w:color="auto"/>
            </w:tcBorders>
            <w:noWrap/>
            <w:hideMark/>
          </w:tcPr>
          <w:p w14:paraId="0674B511"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18D743C2"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7B3E21F7" w14:textId="77777777" w:rsidR="009C7D45" w:rsidRPr="00202271" w:rsidRDefault="009C7D45" w:rsidP="002E3F44">
            <w:pPr>
              <w:spacing w:line="240" w:lineRule="auto"/>
              <w:ind w:firstLine="0"/>
              <w:jc w:val="center"/>
              <w:rPr>
                <w:sz w:val="24"/>
                <w:szCs w:val="24"/>
              </w:rPr>
            </w:pPr>
          </w:p>
        </w:tc>
        <w:tc>
          <w:tcPr>
            <w:tcW w:w="1404" w:type="dxa"/>
            <w:noWrap/>
            <w:hideMark/>
          </w:tcPr>
          <w:p w14:paraId="19A9EA1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rebH</w:t>
            </w:r>
            <w:r w:rsidRPr="00202271">
              <w:rPr>
                <w:sz w:val="24"/>
                <w:szCs w:val="24"/>
              </w:rPr>
              <w:t>_2</w:t>
            </w:r>
          </w:p>
        </w:tc>
        <w:tc>
          <w:tcPr>
            <w:tcW w:w="2897" w:type="dxa"/>
            <w:noWrap/>
            <w:hideMark/>
          </w:tcPr>
          <w:p w14:paraId="2685EA1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KIMDJLCH_00722</w:t>
            </w:r>
          </w:p>
        </w:tc>
        <w:tc>
          <w:tcPr>
            <w:tcW w:w="1966" w:type="dxa"/>
            <w:noWrap/>
            <w:hideMark/>
          </w:tcPr>
          <w:p w14:paraId="7A72529D"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0.82</w:t>
            </w:r>
          </w:p>
        </w:tc>
        <w:tc>
          <w:tcPr>
            <w:tcW w:w="941" w:type="dxa"/>
            <w:noWrap/>
            <w:hideMark/>
          </w:tcPr>
          <w:p w14:paraId="0ED83E36"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37C7D819"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noWrap/>
            <w:hideMark/>
          </w:tcPr>
          <w:p w14:paraId="154F2E6A" w14:textId="77777777" w:rsidR="009C7D45" w:rsidRPr="00202271" w:rsidRDefault="009C7D45" w:rsidP="002E3F44">
            <w:pPr>
              <w:spacing w:line="240" w:lineRule="auto"/>
              <w:ind w:firstLine="0"/>
              <w:jc w:val="center"/>
              <w:rPr>
                <w:sz w:val="24"/>
                <w:szCs w:val="24"/>
              </w:rPr>
            </w:pPr>
          </w:p>
        </w:tc>
        <w:tc>
          <w:tcPr>
            <w:tcW w:w="1404" w:type="dxa"/>
            <w:noWrap/>
            <w:hideMark/>
          </w:tcPr>
          <w:p w14:paraId="19B4502F"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rebH</w:t>
            </w:r>
            <w:r w:rsidRPr="00202271">
              <w:rPr>
                <w:sz w:val="24"/>
                <w:szCs w:val="24"/>
              </w:rPr>
              <w:t>_3</w:t>
            </w:r>
          </w:p>
        </w:tc>
        <w:tc>
          <w:tcPr>
            <w:tcW w:w="2897" w:type="dxa"/>
            <w:noWrap/>
            <w:hideMark/>
          </w:tcPr>
          <w:p w14:paraId="3574CCFA"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KIMDJLCH_04719</w:t>
            </w:r>
          </w:p>
        </w:tc>
        <w:tc>
          <w:tcPr>
            <w:tcW w:w="1966" w:type="dxa"/>
            <w:noWrap/>
            <w:hideMark/>
          </w:tcPr>
          <w:p w14:paraId="5CE86B9C"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1.19</w:t>
            </w:r>
          </w:p>
        </w:tc>
        <w:tc>
          <w:tcPr>
            <w:tcW w:w="941" w:type="dxa"/>
            <w:noWrap/>
            <w:hideMark/>
          </w:tcPr>
          <w:p w14:paraId="5B7522E0"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r w:rsidR="009C7D45" w:rsidRPr="00202271" w14:paraId="609221B0" w14:textId="77777777" w:rsidTr="00A16CD3">
        <w:trPr>
          <w:trHeight w:val="290"/>
        </w:trPr>
        <w:tc>
          <w:tcPr>
            <w:cnfStyle w:val="001000000000" w:firstRow="0" w:lastRow="0" w:firstColumn="1" w:lastColumn="0" w:oddVBand="0" w:evenVBand="0" w:oddHBand="0" w:evenHBand="0" w:firstRowFirstColumn="0" w:firstRowLastColumn="0" w:lastRowFirstColumn="0" w:lastRowLastColumn="0"/>
            <w:tcW w:w="2153" w:type="dxa"/>
            <w:vMerge/>
            <w:tcBorders>
              <w:bottom w:val="single" w:sz="4" w:space="0" w:color="auto"/>
            </w:tcBorders>
            <w:noWrap/>
            <w:hideMark/>
          </w:tcPr>
          <w:p w14:paraId="08BA0011" w14:textId="77777777" w:rsidR="009C7D45" w:rsidRPr="00202271" w:rsidRDefault="009C7D45" w:rsidP="002E3F44">
            <w:pPr>
              <w:spacing w:line="240" w:lineRule="auto"/>
              <w:ind w:firstLine="0"/>
              <w:jc w:val="center"/>
              <w:rPr>
                <w:sz w:val="24"/>
                <w:szCs w:val="24"/>
              </w:rPr>
            </w:pPr>
          </w:p>
        </w:tc>
        <w:tc>
          <w:tcPr>
            <w:tcW w:w="1404" w:type="dxa"/>
            <w:tcBorders>
              <w:bottom w:val="single" w:sz="4" w:space="0" w:color="auto"/>
            </w:tcBorders>
            <w:noWrap/>
            <w:hideMark/>
          </w:tcPr>
          <w:p w14:paraId="62A13C81"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i/>
                <w:iCs/>
                <w:sz w:val="24"/>
                <w:szCs w:val="24"/>
              </w:rPr>
            </w:pPr>
            <w:r w:rsidRPr="00202271">
              <w:rPr>
                <w:i/>
                <w:iCs/>
                <w:sz w:val="24"/>
                <w:szCs w:val="24"/>
              </w:rPr>
              <w:t>prnA</w:t>
            </w:r>
          </w:p>
        </w:tc>
        <w:tc>
          <w:tcPr>
            <w:tcW w:w="2897" w:type="dxa"/>
            <w:tcBorders>
              <w:bottom w:val="single" w:sz="4" w:space="0" w:color="auto"/>
            </w:tcBorders>
            <w:noWrap/>
            <w:hideMark/>
          </w:tcPr>
          <w:p w14:paraId="5E9B00C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KIMDJLCH_04457</w:t>
            </w:r>
          </w:p>
        </w:tc>
        <w:tc>
          <w:tcPr>
            <w:tcW w:w="1966" w:type="dxa"/>
            <w:tcBorders>
              <w:bottom w:val="single" w:sz="4" w:space="0" w:color="auto"/>
            </w:tcBorders>
            <w:noWrap/>
            <w:hideMark/>
          </w:tcPr>
          <w:p w14:paraId="7B797295"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1.17</w:t>
            </w:r>
          </w:p>
        </w:tc>
        <w:tc>
          <w:tcPr>
            <w:tcW w:w="941" w:type="dxa"/>
            <w:tcBorders>
              <w:bottom w:val="single" w:sz="4" w:space="0" w:color="auto"/>
            </w:tcBorders>
            <w:noWrap/>
            <w:hideMark/>
          </w:tcPr>
          <w:p w14:paraId="7D2DC958" w14:textId="77777777" w:rsidR="009C7D45" w:rsidRPr="00202271" w:rsidRDefault="009C7D45" w:rsidP="002E3F44">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sz w:val="24"/>
                <w:szCs w:val="24"/>
              </w:rPr>
            </w:pPr>
            <w:r w:rsidRPr="00202271">
              <w:rPr>
                <w:sz w:val="24"/>
                <w:szCs w:val="24"/>
              </w:rPr>
              <w:t>1</w:t>
            </w:r>
          </w:p>
        </w:tc>
      </w:tr>
    </w:tbl>
    <w:p w14:paraId="61234C5B" w14:textId="27193BB0" w:rsidR="009C7D45" w:rsidRPr="00CE4E6D" w:rsidRDefault="009C7D45" w:rsidP="009C7D45">
      <w:pPr>
        <w:spacing w:line="240" w:lineRule="auto"/>
        <w:ind w:firstLine="0"/>
        <w:rPr>
          <w:rFonts w:cs="Times New Roman"/>
          <w:b/>
          <w:bCs/>
        </w:rPr>
      </w:pPr>
      <w:r w:rsidRPr="00CE4E6D">
        <w:rPr>
          <w:rFonts w:cs="Times New Roman"/>
          <w:b/>
          <w:bCs/>
        </w:rPr>
        <w:br w:type="page"/>
      </w:r>
    </w:p>
    <w:p w14:paraId="22351CB9" w14:textId="77777777" w:rsidR="009C7D45" w:rsidRPr="00CE4E6D" w:rsidRDefault="009C7D45" w:rsidP="009C7D45">
      <w:pPr>
        <w:spacing w:line="240" w:lineRule="auto"/>
        <w:ind w:firstLine="0"/>
        <w:rPr>
          <w:rFonts w:cs="Times New Roman"/>
          <w:b/>
          <w:bCs/>
        </w:rPr>
        <w:sectPr w:rsidR="009C7D45" w:rsidRPr="00CE4E6D" w:rsidSect="004D7405">
          <w:pgSz w:w="12240" w:h="15840"/>
          <w:pgMar w:top="1440" w:right="1440" w:bottom="1440" w:left="1440" w:header="720" w:footer="720" w:gutter="0"/>
          <w:cols w:space="720"/>
          <w:docGrid w:linePitch="326"/>
        </w:sectPr>
      </w:pPr>
    </w:p>
    <w:p w14:paraId="6A9B9AA1" w14:textId="074010EB" w:rsidR="009C7D45" w:rsidRDefault="009C7D45" w:rsidP="00F13F6D">
      <w:pPr>
        <w:pStyle w:val="Caption"/>
      </w:pPr>
      <w:bookmarkStart w:id="269" w:name="_Toc193668469"/>
      <w:r>
        <w:lastRenderedPageBreak/>
        <w:t xml:space="preserve">Table </w:t>
      </w:r>
      <w:fldSimple w:instr=" STYLEREF 1 \s ">
        <w:r w:rsidR="00971287">
          <w:rPr>
            <w:noProof/>
          </w:rPr>
          <w:t>6</w:t>
        </w:r>
      </w:fldSimple>
      <w:r w:rsidR="00A46B68">
        <w:t>.</w:t>
      </w:r>
      <w:fldSimple w:instr=" SEQ Table \* ARABIC \s 1 ">
        <w:r w:rsidR="00971287">
          <w:rPr>
            <w:noProof/>
          </w:rPr>
          <w:t>9</w:t>
        </w:r>
      </w:fldSimple>
      <w:r>
        <w:t xml:space="preserve">. </w:t>
      </w:r>
      <w:r w:rsidRPr="00CE4E6D">
        <w:t>Abundance and putative identities of VOC features differentially abundant between treatments.</w:t>
      </w:r>
      <w:bookmarkEnd w:id="269"/>
    </w:p>
    <w:p w14:paraId="6E87FFE2" w14:textId="160A9078" w:rsidR="009C7D45" w:rsidRDefault="004235CC" w:rsidP="009C7D45">
      <w:pPr>
        <w:ind w:firstLine="0"/>
        <w:rPr>
          <w:b/>
          <w:bCs/>
        </w:rPr>
      </w:pPr>
      <w:r>
        <w:rPr>
          <w:b/>
          <w:bCs/>
          <w:noProof/>
        </w:rPr>
        <mc:AlternateContent>
          <mc:Choice Requires="wps">
            <w:drawing>
              <wp:anchor distT="0" distB="0" distL="114300" distR="114300" simplePos="0" relativeHeight="251748352" behindDoc="0" locked="0" layoutInCell="1" allowOverlap="1" wp14:anchorId="2E5518FF" wp14:editId="77C44671">
                <wp:simplePos x="0" y="0"/>
                <wp:positionH relativeFrom="column">
                  <wp:posOffset>-58141</wp:posOffset>
                </wp:positionH>
                <wp:positionV relativeFrom="paragraph">
                  <wp:posOffset>205300</wp:posOffset>
                </wp:positionV>
                <wp:extent cx="1849942" cy="343560"/>
                <wp:effectExtent l="0" t="0" r="17145" b="18415"/>
                <wp:wrapNone/>
                <wp:docPr id="547598423" name="Rectangle 29"/>
                <wp:cNvGraphicFramePr/>
                <a:graphic xmlns:a="http://schemas.openxmlformats.org/drawingml/2006/main">
                  <a:graphicData uri="http://schemas.microsoft.com/office/word/2010/wordprocessingShape">
                    <wps:wsp>
                      <wps:cNvSpPr/>
                      <wps:spPr>
                        <a:xfrm>
                          <a:off x="0" y="0"/>
                          <a:ext cx="1849942" cy="34356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F116DF" id="Rectangle 29" o:spid="_x0000_s1026" style="position:absolute;margin-left:-4.6pt;margin-top:16.15pt;width:145.65pt;height:27.0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" fillcolor="white [3212]" strokecolor="white [3212]" strokeweight="2pt"/>
            </w:pict>
          </mc:Fallback>
        </mc:AlternateContent>
      </w:r>
      <w:r w:rsidR="009C7D45">
        <w:rPr>
          <w:b/>
          <w:bCs/>
        </w:rPr>
        <w:t>Day 14</w:t>
      </w:r>
    </w:p>
    <w:p w14:paraId="2D44AAEE" w14:textId="77777777" w:rsidR="004235CC" w:rsidRPr="004235CC" w:rsidRDefault="004235CC" w:rsidP="009C7D45">
      <w:pPr>
        <w:ind w:firstLine="0"/>
        <w:rPr>
          <w:b/>
          <w:bCs/>
          <w:sz w:val="12"/>
          <w:szCs w:val="12"/>
        </w:rPr>
      </w:pPr>
    </w:p>
    <w:tbl>
      <w:tblPr>
        <w:tblStyle w:val="TableGrid"/>
        <w:tblW w:w="12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353"/>
        <w:gridCol w:w="2142"/>
        <w:gridCol w:w="2152"/>
        <w:gridCol w:w="6994"/>
      </w:tblGrid>
      <w:tr w:rsidR="009C7D45" w:rsidRPr="00202271" w14:paraId="5C7D145D" w14:textId="77777777" w:rsidTr="002E3F44">
        <w:trPr>
          <w:trHeight w:val="277"/>
          <w:tblHeader/>
        </w:trPr>
        <w:tc>
          <w:tcPr>
            <w:tcW w:w="12901" w:type="dxa"/>
            <w:gridSpan w:val="5"/>
            <w:tcBorders>
              <w:bottom w:val="single" w:sz="4" w:space="0" w:color="auto"/>
            </w:tcBorders>
            <w:noWrap/>
            <w:vAlign w:val="bottom"/>
          </w:tcPr>
          <w:p w14:paraId="7270626E" w14:textId="1D2ED22A" w:rsidR="009C7D45" w:rsidRPr="00202271" w:rsidRDefault="009C7D45" w:rsidP="002E3F44">
            <w:pPr>
              <w:spacing w:line="240" w:lineRule="auto"/>
              <w:ind w:firstLine="0"/>
              <w:rPr>
                <w:rFonts w:cs="Times New Roman"/>
                <w:b/>
                <w:bCs/>
                <w:color w:val="000000"/>
              </w:rPr>
            </w:pPr>
            <w:r w:rsidRPr="0064147A">
              <w:rPr>
                <w:rFonts w:cs="Times New Roman"/>
                <w:b/>
                <w:bCs/>
                <w:color w:val="000000"/>
              </w:rPr>
              <w:t>Table 6.</w:t>
            </w:r>
            <w:r w:rsidR="004235CC">
              <w:rPr>
                <w:rFonts w:cs="Times New Roman"/>
                <w:b/>
                <w:bCs/>
                <w:color w:val="000000"/>
              </w:rPr>
              <w:t>9</w:t>
            </w:r>
            <w:r>
              <w:rPr>
                <w:rFonts w:cs="Times New Roman"/>
                <w:b/>
                <w:bCs/>
                <w:color w:val="000000"/>
              </w:rPr>
              <w:t xml:space="preserve"> (continued)</w:t>
            </w:r>
          </w:p>
        </w:tc>
      </w:tr>
      <w:tr w:rsidR="009C7D45" w:rsidRPr="00202271" w14:paraId="5106E380" w14:textId="77777777" w:rsidTr="002E3F44">
        <w:trPr>
          <w:trHeight w:val="276"/>
          <w:tblHeader/>
        </w:trPr>
        <w:tc>
          <w:tcPr>
            <w:tcW w:w="1260" w:type="dxa"/>
            <w:vMerge w:val="restart"/>
            <w:tcBorders>
              <w:top w:val="single" w:sz="4" w:space="0" w:color="auto"/>
            </w:tcBorders>
            <w:noWrap/>
            <w:vAlign w:val="bottom"/>
            <w:hideMark/>
          </w:tcPr>
          <w:p w14:paraId="45831E1C" w14:textId="77777777" w:rsidR="009C7D45" w:rsidRPr="00202271" w:rsidRDefault="009C7D45" w:rsidP="002E3F44">
            <w:pPr>
              <w:spacing w:line="240" w:lineRule="auto"/>
              <w:ind w:firstLine="0"/>
              <w:rPr>
                <w:rFonts w:cs="Times New Roman"/>
                <w:i/>
                <w:iCs/>
              </w:rPr>
            </w:pPr>
            <w:r w:rsidRPr="00202271">
              <w:rPr>
                <w:rFonts w:cs="Times New Roman"/>
                <w:b/>
                <w:bCs/>
                <w:i/>
                <w:iCs/>
                <w:color w:val="000000"/>
              </w:rPr>
              <w:t>m/z</w:t>
            </w:r>
          </w:p>
        </w:tc>
        <w:tc>
          <w:tcPr>
            <w:tcW w:w="2495" w:type="dxa"/>
            <w:gridSpan w:val="2"/>
            <w:vMerge w:val="restart"/>
            <w:tcBorders>
              <w:top w:val="single" w:sz="4" w:space="0" w:color="auto"/>
            </w:tcBorders>
            <w:noWrap/>
            <w:vAlign w:val="bottom"/>
            <w:hideMark/>
          </w:tcPr>
          <w:p w14:paraId="5226E858" w14:textId="77777777" w:rsidR="009C7D45" w:rsidRPr="00202271" w:rsidRDefault="009C7D45" w:rsidP="002E3F44">
            <w:pPr>
              <w:spacing w:line="240" w:lineRule="auto"/>
              <w:ind w:firstLine="0"/>
              <w:rPr>
                <w:rFonts w:cs="Times New Roman"/>
              </w:rPr>
            </w:pPr>
            <w:r w:rsidRPr="00202271">
              <w:rPr>
                <w:rFonts w:cs="Times New Roman"/>
                <w:b/>
                <w:bCs/>
                <w:color w:val="000000"/>
              </w:rPr>
              <w:t>Log(2) Fold Change</w:t>
            </w:r>
          </w:p>
        </w:tc>
        <w:tc>
          <w:tcPr>
            <w:tcW w:w="2152" w:type="dxa"/>
            <w:vMerge w:val="restart"/>
            <w:tcBorders>
              <w:top w:val="single" w:sz="4" w:space="0" w:color="auto"/>
            </w:tcBorders>
            <w:noWrap/>
            <w:vAlign w:val="bottom"/>
            <w:hideMark/>
          </w:tcPr>
          <w:p w14:paraId="39AC5F72" w14:textId="77777777" w:rsidR="009C7D45" w:rsidRPr="00202271" w:rsidRDefault="009C7D45" w:rsidP="002E3F44">
            <w:pPr>
              <w:spacing w:line="240" w:lineRule="auto"/>
              <w:ind w:firstLine="0"/>
              <w:rPr>
                <w:rFonts w:cs="Times New Roman"/>
              </w:rPr>
            </w:pPr>
            <w:r w:rsidRPr="00202271">
              <w:rPr>
                <w:rFonts w:cs="Times New Roman"/>
                <w:b/>
                <w:bCs/>
                <w:color w:val="000000"/>
              </w:rPr>
              <w:t>ANOVA (</w:t>
            </w:r>
            <w:r w:rsidRPr="00202271">
              <w:rPr>
                <w:rFonts w:cs="Times New Roman"/>
                <w:b/>
                <w:bCs/>
                <w:i/>
                <w:iCs/>
                <w:color w:val="000000"/>
              </w:rPr>
              <w:t>p</w:t>
            </w:r>
            <w:r w:rsidRPr="00202271">
              <w:rPr>
                <w:rFonts w:cs="Times New Roman"/>
                <w:b/>
                <w:bCs/>
                <w:color w:val="000000"/>
              </w:rPr>
              <w:t>)</w:t>
            </w:r>
          </w:p>
        </w:tc>
        <w:tc>
          <w:tcPr>
            <w:tcW w:w="6994" w:type="dxa"/>
            <w:vMerge w:val="restart"/>
            <w:tcBorders>
              <w:top w:val="single" w:sz="4" w:space="0" w:color="auto"/>
            </w:tcBorders>
            <w:noWrap/>
            <w:vAlign w:val="bottom"/>
            <w:hideMark/>
          </w:tcPr>
          <w:p w14:paraId="24D66C56" w14:textId="77777777" w:rsidR="009C7D45" w:rsidRPr="00202271" w:rsidRDefault="009C7D45" w:rsidP="002E3F44">
            <w:pPr>
              <w:spacing w:line="240" w:lineRule="auto"/>
              <w:ind w:firstLine="0"/>
              <w:rPr>
                <w:rFonts w:cs="Times New Roman"/>
              </w:rPr>
            </w:pPr>
            <w:r w:rsidRPr="00202271">
              <w:rPr>
                <w:rFonts w:cs="Times New Roman"/>
                <w:b/>
                <w:bCs/>
                <w:color w:val="000000"/>
              </w:rPr>
              <w:t>Putative ID's (assigned by Progenesis MALDI)</w:t>
            </w:r>
          </w:p>
        </w:tc>
      </w:tr>
      <w:tr w:rsidR="009C7D45" w:rsidRPr="00202271" w14:paraId="2DF6B478" w14:textId="77777777" w:rsidTr="002E3F44">
        <w:trPr>
          <w:trHeight w:val="276"/>
          <w:tblHeader/>
        </w:trPr>
        <w:tc>
          <w:tcPr>
            <w:tcW w:w="1260" w:type="dxa"/>
            <w:vMerge/>
            <w:tcBorders>
              <w:bottom w:val="single" w:sz="4" w:space="0" w:color="auto"/>
            </w:tcBorders>
            <w:vAlign w:val="bottom"/>
            <w:hideMark/>
          </w:tcPr>
          <w:p w14:paraId="1052918D" w14:textId="77777777" w:rsidR="009C7D45" w:rsidRPr="00202271" w:rsidRDefault="009C7D45" w:rsidP="002E3F44">
            <w:pPr>
              <w:spacing w:line="240" w:lineRule="auto"/>
              <w:ind w:firstLine="0"/>
              <w:rPr>
                <w:rFonts w:cs="Times New Roman"/>
                <w:b/>
                <w:bCs/>
                <w:color w:val="000000"/>
              </w:rPr>
            </w:pPr>
          </w:p>
        </w:tc>
        <w:tc>
          <w:tcPr>
            <w:tcW w:w="2495" w:type="dxa"/>
            <w:gridSpan w:val="2"/>
            <w:vMerge/>
            <w:tcBorders>
              <w:bottom w:val="single" w:sz="4" w:space="0" w:color="auto"/>
            </w:tcBorders>
            <w:vAlign w:val="bottom"/>
            <w:hideMark/>
          </w:tcPr>
          <w:p w14:paraId="4AA67EDA" w14:textId="77777777" w:rsidR="009C7D45" w:rsidRPr="00202271" w:rsidRDefault="009C7D45" w:rsidP="002E3F44">
            <w:pPr>
              <w:spacing w:line="240" w:lineRule="auto"/>
              <w:ind w:firstLine="0"/>
              <w:rPr>
                <w:rFonts w:cs="Times New Roman"/>
                <w:b/>
                <w:bCs/>
                <w:color w:val="000000"/>
              </w:rPr>
            </w:pPr>
          </w:p>
        </w:tc>
        <w:tc>
          <w:tcPr>
            <w:tcW w:w="2152" w:type="dxa"/>
            <w:vMerge/>
            <w:tcBorders>
              <w:bottom w:val="single" w:sz="4" w:space="0" w:color="auto"/>
            </w:tcBorders>
            <w:noWrap/>
            <w:vAlign w:val="bottom"/>
            <w:hideMark/>
          </w:tcPr>
          <w:p w14:paraId="705D469C" w14:textId="77777777" w:rsidR="009C7D45" w:rsidRPr="00202271" w:rsidRDefault="009C7D45" w:rsidP="002E3F44">
            <w:pPr>
              <w:spacing w:line="240" w:lineRule="auto"/>
              <w:ind w:firstLine="0"/>
              <w:rPr>
                <w:rFonts w:cs="Times New Roman"/>
                <w:b/>
                <w:bCs/>
                <w:color w:val="000000"/>
              </w:rPr>
            </w:pPr>
          </w:p>
        </w:tc>
        <w:tc>
          <w:tcPr>
            <w:tcW w:w="6994" w:type="dxa"/>
            <w:vMerge/>
            <w:tcBorders>
              <w:bottom w:val="single" w:sz="4" w:space="0" w:color="auto"/>
            </w:tcBorders>
            <w:vAlign w:val="bottom"/>
            <w:hideMark/>
          </w:tcPr>
          <w:p w14:paraId="456AD192" w14:textId="77777777" w:rsidR="009C7D45" w:rsidRPr="00202271" w:rsidRDefault="009C7D45" w:rsidP="002E3F44">
            <w:pPr>
              <w:spacing w:line="240" w:lineRule="auto"/>
              <w:ind w:firstLine="0"/>
              <w:rPr>
                <w:rFonts w:cs="Times New Roman"/>
                <w:b/>
                <w:bCs/>
                <w:color w:val="000000"/>
              </w:rPr>
            </w:pPr>
          </w:p>
        </w:tc>
      </w:tr>
      <w:tr w:rsidR="009C7D45" w:rsidRPr="00202271" w14:paraId="5E1FA75E" w14:textId="77777777" w:rsidTr="00F86765">
        <w:trPr>
          <w:trHeight w:val="144"/>
        </w:trPr>
        <w:tc>
          <w:tcPr>
            <w:tcW w:w="1260" w:type="dxa"/>
            <w:tcBorders>
              <w:top w:val="single" w:sz="4" w:space="0" w:color="auto"/>
            </w:tcBorders>
            <w:noWrap/>
            <w:vAlign w:val="center"/>
            <w:hideMark/>
          </w:tcPr>
          <w:p w14:paraId="6C761EAE" w14:textId="77777777" w:rsidR="009C7D45" w:rsidRPr="00202271" w:rsidRDefault="009C7D45" w:rsidP="002E3F44">
            <w:pPr>
              <w:spacing w:line="240" w:lineRule="auto"/>
              <w:ind w:firstLine="0"/>
              <w:rPr>
                <w:rFonts w:cs="Times New Roman"/>
                <w:color w:val="000000"/>
              </w:rPr>
            </w:pPr>
            <w:r w:rsidRPr="00202271">
              <w:rPr>
                <w:rFonts w:cs="Times New Roman"/>
                <w:color w:val="000000"/>
              </w:rPr>
              <w:t>41.03</w:t>
            </w:r>
          </w:p>
        </w:tc>
        <w:tc>
          <w:tcPr>
            <w:tcW w:w="2495" w:type="dxa"/>
            <w:gridSpan w:val="2"/>
            <w:tcBorders>
              <w:top w:val="single" w:sz="4" w:space="0" w:color="auto"/>
            </w:tcBorders>
            <w:noWrap/>
            <w:vAlign w:val="center"/>
            <w:hideMark/>
          </w:tcPr>
          <w:p w14:paraId="0A83F72B"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128.78</w:t>
            </w:r>
          </w:p>
        </w:tc>
        <w:tc>
          <w:tcPr>
            <w:tcW w:w="2152" w:type="dxa"/>
            <w:tcBorders>
              <w:top w:val="single" w:sz="4" w:space="0" w:color="auto"/>
            </w:tcBorders>
            <w:noWrap/>
            <w:vAlign w:val="center"/>
            <w:hideMark/>
          </w:tcPr>
          <w:p w14:paraId="03ADED23"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1.47E-06</w:t>
            </w:r>
          </w:p>
        </w:tc>
        <w:tc>
          <w:tcPr>
            <w:tcW w:w="6994" w:type="dxa"/>
            <w:tcBorders>
              <w:top w:val="single" w:sz="4" w:space="0" w:color="auto"/>
            </w:tcBorders>
            <w:vAlign w:val="center"/>
            <w:hideMark/>
          </w:tcPr>
          <w:p w14:paraId="426F1A40" w14:textId="77777777" w:rsidR="009C7D45" w:rsidRPr="00202271" w:rsidRDefault="009C7D45" w:rsidP="002E3F44">
            <w:pPr>
              <w:spacing w:line="240" w:lineRule="auto"/>
              <w:ind w:firstLine="0"/>
              <w:rPr>
                <w:rFonts w:cs="Times New Roman"/>
                <w:color w:val="000000"/>
              </w:rPr>
            </w:pPr>
            <w:r w:rsidRPr="00202271">
              <w:rPr>
                <w:rFonts w:cs="Times New Roman"/>
                <w:color w:val="000000"/>
              </w:rPr>
              <w:t>Cyclopropene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4</w:t>
            </w:r>
            <w:r w:rsidRPr="00202271">
              <w:rPr>
                <w:rFonts w:cs="Times New Roman"/>
                <w:color w:val="000000"/>
              </w:rPr>
              <w:t>)</w:t>
            </w:r>
            <w:r w:rsidRPr="00202271">
              <w:rPr>
                <w:rFonts w:cs="Times New Roman"/>
                <w:color w:val="000000"/>
              </w:rPr>
              <w:br/>
              <w:t>Propyne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4</w:t>
            </w:r>
            <w:r w:rsidRPr="00202271">
              <w:rPr>
                <w:rFonts w:cs="Times New Roman"/>
                <w:color w:val="000000"/>
              </w:rPr>
              <w:t>)</w:t>
            </w:r>
            <w:r w:rsidRPr="00202271">
              <w:rPr>
                <w:rFonts w:cs="Times New Roman"/>
                <w:color w:val="000000"/>
              </w:rPr>
              <w:br/>
              <w:t>Propa-1,2-diene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4</w:t>
            </w:r>
            <w:r w:rsidRPr="00202271">
              <w:rPr>
                <w:rFonts w:cs="Times New Roman"/>
                <w:color w:val="000000"/>
              </w:rPr>
              <w:t>)</w:t>
            </w:r>
          </w:p>
          <w:p w14:paraId="3B4EEE7B" w14:textId="77777777" w:rsidR="009C7D45" w:rsidRPr="00202271" w:rsidRDefault="009C7D45" w:rsidP="002E3F44">
            <w:pPr>
              <w:spacing w:line="240" w:lineRule="auto"/>
              <w:ind w:firstLine="0"/>
              <w:rPr>
                <w:rFonts w:cs="Times New Roman"/>
                <w:color w:val="000000"/>
              </w:rPr>
            </w:pPr>
          </w:p>
        </w:tc>
      </w:tr>
      <w:tr w:rsidR="009C7D45" w:rsidRPr="00202271" w14:paraId="5B4B939A" w14:textId="77777777" w:rsidTr="00F86765">
        <w:trPr>
          <w:trHeight w:val="144"/>
        </w:trPr>
        <w:tc>
          <w:tcPr>
            <w:tcW w:w="1260" w:type="dxa"/>
            <w:shd w:val="clear" w:color="auto" w:fill="F2F2F2" w:themeFill="background1" w:themeFillShade="F2"/>
            <w:noWrap/>
            <w:vAlign w:val="center"/>
            <w:hideMark/>
          </w:tcPr>
          <w:p w14:paraId="7F64B44F" w14:textId="77777777" w:rsidR="009C7D45" w:rsidRPr="00202271" w:rsidRDefault="009C7D45" w:rsidP="002E3F44">
            <w:pPr>
              <w:spacing w:line="240" w:lineRule="auto"/>
              <w:ind w:firstLine="0"/>
              <w:rPr>
                <w:rFonts w:cs="Times New Roman"/>
                <w:color w:val="000000"/>
              </w:rPr>
            </w:pPr>
            <w:r w:rsidRPr="00202271">
              <w:rPr>
                <w:rFonts w:cs="Times New Roman"/>
                <w:color w:val="000000"/>
              </w:rPr>
              <w:t>42.43</w:t>
            </w:r>
          </w:p>
        </w:tc>
        <w:tc>
          <w:tcPr>
            <w:tcW w:w="2495" w:type="dxa"/>
            <w:gridSpan w:val="2"/>
            <w:shd w:val="clear" w:color="auto" w:fill="F2F2F2" w:themeFill="background1" w:themeFillShade="F2"/>
            <w:noWrap/>
            <w:vAlign w:val="center"/>
            <w:hideMark/>
          </w:tcPr>
          <w:p w14:paraId="556641DE" w14:textId="77777777" w:rsidR="009C7D45" w:rsidRPr="00202271" w:rsidRDefault="009C7D45" w:rsidP="002E3F44">
            <w:pPr>
              <w:spacing w:line="240" w:lineRule="auto"/>
              <w:ind w:firstLine="0"/>
              <w:rPr>
                <w:rFonts w:cs="Times New Roman"/>
                <w:color w:val="000000"/>
              </w:rPr>
            </w:pPr>
            <w:r w:rsidRPr="00202271">
              <w:rPr>
                <w:rFonts w:cs="Times New Roman"/>
                <w:color w:val="000000"/>
              </w:rPr>
              <w:t>64853.36</w:t>
            </w:r>
          </w:p>
        </w:tc>
        <w:tc>
          <w:tcPr>
            <w:tcW w:w="2152" w:type="dxa"/>
            <w:shd w:val="clear" w:color="auto" w:fill="F2F2F2" w:themeFill="background1" w:themeFillShade="F2"/>
            <w:noWrap/>
            <w:vAlign w:val="center"/>
            <w:hideMark/>
          </w:tcPr>
          <w:p w14:paraId="4EF9D590" w14:textId="77777777" w:rsidR="009C7D45" w:rsidRPr="00202271" w:rsidRDefault="009C7D45" w:rsidP="002E3F44">
            <w:pPr>
              <w:spacing w:line="240" w:lineRule="auto"/>
              <w:ind w:firstLine="0"/>
              <w:rPr>
                <w:rFonts w:cs="Times New Roman"/>
                <w:color w:val="000000"/>
              </w:rPr>
            </w:pPr>
            <w:r w:rsidRPr="00202271">
              <w:rPr>
                <w:rFonts w:cs="Times New Roman"/>
                <w:color w:val="000000"/>
              </w:rPr>
              <w:t>0.000321</w:t>
            </w:r>
          </w:p>
        </w:tc>
        <w:tc>
          <w:tcPr>
            <w:tcW w:w="6994" w:type="dxa"/>
            <w:shd w:val="clear" w:color="auto" w:fill="F2F2F2" w:themeFill="background1" w:themeFillShade="F2"/>
            <w:noWrap/>
            <w:vAlign w:val="center"/>
            <w:hideMark/>
          </w:tcPr>
          <w:p w14:paraId="6182CF13" w14:textId="77777777" w:rsidR="009C7D45" w:rsidRPr="00202271" w:rsidRDefault="009C7D45" w:rsidP="002E3F44">
            <w:pPr>
              <w:spacing w:line="240" w:lineRule="auto"/>
              <w:ind w:firstLine="0"/>
              <w:rPr>
                <w:rFonts w:cs="Times New Roman"/>
                <w:color w:val="000000"/>
              </w:rPr>
            </w:pPr>
            <w:r w:rsidRPr="00202271">
              <w:rPr>
                <w:rFonts w:cs="Times New Roman"/>
                <w:color w:val="000000"/>
              </w:rPr>
              <w:t>Acetonitrile (CH</w:t>
            </w:r>
            <w:r w:rsidRPr="00202271">
              <w:rPr>
                <w:rFonts w:cs="Times New Roman"/>
                <w:color w:val="000000"/>
                <w:vertAlign w:val="subscript"/>
              </w:rPr>
              <w:t>3</w:t>
            </w:r>
            <w:r w:rsidRPr="00202271">
              <w:rPr>
                <w:rFonts w:cs="Times New Roman"/>
                <w:color w:val="000000"/>
              </w:rPr>
              <w:t>CN)</w:t>
            </w:r>
          </w:p>
          <w:p w14:paraId="724EFCF7" w14:textId="77777777" w:rsidR="009C7D45" w:rsidRPr="00202271" w:rsidRDefault="009C7D45" w:rsidP="002E3F44">
            <w:pPr>
              <w:spacing w:line="240" w:lineRule="auto"/>
              <w:ind w:firstLine="0"/>
              <w:rPr>
                <w:rFonts w:cs="Times New Roman"/>
                <w:color w:val="000000"/>
              </w:rPr>
            </w:pPr>
          </w:p>
        </w:tc>
      </w:tr>
      <w:tr w:rsidR="009C7D45" w:rsidRPr="00202271" w14:paraId="3A291873" w14:textId="77777777" w:rsidTr="00F86765">
        <w:trPr>
          <w:trHeight w:val="144"/>
        </w:trPr>
        <w:tc>
          <w:tcPr>
            <w:tcW w:w="1260" w:type="dxa"/>
            <w:noWrap/>
            <w:vAlign w:val="center"/>
            <w:hideMark/>
          </w:tcPr>
          <w:p w14:paraId="7D6A6F28" w14:textId="77777777" w:rsidR="009C7D45" w:rsidRPr="00202271" w:rsidRDefault="009C7D45" w:rsidP="002E3F44">
            <w:pPr>
              <w:spacing w:line="240" w:lineRule="auto"/>
              <w:ind w:firstLine="0"/>
              <w:rPr>
                <w:rFonts w:cs="Times New Roman"/>
                <w:color w:val="000000"/>
              </w:rPr>
            </w:pPr>
            <w:r w:rsidRPr="00202271">
              <w:rPr>
                <w:rFonts w:cs="Times New Roman"/>
                <w:color w:val="000000"/>
              </w:rPr>
              <w:t>45.26</w:t>
            </w:r>
          </w:p>
        </w:tc>
        <w:tc>
          <w:tcPr>
            <w:tcW w:w="2495" w:type="dxa"/>
            <w:gridSpan w:val="2"/>
            <w:noWrap/>
            <w:vAlign w:val="center"/>
            <w:hideMark/>
          </w:tcPr>
          <w:p w14:paraId="7737472A"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169.45</w:t>
            </w:r>
          </w:p>
        </w:tc>
        <w:tc>
          <w:tcPr>
            <w:tcW w:w="2152" w:type="dxa"/>
            <w:noWrap/>
            <w:vAlign w:val="center"/>
            <w:hideMark/>
          </w:tcPr>
          <w:p w14:paraId="1EB21D5B" w14:textId="77777777" w:rsidR="009C7D45" w:rsidRPr="00202271" w:rsidRDefault="009C7D45" w:rsidP="002E3F44">
            <w:pPr>
              <w:spacing w:line="240" w:lineRule="auto"/>
              <w:ind w:firstLine="0"/>
              <w:rPr>
                <w:rFonts w:cs="Times New Roman"/>
                <w:color w:val="000000"/>
              </w:rPr>
            </w:pPr>
            <w:r w:rsidRPr="00202271">
              <w:rPr>
                <w:rFonts w:cs="Times New Roman"/>
                <w:color w:val="000000"/>
              </w:rPr>
              <w:t>&lt;1.1E-16</w:t>
            </w:r>
          </w:p>
        </w:tc>
        <w:tc>
          <w:tcPr>
            <w:tcW w:w="6994" w:type="dxa"/>
            <w:vAlign w:val="center"/>
            <w:hideMark/>
          </w:tcPr>
          <w:p w14:paraId="321CF2B8" w14:textId="77777777" w:rsidR="009C7D45" w:rsidRPr="00202271" w:rsidRDefault="009C7D45" w:rsidP="002E3F44">
            <w:pPr>
              <w:spacing w:line="240" w:lineRule="auto"/>
              <w:ind w:firstLine="0"/>
              <w:rPr>
                <w:rFonts w:cs="Times New Roman"/>
                <w:color w:val="000000"/>
              </w:rPr>
            </w:pPr>
            <w:r w:rsidRPr="00202271">
              <w:rPr>
                <w:rFonts w:cs="Times New Roman"/>
                <w:color w:val="000000"/>
              </w:rPr>
              <w:t>Ethanal (CH</w:t>
            </w:r>
            <w:r w:rsidRPr="00202271">
              <w:rPr>
                <w:rFonts w:cs="Times New Roman"/>
                <w:color w:val="000000"/>
                <w:vertAlign w:val="subscript"/>
              </w:rPr>
              <w:t>3</w:t>
            </w:r>
            <w:r w:rsidRPr="00202271">
              <w:rPr>
                <w:rFonts w:cs="Times New Roman"/>
                <w:color w:val="000000"/>
              </w:rPr>
              <w:t>CHO)</w:t>
            </w:r>
            <w:r w:rsidRPr="00202271">
              <w:rPr>
                <w:rFonts w:cs="Times New Roman"/>
                <w:color w:val="000000"/>
              </w:rPr>
              <w:br/>
              <w:t>Ethylene oxide (C</w:t>
            </w:r>
            <w:r w:rsidRPr="00202271">
              <w:rPr>
                <w:rFonts w:cs="Times New Roman"/>
                <w:color w:val="000000"/>
                <w:vertAlign w:val="subscript"/>
              </w:rPr>
              <w:t>2</w:t>
            </w:r>
            <w:r w:rsidRPr="00202271">
              <w:rPr>
                <w:rFonts w:cs="Times New Roman"/>
                <w:color w:val="000000"/>
              </w:rPr>
              <w:t>H</w:t>
            </w:r>
            <w:r w:rsidRPr="00202271">
              <w:rPr>
                <w:rFonts w:cs="Times New Roman"/>
                <w:color w:val="000000"/>
                <w:vertAlign w:val="subscript"/>
              </w:rPr>
              <w:t>4</w:t>
            </w:r>
            <w:r w:rsidRPr="00202271">
              <w:rPr>
                <w:rFonts w:cs="Times New Roman"/>
                <w:color w:val="000000"/>
              </w:rPr>
              <w:t>O)</w:t>
            </w:r>
            <w:r w:rsidRPr="00202271">
              <w:rPr>
                <w:rFonts w:cs="Times New Roman"/>
                <w:color w:val="000000"/>
              </w:rPr>
              <w:br/>
              <w:t>Propane (CH</w:t>
            </w:r>
            <w:r w:rsidRPr="00202271">
              <w:rPr>
                <w:rFonts w:cs="Times New Roman"/>
                <w:color w:val="000000"/>
                <w:vertAlign w:val="subscript"/>
              </w:rPr>
              <w:t>3</w:t>
            </w:r>
            <w:r w:rsidRPr="00202271">
              <w:rPr>
                <w:rFonts w:cs="Times New Roman"/>
                <w:color w:val="000000"/>
              </w:rPr>
              <w:t>CH</w:t>
            </w:r>
            <w:r w:rsidRPr="00202271">
              <w:rPr>
                <w:rFonts w:cs="Times New Roman"/>
                <w:color w:val="000000"/>
                <w:vertAlign w:val="subscript"/>
              </w:rPr>
              <w:t>2</w:t>
            </w:r>
            <w:r w:rsidRPr="00202271">
              <w:rPr>
                <w:rFonts w:cs="Times New Roman"/>
                <w:color w:val="000000"/>
              </w:rPr>
              <w:t>CH</w:t>
            </w:r>
            <w:r w:rsidRPr="00202271">
              <w:rPr>
                <w:rFonts w:cs="Times New Roman"/>
                <w:color w:val="000000"/>
                <w:vertAlign w:val="subscript"/>
              </w:rPr>
              <w:t>3</w:t>
            </w:r>
            <w:r w:rsidRPr="00202271">
              <w:rPr>
                <w:rFonts w:cs="Times New Roman"/>
                <w:color w:val="000000"/>
              </w:rPr>
              <w:t>)</w:t>
            </w:r>
          </w:p>
          <w:p w14:paraId="1B983B56" w14:textId="77777777" w:rsidR="009C7D45" w:rsidRPr="00202271" w:rsidRDefault="009C7D45" w:rsidP="002E3F44">
            <w:pPr>
              <w:spacing w:line="240" w:lineRule="auto"/>
              <w:ind w:firstLine="0"/>
              <w:rPr>
                <w:rFonts w:cs="Times New Roman"/>
                <w:color w:val="000000"/>
              </w:rPr>
            </w:pPr>
          </w:p>
        </w:tc>
      </w:tr>
      <w:tr w:rsidR="009C7D45" w:rsidRPr="00202271" w14:paraId="7955BDD3" w14:textId="77777777" w:rsidTr="00F86765">
        <w:trPr>
          <w:trHeight w:val="144"/>
        </w:trPr>
        <w:tc>
          <w:tcPr>
            <w:tcW w:w="1260" w:type="dxa"/>
            <w:shd w:val="clear" w:color="auto" w:fill="F2F2F2" w:themeFill="background1" w:themeFillShade="F2"/>
            <w:noWrap/>
            <w:vAlign w:val="center"/>
            <w:hideMark/>
          </w:tcPr>
          <w:p w14:paraId="559BD52F" w14:textId="77777777" w:rsidR="009C7D45" w:rsidRPr="00202271" w:rsidRDefault="009C7D45" w:rsidP="002E3F44">
            <w:pPr>
              <w:spacing w:line="240" w:lineRule="auto"/>
              <w:ind w:firstLine="0"/>
              <w:rPr>
                <w:rFonts w:cs="Times New Roman"/>
                <w:color w:val="000000"/>
              </w:rPr>
            </w:pPr>
            <w:r w:rsidRPr="00202271">
              <w:rPr>
                <w:rFonts w:cs="Times New Roman"/>
                <w:color w:val="000000"/>
              </w:rPr>
              <w:t>53.72</w:t>
            </w:r>
          </w:p>
        </w:tc>
        <w:tc>
          <w:tcPr>
            <w:tcW w:w="2495" w:type="dxa"/>
            <w:gridSpan w:val="2"/>
            <w:shd w:val="clear" w:color="auto" w:fill="F2F2F2" w:themeFill="background1" w:themeFillShade="F2"/>
            <w:noWrap/>
            <w:vAlign w:val="center"/>
            <w:hideMark/>
          </w:tcPr>
          <w:p w14:paraId="564E4B02"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19.23</w:t>
            </w:r>
          </w:p>
        </w:tc>
        <w:tc>
          <w:tcPr>
            <w:tcW w:w="2152" w:type="dxa"/>
            <w:shd w:val="clear" w:color="auto" w:fill="F2F2F2" w:themeFill="background1" w:themeFillShade="F2"/>
            <w:noWrap/>
            <w:vAlign w:val="center"/>
            <w:hideMark/>
          </w:tcPr>
          <w:p w14:paraId="14A06AE3" w14:textId="77777777" w:rsidR="009C7D45" w:rsidRPr="00202271" w:rsidRDefault="009C7D45" w:rsidP="002E3F44">
            <w:pPr>
              <w:spacing w:line="240" w:lineRule="auto"/>
              <w:ind w:firstLine="0"/>
              <w:rPr>
                <w:rFonts w:cs="Times New Roman"/>
                <w:color w:val="000000"/>
              </w:rPr>
            </w:pPr>
            <w:r w:rsidRPr="00202271">
              <w:rPr>
                <w:rFonts w:cs="Times New Roman"/>
                <w:color w:val="000000"/>
              </w:rPr>
              <w:t>3.17E-12</w:t>
            </w:r>
          </w:p>
        </w:tc>
        <w:tc>
          <w:tcPr>
            <w:tcW w:w="6994" w:type="dxa"/>
            <w:shd w:val="clear" w:color="auto" w:fill="F2F2F2" w:themeFill="background1" w:themeFillShade="F2"/>
            <w:vAlign w:val="center"/>
            <w:hideMark/>
          </w:tcPr>
          <w:p w14:paraId="6931542A"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1-Oxoprop-2-ynyl (C</w:t>
            </w:r>
            <w:r w:rsidRPr="00202271">
              <w:rPr>
                <w:rFonts w:cs="Times New Roman"/>
                <w:color w:val="000000"/>
                <w:vertAlign w:val="subscript"/>
              </w:rPr>
              <w:t>3</w:t>
            </w:r>
            <w:r w:rsidRPr="00202271">
              <w:rPr>
                <w:rFonts w:cs="Times New Roman"/>
                <w:color w:val="000000"/>
              </w:rPr>
              <w:t>HO)</w:t>
            </w:r>
            <w:r w:rsidRPr="00202271">
              <w:rPr>
                <w:rFonts w:cs="Times New Roman"/>
                <w:color w:val="000000"/>
              </w:rPr>
              <w:br/>
              <w:t>2-Propenenitrile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3</w:t>
            </w:r>
            <w:r w:rsidRPr="00202271">
              <w:rPr>
                <w:rFonts w:cs="Times New Roman"/>
                <w:color w:val="000000"/>
              </w:rPr>
              <w:t>N)</w:t>
            </w:r>
          </w:p>
          <w:p w14:paraId="2476B6F6" w14:textId="77777777" w:rsidR="009C7D45" w:rsidRPr="00202271" w:rsidRDefault="009C7D45" w:rsidP="002E3F44">
            <w:pPr>
              <w:spacing w:line="240" w:lineRule="auto"/>
              <w:ind w:firstLine="0"/>
              <w:rPr>
                <w:rFonts w:cs="Times New Roman"/>
                <w:color w:val="000000"/>
              </w:rPr>
            </w:pPr>
          </w:p>
        </w:tc>
      </w:tr>
      <w:tr w:rsidR="009C7D45" w:rsidRPr="00202271" w14:paraId="4EF348D7" w14:textId="77777777" w:rsidTr="00F86765">
        <w:trPr>
          <w:trHeight w:val="144"/>
        </w:trPr>
        <w:tc>
          <w:tcPr>
            <w:tcW w:w="1260" w:type="dxa"/>
            <w:noWrap/>
            <w:vAlign w:val="center"/>
            <w:hideMark/>
          </w:tcPr>
          <w:p w14:paraId="69604C46" w14:textId="77777777" w:rsidR="009C7D45" w:rsidRPr="00202271" w:rsidRDefault="009C7D45" w:rsidP="002E3F44">
            <w:pPr>
              <w:spacing w:line="240" w:lineRule="auto"/>
              <w:ind w:firstLine="0"/>
              <w:rPr>
                <w:rFonts w:cs="Times New Roman"/>
                <w:color w:val="000000"/>
              </w:rPr>
            </w:pPr>
            <w:r w:rsidRPr="00202271">
              <w:rPr>
                <w:rFonts w:cs="Times New Roman"/>
                <w:color w:val="000000"/>
              </w:rPr>
              <w:t>55.09</w:t>
            </w:r>
          </w:p>
        </w:tc>
        <w:tc>
          <w:tcPr>
            <w:tcW w:w="2495" w:type="dxa"/>
            <w:gridSpan w:val="2"/>
            <w:noWrap/>
            <w:vAlign w:val="center"/>
            <w:hideMark/>
          </w:tcPr>
          <w:p w14:paraId="2E5B06C0"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156.58</w:t>
            </w:r>
          </w:p>
        </w:tc>
        <w:tc>
          <w:tcPr>
            <w:tcW w:w="2152" w:type="dxa"/>
            <w:noWrap/>
            <w:vAlign w:val="center"/>
            <w:hideMark/>
          </w:tcPr>
          <w:p w14:paraId="751ECE1C" w14:textId="77777777" w:rsidR="009C7D45" w:rsidRPr="00202271" w:rsidRDefault="009C7D45" w:rsidP="002E3F44">
            <w:pPr>
              <w:spacing w:line="240" w:lineRule="auto"/>
              <w:ind w:firstLine="0"/>
              <w:rPr>
                <w:rFonts w:cs="Times New Roman"/>
                <w:color w:val="000000"/>
              </w:rPr>
            </w:pPr>
            <w:r w:rsidRPr="00202271">
              <w:rPr>
                <w:rFonts w:cs="Times New Roman"/>
                <w:color w:val="000000"/>
              </w:rPr>
              <w:t>5.01E-09</w:t>
            </w:r>
          </w:p>
        </w:tc>
        <w:tc>
          <w:tcPr>
            <w:tcW w:w="6994" w:type="dxa"/>
            <w:vAlign w:val="center"/>
            <w:hideMark/>
          </w:tcPr>
          <w:p w14:paraId="39D60A9F"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1,3-Butadiene (C</w:t>
            </w:r>
            <w:r w:rsidRPr="00202271">
              <w:rPr>
                <w:rFonts w:cs="Times New Roman"/>
                <w:color w:val="000000"/>
                <w:vertAlign w:val="subscript"/>
              </w:rPr>
              <w:t>4</w:t>
            </w:r>
            <w:r w:rsidRPr="00202271">
              <w:rPr>
                <w:rFonts w:cs="Times New Roman"/>
                <w:color w:val="000000"/>
              </w:rPr>
              <w:t>H</w:t>
            </w:r>
            <w:r w:rsidRPr="00202271">
              <w:rPr>
                <w:rFonts w:cs="Times New Roman"/>
                <w:color w:val="000000"/>
                <w:vertAlign w:val="subscript"/>
              </w:rPr>
              <w:t>6</w:t>
            </w:r>
            <w:r w:rsidRPr="00202271">
              <w:rPr>
                <w:rFonts w:cs="Times New Roman"/>
                <w:color w:val="000000"/>
              </w:rPr>
              <w:t>)</w:t>
            </w:r>
            <w:r w:rsidRPr="00202271">
              <w:rPr>
                <w:rFonts w:cs="Times New Roman"/>
                <w:color w:val="000000"/>
              </w:rPr>
              <w:br/>
              <w:t>1,2-Butadiene (C</w:t>
            </w:r>
            <w:r w:rsidRPr="00202271">
              <w:rPr>
                <w:rFonts w:cs="Times New Roman"/>
                <w:color w:val="000000"/>
                <w:vertAlign w:val="subscript"/>
              </w:rPr>
              <w:t>4</w:t>
            </w:r>
            <w:r w:rsidRPr="00202271">
              <w:rPr>
                <w:rFonts w:cs="Times New Roman"/>
                <w:color w:val="000000"/>
              </w:rPr>
              <w:t>H</w:t>
            </w:r>
            <w:r w:rsidRPr="00202271">
              <w:rPr>
                <w:rFonts w:cs="Times New Roman"/>
                <w:color w:val="000000"/>
                <w:vertAlign w:val="subscript"/>
              </w:rPr>
              <w:t>6</w:t>
            </w:r>
            <w:r w:rsidRPr="00202271">
              <w:rPr>
                <w:rFonts w:cs="Times New Roman"/>
                <w:color w:val="000000"/>
              </w:rPr>
              <w:t>)</w:t>
            </w:r>
            <w:r w:rsidRPr="00202271">
              <w:rPr>
                <w:rFonts w:cs="Times New Roman"/>
                <w:color w:val="000000"/>
              </w:rPr>
              <w:br/>
              <w:t>Cyclobutene (C</w:t>
            </w:r>
            <w:r w:rsidRPr="00202271">
              <w:rPr>
                <w:rFonts w:cs="Times New Roman"/>
                <w:color w:val="000000"/>
                <w:vertAlign w:val="subscript"/>
              </w:rPr>
              <w:t>4</w:t>
            </w:r>
            <w:r w:rsidRPr="00202271">
              <w:rPr>
                <w:rFonts w:cs="Times New Roman"/>
                <w:color w:val="000000"/>
              </w:rPr>
              <w:t>H</w:t>
            </w:r>
            <w:r w:rsidRPr="00202271">
              <w:rPr>
                <w:rFonts w:cs="Times New Roman"/>
                <w:color w:val="000000"/>
                <w:vertAlign w:val="subscript"/>
              </w:rPr>
              <w:t>6</w:t>
            </w:r>
            <w:r w:rsidRPr="00202271">
              <w:rPr>
                <w:rFonts w:cs="Times New Roman"/>
                <w:color w:val="000000"/>
              </w:rPr>
              <w:t>)</w:t>
            </w:r>
            <w:r w:rsidRPr="00202271">
              <w:rPr>
                <w:rFonts w:cs="Times New Roman"/>
                <w:color w:val="000000"/>
              </w:rPr>
              <w:br/>
              <w:t>1-Butyne (C</w:t>
            </w:r>
            <w:r w:rsidRPr="00202271">
              <w:rPr>
                <w:rFonts w:cs="Times New Roman"/>
                <w:color w:val="000000"/>
                <w:vertAlign w:val="subscript"/>
              </w:rPr>
              <w:t>4</w:t>
            </w:r>
            <w:r w:rsidRPr="00202271">
              <w:rPr>
                <w:rFonts w:cs="Times New Roman"/>
                <w:color w:val="000000"/>
              </w:rPr>
              <w:t>H</w:t>
            </w:r>
            <w:r w:rsidRPr="00202271">
              <w:rPr>
                <w:rFonts w:cs="Times New Roman"/>
                <w:color w:val="000000"/>
                <w:vertAlign w:val="subscript"/>
              </w:rPr>
              <w:t>6</w:t>
            </w:r>
            <w:r w:rsidRPr="00202271">
              <w:rPr>
                <w:rFonts w:cs="Times New Roman"/>
                <w:color w:val="000000"/>
              </w:rPr>
              <w:t>)</w:t>
            </w:r>
            <w:r w:rsidRPr="00202271">
              <w:rPr>
                <w:rFonts w:cs="Times New Roman"/>
                <w:color w:val="000000"/>
              </w:rPr>
              <w:br/>
              <w:t>2-Butyne (C</w:t>
            </w:r>
            <w:r w:rsidRPr="00202271">
              <w:rPr>
                <w:rFonts w:cs="Times New Roman"/>
                <w:color w:val="000000"/>
                <w:vertAlign w:val="subscript"/>
              </w:rPr>
              <w:t>4</w:t>
            </w:r>
            <w:r w:rsidRPr="00202271">
              <w:rPr>
                <w:rFonts w:cs="Times New Roman"/>
                <w:color w:val="000000"/>
              </w:rPr>
              <w:t>H</w:t>
            </w:r>
            <w:r w:rsidRPr="00202271">
              <w:rPr>
                <w:rFonts w:cs="Times New Roman"/>
                <w:color w:val="000000"/>
                <w:vertAlign w:val="subscript"/>
              </w:rPr>
              <w:t>6</w:t>
            </w:r>
            <w:r w:rsidRPr="00202271">
              <w:rPr>
                <w:rFonts w:cs="Times New Roman"/>
                <w:color w:val="000000"/>
              </w:rPr>
              <w:t>)</w:t>
            </w:r>
            <w:r w:rsidRPr="00202271">
              <w:rPr>
                <w:rFonts w:cs="Times New Roman"/>
                <w:color w:val="000000"/>
              </w:rPr>
              <w:br/>
              <w:t>1-Methylcyclopropene (C</w:t>
            </w:r>
            <w:r w:rsidRPr="00202271">
              <w:rPr>
                <w:rFonts w:cs="Times New Roman"/>
                <w:color w:val="000000"/>
                <w:vertAlign w:val="subscript"/>
              </w:rPr>
              <w:t>4</w:t>
            </w:r>
            <w:r w:rsidRPr="00202271">
              <w:rPr>
                <w:rFonts w:cs="Times New Roman"/>
                <w:color w:val="000000"/>
              </w:rPr>
              <w:t>H</w:t>
            </w:r>
            <w:r w:rsidRPr="00202271">
              <w:rPr>
                <w:rFonts w:cs="Times New Roman"/>
                <w:color w:val="000000"/>
                <w:vertAlign w:val="subscript"/>
              </w:rPr>
              <w:t>6</w:t>
            </w:r>
            <w:r w:rsidRPr="00202271">
              <w:rPr>
                <w:rFonts w:cs="Times New Roman"/>
                <w:color w:val="000000"/>
              </w:rPr>
              <w:t>)</w:t>
            </w:r>
          </w:p>
          <w:p w14:paraId="636258BD" w14:textId="77777777" w:rsidR="009C7D45" w:rsidRPr="00202271" w:rsidRDefault="009C7D45" w:rsidP="002E3F44">
            <w:pPr>
              <w:spacing w:line="240" w:lineRule="auto"/>
              <w:ind w:firstLine="0"/>
              <w:rPr>
                <w:rFonts w:cs="Times New Roman"/>
                <w:color w:val="000000"/>
              </w:rPr>
            </w:pPr>
          </w:p>
        </w:tc>
      </w:tr>
      <w:tr w:rsidR="009C7D45" w:rsidRPr="00202271" w14:paraId="7C1DEBF7" w14:textId="77777777" w:rsidTr="00F86765">
        <w:trPr>
          <w:trHeight w:val="144"/>
        </w:trPr>
        <w:tc>
          <w:tcPr>
            <w:tcW w:w="1260" w:type="dxa"/>
            <w:shd w:val="clear" w:color="auto" w:fill="F2F2F2" w:themeFill="background1" w:themeFillShade="F2"/>
            <w:noWrap/>
            <w:vAlign w:val="center"/>
            <w:hideMark/>
          </w:tcPr>
          <w:p w14:paraId="663E3572" w14:textId="77777777" w:rsidR="009C7D45" w:rsidRPr="00202271" w:rsidRDefault="009C7D45" w:rsidP="002E3F44">
            <w:pPr>
              <w:spacing w:line="240" w:lineRule="auto"/>
              <w:ind w:firstLine="0"/>
              <w:rPr>
                <w:rFonts w:cs="Times New Roman"/>
                <w:color w:val="000000"/>
              </w:rPr>
            </w:pPr>
            <w:r w:rsidRPr="00202271">
              <w:rPr>
                <w:rFonts w:cs="Times New Roman"/>
                <w:color w:val="000000"/>
              </w:rPr>
              <w:t>56.58</w:t>
            </w:r>
          </w:p>
        </w:tc>
        <w:tc>
          <w:tcPr>
            <w:tcW w:w="2495" w:type="dxa"/>
            <w:gridSpan w:val="2"/>
            <w:shd w:val="clear" w:color="auto" w:fill="F2F2F2" w:themeFill="background1" w:themeFillShade="F2"/>
            <w:noWrap/>
            <w:vAlign w:val="center"/>
            <w:hideMark/>
          </w:tcPr>
          <w:p w14:paraId="7B955258" w14:textId="77777777" w:rsidR="009C7D45" w:rsidRPr="00202271" w:rsidRDefault="009C7D45" w:rsidP="002E3F44">
            <w:pPr>
              <w:spacing w:line="240" w:lineRule="auto"/>
              <w:ind w:firstLine="0"/>
              <w:rPr>
                <w:rFonts w:cs="Times New Roman"/>
                <w:color w:val="000000"/>
              </w:rPr>
            </w:pPr>
            <w:r w:rsidRPr="00202271">
              <w:rPr>
                <w:rFonts w:cs="Times New Roman"/>
                <w:color w:val="000000"/>
              </w:rPr>
              <w:t>372.91</w:t>
            </w:r>
          </w:p>
        </w:tc>
        <w:tc>
          <w:tcPr>
            <w:tcW w:w="2152" w:type="dxa"/>
            <w:shd w:val="clear" w:color="auto" w:fill="F2F2F2" w:themeFill="background1" w:themeFillShade="F2"/>
            <w:noWrap/>
            <w:vAlign w:val="center"/>
            <w:hideMark/>
          </w:tcPr>
          <w:p w14:paraId="2A84E472" w14:textId="77777777" w:rsidR="009C7D45" w:rsidRPr="00202271" w:rsidRDefault="009C7D45" w:rsidP="002E3F44">
            <w:pPr>
              <w:spacing w:line="240" w:lineRule="auto"/>
              <w:ind w:firstLine="0"/>
              <w:rPr>
                <w:rFonts w:cs="Times New Roman"/>
                <w:color w:val="000000"/>
              </w:rPr>
            </w:pPr>
            <w:r w:rsidRPr="00202271">
              <w:rPr>
                <w:rFonts w:cs="Times New Roman"/>
                <w:color w:val="000000"/>
              </w:rPr>
              <w:t>5.08E-12</w:t>
            </w:r>
          </w:p>
        </w:tc>
        <w:tc>
          <w:tcPr>
            <w:tcW w:w="6994" w:type="dxa"/>
            <w:shd w:val="clear" w:color="auto" w:fill="F2F2F2" w:themeFill="background1" w:themeFillShade="F2"/>
            <w:vAlign w:val="center"/>
            <w:hideMark/>
          </w:tcPr>
          <w:p w14:paraId="473CA13C"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1-Oxoprop-2-enyl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3</w:t>
            </w:r>
            <w:r w:rsidRPr="00202271">
              <w:rPr>
                <w:rFonts w:cs="Times New Roman"/>
                <w:color w:val="000000"/>
              </w:rPr>
              <w:t>O)</w:t>
            </w:r>
          </w:p>
          <w:p w14:paraId="7C0260FF" w14:textId="77777777" w:rsidR="009C7D45" w:rsidRPr="00202271" w:rsidRDefault="009C7D45" w:rsidP="002E3F44">
            <w:pPr>
              <w:spacing w:line="240" w:lineRule="auto"/>
              <w:ind w:firstLine="0"/>
              <w:rPr>
                <w:rFonts w:cs="Times New Roman"/>
                <w:color w:val="000000"/>
              </w:rPr>
            </w:pPr>
            <w:r w:rsidRPr="00202271">
              <w:rPr>
                <w:rFonts w:cs="Times New Roman"/>
                <w:color w:val="000000"/>
              </w:rPr>
              <w:t>Propanenitrile (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5</w:t>
            </w:r>
            <w:r w:rsidRPr="00202271">
              <w:rPr>
                <w:rFonts w:cs="Times New Roman"/>
                <w:color w:val="000000"/>
              </w:rPr>
              <w:t>N)</w:t>
            </w:r>
          </w:p>
          <w:p w14:paraId="02500D8D" w14:textId="77777777" w:rsidR="009C7D45" w:rsidRPr="00202271" w:rsidRDefault="009C7D45" w:rsidP="002E3F44">
            <w:pPr>
              <w:spacing w:line="240" w:lineRule="auto"/>
              <w:ind w:firstLine="0"/>
              <w:rPr>
                <w:rFonts w:cs="Times New Roman"/>
                <w:color w:val="000000"/>
              </w:rPr>
            </w:pPr>
            <w:r w:rsidRPr="00202271">
              <w:rPr>
                <w:rFonts w:cs="Times New Roman"/>
                <w:color w:val="000000"/>
              </w:rPr>
              <w:t>Vinylimine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5</w:t>
            </w:r>
            <w:r w:rsidRPr="00202271">
              <w:rPr>
                <w:rFonts w:cs="Times New Roman"/>
                <w:color w:val="000000"/>
              </w:rPr>
              <w:t>N)</w:t>
            </w:r>
          </w:p>
          <w:p w14:paraId="542497E3" w14:textId="77777777" w:rsidR="009C7D45" w:rsidRPr="00202271" w:rsidRDefault="009C7D45" w:rsidP="002E3F44">
            <w:pPr>
              <w:spacing w:line="240" w:lineRule="auto"/>
              <w:ind w:firstLine="0"/>
              <w:rPr>
                <w:rFonts w:cs="Times New Roman"/>
                <w:color w:val="000000"/>
              </w:rPr>
            </w:pPr>
            <w:r w:rsidRPr="00202271">
              <w:rPr>
                <w:rFonts w:cs="Times New Roman"/>
                <w:color w:val="000000"/>
              </w:rPr>
              <w:t>Propargylamine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5</w:t>
            </w:r>
            <w:r w:rsidRPr="00202271">
              <w:rPr>
                <w:rFonts w:cs="Times New Roman"/>
                <w:color w:val="000000"/>
              </w:rPr>
              <w:t>N)</w:t>
            </w:r>
          </w:p>
          <w:p w14:paraId="4D0F0302" w14:textId="4BE9F14D" w:rsidR="00A16CD3" w:rsidRPr="00202271" w:rsidRDefault="009C7D45" w:rsidP="002E3F44">
            <w:pPr>
              <w:spacing w:line="240" w:lineRule="auto"/>
              <w:ind w:firstLine="0"/>
              <w:rPr>
                <w:rFonts w:cs="Times New Roman"/>
                <w:color w:val="000000"/>
              </w:rPr>
            </w:pPr>
            <w:r w:rsidRPr="00202271">
              <w:rPr>
                <w:rFonts w:cs="Times New Roman"/>
                <w:color w:val="000000"/>
              </w:rPr>
              <w:t>Cyclopropanimine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5</w:t>
            </w:r>
            <w:r w:rsidRPr="00202271">
              <w:rPr>
                <w:rFonts w:cs="Times New Roman"/>
                <w:color w:val="000000"/>
              </w:rPr>
              <w:t>N)</w:t>
            </w:r>
          </w:p>
          <w:p w14:paraId="301A4D8D" w14:textId="77777777" w:rsidR="009C7D45" w:rsidRPr="00202271" w:rsidRDefault="009C7D45" w:rsidP="002E3F44">
            <w:pPr>
              <w:spacing w:line="240" w:lineRule="auto"/>
              <w:ind w:firstLine="0"/>
              <w:rPr>
                <w:rFonts w:cs="Times New Roman"/>
                <w:color w:val="000000"/>
              </w:rPr>
            </w:pPr>
          </w:p>
        </w:tc>
      </w:tr>
      <w:tr w:rsidR="009C7D45" w:rsidRPr="00202271" w14:paraId="4DDD7BDD" w14:textId="77777777" w:rsidTr="00F86765">
        <w:trPr>
          <w:trHeight w:val="144"/>
        </w:trPr>
        <w:tc>
          <w:tcPr>
            <w:tcW w:w="1260" w:type="dxa"/>
            <w:noWrap/>
            <w:vAlign w:val="center"/>
            <w:hideMark/>
          </w:tcPr>
          <w:p w14:paraId="22F26974" w14:textId="77777777" w:rsidR="009C7D45" w:rsidRPr="00202271" w:rsidRDefault="009C7D45" w:rsidP="002E3F44">
            <w:pPr>
              <w:spacing w:line="240" w:lineRule="auto"/>
              <w:ind w:firstLine="0"/>
              <w:rPr>
                <w:rFonts w:cs="Times New Roman"/>
                <w:color w:val="000000"/>
              </w:rPr>
            </w:pPr>
            <w:r w:rsidRPr="00202271">
              <w:rPr>
                <w:rFonts w:cs="Times New Roman"/>
                <w:color w:val="000000"/>
              </w:rPr>
              <w:t>59.4</w:t>
            </w:r>
          </w:p>
        </w:tc>
        <w:tc>
          <w:tcPr>
            <w:tcW w:w="2495" w:type="dxa"/>
            <w:gridSpan w:val="2"/>
            <w:noWrap/>
            <w:vAlign w:val="center"/>
            <w:hideMark/>
          </w:tcPr>
          <w:p w14:paraId="48C45165" w14:textId="77777777" w:rsidR="009C7D45" w:rsidRPr="00202271" w:rsidRDefault="009C7D45" w:rsidP="002E3F44">
            <w:pPr>
              <w:spacing w:line="240" w:lineRule="auto"/>
              <w:ind w:firstLine="0"/>
              <w:rPr>
                <w:rFonts w:cs="Times New Roman"/>
                <w:color w:val="000000"/>
              </w:rPr>
            </w:pPr>
            <w:r w:rsidRPr="00202271">
              <w:rPr>
                <w:rFonts w:cs="Times New Roman"/>
                <w:color w:val="000000"/>
              </w:rPr>
              <w:t>89.86</w:t>
            </w:r>
          </w:p>
        </w:tc>
        <w:tc>
          <w:tcPr>
            <w:tcW w:w="2152" w:type="dxa"/>
            <w:noWrap/>
            <w:vAlign w:val="center"/>
            <w:hideMark/>
          </w:tcPr>
          <w:p w14:paraId="2E7369C2"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1.63E-12</w:t>
            </w:r>
          </w:p>
        </w:tc>
        <w:tc>
          <w:tcPr>
            <w:tcW w:w="6994" w:type="dxa"/>
            <w:vAlign w:val="center"/>
            <w:hideMark/>
          </w:tcPr>
          <w:p w14:paraId="1CACF7B1" w14:textId="77777777" w:rsidR="009C7D45" w:rsidRPr="00202271" w:rsidRDefault="009C7D45" w:rsidP="002E3F44">
            <w:pPr>
              <w:spacing w:line="240" w:lineRule="auto"/>
              <w:ind w:firstLine="0"/>
              <w:rPr>
                <w:rFonts w:cs="Times New Roman"/>
                <w:color w:val="000000"/>
              </w:rPr>
            </w:pPr>
            <w:r w:rsidRPr="00202271">
              <w:rPr>
                <w:rFonts w:cs="Times New Roman"/>
                <w:color w:val="000000"/>
              </w:rPr>
              <w:t>Acetone (CH</w:t>
            </w:r>
            <w:r w:rsidRPr="00202271">
              <w:rPr>
                <w:rFonts w:cs="Times New Roman"/>
                <w:color w:val="000000"/>
                <w:vertAlign w:val="subscript"/>
              </w:rPr>
              <w:t>3</w:t>
            </w:r>
            <w:r w:rsidRPr="00202271">
              <w:rPr>
                <w:rFonts w:cs="Times New Roman"/>
                <w:color w:val="000000"/>
              </w:rPr>
              <w:t>COCH</w:t>
            </w:r>
            <w:r w:rsidRPr="00202271">
              <w:rPr>
                <w:rFonts w:cs="Times New Roman"/>
                <w:color w:val="000000"/>
                <w:vertAlign w:val="subscript"/>
              </w:rPr>
              <w:t>3</w:t>
            </w:r>
            <w:r w:rsidRPr="00202271">
              <w:rPr>
                <w:rFonts w:cs="Times New Roman"/>
                <w:color w:val="000000"/>
              </w:rPr>
              <w:t>)</w:t>
            </w:r>
            <w:r w:rsidRPr="00202271">
              <w:rPr>
                <w:rFonts w:cs="Times New Roman"/>
                <w:color w:val="000000"/>
              </w:rPr>
              <w:br/>
              <w:t>Ethanedial (C</w:t>
            </w:r>
            <w:r w:rsidRPr="00202271">
              <w:rPr>
                <w:rFonts w:cs="Times New Roman"/>
                <w:color w:val="000000"/>
                <w:vertAlign w:val="subscript"/>
              </w:rPr>
              <w:t>2</w:t>
            </w:r>
            <w:r w:rsidRPr="00202271">
              <w:rPr>
                <w:rFonts w:cs="Times New Roman"/>
                <w:color w:val="000000"/>
              </w:rPr>
              <w:t>H</w:t>
            </w:r>
            <w:r w:rsidRPr="00202271">
              <w:rPr>
                <w:rFonts w:cs="Times New Roman"/>
                <w:color w:val="000000"/>
                <w:vertAlign w:val="subscript"/>
              </w:rPr>
              <w:t>2</w:t>
            </w:r>
            <w:r w:rsidRPr="00202271">
              <w:rPr>
                <w:rFonts w:cs="Times New Roman"/>
                <w:color w:val="000000"/>
              </w:rPr>
              <w:t>O</w:t>
            </w:r>
            <w:r w:rsidRPr="00202271">
              <w:rPr>
                <w:rFonts w:cs="Times New Roman"/>
                <w:color w:val="000000"/>
                <w:vertAlign w:val="subscript"/>
              </w:rPr>
              <w:t>2</w:t>
            </w:r>
            <w:r w:rsidRPr="00202271">
              <w:rPr>
                <w:rFonts w:cs="Times New Roman"/>
                <w:color w:val="000000"/>
              </w:rPr>
              <w:t>)</w:t>
            </w:r>
            <w:r w:rsidRPr="00202271">
              <w:rPr>
                <w:rFonts w:cs="Times New Roman"/>
                <w:color w:val="000000"/>
              </w:rPr>
              <w:br/>
              <w:t>Propanal (CH</w:t>
            </w:r>
            <w:r w:rsidRPr="00202271">
              <w:rPr>
                <w:rFonts w:cs="Times New Roman"/>
                <w:color w:val="000000"/>
                <w:vertAlign w:val="subscript"/>
              </w:rPr>
              <w:t>3</w:t>
            </w:r>
            <w:r w:rsidRPr="00202271">
              <w:rPr>
                <w:rFonts w:cs="Times New Roman"/>
                <w:color w:val="000000"/>
              </w:rPr>
              <w:t>CH</w:t>
            </w:r>
            <w:r w:rsidRPr="00202271">
              <w:rPr>
                <w:rFonts w:cs="Times New Roman"/>
                <w:color w:val="000000"/>
                <w:vertAlign w:val="subscript"/>
              </w:rPr>
              <w:t>2</w:t>
            </w:r>
            <w:r w:rsidRPr="00202271">
              <w:rPr>
                <w:rFonts w:cs="Times New Roman"/>
                <w:color w:val="000000"/>
              </w:rPr>
              <w:t>CHO)</w:t>
            </w:r>
            <w:r w:rsidRPr="00202271">
              <w:rPr>
                <w:rFonts w:cs="Times New Roman"/>
                <w:color w:val="000000"/>
              </w:rPr>
              <w:br/>
              <w:t>Propen-2-ol (CH</w:t>
            </w:r>
            <w:r w:rsidRPr="00202271">
              <w:rPr>
                <w:rFonts w:cs="Times New Roman"/>
                <w:color w:val="000000"/>
                <w:vertAlign w:val="subscript"/>
              </w:rPr>
              <w:t>3</w:t>
            </w:r>
            <w:r w:rsidRPr="00202271">
              <w:rPr>
                <w:rFonts w:cs="Times New Roman"/>
                <w:color w:val="000000"/>
              </w:rPr>
              <w:t>COHCH</w:t>
            </w:r>
            <w:r w:rsidRPr="00202271">
              <w:rPr>
                <w:rFonts w:cs="Times New Roman"/>
                <w:color w:val="000000"/>
                <w:vertAlign w:val="subscript"/>
              </w:rPr>
              <w:t>2</w:t>
            </w:r>
            <w:r w:rsidRPr="00202271">
              <w:rPr>
                <w:rFonts w:cs="Times New Roman"/>
                <w:color w:val="000000"/>
              </w:rPr>
              <w:t>)</w:t>
            </w:r>
            <w:r w:rsidRPr="00202271">
              <w:rPr>
                <w:rFonts w:cs="Times New Roman"/>
                <w:color w:val="000000"/>
              </w:rPr>
              <w:br/>
              <w:t>2-Propen-1-ol (CH</w:t>
            </w:r>
            <w:r w:rsidRPr="00202271">
              <w:rPr>
                <w:rFonts w:cs="Times New Roman"/>
                <w:color w:val="000000"/>
                <w:vertAlign w:val="subscript"/>
              </w:rPr>
              <w:t>2</w:t>
            </w:r>
            <w:r w:rsidRPr="00202271">
              <w:rPr>
                <w:rFonts w:cs="Times New Roman"/>
                <w:color w:val="000000"/>
              </w:rPr>
              <w:t>CHCH</w:t>
            </w:r>
            <w:r w:rsidRPr="00202271">
              <w:rPr>
                <w:rFonts w:cs="Times New Roman"/>
                <w:color w:val="000000"/>
                <w:vertAlign w:val="subscript"/>
              </w:rPr>
              <w:t>2</w:t>
            </w:r>
            <w:r w:rsidRPr="00202271">
              <w:rPr>
                <w:rFonts w:cs="Times New Roman"/>
                <w:color w:val="000000"/>
              </w:rPr>
              <w:t>OH)</w:t>
            </w:r>
            <w:r w:rsidRPr="00202271">
              <w:rPr>
                <w:rFonts w:cs="Times New Roman"/>
                <w:color w:val="000000"/>
              </w:rPr>
              <w:br/>
              <w:t>Dimethyldiazene (C</w:t>
            </w:r>
            <w:r w:rsidRPr="00202271">
              <w:rPr>
                <w:rFonts w:cs="Times New Roman"/>
                <w:color w:val="000000"/>
                <w:vertAlign w:val="subscript"/>
              </w:rPr>
              <w:t>2</w:t>
            </w:r>
            <w:r w:rsidRPr="00202271">
              <w:rPr>
                <w:rFonts w:cs="Times New Roman"/>
                <w:color w:val="000000"/>
              </w:rPr>
              <w:t>H</w:t>
            </w:r>
            <w:r w:rsidRPr="00202271">
              <w:rPr>
                <w:rFonts w:cs="Times New Roman"/>
                <w:color w:val="000000"/>
                <w:vertAlign w:val="subscript"/>
              </w:rPr>
              <w:t>6</w:t>
            </w:r>
            <w:r w:rsidRPr="00202271">
              <w:rPr>
                <w:rFonts w:cs="Times New Roman"/>
                <w:color w:val="000000"/>
              </w:rPr>
              <w:t>N</w:t>
            </w:r>
            <w:r w:rsidRPr="00202271">
              <w:rPr>
                <w:rFonts w:cs="Times New Roman"/>
                <w:color w:val="000000"/>
                <w:vertAlign w:val="subscript"/>
              </w:rPr>
              <w:t>2</w:t>
            </w:r>
            <w:r w:rsidRPr="00202271">
              <w:rPr>
                <w:rFonts w:cs="Times New Roman"/>
                <w:color w:val="000000"/>
              </w:rPr>
              <w:t>)</w:t>
            </w:r>
            <w:r w:rsidRPr="00202271">
              <w:rPr>
                <w:rFonts w:cs="Times New Roman"/>
                <w:color w:val="000000"/>
              </w:rPr>
              <w:br/>
            </w:r>
            <w:r w:rsidRPr="00202271">
              <w:rPr>
                <w:rFonts w:cs="Times New Roman"/>
                <w:color w:val="000000"/>
              </w:rPr>
              <w:lastRenderedPageBreak/>
              <w:t>Butane (C</w:t>
            </w:r>
            <w:r w:rsidRPr="00202271">
              <w:rPr>
                <w:rFonts w:cs="Times New Roman"/>
                <w:color w:val="000000"/>
                <w:vertAlign w:val="subscript"/>
              </w:rPr>
              <w:t>4</w:t>
            </w:r>
            <w:r w:rsidRPr="00202271">
              <w:rPr>
                <w:rFonts w:cs="Times New Roman"/>
                <w:color w:val="000000"/>
              </w:rPr>
              <w:t>H</w:t>
            </w:r>
            <w:r w:rsidRPr="00202271">
              <w:rPr>
                <w:rFonts w:cs="Times New Roman"/>
                <w:color w:val="000000"/>
                <w:vertAlign w:val="subscript"/>
              </w:rPr>
              <w:t>10</w:t>
            </w:r>
            <w:r w:rsidRPr="00202271">
              <w:rPr>
                <w:rFonts w:cs="Times New Roman"/>
                <w:color w:val="000000"/>
              </w:rPr>
              <w:t>)</w:t>
            </w:r>
            <w:r w:rsidRPr="00202271">
              <w:rPr>
                <w:rFonts w:cs="Times New Roman"/>
                <w:color w:val="000000"/>
              </w:rPr>
              <w:br/>
              <w:t>Methylpropane (C</w:t>
            </w:r>
            <w:r w:rsidRPr="00202271">
              <w:rPr>
                <w:rFonts w:cs="Times New Roman"/>
                <w:color w:val="000000"/>
                <w:vertAlign w:val="subscript"/>
              </w:rPr>
              <w:t>4</w:t>
            </w:r>
            <w:r w:rsidRPr="00202271">
              <w:rPr>
                <w:rFonts w:cs="Times New Roman"/>
                <w:color w:val="000000"/>
              </w:rPr>
              <w:t>H</w:t>
            </w:r>
            <w:r w:rsidRPr="00202271">
              <w:rPr>
                <w:rFonts w:cs="Times New Roman"/>
                <w:color w:val="000000"/>
                <w:vertAlign w:val="subscript"/>
              </w:rPr>
              <w:t>10</w:t>
            </w:r>
            <w:r w:rsidRPr="00202271">
              <w:rPr>
                <w:rFonts w:cs="Times New Roman"/>
                <w:color w:val="000000"/>
              </w:rPr>
              <w:t>)</w:t>
            </w:r>
          </w:p>
          <w:p w14:paraId="32A70E54" w14:textId="77777777" w:rsidR="009C7D45" w:rsidRPr="00202271" w:rsidRDefault="009C7D45" w:rsidP="002E3F44">
            <w:pPr>
              <w:spacing w:line="240" w:lineRule="auto"/>
              <w:ind w:firstLine="0"/>
              <w:rPr>
                <w:rFonts w:cs="Times New Roman"/>
                <w:color w:val="000000"/>
              </w:rPr>
            </w:pPr>
          </w:p>
        </w:tc>
      </w:tr>
      <w:tr w:rsidR="009C7D45" w:rsidRPr="00202271" w14:paraId="458D0182" w14:textId="77777777" w:rsidTr="00F86765">
        <w:trPr>
          <w:trHeight w:val="144"/>
        </w:trPr>
        <w:tc>
          <w:tcPr>
            <w:tcW w:w="1613" w:type="dxa"/>
            <w:gridSpan w:val="2"/>
            <w:shd w:val="clear" w:color="auto" w:fill="F2F2F2" w:themeFill="background1" w:themeFillShade="F2"/>
            <w:noWrap/>
            <w:vAlign w:val="center"/>
            <w:hideMark/>
          </w:tcPr>
          <w:p w14:paraId="44E5B4D6" w14:textId="77777777" w:rsidR="009C7D45" w:rsidRPr="00202271" w:rsidRDefault="009C7D45" w:rsidP="002E3F44">
            <w:pPr>
              <w:spacing w:line="240" w:lineRule="auto"/>
              <w:ind w:firstLine="0"/>
              <w:rPr>
                <w:rFonts w:cs="Times New Roman"/>
                <w:color w:val="000000"/>
              </w:rPr>
            </w:pPr>
            <w:r w:rsidRPr="00202271">
              <w:rPr>
                <w:rFonts w:cs="Times New Roman"/>
                <w:color w:val="000000"/>
              </w:rPr>
              <w:t>62.25</w:t>
            </w:r>
          </w:p>
        </w:tc>
        <w:tc>
          <w:tcPr>
            <w:tcW w:w="2142" w:type="dxa"/>
            <w:shd w:val="clear" w:color="auto" w:fill="F2F2F2" w:themeFill="background1" w:themeFillShade="F2"/>
            <w:noWrap/>
            <w:vAlign w:val="center"/>
            <w:hideMark/>
          </w:tcPr>
          <w:p w14:paraId="3B5750A1" w14:textId="77777777" w:rsidR="009C7D45" w:rsidRPr="00202271" w:rsidRDefault="009C7D45" w:rsidP="002E3F44">
            <w:pPr>
              <w:spacing w:line="240" w:lineRule="auto"/>
              <w:ind w:firstLine="0"/>
              <w:rPr>
                <w:rFonts w:cs="Times New Roman"/>
                <w:color w:val="000000"/>
              </w:rPr>
            </w:pPr>
            <w:r w:rsidRPr="00202271">
              <w:rPr>
                <w:rFonts w:cs="Times New Roman"/>
                <w:color w:val="000000"/>
              </w:rPr>
              <w:t>2290.81</w:t>
            </w:r>
          </w:p>
        </w:tc>
        <w:tc>
          <w:tcPr>
            <w:tcW w:w="2152" w:type="dxa"/>
            <w:shd w:val="clear" w:color="auto" w:fill="F2F2F2" w:themeFill="background1" w:themeFillShade="F2"/>
            <w:noWrap/>
            <w:vAlign w:val="center"/>
            <w:hideMark/>
          </w:tcPr>
          <w:p w14:paraId="1FBD16FE" w14:textId="77777777" w:rsidR="009C7D45" w:rsidRPr="00202271" w:rsidRDefault="009C7D45" w:rsidP="002E3F44">
            <w:pPr>
              <w:spacing w:line="240" w:lineRule="auto"/>
              <w:ind w:firstLine="0"/>
              <w:rPr>
                <w:rFonts w:cs="Times New Roman"/>
                <w:color w:val="000000"/>
              </w:rPr>
            </w:pPr>
            <w:r w:rsidRPr="00202271">
              <w:rPr>
                <w:rFonts w:cs="Times New Roman"/>
                <w:color w:val="000000"/>
              </w:rPr>
              <w:t>0.000421</w:t>
            </w:r>
          </w:p>
        </w:tc>
        <w:tc>
          <w:tcPr>
            <w:tcW w:w="6994" w:type="dxa"/>
            <w:shd w:val="clear" w:color="auto" w:fill="F2F2F2" w:themeFill="background1" w:themeFillShade="F2"/>
            <w:vAlign w:val="center"/>
            <w:hideMark/>
          </w:tcPr>
          <w:p w14:paraId="3427D455" w14:textId="77777777" w:rsidR="009C7D45" w:rsidRPr="00202271" w:rsidRDefault="009C7D45" w:rsidP="002E3F44">
            <w:pPr>
              <w:spacing w:line="240" w:lineRule="auto"/>
              <w:ind w:firstLine="0"/>
              <w:rPr>
                <w:rFonts w:cs="Times New Roman"/>
                <w:color w:val="000000"/>
              </w:rPr>
            </w:pPr>
            <w:r w:rsidRPr="00202271">
              <w:rPr>
                <w:rFonts w:cs="Times New Roman"/>
                <w:color w:val="000000"/>
              </w:rPr>
              <w:t>N-Methoxy-methanamine (C</w:t>
            </w:r>
            <w:r w:rsidRPr="00202271">
              <w:rPr>
                <w:rFonts w:cs="Times New Roman"/>
                <w:color w:val="000000"/>
                <w:vertAlign w:val="subscript"/>
              </w:rPr>
              <w:t>2</w:t>
            </w:r>
            <w:r w:rsidRPr="00202271">
              <w:rPr>
                <w:rFonts w:cs="Times New Roman"/>
                <w:color w:val="000000"/>
              </w:rPr>
              <w:t>H</w:t>
            </w:r>
            <w:r w:rsidRPr="00202271">
              <w:rPr>
                <w:rFonts w:cs="Times New Roman"/>
                <w:color w:val="000000"/>
                <w:vertAlign w:val="subscript"/>
              </w:rPr>
              <w:t>7</w:t>
            </w:r>
            <w:r w:rsidRPr="00202271">
              <w:rPr>
                <w:rFonts w:cs="Times New Roman"/>
                <w:color w:val="000000"/>
              </w:rPr>
              <w:t>NO)</w:t>
            </w:r>
            <w:r w:rsidRPr="00202271">
              <w:rPr>
                <w:rFonts w:cs="Times New Roman"/>
                <w:color w:val="000000"/>
              </w:rPr>
              <w:br/>
              <w:t>Monoethanolamine (C</w:t>
            </w:r>
            <w:r w:rsidRPr="00202271">
              <w:rPr>
                <w:rFonts w:cs="Times New Roman"/>
                <w:color w:val="000000"/>
                <w:vertAlign w:val="subscript"/>
              </w:rPr>
              <w:t>2</w:t>
            </w:r>
            <w:r w:rsidRPr="00202271">
              <w:rPr>
                <w:rFonts w:cs="Times New Roman"/>
                <w:color w:val="000000"/>
              </w:rPr>
              <w:t>H</w:t>
            </w:r>
            <w:r w:rsidRPr="00202271">
              <w:rPr>
                <w:rFonts w:cs="Times New Roman"/>
                <w:color w:val="000000"/>
                <w:vertAlign w:val="subscript"/>
              </w:rPr>
              <w:t>7</w:t>
            </w:r>
            <w:r w:rsidRPr="00202271">
              <w:rPr>
                <w:rFonts w:cs="Times New Roman"/>
                <w:color w:val="000000"/>
              </w:rPr>
              <w:t>NO)</w:t>
            </w:r>
            <w:r w:rsidRPr="00202271">
              <w:rPr>
                <w:rFonts w:cs="Times New Roman"/>
                <w:color w:val="000000"/>
              </w:rPr>
              <w:br/>
              <w:t>N-Hydroxy-N-methylmethanamine (C</w:t>
            </w:r>
            <w:r w:rsidRPr="00202271">
              <w:rPr>
                <w:rFonts w:cs="Times New Roman"/>
                <w:color w:val="000000"/>
                <w:vertAlign w:val="subscript"/>
              </w:rPr>
              <w:t>2</w:t>
            </w:r>
            <w:r w:rsidRPr="00202271">
              <w:rPr>
                <w:rFonts w:cs="Times New Roman"/>
                <w:color w:val="000000"/>
              </w:rPr>
              <w:t>H</w:t>
            </w:r>
            <w:r w:rsidRPr="00202271">
              <w:rPr>
                <w:rFonts w:cs="Times New Roman"/>
                <w:color w:val="000000"/>
                <w:vertAlign w:val="subscript"/>
              </w:rPr>
              <w:t>7</w:t>
            </w:r>
            <w:r w:rsidRPr="00202271">
              <w:rPr>
                <w:rFonts w:cs="Times New Roman"/>
                <w:color w:val="000000"/>
              </w:rPr>
              <w:t>NO)</w:t>
            </w:r>
            <w:r w:rsidRPr="00202271">
              <w:rPr>
                <w:rFonts w:cs="Times New Roman"/>
                <w:color w:val="000000"/>
              </w:rPr>
              <w:br/>
              <w:t>Thioformamide (CH</w:t>
            </w:r>
            <w:r w:rsidRPr="00202271">
              <w:rPr>
                <w:rFonts w:cs="Times New Roman"/>
                <w:color w:val="000000"/>
                <w:vertAlign w:val="subscript"/>
              </w:rPr>
              <w:t>3</w:t>
            </w:r>
            <w:r w:rsidRPr="00202271">
              <w:rPr>
                <w:rFonts w:cs="Times New Roman"/>
                <w:color w:val="000000"/>
              </w:rPr>
              <w:t>NS)</w:t>
            </w:r>
          </w:p>
          <w:p w14:paraId="77099459" w14:textId="77777777" w:rsidR="009C7D45" w:rsidRPr="00202271" w:rsidRDefault="009C7D45" w:rsidP="002E3F44">
            <w:pPr>
              <w:spacing w:line="240" w:lineRule="auto"/>
              <w:ind w:firstLine="0"/>
              <w:rPr>
                <w:rFonts w:cs="Times New Roman"/>
                <w:color w:val="000000"/>
              </w:rPr>
            </w:pPr>
          </w:p>
        </w:tc>
      </w:tr>
      <w:tr w:rsidR="009C7D45" w:rsidRPr="00202271" w14:paraId="44AA7F04" w14:textId="77777777" w:rsidTr="00F86765">
        <w:trPr>
          <w:trHeight w:val="144"/>
        </w:trPr>
        <w:tc>
          <w:tcPr>
            <w:tcW w:w="1613" w:type="dxa"/>
            <w:gridSpan w:val="2"/>
            <w:noWrap/>
            <w:vAlign w:val="center"/>
            <w:hideMark/>
          </w:tcPr>
          <w:p w14:paraId="4D7FB6B6" w14:textId="77777777" w:rsidR="009C7D45" w:rsidRPr="00202271" w:rsidRDefault="009C7D45" w:rsidP="002E3F44">
            <w:pPr>
              <w:spacing w:line="240" w:lineRule="auto"/>
              <w:ind w:firstLine="0"/>
              <w:rPr>
                <w:rFonts w:cs="Times New Roman"/>
                <w:color w:val="000000"/>
              </w:rPr>
            </w:pPr>
            <w:r w:rsidRPr="00202271">
              <w:rPr>
                <w:rFonts w:cs="Times New Roman"/>
                <w:color w:val="000000"/>
              </w:rPr>
              <w:t>76.69</w:t>
            </w:r>
          </w:p>
        </w:tc>
        <w:tc>
          <w:tcPr>
            <w:tcW w:w="2142" w:type="dxa"/>
            <w:noWrap/>
            <w:vAlign w:val="center"/>
            <w:hideMark/>
          </w:tcPr>
          <w:p w14:paraId="37913FD5" w14:textId="77777777" w:rsidR="009C7D45" w:rsidRPr="00202271" w:rsidRDefault="009C7D45" w:rsidP="002E3F44">
            <w:pPr>
              <w:spacing w:line="240" w:lineRule="auto"/>
              <w:ind w:firstLine="0"/>
              <w:rPr>
                <w:rFonts w:cs="Times New Roman"/>
                <w:color w:val="000000"/>
              </w:rPr>
            </w:pPr>
            <w:r w:rsidRPr="00202271">
              <w:rPr>
                <w:rFonts w:cs="Times New Roman"/>
                <w:color w:val="000000"/>
              </w:rPr>
              <w:t>47.08</w:t>
            </w:r>
          </w:p>
        </w:tc>
        <w:tc>
          <w:tcPr>
            <w:tcW w:w="2152" w:type="dxa"/>
            <w:noWrap/>
            <w:vAlign w:val="center"/>
            <w:hideMark/>
          </w:tcPr>
          <w:p w14:paraId="5A4A8E71" w14:textId="77777777" w:rsidR="009C7D45" w:rsidRPr="00202271" w:rsidRDefault="009C7D45" w:rsidP="002E3F44">
            <w:pPr>
              <w:spacing w:line="240" w:lineRule="auto"/>
              <w:ind w:firstLine="0"/>
              <w:rPr>
                <w:rFonts w:cs="Times New Roman"/>
                <w:color w:val="000000"/>
              </w:rPr>
            </w:pPr>
            <w:r w:rsidRPr="00202271">
              <w:rPr>
                <w:rFonts w:cs="Times New Roman"/>
                <w:color w:val="000000"/>
              </w:rPr>
              <w:t>6.99E-14</w:t>
            </w:r>
          </w:p>
        </w:tc>
        <w:tc>
          <w:tcPr>
            <w:tcW w:w="6994" w:type="dxa"/>
            <w:vAlign w:val="center"/>
            <w:hideMark/>
          </w:tcPr>
          <w:p w14:paraId="79476A80" w14:textId="77777777" w:rsidR="009C7D45" w:rsidRPr="00202271" w:rsidRDefault="009C7D45" w:rsidP="002E3F44">
            <w:pPr>
              <w:spacing w:line="240" w:lineRule="auto"/>
              <w:ind w:firstLine="0"/>
              <w:rPr>
                <w:rFonts w:cs="Times New Roman"/>
                <w:color w:val="000000"/>
              </w:rPr>
            </w:pPr>
            <w:r w:rsidRPr="00202271">
              <w:rPr>
                <w:rFonts w:cs="Times New Roman"/>
                <w:color w:val="000000"/>
              </w:rPr>
              <w:t>Acetohydroxamic acid (C</w:t>
            </w:r>
            <w:r w:rsidRPr="00202271">
              <w:rPr>
                <w:rFonts w:cs="Times New Roman"/>
                <w:color w:val="000000"/>
                <w:vertAlign w:val="subscript"/>
              </w:rPr>
              <w:t>2</w:t>
            </w:r>
            <w:r w:rsidRPr="00202271">
              <w:rPr>
                <w:rFonts w:cs="Times New Roman"/>
                <w:color w:val="000000"/>
              </w:rPr>
              <w:t>H</w:t>
            </w:r>
            <w:r w:rsidRPr="00202271">
              <w:rPr>
                <w:rFonts w:cs="Times New Roman"/>
                <w:color w:val="000000"/>
                <w:vertAlign w:val="subscript"/>
              </w:rPr>
              <w:t>5</w:t>
            </w:r>
            <w:r w:rsidRPr="00202271">
              <w:rPr>
                <w:rFonts w:cs="Times New Roman"/>
                <w:color w:val="000000"/>
              </w:rPr>
              <w:t>NO</w:t>
            </w:r>
            <w:r w:rsidRPr="00202271">
              <w:rPr>
                <w:rFonts w:cs="Times New Roman"/>
                <w:color w:val="000000"/>
                <w:vertAlign w:val="subscript"/>
              </w:rPr>
              <w:t>2</w:t>
            </w:r>
            <w:r w:rsidRPr="00202271">
              <w:rPr>
                <w:rFonts w:cs="Times New Roman"/>
                <w:color w:val="000000"/>
              </w:rPr>
              <w:t>)</w:t>
            </w:r>
            <w:r w:rsidRPr="00202271">
              <w:rPr>
                <w:rFonts w:cs="Times New Roman"/>
                <w:color w:val="000000"/>
              </w:rPr>
              <w:br/>
              <w:t>Glycine (C</w:t>
            </w:r>
            <w:r w:rsidRPr="00202271">
              <w:rPr>
                <w:rFonts w:cs="Times New Roman"/>
                <w:color w:val="000000"/>
                <w:vertAlign w:val="subscript"/>
              </w:rPr>
              <w:t>2</w:t>
            </w:r>
            <w:r w:rsidRPr="00202271">
              <w:rPr>
                <w:rFonts w:cs="Times New Roman"/>
                <w:color w:val="000000"/>
              </w:rPr>
              <w:t>H</w:t>
            </w:r>
            <w:r w:rsidRPr="00202271">
              <w:rPr>
                <w:rFonts w:cs="Times New Roman"/>
                <w:color w:val="000000"/>
                <w:vertAlign w:val="subscript"/>
              </w:rPr>
              <w:t>5</w:t>
            </w:r>
            <w:r w:rsidRPr="00202271">
              <w:rPr>
                <w:rFonts w:cs="Times New Roman"/>
                <w:color w:val="000000"/>
              </w:rPr>
              <w:t>NO</w:t>
            </w:r>
            <w:r w:rsidRPr="00202271">
              <w:rPr>
                <w:rFonts w:cs="Times New Roman"/>
                <w:color w:val="000000"/>
                <w:vertAlign w:val="subscript"/>
              </w:rPr>
              <w:t>2</w:t>
            </w:r>
            <w:r w:rsidRPr="00202271">
              <w:rPr>
                <w:rFonts w:cs="Times New Roman"/>
                <w:color w:val="000000"/>
              </w:rPr>
              <w:t>)</w:t>
            </w:r>
            <w:r w:rsidRPr="00202271">
              <w:rPr>
                <w:rFonts w:cs="Times New Roman"/>
                <w:color w:val="000000"/>
              </w:rPr>
              <w:br/>
              <w:t>Glycoamide (C</w:t>
            </w:r>
            <w:r w:rsidRPr="00202271">
              <w:rPr>
                <w:rFonts w:cs="Times New Roman"/>
                <w:color w:val="000000"/>
                <w:vertAlign w:val="subscript"/>
              </w:rPr>
              <w:t>2</w:t>
            </w:r>
            <w:r w:rsidRPr="00202271">
              <w:rPr>
                <w:rFonts w:cs="Times New Roman"/>
                <w:color w:val="000000"/>
              </w:rPr>
              <w:t>H</w:t>
            </w:r>
            <w:r w:rsidRPr="00202271">
              <w:rPr>
                <w:rFonts w:cs="Times New Roman"/>
                <w:color w:val="000000"/>
                <w:vertAlign w:val="subscript"/>
              </w:rPr>
              <w:t>5</w:t>
            </w:r>
            <w:r w:rsidRPr="00202271">
              <w:rPr>
                <w:rFonts w:cs="Times New Roman"/>
                <w:color w:val="000000"/>
              </w:rPr>
              <w:t>NO</w:t>
            </w:r>
            <w:r w:rsidRPr="00202271">
              <w:rPr>
                <w:rFonts w:cs="Times New Roman"/>
                <w:color w:val="000000"/>
                <w:vertAlign w:val="subscript"/>
              </w:rPr>
              <w:t>2</w:t>
            </w:r>
            <w:r w:rsidRPr="00202271">
              <w:rPr>
                <w:rFonts w:cs="Times New Roman"/>
                <w:color w:val="000000"/>
              </w:rPr>
              <w:t>)</w:t>
            </w:r>
            <w:r w:rsidRPr="00202271">
              <w:rPr>
                <w:rFonts w:cs="Times New Roman"/>
                <w:color w:val="000000"/>
              </w:rPr>
              <w:br/>
              <w:t>Methylcarbamate (C</w:t>
            </w:r>
            <w:r w:rsidRPr="00202271">
              <w:rPr>
                <w:rFonts w:cs="Times New Roman"/>
                <w:color w:val="000000"/>
                <w:vertAlign w:val="subscript"/>
              </w:rPr>
              <w:t>2</w:t>
            </w:r>
            <w:r w:rsidRPr="00202271">
              <w:rPr>
                <w:rFonts w:cs="Times New Roman"/>
                <w:color w:val="000000"/>
              </w:rPr>
              <w:t>H</w:t>
            </w:r>
            <w:r w:rsidRPr="00202271">
              <w:rPr>
                <w:rFonts w:cs="Times New Roman"/>
                <w:color w:val="000000"/>
                <w:vertAlign w:val="subscript"/>
              </w:rPr>
              <w:t>5</w:t>
            </w:r>
            <w:r w:rsidRPr="00202271">
              <w:rPr>
                <w:rFonts w:cs="Times New Roman"/>
                <w:color w:val="000000"/>
              </w:rPr>
              <w:t>NO</w:t>
            </w:r>
            <w:r w:rsidRPr="00202271">
              <w:rPr>
                <w:rFonts w:cs="Times New Roman"/>
                <w:color w:val="000000"/>
                <w:vertAlign w:val="subscript"/>
              </w:rPr>
              <w:t>2</w:t>
            </w:r>
            <w:r w:rsidRPr="00202271">
              <w:rPr>
                <w:rFonts w:cs="Times New Roman"/>
                <w:color w:val="000000"/>
              </w:rPr>
              <w:t>)</w:t>
            </w:r>
            <w:r w:rsidRPr="00202271">
              <w:rPr>
                <w:rFonts w:cs="Times New Roman"/>
                <w:color w:val="000000"/>
              </w:rPr>
              <w:br/>
              <w:t>Hydrazinecarboxamide (CH</w:t>
            </w:r>
            <w:r w:rsidRPr="00202271">
              <w:rPr>
                <w:rFonts w:cs="Times New Roman"/>
                <w:color w:val="000000"/>
                <w:vertAlign w:val="subscript"/>
              </w:rPr>
              <w:t>5</w:t>
            </w:r>
            <w:r w:rsidRPr="00202271">
              <w:rPr>
                <w:rFonts w:cs="Times New Roman"/>
                <w:color w:val="000000"/>
              </w:rPr>
              <w:t>N</w:t>
            </w:r>
            <w:r w:rsidRPr="00202271">
              <w:rPr>
                <w:rFonts w:cs="Times New Roman"/>
                <w:color w:val="000000"/>
                <w:vertAlign w:val="subscript"/>
              </w:rPr>
              <w:t>3</w:t>
            </w:r>
            <w:r w:rsidRPr="00202271">
              <w:rPr>
                <w:rFonts w:cs="Times New Roman"/>
                <w:color w:val="000000"/>
              </w:rPr>
              <w:t>O)</w:t>
            </w:r>
            <w:r w:rsidRPr="00202271">
              <w:rPr>
                <w:rFonts w:cs="Times New Roman"/>
                <w:color w:val="000000"/>
              </w:rPr>
              <w:br/>
              <w:t>2-Methoxyethanamine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9</w:t>
            </w:r>
            <w:r w:rsidRPr="00202271">
              <w:rPr>
                <w:rFonts w:cs="Times New Roman"/>
                <w:color w:val="000000"/>
              </w:rPr>
              <w:t>NO)</w:t>
            </w:r>
            <w:r w:rsidRPr="00202271">
              <w:rPr>
                <w:rFonts w:cs="Times New Roman"/>
                <w:color w:val="000000"/>
              </w:rPr>
              <w:br/>
              <w:t>Trimethylamine N-oxide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9</w:t>
            </w:r>
            <w:r w:rsidRPr="00202271">
              <w:rPr>
                <w:rFonts w:cs="Times New Roman"/>
                <w:color w:val="000000"/>
              </w:rPr>
              <w:t>NO)</w:t>
            </w:r>
            <w:r w:rsidRPr="00202271">
              <w:rPr>
                <w:rFonts w:cs="Times New Roman"/>
                <w:color w:val="000000"/>
              </w:rPr>
              <w:br/>
              <w:t>Dimethylaminomethanol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9</w:t>
            </w:r>
            <w:r w:rsidRPr="00202271">
              <w:rPr>
                <w:rFonts w:cs="Times New Roman"/>
                <w:color w:val="000000"/>
              </w:rPr>
              <w:t>NO)</w:t>
            </w:r>
            <w:r w:rsidRPr="00202271">
              <w:rPr>
                <w:rFonts w:cs="Times New Roman"/>
                <w:color w:val="000000"/>
              </w:rPr>
              <w:br/>
              <w:t>3-Amino-1-propanol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9</w:t>
            </w:r>
            <w:r w:rsidRPr="00202271">
              <w:rPr>
                <w:rFonts w:cs="Times New Roman"/>
                <w:color w:val="000000"/>
              </w:rPr>
              <w:t>NO)</w:t>
            </w:r>
            <w:r w:rsidRPr="00202271">
              <w:rPr>
                <w:rFonts w:cs="Times New Roman"/>
                <w:color w:val="000000"/>
              </w:rPr>
              <w:br/>
              <w:t>2-Amino-1-propanol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9</w:t>
            </w:r>
            <w:r w:rsidRPr="00202271">
              <w:rPr>
                <w:rFonts w:cs="Times New Roman"/>
                <w:color w:val="000000"/>
              </w:rPr>
              <w:t>NO)</w:t>
            </w:r>
            <w:r w:rsidRPr="00202271">
              <w:rPr>
                <w:rFonts w:cs="Times New Roman"/>
                <w:color w:val="000000"/>
              </w:rPr>
              <w:br/>
              <w:t>1-Amino-2-propanol (C</w:t>
            </w:r>
            <w:r w:rsidRPr="00202271">
              <w:rPr>
                <w:rFonts w:cs="Times New Roman"/>
                <w:color w:val="000000"/>
                <w:vertAlign w:val="subscript"/>
              </w:rPr>
              <w:t>3</w:t>
            </w:r>
            <w:r w:rsidRPr="00202271">
              <w:rPr>
                <w:rFonts w:cs="Times New Roman"/>
                <w:color w:val="000000"/>
              </w:rPr>
              <w:t>H</w:t>
            </w:r>
            <w:r w:rsidRPr="00202271">
              <w:rPr>
                <w:rFonts w:cs="Times New Roman"/>
                <w:color w:val="000000"/>
                <w:vertAlign w:val="subscript"/>
              </w:rPr>
              <w:t>9</w:t>
            </w:r>
            <w:r w:rsidRPr="00202271">
              <w:rPr>
                <w:rFonts w:cs="Times New Roman"/>
                <w:color w:val="000000"/>
              </w:rPr>
              <w:t>NO)</w:t>
            </w:r>
            <w:r w:rsidRPr="00202271">
              <w:rPr>
                <w:rFonts w:cs="Times New Roman"/>
                <w:color w:val="000000"/>
              </w:rPr>
              <w:br/>
              <w:t>Ethanethioamide (C</w:t>
            </w:r>
            <w:r w:rsidRPr="00202271">
              <w:rPr>
                <w:rFonts w:cs="Times New Roman"/>
                <w:color w:val="000000"/>
                <w:vertAlign w:val="subscript"/>
              </w:rPr>
              <w:t>2</w:t>
            </w:r>
            <w:r w:rsidRPr="00202271">
              <w:rPr>
                <w:rFonts w:cs="Times New Roman"/>
                <w:color w:val="000000"/>
              </w:rPr>
              <w:t>H</w:t>
            </w:r>
            <w:r w:rsidRPr="00202271">
              <w:rPr>
                <w:rFonts w:cs="Times New Roman"/>
                <w:color w:val="000000"/>
                <w:vertAlign w:val="subscript"/>
              </w:rPr>
              <w:t>5</w:t>
            </w:r>
            <w:r w:rsidRPr="00202271">
              <w:rPr>
                <w:rFonts w:cs="Times New Roman"/>
                <w:color w:val="000000"/>
              </w:rPr>
              <w:t>NS)</w:t>
            </w:r>
          </w:p>
          <w:p w14:paraId="43CDAE74" w14:textId="77777777" w:rsidR="009C7D45" w:rsidRPr="00202271" w:rsidRDefault="009C7D45" w:rsidP="002E3F44">
            <w:pPr>
              <w:spacing w:line="240" w:lineRule="auto"/>
              <w:ind w:firstLine="0"/>
              <w:rPr>
                <w:rFonts w:cs="Times New Roman"/>
                <w:color w:val="000000"/>
              </w:rPr>
            </w:pPr>
          </w:p>
        </w:tc>
      </w:tr>
      <w:tr w:rsidR="009C7D45" w:rsidRPr="00202271" w14:paraId="1D22886B" w14:textId="77777777" w:rsidTr="00F86765">
        <w:trPr>
          <w:trHeight w:val="144"/>
        </w:trPr>
        <w:tc>
          <w:tcPr>
            <w:tcW w:w="1613" w:type="dxa"/>
            <w:gridSpan w:val="2"/>
            <w:shd w:val="clear" w:color="auto" w:fill="F2F2F2" w:themeFill="background1" w:themeFillShade="F2"/>
            <w:noWrap/>
            <w:vAlign w:val="center"/>
            <w:hideMark/>
          </w:tcPr>
          <w:p w14:paraId="5BD7A55A" w14:textId="77777777" w:rsidR="009C7D45" w:rsidRPr="00202271" w:rsidRDefault="009C7D45" w:rsidP="002E3F44">
            <w:pPr>
              <w:spacing w:line="240" w:lineRule="auto"/>
              <w:ind w:firstLine="0"/>
              <w:rPr>
                <w:rFonts w:cs="Times New Roman"/>
                <w:color w:val="000000"/>
              </w:rPr>
            </w:pPr>
            <w:r w:rsidRPr="00202271">
              <w:rPr>
                <w:rFonts w:cs="Times New Roman"/>
                <w:color w:val="000000"/>
              </w:rPr>
              <w:t>79.55</w:t>
            </w:r>
          </w:p>
        </w:tc>
        <w:tc>
          <w:tcPr>
            <w:tcW w:w="2142" w:type="dxa"/>
            <w:shd w:val="clear" w:color="auto" w:fill="F2F2F2" w:themeFill="background1" w:themeFillShade="F2"/>
            <w:noWrap/>
            <w:vAlign w:val="center"/>
            <w:hideMark/>
          </w:tcPr>
          <w:p w14:paraId="7AEF52EC"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199.51</w:t>
            </w:r>
          </w:p>
        </w:tc>
        <w:tc>
          <w:tcPr>
            <w:tcW w:w="2152" w:type="dxa"/>
            <w:shd w:val="clear" w:color="auto" w:fill="F2F2F2" w:themeFill="background1" w:themeFillShade="F2"/>
            <w:noWrap/>
            <w:vAlign w:val="center"/>
            <w:hideMark/>
          </w:tcPr>
          <w:p w14:paraId="4A4D10C9"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1.09E-06</w:t>
            </w:r>
          </w:p>
        </w:tc>
        <w:tc>
          <w:tcPr>
            <w:tcW w:w="6994" w:type="dxa"/>
            <w:shd w:val="clear" w:color="auto" w:fill="F2F2F2" w:themeFill="background1" w:themeFillShade="F2"/>
            <w:vAlign w:val="center"/>
            <w:hideMark/>
          </w:tcPr>
          <w:p w14:paraId="0989BBF9" w14:textId="77777777" w:rsidR="009C7D45" w:rsidRPr="00202271" w:rsidRDefault="009C7D45" w:rsidP="002E3F44">
            <w:pPr>
              <w:spacing w:line="240" w:lineRule="auto"/>
              <w:ind w:firstLine="0"/>
              <w:rPr>
                <w:rFonts w:cs="Times New Roman"/>
                <w:color w:val="000000"/>
              </w:rPr>
            </w:pPr>
            <w:r w:rsidRPr="00202271">
              <w:rPr>
                <w:rFonts w:cs="Times New Roman"/>
                <w:color w:val="000000"/>
              </w:rPr>
              <w:t>Benzene (C</w:t>
            </w:r>
            <w:r w:rsidRPr="00202271">
              <w:rPr>
                <w:rFonts w:cs="Times New Roman"/>
                <w:color w:val="000000"/>
                <w:vertAlign w:val="subscript"/>
              </w:rPr>
              <w:t>6</w:t>
            </w:r>
            <w:r w:rsidRPr="00202271">
              <w:rPr>
                <w:rFonts w:cs="Times New Roman"/>
                <w:color w:val="000000"/>
              </w:rPr>
              <w:t>H</w:t>
            </w:r>
            <w:r w:rsidRPr="00202271">
              <w:rPr>
                <w:rFonts w:cs="Times New Roman"/>
                <w:color w:val="000000"/>
                <w:vertAlign w:val="subscript"/>
              </w:rPr>
              <w:t>6</w:t>
            </w:r>
            <w:r w:rsidRPr="00202271">
              <w:rPr>
                <w:rFonts w:cs="Times New Roman"/>
                <w:color w:val="000000"/>
              </w:rPr>
              <w:t>)</w:t>
            </w:r>
            <w:r w:rsidRPr="00202271">
              <w:rPr>
                <w:rFonts w:cs="Times New Roman"/>
                <w:color w:val="000000"/>
              </w:rPr>
              <w:br/>
              <w:t>Dimethylsulfoxide (CH</w:t>
            </w:r>
            <w:r w:rsidRPr="00202271">
              <w:rPr>
                <w:rFonts w:cs="Times New Roman"/>
                <w:color w:val="000000"/>
                <w:vertAlign w:val="subscript"/>
              </w:rPr>
              <w:t>3</w:t>
            </w:r>
            <w:r w:rsidRPr="00202271">
              <w:rPr>
                <w:rFonts w:cs="Times New Roman"/>
                <w:color w:val="000000"/>
              </w:rPr>
              <w:t>SOCH</w:t>
            </w:r>
            <w:r w:rsidRPr="00202271">
              <w:rPr>
                <w:rFonts w:cs="Times New Roman"/>
                <w:color w:val="000000"/>
                <w:vertAlign w:val="subscript"/>
              </w:rPr>
              <w:t>3</w:t>
            </w:r>
            <w:r w:rsidRPr="00202271">
              <w:rPr>
                <w:rFonts w:cs="Times New Roman"/>
                <w:color w:val="000000"/>
              </w:rPr>
              <w:t>)</w:t>
            </w:r>
            <w:r w:rsidRPr="00202271">
              <w:rPr>
                <w:rFonts w:cs="Times New Roman"/>
                <w:color w:val="000000"/>
              </w:rPr>
              <w:br/>
              <w:t>2-Mercaptoethanol (CH</w:t>
            </w:r>
            <w:r w:rsidRPr="00202271">
              <w:rPr>
                <w:rFonts w:cs="Times New Roman"/>
                <w:color w:val="000000"/>
                <w:vertAlign w:val="subscript"/>
              </w:rPr>
              <w:t>2</w:t>
            </w:r>
            <w:r w:rsidRPr="00202271">
              <w:rPr>
                <w:rFonts w:cs="Times New Roman"/>
                <w:color w:val="000000"/>
              </w:rPr>
              <w:t>OHCH</w:t>
            </w:r>
            <w:r w:rsidRPr="00202271">
              <w:rPr>
                <w:rFonts w:cs="Times New Roman"/>
                <w:color w:val="000000"/>
                <w:vertAlign w:val="subscript"/>
              </w:rPr>
              <w:t>2</w:t>
            </w:r>
            <w:r w:rsidRPr="00202271">
              <w:rPr>
                <w:rFonts w:cs="Times New Roman"/>
                <w:color w:val="000000"/>
              </w:rPr>
              <w:t>SH)</w:t>
            </w:r>
          </w:p>
          <w:p w14:paraId="03FD07D7" w14:textId="77777777" w:rsidR="009C7D45" w:rsidRPr="00202271" w:rsidRDefault="009C7D45" w:rsidP="002E3F44">
            <w:pPr>
              <w:spacing w:line="240" w:lineRule="auto"/>
              <w:ind w:firstLine="0"/>
              <w:rPr>
                <w:rFonts w:cs="Times New Roman"/>
                <w:color w:val="000000"/>
              </w:rPr>
            </w:pPr>
          </w:p>
        </w:tc>
      </w:tr>
      <w:tr w:rsidR="009C7D45" w:rsidRPr="00202271" w14:paraId="493D518F" w14:textId="77777777" w:rsidTr="00F86765">
        <w:trPr>
          <w:trHeight w:val="144"/>
        </w:trPr>
        <w:tc>
          <w:tcPr>
            <w:tcW w:w="1613" w:type="dxa"/>
            <w:gridSpan w:val="2"/>
            <w:noWrap/>
            <w:vAlign w:val="center"/>
            <w:hideMark/>
          </w:tcPr>
          <w:p w14:paraId="50D82505" w14:textId="77777777" w:rsidR="009C7D45" w:rsidRPr="00202271" w:rsidRDefault="009C7D45" w:rsidP="002E3F44">
            <w:pPr>
              <w:spacing w:line="240" w:lineRule="auto"/>
              <w:ind w:firstLine="0"/>
              <w:rPr>
                <w:rFonts w:cs="Times New Roman"/>
                <w:color w:val="000000"/>
              </w:rPr>
            </w:pPr>
            <w:r w:rsidRPr="00202271">
              <w:rPr>
                <w:rFonts w:cs="Times New Roman"/>
                <w:color w:val="000000"/>
              </w:rPr>
              <w:t>82.44</w:t>
            </w:r>
          </w:p>
        </w:tc>
        <w:tc>
          <w:tcPr>
            <w:tcW w:w="2142" w:type="dxa"/>
            <w:noWrap/>
            <w:vAlign w:val="center"/>
            <w:hideMark/>
          </w:tcPr>
          <w:p w14:paraId="0F111AD8" w14:textId="77777777" w:rsidR="009C7D45" w:rsidRPr="00202271" w:rsidRDefault="009C7D45" w:rsidP="002E3F44">
            <w:pPr>
              <w:spacing w:line="240" w:lineRule="auto"/>
              <w:ind w:firstLine="0"/>
              <w:rPr>
                <w:rFonts w:cs="Times New Roman"/>
                <w:color w:val="000000"/>
              </w:rPr>
            </w:pPr>
            <w:r w:rsidRPr="00202271">
              <w:rPr>
                <w:rFonts w:cs="Times New Roman"/>
                <w:color w:val="000000"/>
              </w:rPr>
              <w:t>77.05</w:t>
            </w:r>
          </w:p>
        </w:tc>
        <w:tc>
          <w:tcPr>
            <w:tcW w:w="2152" w:type="dxa"/>
            <w:noWrap/>
            <w:vAlign w:val="center"/>
            <w:hideMark/>
          </w:tcPr>
          <w:p w14:paraId="1E3F84C5" w14:textId="77777777" w:rsidR="009C7D45" w:rsidRPr="00202271" w:rsidRDefault="009C7D45" w:rsidP="002E3F44">
            <w:pPr>
              <w:spacing w:line="240" w:lineRule="auto"/>
              <w:ind w:firstLine="0"/>
              <w:rPr>
                <w:rFonts w:cs="Times New Roman"/>
                <w:color w:val="000000"/>
              </w:rPr>
            </w:pPr>
            <w:r w:rsidRPr="00202271">
              <w:rPr>
                <w:rFonts w:cs="Times New Roman"/>
                <w:color w:val="000000"/>
              </w:rPr>
              <w:t>3.10E-05</w:t>
            </w:r>
          </w:p>
        </w:tc>
        <w:tc>
          <w:tcPr>
            <w:tcW w:w="6994" w:type="dxa"/>
            <w:vAlign w:val="center"/>
            <w:hideMark/>
          </w:tcPr>
          <w:p w14:paraId="05D54B2B"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1-Methyl-(1H)-pyrrole (C</w:t>
            </w:r>
            <w:r w:rsidRPr="00202271">
              <w:rPr>
                <w:rFonts w:cs="Times New Roman"/>
                <w:color w:val="000000"/>
                <w:vertAlign w:val="subscript"/>
              </w:rPr>
              <w:t>5</w:t>
            </w:r>
            <w:r w:rsidRPr="00202271">
              <w:rPr>
                <w:rFonts w:cs="Times New Roman"/>
                <w:color w:val="000000"/>
              </w:rPr>
              <w:t>H</w:t>
            </w:r>
            <w:r w:rsidRPr="00202271">
              <w:rPr>
                <w:rFonts w:cs="Times New Roman"/>
                <w:color w:val="000000"/>
                <w:vertAlign w:val="subscript"/>
              </w:rPr>
              <w:t>7</w:t>
            </w:r>
            <w:r w:rsidRPr="00202271">
              <w:rPr>
                <w:rFonts w:cs="Times New Roman"/>
                <w:color w:val="000000"/>
              </w:rPr>
              <w:t>N)</w:t>
            </w:r>
            <w:r w:rsidRPr="00202271">
              <w:rPr>
                <w:rFonts w:cs="Times New Roman"/>
                <w:color w:val="000000"/>
              </w:rPr>
              <w:br/>
              <w:t>2-Methyl-(1H)-pyrrole (C</w:t>
            </w:r>
            <w:r w:rsidRPr="00202271">
              <w:rPr>
                <w:rFonts w:cs="Times New Roman"/>
                <w:color w:val="000000"/>
                <w:vertAlign w:val="subscript"/>
              </w:rPr>
              <w:t>5</w:t>
            </w:r>
            <w:r w:rsidRPr="00202271">
              <w:rPr>
                <w:rFonts w:cs="Times New Roman"/>
                <w:color w:val="000000"/>
              </w:rPr>
              <w:t>H</w:t>
            </w:r>
            <w:r w:rsidRPr="00202271">
              <w:rPr>
                <w:rFonts w:cs="Times New Roman"/>
                <w:color w:val="000000"/>
                <w:vertAlign w:val="subscript"/>
              </w:rPr>
              <w:t>7</w:t>
            </w:r>
            <w:r w:rsidRPr="00202271">
              <w:rPr>
                <w:rFonts w:cs="Times New Roman"/>
                <w:color w:val="000000"/>
              </w:rPr>
              <w:t>N)</w:t>
            </w:r>
            <w:r w:rsidRPr="00202271">
              <w:rPr>
                <w:rFonts w:cs="Times New Roman"/>
                <w:color w:val="000000"/>
              </w:rPr>
              <w:br/>
              <w:t>3-Methyl-(1H)-pyrrole (C</w:t>
            </w:r>
            <w:r w:rsidRPr="00202271">
              <w:rPr>
                <w:rFonts w:cs="Times New Roman"/>
                <w:color w:val="000000"/>
                <w:vertAlign w:val="subscript"/>
              </w:rPr>
              <w:t>5</w:t>
            </w:r>
            <w:r w:rsidRPr="00202271">
              <w:rPr>
                <w:rFonts w:cs="Times New Roman"/>
                <w:color w:val="000000"/>
              </w:rPr>
              <w:t>H</w:t>
            </w:r>
            <w:r w:rsidRPr="00202271">
              <w:rPr>
                <w:rFonts w:cs="Times New Roman"/>
                <w:color w:val="000000"/>
                <w:vertAlign w:val="subscript"/>
              </w:rPr>
              <w:t>7</w:t>
            </w:r>
            <w:r w:rsidRPr="00202271">
              <w:rPr>
                <w:rFonts w:cs="Times New Roman"/>
                <w:color w:val="000000"/>
              </w:rPr>
              <w:t>N)</w:t>
            </w:r>
            <w:r w:rsidRPr="00202271">
              <w:rPr>
                <w:rFonts w:cs="Times New Roman"/>
                <w:color w:val="000000"/>
              </w:rPr>
              <w:br/>
              <w:t>Methallyl cyanide (C</w:t>
            </w:r>
            <w:r w:rsidRPr="00202271">
              <w:rPr>
                <w:rFonts w:cs="Times New Roman"/>
                <w:color w:val="000000"/>
                <w:vertAlign w:val="subscript"/>
              </w:rPr>
              <w:t>5</w:t>
            </w:r>
            <w:r w:rsidRPr="00202271">
              <w:rPr>
                <w:rFonts w:cs="Times New Roman"/>
                <w:color w:val="000000"/>
              </w:rPr>
              <w:t>H</w:t>
            </w:r>
            <w:r w:rsidRPr="00202271">
              <w:rPr>
                <w:rFonts w:cs="Times New Roman"/>
                <w:color w:val="000000"/>
                <w:vertAlign w:val="subscript"/>
              </w:rPr>
              <w:t>7</w:t>
            </w:r>
            <w:r w:rsidRPr="00202271">
              <w:rPr>
                <w:rFonts w:cs="Times New Roman"/>
                <w:color w:val="000000"/>
              </w:rPr>
              <w:t>N)</w:t>
            </w:r>
          </w:p>
          <w:p w14:paraId="62B15CAD" w14:textId="77777777" w:rsidR="009C7D45" w:rsidRPr="00202271" w:rsidRDefault="009C7D45" w:rsidP="002E3F44">
            <w:pPr>
              <w:spacing w:line="240" w:lineRule="auto"/>
              <w:ind w:firstLine="0"/>
              <w:rPr>
                <w:rFonts w:cs="Times New Roman"/>
                <w:color w:val="000000"/>
              </w:rPr>
            </w:pPr>
          </w:p>
        </w:tc>
      </w:tr>
      <w:tr w:rsidR="009C7D45" w:rsidRPr="00202271" w14:paraId="36D13B12" w14:textId="77777777" w:rsidTr="00F86765">
        <w:trPr>
          <w:trHeight w:val="144"/>
        </w:trPr>
        <w:tc>
          <w:tcPr>
            <w:tcW w:w="1613" w:type="dxa"/>
            <w:gridSpan w:val="2"/>
            <w:shd w:val="clear" w:color="auto" w:fill="F2F2F2" w:themeFill="background1" w:themeFillShade="F2"/>
            <w:noWrap/>
            <w:vAlign w:val="center"/>
            <w:hideMark/>
          </w:tcPr>
          <w:p w14:paraId="506EA654" w14:textId="77777777" w:rsidR="009C7D45" w:rsidRPr="00202271" w:rsidRDefault="009C7D45" w:rsidP="002E3F44">
            <w:pPr>
              <w:spacing w:line="240" w:lineRule="auto"/>
              <w:ind w:firstLine="0"/>
              <w:rPr>
                <w:rFonts w:cs="Times New Roman"/>
                <w:color w:val="000000"/>
              </w:rPr>
            </w:pPr>
            <w:r w:rsidRPr="00202271">
              <w:rPr>
                <w:rFonts w:cs="Times New Roman"/>
                <w:color w:val="000000"/>
              </w:rPr>
              <w:t>94.12</w:t>
            </w:r>
          </w:p>
        </w:tc>
        <w:tc>
          <w:tcPr>
            <w:tcW w:w="2142" w:type="dxa"/>
            <w:shd w:val="clear" w:color="auto" w:fill="F2F2F2" w:themeFill="background1" w:themeFillShade="F2"/>
            <w:noWrap/>
            <w:vAlign w:val="center"/>
            <w:hideMark/>
          </w:tcPr>
          <w:p w14:paraId="3FEFB404"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17.85</w:t>
            </w:r>
          </w:p>
        </w:tc>
        <w:tc>
          <w:tcPr>
            <w:tcW w:w="2152" w:type="dxa"/>
            <w:shd w:val="clear" w:color="auto" w:fill="F2F2F2" w:themeFill="background1" w:themeFillShade="F2"/>
            <w:noWrap/>
            <w:vAlign w:val="center"/>
            <w:hideMark/>
          </w:tcPr>
          <w:p w14:paraId="69D9CC93" w14:textId="77777777" w:rsidR="009C7D45" w:rsidRPr="00202271" w:rsidRDefault="009C7D45" w:rsidP="002E3F44">
            <w:pPr>
              <w:spacing w:line="240" w:lineRule="auto"/>
              <w:ind w:firstLine="0"/>
              <w:rPr>
                <w:rFonts w:cs="Times New Roman"/>
                <w:color w:val="000000"/>
              </w:rPr>
            </w:pPr>
            <w:r w:rsidRPr="00202271">
              <w:rPr>
                <w:rFonts w:cs="Times New Roman"/>
                <w:color w:val="000000"/>
              </w:rPr>
              <w:t>0.000226</w:t>
            </w:r>
          </w:p>
        </w:tc>
        <w:tc>
          <w:tcPr>
            <w:tcW w:w="6994" w:type="dxa"/>
            <w:shd w:val="clear" w:color="auto" w:fill="F2F2F2" w:themeFill="background1" w:themeFillShade="F2"/>
            <w:vAlign w:val="center"/>
            <w:hideMark/>
          </w:tcPr>
          <w:p w14:paraId="638A1C69" w14:textId="77777777" w:rsidR="009C7D45" w:rsidRPr="00202271" w:rsidRDefault="009C7D45" w:rsidP="002E3F44">
            <w:pPr>
              <w:spacing w:line="240" w:lineRule="auto"/>
              <w:ind w:firstLine="0"/>
              <w:rPr>
                <w:rFonts w:cs="Times New Roman"/>
                <w:color w:val="000000"/>
              </w:rPr>
            </w:pPr>
            <w:r w:rsidRPr="00202271">
              <w:rPr>
                <w:rFonts w:cs="Times New Roman"/>
                <w:color w:val="000000"/>
              </w:rPr>
              <w:t>3-Methyl-pyridine (C</w:t>
            </w:r>
            <w:r w:rsidRPr="00202271">
              <w:rPr>
                <w:rFonts w:cs="Times New Roman"/>
                <w:color w:val="000000"/>
                <w:vertAlign w:val="subscript"/>
              </w:rPr>
              <w:t>5</w:t>
            </w:r>
            <w:r w:rsidRPr="00202271">
              <w:rPr>
                <w:rFonts w:cs="Times New Roman"/>
                <w:color w:val="000000"/>
              </w:rPr>
              <w:t>H</w:t>
            </w:r>
            <w:r w:rsidRPr="00202271">
              <w:rPr>
                <w:rFonts w:cs="Times New Roman"/>
                <w:color w:val="000000"/>
                <w:vertAlign w:val="subscript"/>
              </w:rPr>
              <w:t>6</w:t>
            </w:r>
            <w:r w:rsidRPr="00202271">
              <w:rPr>
                <w:rFonts w:cs="Times New Roman"/>
                <w:color w:val="000000"/>
              </w:rPr>
              <w:t>N</w:t>
            </w:r>
            <w:r w:rsidRPr="00202271">
              <w:rPr>
                <w:rFonts w:cs="Times New Roman"/>
                <w:color w:val="000000"/>
                <w:vertAlign w:val="subscript"/>
              </w:rPr>
              <w:t>2</w:t>
            </w:r>
            <w:r w:rsidRPr="00202271">
              <w:rPr>
                <w:rFonts w:cs="Times New Roman"/>
                <w:color w:val="000000"/>
              </w:rPr>
              <w:t>)</w:t>
            </w:r>
            <w:r w:rsidRPr="00202271">
              <w:rPr>
                <w:rFonts w:cs="Times New Roman"/>
                <w:color w:val="000000"/>
              </w:rPr>
              <w:br/>
              <w:t>3-Methyl-pyridine (C</w:t>
            </w:r>
            <w:r w:rsidRPr="00202271">
              <w:rPr>
                <w:rFonts w:cs="Times New Roman"/>
                <w:color w:val="000000"/>
                <w:vertAlign w:val="subscript"/>
              </w:rPr>
              <w:t>5</w:t>
            </w:r>
            <w:r w:rsidRPr="00202271">
              <w:rPr>
                <w:rFonts w:cs="Times New Roman"/>
                <w:color w:val="000000"/>
              </w:rPr>
              <w:t>H</w:t>
            </w:r>
            <w:r w:rsidRPr="00202271">
              <w:rPr>
                <w:rFonts w:cs="Times New Roman"/>
                <w:color w:val="000000"/>
                <w:vertAlign w:val="subscript"/>
              </w:rPr>
              <w:t>6</w:t>
            </w:r>
            <w:r w:rsidRPr="00202271">
              <w:rPr>
                <w:rFonts w:cs="Times New Roman"/>
                <w:color w:val="000000"/>
              </w:rPr>
              <w:t>N</w:t>
            </w:r>
            <w:r w:rsidRPr="00202271">
              <w:rPr>
                <w:rFonts w:cs="Times New Roman"/>
                <w:color w:val="000000"/>
                <w:vertAlign w:val="subscript"/>
              </w:rPr>
              <w:t>2</w:t>
            </w:r>
            <w:r w:rsidRPr="00202271">
              <w:rPr>
                <w:rFonts w:cs="Times New Roman"/>
                <w:color w:val="000000"/>
              </w:rPr>
              <w:t>)</w:t>
            </w:r>
            <w:r w:rsidRPr="00202271">
              <w:rPr>
                <w:rFonts w:cs="Times New Roman"/>
                <w:color w:val="000000"/>
              </w:rPr>
              <w:br/>
              <w:t>Phenylamine (C</w:t>
            </w:r>
            <w:r w:rsidRPr="00202271">
              <w:rPr>
                <w:rFonts w:cs="Times New Roman"/>
                <w:color w:val="000000"/>
                <w:vertAlign w:val="subscript"/>
              </w:rPr>
              <w:t>6</w:t>
            </w:r>
            <w:r w:rsidRPr="00202271">
              <w:rPr>
                <w:rFonts w:cs="Times New Roman"/>
                <w:color w:val="000000"/>
              </w:rPr>
              <w:t>H</w:t>
            </w:r>
            <w:r w:rsidRPr="00202271">
              <w:rPr>
                <w:rFonts w:cs="Times New Roman"/>
                <w:color w:val="000000"/>
                <w:vertAlign w:val="subscript"/>
              </w:rPr>
              <w:t>7</w:t>
            </w:r>
            <w:r w:rsidRPr="00202271">
              <w:rPr>
                <w:rFonts w:cs="Times New Roman"/>
                <w:color w:val="000000"/>
              </w:rPr>
              <w:t>N)</w:t>
            </w:r>
          </w:p>
          <w:p w14:paraId="4470CF65" w14:textId="77777777" w:rsidR="009C7D45" w:rsidRPr="00202271" w:rsidRDefault="009C7D45" w:rsidP="002E3F44">
            <w:pPr>
              <w:spacing w:line="240" w:lineRule="auto"/>
              <w:ind w:firstLine="0"/>
              <w:rPr>
                <w:rFonts w:cs="Times New Roman"/>
                <w:color w:val="000000"/>
              </w:rPr>
            </w:pPr>
          </w:p>
        </w:tc>
      </w:tr>
      <w:tr w:rsidR="009C7D45" w:rsidRPr="00202271" w14:paraId="1902C451" w14:textId="77777777" w:rsidTr="00F86765">
        <w:trPr>
          <w:trHeight w:val="144"/>
        </w:trPr>
        <w:tc>
          <w:tcPr>
            <w:tcW w:w="1613" w:type="dxa"/>
            <w:gridSpan w:val="2"/>
            <w:noWrap/>
            <w:vAlign w:val="center"/>
            <w:hideMark/>
          </w:tcPr>
          <w:p w14:paraId="13D3F22A" w14:textId="77777777" w:rsidR="009C7D45" w:rsidRPr="00202271" w:rsidRDefault="009C7D45" w:rsidP="002E3F44">
            <w:pPr>
              <w:spacing w:line="240" w:lineRule="auto"/>
              <w:ind w:firstLine="0"/>
              <w:rPr>
                <w:rFonts w:cs="Times New Roman"/>
                <w:color w:val="000000"/>
              </w:rPr>
            </w:pPr>
            <w:r w:rsidRPr="00202271">
              <w:rPr>
                <w:rFonts w:cs="Times New Roman"/>
                <w:color w:val="000000"/>
              </w:rPr>
              <w:t>99.96</w:t>
            </w:r>
          </w:p>
        </w:tc>
        <w:tc>
          <w:tcPr>
            <w:tcW w:w="2142" w:type="dxa"/>
            <w:noWrap/>
            <w:vAlign w:val="center"/>
            <w:hideMark/>
          </w:tcPr>
          <w:p w14:paraId="44FDF9D1"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127.71</w:t>
            </w:r>
          </w:p>
        </w:tc>
        <w:tc>
          <w:tcPr>
            <w:tcW w:w="2152" w:type="dxa"/>
            <w:noWrap/>
            <w:vAlign w:val="center"/>
            <w:hideMark/>
          </w:tcPr>
          <w:p w14:paraId="5E65A87B" w14:textId="77777777" w:rsidR="009C7D45" w:rsidRPr="00202271" w:rsidRDefault="009C7D45" w:rsidP="002E3F44">
            <w:pPr>
              <w:spacing w:line="240" w:lineRule="auto"/>
              <w:ind w:firstLine="0"/>
              <w:rPr>
                <w:rFonts w:cs="Times New Roman"/>
                <w:color w:val="000000"/>
              </w:rPr>
            </w:pPr>
            <w:r w:rsidRPr="00202271">
              <w:rPr>
                <w:rFonts w:cs="Times New Roman"/>
                <w:color w:val="000000"/>
              </w:rPr>
              <w:t>0.000911</w:t>
            </w:r>
          </w:p>
        </w:tc>
        <w:tc>
          <w:tcPr>
            <w:tcW w:w="6994" w:type="dxa"/>
            <w:vAlign w:val="center"/>
            <w:hideMark/>
          </w:tcPr>
          <w:p w14:paraId="7CFD638D" w14:textId="77777777" w:rsidR="009C7D45" w:rsidRPr="00202271" w:rsidRDefault="009C7D45" w:rsidP="002E3F44">
            <w:pPr>
              <w:spacing w:line="240" w:lineRule="auto"/>
              <w:ind w:firstLine="0"/>
              <w:rPr>
                <w:rFonts w:cs="Times New Roman"/>
                <w:color w:val="000000"/>
              </w:rPr>
            </w:pPr>
            <w:r w:rsidRPr="00202271">
              <w:rPr>
                <w:rFonts w:cs="Times New Roman"/>
                <w:color w:val="000000"/>
              </w:rPr>
              <w:t>Piperidinone (C</w:t>
            </w:r>
            <w:r w:rsidRPr="00202271">
              <w:rPr>
                <w:rFonts w:cs="Times New Roman"/>
                <w:color w:val="000000"/>
                <w:vertAlign w:val="subscript"/>
              </w:rPr>
              <w:t>5</w:t>
            </w:r>
            <w:r w:rsidRPr="00202271">
              <w:rPr>
                <w:rFonts w:cs="Times New Roman"/>
                <w:color w:val="000000"/>
              </w:rPr>
              <w:t>H</w:t>
            </w:r>
            <w:r w:rsidRPr="00202271">
              <w:rPr>
                <w:rFonts w:cs="Times New Roman"/>
                <w:color w:val="000000"/>
                <w:vertAlign w:val="subscript"/>
              </w:rPr>
              <w:t>9</w:t>
            </w:r>
            <w:r w:rsidRPr="00202271">
              <w:rPr>
                <w:rFonts w:cs="Times New Roman"/>
                <w:color w:val="000000"/>
              </w:rPr>
              <w:t>NO)</w:t>
            </w:r>
            <w:r w:rsidRPr="00202271">
              <w:rPr>
                <w:rFonts w:cs="Times New Roman"/>
                <w:color w:val="000000"/>
              </w:rPr>
              <w:br/>
              <w:t>1-Butylisocyanate (C</w:t>
            </w:r>
            <w:r w:rsidRPr="00202271">
              <w:rPr>
                <w:rFonts w:cs="Times New Roman"/>
                <w:color w:val="000000"/>
                <w:vertAlign w:val="subscript"/>
              </w:rPr>
              <w:t>5</w:t>
            </w:r>
            <w:r w:rsidRPr="00202271">
              <w:rPr>
                <w:rFonts w:cs="Times New Roman"/>
                <w:color w:val="000000"/>
              </w:rPr>
              <w:t>H</w:t>
            </w:r>
            <w:r w:rsidRPr="00202271">
              <w:rPr>
                <w:rFonts w:cs="Times New Roman"/>
                <w:color w:val="000000"/>
                <w:vertAlign w:val="subscript"/>
              </w:rPr>
              <w:t>9</w:t>
            </w:r>
            <w:r w:rsidRPr="00202271">
              <w:rPr>
                <w:rFonts w:cs="Times New Roman"/>
                <w:color w:val="000000"/>
              </w:rPr>
              <w:t>NO)</w:t>
            </w:r>
            <w:r w:rsidRPr="00202271">
              <w:rPr>
                <w:rFonts w:cs="Times New Roman"/>
                <w:color w:val="000000"/>
              </w:rPr>
              <w:br/>
            </w:r>
            <w:r w:rsidRPr="00202271">
              <w:rPr>
                <w:rFonts w:cs="Times New Roman"/>
                <w:color w:val="000000"/>
              </w:rPr>
              <w:lastRenderedPageBreak/>
              <w:t>Isothiocyanatocyclopropane (C</w:t>
            </w:r>
            <w:r w:rsidRPr="00202271">
              <w:rPr>
                <w:rFonts w:cs="Times New Roman"/>
                <w:color w:val="000000"/>
                <w:vertAlign w:val="subscript"/>
              </w:rPr>
              <w:t>4</w:t>
            </w:r>
            <w:r w:rsidRPr="00202271">
              <w:rPr>
                <w:rFonts w:cs="Times New Roman"/>
                <w:color w:val="000000"/>
              </w:rPr>
              <w:t>H</w:t>
            </w:r>
            <w:r w:rsidRPr="00202271">
              <w:rPr>
                <w:rFonts w:cs="Times New Roman"/>
                <w:color w:val="000000"/>
                <w:vertAlign w:val="subscript"/>
              </w:rPr>
              <w:t>5</w:t>
            </w:r>
            <w:r w:rsidRPr="00202271">
              <w:rPr>
                <w:rFonts w:cs="Times New Roman"/>
                <w:color w:val="000000"/>
              </w:rPr>
              <w:t>NS)</w:t>
            </w:r>
            <w:r w:rsidRPr="00202271">
              <w:rPr>
                <w:rFonts w:cs="Times New Roman"/>
                <w:color w:val="000000"/>
              </w:rPr>
              <w:br/>
              <w:t>Allylisothiocyanate (C</w:t>
            </w:r>
            <w:r w:rsidRPr="00202271">
              <w:rPr>
                <w:rFonts w:cs="Times New Roman"/>
                <w:color w:val="000000"/>
                <w:vertAlign w:val="subscript"/>
              </w:rPr>
              <w:t>4</w:t>
            </w:r>
            <w:r w:rsidRPr="00202271">
              <w:rPr>
                <w:rFonts w:cs="Times New Roman"/>
                <w:color w:val="000000"/>
              </w:rPr>
              <w:t>H</w:t>
            </w:r>
            <w:r w:rsidRPr="00202271">
              <w:rPr>
                <w:rFonts w:cs="Times New Roman"/>
                <w:color w:val="000000"/>
                <w:vertAlign w:val="subscript"/>
              </w:rPr>
              <w:t>5</w:t>
            </w:r>
            <w:r w:rsidRPr="00202271">
              <w:rPr>
                <w:rFonts w:cs="Times New Roman"/>
                <w:color w:val="000000"/>
              </w:rPr>
              <w:t>NS)</w:t>
            </w:r>
            <w:r w:rsidRPr="00202271">
              <w:rPr>
                <w:rFonts w:cs="Times New Roman"/>
                <w:color w:val="000000"/>
              </w:rPr>
              <w:br/>
              <w:t>5-Methyl-isothiozole (C</w:t>
            </w:r>
            <w:r w:rsidRPr="00202271">
              <w:rPr>
                <w:rFonts w:cs="Times New Roman"/>
                <w:color w:val="000000"/>
                <w:vertAlign w:val="subscript"/>
              </w:rPr>
              <w:t>4</w:t>
            </w:r>
            <w:r w:rsidRPr="00202271">
              <w:rPr>
                <w:rFonts w:cs="Times New Roman"/>
                <w:color w:val="000000"/>
              </w:rPr>
              <w:t>H</w:t>
            </w:r>
            <w:r w:rsidRPr="00202271">
              <w:rPr>
                <w:rFonts w:cs="Times New Roman"/>
                <w:color w:val="000000"/>
                <w:vertAlign w:val="subscript"/>
              </w:rPr>
              <w:t>5</w:t>
            </w:r>
            <w:r w:rsidRPr="00202271">
              <w:rPr>
                <w:rFonts w:cs="Times New Roman"/>
                <w:color w:val="000000"/>
              </w:rPr>
              <w:t>NS)</w:t>
            </w:r>
          </w:p>
          <w:p w14:paraId="1FE11581" w14:textId="77777777" w:rsidR="009C7D45" w:rsidRPr="00202271" w:rsidRDefault="009C7D45" w:rsidP="002E3F44">
            <w:pPr>
              <w:spacing w:line="240" w:lineRule="auto"/>
              <w:ind w:firstLine="0"/>
              <w:rPr>
                <w:rFonts w:cs="Times New Roman"/>
                <w:color w:val="000000"/>
              </w:rPr>
            </w:pPr>
          </w:p>
        </w:tc>
      </w:tr>
      <w:tr w:rsidR="009C7D45" w:rsidRPr="00202271" w14:paraId="2A0D797F" w14:textId="77777777" w:rsidTr="00F86765">
        <w:trPr>
          <w:trHeight w:val="144"/>
        </w:trPr>
        <w:tc>
          <w:tcPr>
            <w:tcW w:w="1613" w:type="dxa"/>
            <w:gridSpan w:val="2"/>
            <w:shd w:val="clear" w:color="auto" w:fill="F2F2F2" w:themeFill="background1" w:themeFillShade="F2"/>
            <w:noWrap/>
            <w:vAlign w:val="center"/>
            <w:hideMark/>
          </w:tcPr>
          <w:p w14:paraId="1A3211B9"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111.56</w:t>
            </w:r>
          </w:p>
        </w:tc>
        <w:tc>
          <w:tcPr>
            <w:tcW w:w="2142" w:type="dxa"/>
            <w:shd w:val="clear" w:color="auto" w:fill="F2F2F2" w:themeFill="background1" w:themeFillShade="F2"/>
            <w:noWrap/>
            <w:vAlign w:val="center"/>
            <w:hideMark/>
          </w:tcPr>
          <w:p w14:paraId="0DDEA5D3" w14:textId="77777777" w:rsidR="009C7D45" w:rsidRPr="00202271" w:rsidRDefault="009C7D45" w:rsidP="002E3F44">
            <w:pPr>
              <w:spacing w:line="240" w:lineRule="auto"/>
              <w:ind w:firstLine="0"/>
              <w:rPr>
                <w:rFonts w:cs="Times New Roman"/>
                <w:color w:val="000000"/>
              </w:rPr>
            </w:pPr>
            <w:r w:rsidRPr="00202271">
              <w:rPr>
                <w:rFonts w:cs="Times New Roman"/>
                <w:color w:val="000000"/>
              </w:rPr>
              <w:t>431.53</w:t>
            </w:r>
          </w:p>
        </w:tc>
        <w:tc>
          <w:tcPr>
            <w:tcW w:w="2152" w:type="dxa"/>
            <w:shd w:val="clear" w:color="auto" w:fill="F2F2F2" w:themeFill="background1" w:themeFillShade="F2"/>
            <w:noWrap/>
            <w:vAlign w:val="center"/>
            <w:hideMark/>
          </w:tcPr>
          <w:p w14:paraId="318C4B4C" w14:textId="77777777" w:rsidR="009C7D45" w:rsidRPr="00202271" w:rsidRDefault="009C7D45" w:rsidP="002E3F44">
            <w:pPr>
              <w:spacing w:line="240" w:lineRule="auto"/>
              <w:ind w:firstLine="0"/>
              <w:rPr>
                <w:rFonts w:cs="Times New Roman"/>
                <w:color w:val="000000"/>
              </w:rPr>
            </w:pPr>
            <w:r w:rsidRPr="00202271">
              <w:rPr>
                <w:rFonts w:cs="Times New Roman"/>
                <w:color w:val="000000"/>
              </w:rPr>
              <w:t>2.33E-08</w:t>
            </w:r>
          </w:p>
        </w:tc>
        <w:tc>
          <w:tcPr>
            <w:tcW w:w="6994" w:type="dxa"/>
            <w:shd w:val="clear" w:color="auto" w:fill="F2F2F2" w:themeFill="background1" w:themeFillShade="F2"/>
            <w:vAlign w:val="center"/>
            <w:hideMark/>
          </w:tcPr>
          <w:p w14:paraId="6E316C90"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1-(2-Furany)-ethanone (C</w:t>
            </w:r>
            <w:r w:rsidRPr="00202271">
              <w:rPr>
                <w:rFonts w:cs="Times New Roman"/>
                <w:color w:val="000000"/>
                <w:vertAlign w:val="subscript"/>
              </w:rPr>
              <w:t>6</w:t>
            </w:r>
            <w:r w:rsidRPr="00202271">
              <w:rPr>
                <w:rFonts w:cs="Times New Roman"/>
                <w:color w:val="000000"/>
              </w:rPr>
              <w:t>H</w:t>
            </w:r>
            <w:r w:rsidRPr="00202271">
              <w:rPr>
                <w:rFonts w:cs="Times New Roman"/>
                <w:color w:val="000000"/>
                <w:vertAlign w:val="subscript"/>
              </w:rPr>
              <w:t>6</w:t>
            </w:r>
            <w:r w:rsidRPr="00202271">
              <w:rPr>
                <w:rFonts w:cs="Times New Roman"/>
                <w:color w:val="000000"/>
              </w:rPr>
              <w:t>O</w:t>
            </w:r>
            <w:r w:rsidRPr="00202271">
              <w:rPr>
                <w:rFonts w:cs="Times New Roman"/>
                <w:color w:val="000000"/>
                <w:vertAlign w:val="subscript"/>
              </w:rPr>
              <w:t>2</w:t>
            </w:r>
            <w:r w:rsidRPr="00202271">
              <w:rPr>
                <w:rFonts w:cs="Times New Roman"/>
                <w:color w:val="000000"/>
              </w:rPr>
              <w:t>)</w:t>
            </w:r>
            <w:r w:rsidRPr="00202271">
              <w:rPr>
                <w:rFonts w:cs="Times New Roman"/>
                <w:color w:val="000000"/>
              </w:rPr>
              <w:br/>
              <w:t>2-Methyl-2-furancarboxaldehyde (C</w:t>
            </w:r>
            <w:r w:rsidRPr="00202271">
              <w:rPr>
                <w:rFonts w:cs="Times New Roman"/>
                <w:color w:val="000000"/>
                <w:vertAlign w:val="subscript"/>
              </w:rPr>
              <w:t>6</w:t>
            </w:r>
            <w:r w:rsidRPr="00202271">
              <w:rPr>
                <w:rFonts w:cs="Times New Roman"/>
                <w:color w:val="000000"/>
              </w:rPr>
              <w:t>H</w:t>
            </w:r>
            <w:r w:rsidRPr="00202271">
              <w:rPr>
                <w:rFonts w:cs="Times New Roman"/>
                <w:color w:val="000000"/>
                <w:vertAlign w:val="subscript"/>
              </w:rPr>
              <w:t>6</w:t>
            </w:r>
            <w:r w:rsidRPr="00202271">
              <w:rPr>
                <w:rFonts w:cs="Times New Roman"/>
                <w:color w:val="000000"/>
              </w:rPr>
              <w:t>O</w:t>
            </w:r>
            <w:r w:rsidRPr="00202271">
              <w:rPr>
                <w:rFonts w:cs="Times New Roman"/>
                <w:color w:val="000000"/>
                <w:vertAlign w:val="subscript"/>
              </w:rPr>
              <w:t>2</w:t>
            </w:r>
            <w:r w:rsidRPr="00202271">
              <w:rPr>
                <w:rFonts w:cs="Times New Roman"/>
                <w:color w:val="000000"/>
              </w:rPr>
              <w:t>)</w:t>
            </w:r>
            <w:r w:rsidRPr="00202271">
              <w:rPr>
                <w:rFonts w:cs="Times New Roman"/>
                <w:color w:val="000000"/>
              </w:rPr>
              <w:br/>
              <w:t>1-(1H-Pyrazol-4-yl)-ethanone (C</w:t>
            </w:r>
            <w:r w:rsidRPr="00202271">
              <w:rPr>
                <w:rFonts w:cs="Times New Roman"/>
                <w:color w:val="000000"/>
                <w:vertAlign w:val="subscript"/>
              </w:rPr>
              <w:t>5</w:t>
            </w:r>
            <w:r w:rsidRPr="00202271">
              <w:rPr>
                <w:rFonts w:cs="Times New Roman"/>
                <w:color w:val="000000"/>
              </w:rPr>
              <w:t>H</w:t>
            </w:r>
            <w:r w:rsidRPr="00202271">
              <w:rPr>
                <w:rFonts w:cs="Times New Roman"/>
                <w:color w:val="000000"/>
                <w:vertAlign w:val="subscript"/>
              </w:rPr>
              <w:t>6</w:t>
            </w:r>
            <w:r w:rsidRPr="00202271">
              <w:rPr>
                <w:rFonts w:cs="Times New Roman"/>
                <w:color w:val="000000"/>
              </w:rPr>
              <w:t>N</w:t>
            </w:r>
            <w:r w:rsidRPr="00202271">
              <w:rPr>
                <w:rFonts w:cs="Times New Roman"/>
                <w:color w:val="000000"/>
                <w:vertAlign w:val="subscript"/>
              </w:rPr>
              <w:t>2</w:t>
            </w:r>
            <w:r w:rsidRPr="00202271">
              <w:rPr>
                <w:rFonts w:cs="Times New Roman"/>
                <w:color w:val="000000"/>
              </w:rPr>
              <w:t>O)</w:t>
            </w:r>
            <w:r w:rsidRPr="00202271">
              <w:rPr>
                <w:rFonts w:cs="Times New Roman"/>
                <w:color w:val="000000"/>
              </w:rPr>
              <w:br/>
              <w:t>2-Ethyl-5-methylfuran (C</w:t>
            </w:r>
            <w:r w:rsidRPr="00202271">
              <w:rPr>
                <w:rFonts w:cs="Times New Roman"/>
                <w:color w:val="000000"/>
                <w:vertAlign w:val="subscript"/>
              </w:rPr>
              <w:t>7</w:t>
            </w:r>
            <w:r w:rsidRPr="00202271">
              <w:rPr>
                <w:rFonts w:cs="Times New Roman"/>
                <w:color w:val="000000"/>
              </w:rPr>
              <w:t>H</w:t>
            </w:r>
            <w:r w:rsidRPr="00202271">
              <w:rPr>
                <w:rFonts w:cs="Times New Roman"/>
                <w:color w:val="000000"/>
                <w:vertAlign w:val="subscript"/>
              </w:rPr>
              <w:t>10</w:t>
            </w:r>
            <w:r w:rsidRPr="00202271">
              <w:rPr>
                <w:rFonts w:cs="Times New Roman"/>
                <w:color w:val="000000"/>
              </w:rPr>
              <w:t>O)</w:t>
            </w:r>
            <w:r w:rsidRPr="00202271">
              <w:rPr>
                <w:rFonts w:cs="Times New Roman"/>
                <w:color w:val="000000"/>
              </w:rPr>
              <w:br/>
              <w:t>2,3,5-Trimethylfuran (C</w:t>
            </w:r>
            <w:r w:rsidRPr="00202271">
              <w:rPr>
                <w:rFonts w:cs="Times New Roman"/>
                <w:color w:val="000000"/>
                <w:vertAlign w:val="subscript"/>
              </w:rPr>
              <w:t>7</w:t>
            </w:r>
            <w:r w:rsidRPr="00202271">
              <w:rPr>
                <w:rFonts w:cs="Times New Roman"/>
                <w:color w:val="000000"/>
              </w:rPr>
              <w:t>H</w:t>
            </w:r>
            <w:r w:rsidRPr="00202271">
              <w:rPr>
                <w:rFonts w:cs="Times New Roman"/>
                <w:color w:val="000000"/>
                <w:vertAlign w:val="subscript"/>
              </w:rPr>
              <w:t>10</w:t>
            </w:r>
            <w:r w:rsidRPr="00202271">
              <w:rPr>
                <w:rFonts w:cs="Times New Roman"/>
                <w:color w:val="000000"/>
              </w:rPr>
              <w:t>O)</w:t>
            </w:r>
            <w:r w:rsidRPr="00202271">
              <w:rPr>
                <w:rFonts w:cs="Times New Roman"/>
                <w:color w:val="000000"/>
              </w:rPr>
              <w:br/>
              <w:t>3-Methyl-2-cyclohexen-1-one (C</w:t>
            </w:r>
            <w:r w:rsidRPr="00202271">
              <w:rPr>
                <w:rFonts w:cs="Times New Roman"/>
                <w:color w:val="000000"/>
                <w:vertAlign w:val="subscript"/>
              </w:rPr>
              <w:t>7</w:t>
            </w:r>
            <w:r w:rsidRPr="00202271">
              <w:rPr>
                <w:rFonts w:cs="Times New Roman"/>
                <w:color w:val="000000"/>
              </w:rPr>
              <w:t>H</w:t>
            </w:r>
            <w:r w:rsidRPr="00202271">
              <w:rPr>
                <w:rFonts w:cs="Times New Roman"/>
                <w:color w:val="000000"/>
                <w:vertAlign w:val="subscript"/>
              </w:rPr>
              <w:t>10</w:t>
            </w:r>
            <w:r w:rsidRPr="00202271">
              <w:rPr>
                <w:rFonts w:cs="Times New Roman"/>
                <w:color w:val="000000"/>
              </w:rPr>
              <w:t>O)</w:t>
            </w:r>
          </w:p>
          <w:p w14:paraId="791EB4DD" w14:textId="77777777" w:rsidR="009C7D45" w:rsidRPr="00202271" w:rsidRDefault="009C7D45" w:rsidP="002E3F44">
            <w:pPr>
              <w:spacing w:line="240" w:lineRule="auto"/>
              <w:ind w:firstLine="0"/>
              <w:rPr>
                <w:rFonts w:cs="Times New Roman"/>
                <w:color w:val="000000"/>
              </w:rPr>
            </w:pPr>
          </w:p>
        </w:tc>
      </w:tr>
      <w:tr w:rsidR="009C7D45" w:rsidRPr="00202271" w14:paraId="2D0E07B8" w14:textId="77777777" w:rsidTr="00F86765">
        <w:trPr>
          <w:trHeight w:val="144"/>
        </w:trPr>
        <w:tc>
          <w:tcPr>
            <w:tcW w:w="1613" w:type="dxa"/>
            <w:gridSpan w:val="2"/>
            <w:noWrap/>
            <w:vAlign w:val="center"/>
            <w:hideMark/>
          </w:tcPr>
          <w:p w14:paraId="61FAD6AD"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114.49</w:t>
            </w:r>
          </w:p>
        </w:tc>
        <w:tc>
          <w:tcPr>
            <w:tcW w:w="2142" w:type="dxa"/>
            <w:noWrap/>
            <w:vAlign w:val="center"/>
            <w:hideMark/>
          </w:tcPr>
          <w:p w14:paraId="6F0A8702"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1205.38</w:t>
            </w:r>
          </w:p>
        </w:tc>
        <w:tc>
          <w:tcPr>
            <w:tcW w:w="2152" w:type="dxa"/>
            <w:noWrap/>
            <w:vAlign w:val="center"/>
            <w:hideMark/>
          </w:tcPr>
          <w:p w14:paraId="01EA419B" w14:textId="77777777" w:rsidR="009C7D45" w:rsidRPr="00202271" w:rsidRDefault="009C7D45" w:rsidP="002E3F44">
            <w:pPr>
              <w:spacing w:line="240" w:lineRule="auto"/>
              <w:ind w:firstLine="0"/>
              <w:rPr>
                <w:rFonts w:cs="Times New Roman"/>
                <w:color w:val="000000"/>
              </w:rPr>
            </w:pPr>
            <w:r w:rsidRPr="00202271">
              <w:rPr>
                <w:rFonts w:cs="Times New Roman"/>
                <w:color w:val="000000"/>
              </w:rPr>
              <w:t>3.20E-08</w:t>
            </w:r>
          </w:p>
        </w:tc>
        <w:tc>
          <w:tcPr>
            <w:tcW w:w="6994" w:type="dxa"/>
            <w:vAlign w:val="center"/>
            <w:hideMark/>
          </w:tcPr>
          <w:p w14:paraId="12E37DC0"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1-Methyl-2-piperidinone (C</w:t>
            </w:r>
            <w:r w:rsidRPr="00202271">
              <w:rPr>
                <w:rFonts w:cs="Times New Roman"/>
                <w:color w:val="000000"/>
                <w:vertAlign w:val="subscript"/>
              </w:rPr>
              <w:t>6</w:t>
            </w:r>
            <w:r w:rsidRPr="00202271">
              <w:rPr>
                <w:rFonts w:cs="Times New Roman"/>
                <w:color w:val="000000"/>
              </w:rPr>
              <w:t>H</w:t>
            </w:r>
            <w:r w:rsidRPr="00202271">
              <w:rPr>
                <w:rFonts w:cs="Times New Roman"/>
                <w:color w:val="000000"/>
                <w:vertAlign w:val="subscript"/>
              </w:rPr>
              <w:t>11</w:t>
            </w:r>
            <w:r w:rsidRPr="00202271">
              <w:rPr>
                <w:rFonts w:cs="Times New Roman"/>
                <w:color w:val="000000"/>
              </w:rPr>
              <w:t>NO)</w:t>
            </w:r>
            <w:r w:rsidRPr="00202271">
              <w:rPr>
                <w:rFonts w:cs="Times New Roman"/>
                <w:color w:val="000000"/>
              </w:rPr>
              <w:br/>
              <w:t>4-Isothiocyanato-1-butene (C</w:t>
            </w:r>
            <w:r w:rsidRPr="00202271">
              <w:rPr>
                <w:rFonts w:cs="Times New Roman"/>
                <w:color w:val="000000"/>
                <w:vertAlign w:val="subscript"/>
              </w:rPr>
              <w:t>5</w:t>
            </w:r>
            <w:r w:rsidRPr="00202271">
              <w:rPr>
                <w:rFonts w:cs="Times New Roman"/>
                <w:color w:val="000000"/>
              </w:rPr>
              <w:t>H</w:t>
            </w:r>
            <w:r w:rsidRPr="00202271">
              <w:rPr>
                <w:rFonts w:cs="Times New Roman"/>
                <w:color w:val="000000"/>
                <w:vertAlign w:val="subscript"/>
              </w:rPr>
              <w:t>7</w:t>
            </w:r>
            <w:r w:rsidRPr="00202271">
              <w:rPr>
                <w:rFonts w:cs="Times New Roman"/>
                <w:color w:val="000000"/>
              </w:rPr>
              <w:t>NS)</w:t>
            </w:r>
          </w:p>
          <w:p w14:paraId="3C5BE932" w14:textId="77777777" w:rsidR="009C7D45" w:rsidRPr="00202271" w:rsidRDefault="009C7D45" w:rsidP="002E3F44">
            <w:pPr>
              <w:spacing w:line="240" w:lineRule="auto"/>
              <w:ind w:firstLine="0"/>
              <w:rPr>
                <w:rFonts w:cs="Times New Roman"/>
                <w:color w:val="000000"/>
              </w:rPr>
            </w:pPr>
          </w:p>
        </w:tc>
      </w:tr>
      <w:tr w:rsidR="009C7D45" w:rsidRPr="00202271" w14:paraId="5C244D78" w14:textId="77777777" w:rsidTr="00F86765">
        <w:trPr>
          <w:trHeight w:val="144"/>
        </w:trPr>
        <w:tc>
          <w:tcPr>
            <w:tcW w:w="1613" w:type="dxa"/>
            <w:gridSpan w:val="2"/>
            <w:shd w:val="clear" w:color="auto" w:fill="F2F2F2" w:themeFill="background1" w:themeFillShade="F2"/>
            <w:noWrap/>
            <w:vAlign w:val="center"/>
            <w:hideMark/>
          </w:tcPr>
          <w:p w14:paraId="0E4AEE8B"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117.44</w:t>
            </w:r>
          </w:p>
        </w:tc>
        <w:tc>
          <w:tcPr>
            <w:tcW w:w="2142" w:type="dxa"/>
            <w:shd w:val="clear" w:color="auto" w:fill="F2F2F2" w:themeFill="background1" w:themeFillShade="F2"/>
            <w:noWrap/>
            <w:vAlign w:val="center"/>
            <w:hideMark/>
          </w:tcPr>
          <w:p w14:paraId="6BAE1605" w14:textId="77777777" w:rsidR="009C7D45" w:rsidRPr="00202271" w:rsidRDefault="009C7D45" w:rsidP="002E3F44">
            <w:pPr>
              <w:spacing w:line="240" w:lineRule="auto"/>
              <w:ind w:firstLine="0"/>
              <w:rPr>
                <w:rFonts w:cs="Times New Roman"/>
                <w:color w:val="000000"/>
              </w:rPr>
            </w:pPr>
            <w:r w:rsidRPr="00202271">
              <w:rPr>
                <w:rFonts w:cs="Times New Roman"/>
                <w:color w:val="000000"/>
              </w:rPr>
              <w:t>238.07</w:t>
            </w:r>
          </w:p>
        </w:tc>
        <w:tc>
          <w:tcPr>
            <w:tcW w:w="2152" w:type="dxa"/>
            <w:shd w:val="clear" w:color="auto" w:fill="F2F2F2" w:themeFill="background1" w:themeFillShade="F2"/>
            <w:noWrap/>
            <w:vAlign w:val="center"/>
            <w:hideMark/>
          </w:tcPr>
          <w:p w14:paraId="108FC19E"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1.28E-07</w:t>
            </w:r>
          </w:p>
        </w:tc>
        <w:tc>
          <w:tcPr>
            <w:tcW w:w="6994" w:type="dxa"/>
            <w:shd w:val="clear" w:color="auto" w:fill="F2F2F2" w:themeFill="background1" w:themeFillShade="F2"/>
            <w:vAlign w:val="center"/>
            <w:hideMark/>
          </w:tcPr>
          <w:p w14:paraId="7603915A" w14:textId="77777777" w:rsidR="009C7D45" w:rsidRPr="00202271" w:rsidRDefault="009C7D45" w:rsidP="002E3F44">
            <w:pPr>
              <w:spacing w:line="240" w:lineRule="auto"/>
              <w:ind w:firstLine="0"/>
              <w:rPr>
                <w:rFonts w:cs="Times New Roman"/>
                <w:color w:val="000000"/>
              </w:rPr>
            </w:pPr>
            <w:r w:rsidRPr="00202271">
              <w:rPr>
                <w:rFonts w:cs="Times New Roman"/>
                <w:color w:val="000000"/>
              </w:rPr>
              <w:t>Nitrosomorpholine (C</w:t>
            </w:r>
            <w:r w:rsidRPr="00202271">
              <w:rPr>
                <w:rFonts w:cs="Times New Roman"/>
                <w:color w:val="000000"/>
                <w:vertAlign w:val="subscript"/>
              </w:rPr>
              <w:t>4</w:t>
            </w:r>
            <w:r w:rsidRPr="00202271">
              <w:rPr>
                <w:rFonts w:cs="Times New Roman"/>
                <w:color w:val="000000"/>
              </w:rPr>
              <w:t>H</w:t>
            </w:r>
            <w:r w:rsidRPr="00202271">
              <w:rPr>
                <w:rFonts w:cs="Times New Roman"/>
                <w:color w:val="000000"/>
                <w:vertAlign w:val="subscript"/>
              </w:rPr>
              <w:t>8</w:t>
            </w:r>
            <w:r w:rsidRPr="00202271">
              <w:rPr>
                <w:rFonts w:cs="Times New Roman"/>
                <w:color w:val="000000"/>
              </w:rPr>
              <w:t>H</w:t>
            </w:r>
            <w:r w:rsidRPr="00202271">
              <w:rPr>
                <w:rFonts w:cs="Times New Roman"/>
                <w:color w:val="000000"/>
                <w:vertAlign w:val="subscript"/>
              </w:rPr>
              <w:t>2</w:t>
            </w:r>
            <w:r w:rsidRPr="00202271">
              <w:rPr>
                <w:rFonts w:cs="Times New Roman"/>
                <w:color w:val="000000"/>
              </w:rPr>
              <w:t>O</w:t>
            </w:r>
            <w:r w:rsidRPr="00202271">
              <w:rPr>
                <w:rFonts w:cs="Times New Roman"/>
                <w:color w:val="000000"/>
                <w:vertAlign w:val="subscript"/>
              </w:rPr>
              <w:t>2</w:t>
            </w:r>
            <w:r w:rsidRPr="00202271">
              <w:rPr>
                <w:rFonts w:cs="Times New Roman"/>
                <w:color w:val="000000"/>
              </w:rPr>
              <w:t>)</w:t>
            </w:r>
            <w:r w:rsidRPr="00202271">
              <w:rPr>
                <w:rFonts w:cs="Times New Roman"/>
                <w:color w:val="000000"/>
              </w:rPr>
              <w:br/>
              <w:t>Hexanoic acid (C</w:t>
            </w:r>
            <w:r w:rsidRPr="00202271">
              <w:rPr>
                <w:rFonts w:cs="Times New Roman"/>
                <w:color w:val="000000"/>
                <w:vertAlign w:val="subscript"/>
              </w:rPr>
              <w:t>6</w:t>
            </w:r>
            <w:r w:rsidRPr="00202271">
              <w:rPr>
                <w:rFonts w:cs="Times New Roman"/>
                <w:color w:val="000000"/>
              </w:rPr>
              <w:t>H</w:t>
            </w:r>
            <w:r w:rsidRPr="00202271">
              <w:rPr>
                <w:rFonts w:cs="Times New Roman"/>
                <w:color w:val="000000"/>
                <w:vertAlign w:val="subscript"/>
              </w:rPr>
              <w:t>12</w:t>
            </w:r>
            <w:r w:rsidRPr="00202271">
              <w:rPr>
                <w:rFonts w:cs="Times New Roman"/>
                <w:color w:val="000000"/>
              </w:rPr>
              <w:t>O</w:t>
            </w:r>
            <w:r w:rsidRPr="00202271">
              <w:rPr>
                <w:rFonts w:cs="Times New Roman"/>
                <w:color w:val="000000"/>
                <w:vertAlign w:val="subscript"/>
              </w:rPr>
              <w:t>2</w:t>
            </w:r>
            <w:r w:rsidRPr="00202271">
              <w:rPr>
                <w:rFonts w:cs="Times New Roman"/>
                <w:color w:val="000000"/>
              </w:rPr>
              <w:t>)</w:t>
            </w:r>
            <w:r w:rsidRPr="00202271">
              <w:rPr>
                <w:rFonts w:cs="Times New Roman"/>
                <w:color w:val="000000"/>
              </w:rPr>
              <w:br/>
              <w:t>5-Methyl-3-hexanol (C</w:t>
            </w:r>
            <w:r w:rsidRPr="00202271">
              <w:rPr>
                <w:rFonts w:cs="Times New Roman"/>
                <w:color w:val="000000"/>
                <w:vertAlign w:val="subscript"/>
              </w:rPr>
              <w:t>7</w:t>
            </w:r>
            <w:r w:rsidRPr="00202271">
              <w:rPr>
                <w:rFonts w:cs="Times New Roman"/>
                <w:color w:val="000000"/>
              </w:rPr>
              <w:t>H</w:t>
            </w:r>
            <w:r w:rsidRPr="00202271">
              <w:rPr>
                <w:rFonts w:cs="Times New Roman"/>
                <w:color w:val="000000"/>
                <w:vertAlign w:val="subscript"/>
              </w:rPr>
              <w:t>16</w:t>
            </w:r>
            <w:r w:rsidRPr="00202271">
              <w:rPr>
                <w:rFonts w:cs="Times New Roman"/>
                <w:color w:val="000000"/>
              </w:rPr>
              <w:t>O)</w:t>
            </w:r>
          </w:p>
          <w:p w14:paraId="01EC2A6D" w14:textId="77777777" w:rsidR="009C7D45" w:rsidRPr="00202271" w:rsidRDefault="009C7D45" w:rsidP="002E3F44">
            <w:pPr>
              <w:spacing w:line="240" w:lineRule="auto"/>
              <w:ind w:firstLine="0"/>
              <w:rPr>
                <w:rFonts w:cs="Times New Roman"/>
                <w:color w:val="000000"/>
              </w:rPr>
            </w:pPr>
          </w:p>
        </w:tc>
      </w:tr>
      <w:tr w:rsidR="009C7D45" w:rsidRPr="00202271" w14:paraId="22B71854" w14:textId="77777777" w:rsidTr="00F86765">
        <w:trPr>
          <w:trHeight w:val="144"/>
        </w:trPr>
        <w:tc>
          <w:tcPr>
            <w:tcW w:w="1613" w:type="dxa"/>
            <w:gridSpan w:val="2"/>
            <w:noWrap/>
            <w:vAlign w:val="center"/>
            <w:hideMark/>
          </w:tcPr>
          <w:p w14:paraId="77BCE56F"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120.58</w:t>
            </w:r>
          </w:p>
        </w:tc>
        <w:tc>
          <w:tcPr>
            <w:tcW w:w="2142" w:type="dxa"/>
            <w:noWrap/>
            <w:vAlign w:val="center"/>
            <w:hideMark/>
          </w:tcPr>
          <w:p w14:paraId="24BAD94C" w14:textId="77777777" w:rsidR="009C7D45" w:rsidRPr="00202271" w:rsidRDefault="009C7D45" w:rsidP="002E3F44">
            <w:pPr>
              <w:spacing w:line="240" w:lineRule="auto"/>
              <w:ind w:firstLine="0"/>
              <w:rPr>
                <w:rFonts w:cs="Times New Roman"/>
                <w:color w:val="000000"/>
              </w:rPr>
            </w:pPr>
            <w:r w:rsidRPr="00202271">
              <w:rPr>
                <w:rFonts w:cs="Times New Roman"/>
                <w:color w:val="000000"/>
              </w:rPr>
              <w:t>89.46</w:t>
            </w:r>
          </w:p>
        </w:tc>
        <w:tc>
          <w:tcPr>
            <w:tcW w:w="2152" w:type="dxa"/>
            <w:noWrap/>
            <w:vAlign w:val="center"/>
            <w:hideMark/>
          </w:tcPr>
          <w:p w14:paraId="2F2F09C2" w14:textId="77777777" w:rsidR="009C7D45" w:rsidRPr="00202271" w:rsidRDefault="009C7D45" w:rsidP="002E3F44">
            <w:pPr>
              <w:spacing w:line="240" w:lineRule="auto"/>
              <w:ind w:firstLine="0"/>
              <w:rPr>
                <w:rFonts w:cs="Times New Roman"/>
                <w:color w:val="000000"/>
              </w:rPr>
            </w:pPr>
            <w:r w:rsidRPr="00202271">
              <w:rPr>
                <w:rFonts w:cs="Times New Roman"/>
                <w:color w:val="000000"/>
              </w:rPr>
              <w:t>0.00015</w:t>
            </w:r>
          </w:p>
        </w:tc>
        <w:tc>
          <w:tcPr>
            <w:tcW w:w="6994" w:type="dxa"/>
            <w:vAlign w:val="center"/>
            <w:hideMark/>
          </w:tcPr>
          <w:p w14:paraId="3A962674" w14:textId="77777777" w:rsidR="009C7D45" w:rsidRPr="00202271" w:rsidRDefault="009C7D45" w:rsidP="002E3F44">
            <w:pPr>
              <w:spacing w:line="240" w:lineRule="auto"/>
              <w:ind w:firstLine="0"/>
              <w:rPr>
                <w:rFonts w:cs="Times New Roman"/>
                <w:color w:val="000000"/>
              </w:rPr>
            </w:pPr>
            <w:r w:rsidRPr="00202271">
              <w:rPr>
                <w:rFonts w:cs="Times New Roman"/>
                <w:color w:val="000000"/>
              </w:rPr>
              <w:t>Trichoromethane (CHC</w:t>
            </w:r>
            <w:r w:rsidRPr="00202271">
              <w:rPr>
                <w:rFonts w:cs="Times New Roman"/>
                <w:color w:val="000000"/>
                <w:vertAlign w:val="subscript"/>
              </w:rPr>
              <w:t>3</w:t>
            </w:r>
            <w:r w:rsidRPr="00202271">
              <w:rPr>
                <w:rFonts w:cs="Times New Roman"/>
                <w:color w:val="000000"/>
              </w:rPr>
              <w:t>)</w:t>
            </w:r>
          </w:p>
          <w:p w14:paraId="2D4DF4DA" w14:textId="77777777" w:rsidR="009C7D45" w:rsidRPr="00202271" w:rsidRDefault="009C7D45" w:rsidP="002E3F44">
            <w:pPr>
              <w:spacing w:line="240" w:lineRule="auto"/>
              <w:ind w:firstLine="0"/>
              <w:rPr>
                <w:rFonts w:cs="Times New Roman"/>
                <w:color w:val="000000"/>
              </w:rPr>
            </w:pPr>
          </w:p>
        </w:tc>
      </w:tr>
      <w:tr w:rsidR="009C7D45" w:rsidRPr="00202271" w14:paraId="27A6F7AF" w14:textId="77777777" w:rsidTr="00F86765">
        <w:trPr>
          <w:trHeight w:val="144"/>
        </w:trPr>
        <w:tc>
          <w:tcPr>
            <w:tcW w:w="1613" w:type="dxa"/>
            <w:gridSpan w:val="2"/>
            <w:shd w:val="clear" w:color="auto" w:fill="F2F2F2" w:themeFill="background1" w:themeFillShade="F2"/>
            <w:noWrap/>
            <w:vAlign w:val="center"/>
            <w:hideMark/>
          </w:tcPr>
          <w:p w14:paraId="652D0CC7"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123.35</w:t>
            </w:r>
          </w:p>
        </w:tc>
        <w:tc>
          <w:tcPr>
            <w:tcW w:w="2142" w:type="dxa"/>
            <w:shd w:val="clear" w:color="auto" w:fill="F2F2F2" w:themeFill="background1" w:themeFillShade="F2"/>
            <w:noWrap/>
            <w:vAlign w:val="center"/>
            <w:hideMark/>
          </w:tcPr>
          <w:p w14:paraId="0C502C53" w14:textId="77777777" w:rsidR="009C7D45" w:rsidRPr="00202271" w:rsidRDefault="009C7D45" w:rsidP="002E3F44">
            <w:pPr>
              <w:spacing w:line="240" w:lineRule="auto"/>
              <w:ind w:firstLine="0"/>
              <w:rPr>
                <w:rFonts w:cs="Times New Roman"/>
                <w:color w:val="000000"/>
              </w:rPr>
            </w:pPr>
            <w:r w:rsidRPr="00202271">
              <w:rPr>
                <w:rFonts w:cs="Times New Roman"/>
                <w:color w:val="000000"/>
              </w:rPr>
              <w:t>34.44</w:t>
            </w:r>
          </w:p>
        </w:tc>
        <w:tc>
          <w:tcPr>
            <w:tcW w:w="2152" w:type="dxa"/>
            <w:shd w:val="clear" w:color="auto" w:fill="F2F2F2" w:themeFill="background1" w:themeFillShade="F2"/>
            <w:noWrap/>
            <w:vAlign w:val="center"/>
            <w:hideMark/>
          </w:tcPr>
          <w:p w14:paraId="7AC1338E" w14:textId="77777777" w:rsidR="009C7D45" w:rsidRPr="00202271" w:rsidRDefault="009C7D45" w:rsidP="002E3F44">
            <w:pPr>
              <w:spacing w:line="240" w:lineRule="auto"/>
              <w:ind w:firstLine="0"/>
              <w:rPr>
                <w:rFonts w:cs="Times New Roman"/>
                <w:color w:val="000000"/>
              </w:rPr>
            </w:pPr>
            <w:r w:rsidRPr="00202271">
              <w:rPr>
                <w:rFonts w:cs="Times New Roman"/>
                <w:color w:val="000000"/>
              </w:rPr>
              <w:t>2.22E-16</w:t>
            </w:r>
          </w:p>
        </w:tc>
        <w:tc>
          <w:tcPr>
            <w:tcW w:w="6994" w:type="dxa"/>
            <w:shd w:val="clear" w:color="auto" w:fill="F2F2F2" w:themeFill="background1" w:themeFillShade="F2"/>
            <w:vAlign w:val="center"/>
            <w:hideMark/>
          </w:tcPr>
          <w:p w14:paraId="60E3D2C2" w14:textId="77777777" w:rsidR="009C7D45" w:rsidRPr="00202271" w:rsidRDefault="009C7D45" w:rsidP="002E3F44">
            <w:pPr>
              <w:spacing w:line="240" w:lineRule="auto"/>
              <w:ind w:firstLine="0"/>
              <w:rPr>
                <w:rFonts w:cs="Times New Roman"/>
                <w:color w:val="000000"/>
              </w:rPr>
            </w:pPr>
            <w:r w:rsidRPr="00202271">
              <w:rPr>
                <w:rFonts w:cs="Times New Roman"/>
                <w:color w:val="000000"/>
              </w:rPr>
              <w:t>Benzoic acid (C</w:t>
            </w:r>
            <w:r w:rsidRPr="00202271">
              <w:rPr>
                <w:rFonts w:cs="Times New Roman"/>
                <w:color w:val="000000"/>
                <w:vertAlign w:val="subscript"/>
              </w:rPr>
              <w:t>7</w:t>
            </w:r>
            <w:r w:rsidRPr="00202271">
              <w:rPr>
                <w:rFonts w:cs="Times New Roman"/>
                <w:color w:val="000000"/>
              </w:rPr>
              <w:t>H</w:t>
            </w:r>
            <w:r w:rsidRPr="00202271">
              <w:rPr>
                <w:rFonts w:cs="Times New Roman"/>
                <w:color w:val="000000"/>
                <w:vertAlign w:val="subscript"/>
              </w:rPr>
              <w:t>6</w:t>
            </w:r>
            <w:r w:rsidRPr="00202271">
              <w:rPr>
                <w:rFonts w:cs="Times New Roman"/>
                <w:color w:val="000000"/>
              </w:rPr>
              <w:t>O</w:t>
            </w:r>
            <w:r w:rsidRPr="00202271">
              <w:rPr>
                <w:rFonts w:cs="Times New Roman"/>
                <w:color w:val="000000"/>
                <w:vertAlign w:val="subscript"/>
              </w:rPr>
              <w:t>2</w:t>
            </w:r>
            <w:r w:rsidRPr="00202271">
              <w:rPr>
                <w:rFonts w:cs="Times New Roman"/>
                <w:color w:val="000000"/>
              </w:rPr>
              <w:t>)</w:t>
            </w:r>
            <w:r w:rsidRPr="00202271">
              <w:rPr>
                <w:rFonts w:cs="Times New Roman"/>
                <w:color w:val="000000"/>
              </w:rPr>
              <w:br/>
              <w:t>2-Ethyl-phenol (C</w:t>
            </w:r>
            <w:r w:rsidRPr="00202271">
              <w:rPr>
                <w:rFonts w:cs="Times New Roman"/>
                <w:color w:val="000000"/>
                <w:vertAlign w:val="subscript"/>
              </w:rPr>
              <w:t>8</w:t>
            </w:r>
            <w:r w:rsidRPr="00202271">
              <w:rPr>
                <w:rFonts w:cs="Times New Roman"/>
                <w:color w:val="000000"/>
              </w:rPr>
              <w:t>H</w:t>
            </w:r>
            <w:r w:rsidRPr="00202271">
              <w:rPr>
                <w:rFonts w:cs="Times New Roman"/>
                <w:color w:val="000000"/>
                <w:vertAlign w:val="subscript"/>
              </w:rPr>
              <w:t>8</w:t>
            </w:r>
            <w:r w:rsidRPr="00202271">
              <w:rPr>
                <w:rFonts w:cs="Times New Roman"/>
                <w:color w:val="000000"/>
              </w:rPr>
              <w:t>O)</w:t>
            </w:r>
            <w:r w:rsidRPr="00202271">
              <w:rPr>
                <w:rFonts w:cs="Times New Roman"/>
                <w:color w:val="000000"/>
              </w:rPr>
              <w:br/>
              <w:t>4-Ethyl-phenol (C</w:t>
            </w:r>
            <w:r w:rsidRPr="00202271">
              <w:rPr>
                <w:rFonts w:cs="Times New Roman"/>
                <w:color w:val="000000"/>
                <w:vertAlign w:val="subscript"/>
              </w:rPr>
              <w:t>8</w:t>
            </w:r>
            <w:r w:rsidRPr="00202271">
              <w:rPr>
                <w:rFonts w:cs="Times New Roman"/>
                <w:color w:val="000000"/>
              </w:rPr>
              <w:t>H</w:t>
            </w:r>
            <w:r w:rsidRPr="00202271">
              <w:rPr>
                <w:rFonts w:cs="Times New Roman"/>
                <w:color w:val="000000"/>
                <w:vertAlign w:val="subscript"/>
              </w:rPr>
              <w:t>8</w:t>
            </w:r>
            <w:r w:rsidRPr="00202271">
              <w:rPr>
                <w:rFonts w:cs="Times New Roman"/>
                <w:color w:val="000000"/>
              </w:rPr>
              <w:t>O)</w:t>
            </w:r>
          </w:p>
          <w:p w14:paraId="1F194634" w14:textId="77777777" w:rsidR="009C7D45" w:rsidRPr="00202271" w:rsidRDefault="009C7D45" w:rsidP="002E3F44">
            <w:pPr>
              <w:spacing w:line="240" w:lineRule="auto"/>
              <w:ind w:firstLine="0"/>
              <w:rPr>
                <w:rFonts w:cs="Times New Roman"/>
                <w:color w:val="000000"/>
              </w:rPr>
            </w:pPr>
          </w:p>
        </w:tc>
      </w:tr>
      <w:tr w:rsidR="009C7D45" w:rsidRPr="00202271" w14:paraId="67863EA3" w14:textId="77777777" w:rsidTr="00F86765">
        <w:trPr>
          <w:trHeight w:val="144"/>
        </w:trPr>
        <w:tc>
          <w:tcPr>
            <w:tcW w:w="1613" w:type="dxa"/>
            <w:gridSpan w:val="2"/>
            <w:noWrap/>
            <w:vAlign w:val="center"/>
            <w:hideMark/>
          </w:tcPr>
          <w:p w14:paraId="4B78B04B"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141.33</w:t>
            </w:r>
          </w:p>
        </w:tc>
        <w:tc>
          <w:tcPr>
            <w:tcW w:w="2142" w:type="dxa"/>
            <w:noWrap/>
            <w:vAlign w:val="center"/>
            <w:hideMark/>
          </w:tcPr>
          <w:p w14:paraId="700FFE2B" w14:textId="77777777" w:rsidR="009C7D45" w:rsidRPr="00202271" w:rsidRDefault="009C7D45" w:rsidP="002E3F44">
            <w:pPr>
              <w:spacing w:line="240" w:lineRule="auto"/>
              <w:ind w:firstLine="0"/>
              <w:rPr>
                <w:rFonts w:cs="Times New Roman"/>
                <w:color w:val="000000"/>
              </w:rPr>
            </w:pPr>
            <w:r w:rsidRPr="00202271">
              <w:rPr>
                <w:rFonts w:cs="Times New Roman"/>
                <w:color w:val="000000"/>
              </w:rPr>
              <w:t>52.51</w:t>
            </w:r>
          </w:p>
        </w:tc>
        <w:tc>
          <w:tcPr>
            <w:tcW w:w="2152" w:type="dxa"/>
            <w:noWrap/>
            <w:vAlign w:val="center"/>
            <w:hideMark/>
          </w:tcPr>
          <w:p w14:paraId="3096980E" w14:textId="77777777" w:rsidR="009C7D45" w:rsidRPr="00202271" w:rsidRDefault="009C7D45" w:rsidP="002E3F44">
            <w:pPr>
              <w:spacing w:line="240" w:lineRule="auto"/>
              <w:ind w:firstLine="0"/>
              <w:rPr>
                <w:rFonts w:cs="Times New Roman"/>
                <w:color w:val="000000"/>
              </w:rPr>
            </w:pPr>
            <w:r w:rsidRPr="00202271">
              <w:rPr>
                <w:rFonts w:cs="Times New Roman"/>
                <w:color w:val="000000"/>
              </w:rPr>
              <w:t>3.60E-05</w:t>
            </w:r>
          </w:p>
        </w:tc>
        <w:tc>
          <w:tcPr>
            <w:tcW w:w="6994" w:type="dxa"/>
            <w:vAlign w:val="center"/>
            <w:hideMark/>
          </w:tcPr>
          <w:p w14:paraId="1C54223C" w14:textId="77777777" w:rsidR="009C7D45" w:rsidRPr="00202271" w:rsidRDefault="009C7D45" w:rsidP="002E3F44">
            <w:pPr>
              <w:spacing w:line="240" w:lineRule="auto"/>
              <w:ind w:firstLine="0"/>
              <w:rPr>
                <w:rFonts w:cs="Times New Roman"/>
                <w:color w:val="000000"/>
              </w:rPr>
            </w:pPr>
            <w:r w:rsidRPr="00202271">
              <w:rPr>
                <w:rFonts w:cs="Times New Roman"/>
                <w:color w:val="000000"/>
              </w:rPr>
              <w:t>2,2,6-Trimethylcyclohexanone (C</w:t>
            </w:r>
            <w:r w:rsidRPr="00202271">
              <w:rPr>
                <w:rFonts w:cs="Times New Roman"/>
                <w:color w:val="000000"/>
                <w:vertAlign w:val="subscript"/>
              </w:rPr>
              <w:t>9</w:t>
            </w:r>
            <w:r w:rsidRPr="00202271">
              <w:rPr>
                <w:rFonts w:cs="Times New Roman"/>
                <w:color w:val="000000"/>
              </w:rPr>
              <w:t>H</w:t>
            </w:r>
            <w:r w:rsidRPr="00202271">
              <w:rPr>
                <w:rFonts w:cs="Times New Roman"/>
                <w:color w:val="000000"/>
                <w:vertAlign w:val="subscript"/>
              </w:rPr>
              <w:t>16</w:t>
            </w:r>
            <w:r w:rsidRPr="00202271">
              <w:rPr>
                <w:rFonts w:cs="Times New Roman"/>
                <w:color w:val="000000"/>
              </w:rPr>
              <w:t>O)</w:t>
            </w:r>
          </w:p>
          <w:p w14:paraId="62B226C5" w14:textId="77777777" w:rsidR="009C7D45" w:rsidRPr="00202271" w:rsidRDefault="009C7D45" w:rsidP="002E3F44">
            <w:pPr>
              <w:spacing w:line="240" w:lineRule="auto"/>
              <w:ind w:firstLine="0"/>
              <w:rPr>
                <w:rFonts w:cs="Times New Roman"/>
                <w:color w:val="000000"/>
              </w:rPr>
            </w:pPr>
          </w:p>
        </w:tc>
      </w:tr>
      <w:tr w:rsidR="009C7D45" w:rsidRPr="00202271" w14:paraId="58817ACC" w14:textId="77777777" w:rsidTr="00F86765">
        <w:trPr>
          <w:trHeight w:val="144"/>
        </w:trPr>
        <w:tc>
          <w:tcPr>
            <w:tcW w:w="1613" w:type="dxa"/>
            <w:gridSpan w:val="2"/>
            <w:tcBorders>
              <w:bottom w:val="single" w:sz="4" w:space="0" w:color="auto"/>
            </w:tcBorders>
            <w:shd w:val="clear" w:color="auto" w:fill="F2F2F2" w:themeFill="background1" w:themeFillShade="F2"/>
            <w:noWrap/>
            <w:vAlign w:val="center"/>
            <w:hideMark/>
          </w:tcPr>
          <w:p w14:paraId="241DE2B6"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190.55</w:t>
            </w:r>
          </w:p>
        </w:tc>
        <w:tc>
          <w:tcPr>
            <w:tcW w:w="2142" w:type="dxa"/>
            <w:tcBorders>
              <w:bottom w:val="single" w:sz="4" w:space="0" w:color="auto"/>
            </w:tcBorders>
            <w:shd w:val="clear" w:color="auto" w:fill="F2F2F2" w:themeFill="background1" w:themeFillShade="F2"/>
            <w:noWrap/>
            <w:vAlign w:val="center"/>
            <w:hideMark/>
          </w:tcPr>
          <w:p w14:paraId="298F1E62" w14:textId="77777777" w:rsidR="009C7D45" w:rsidRPr="00202271" w:rsidRDefault="009C7D45" w:rsidP="002E3F44">
            <w:pPr>
              <w:spacing w:line="240" w:lineRule="auto"/>
              <w:ind w:firstLine="0"/>
              <w:rPr>
                <w:rFonts w:cs="Times New Roman"/>
                <w:color w:val="000000"/>
              </w:rPr>
            </w:pPr>
            <w:r w:rsidRPr="00202271">
              <w:rPr>
                <w:rFonts w:cs="Times New Roman"/>
                <w:color w:val="000000"/>
              </w:rPr>
              <w:t>10.51</w:t>
            </w:r>
          </w:p>
        </w:tc>
        <w:tc>
          <w:tcPr>
            <w:tcW w:w="2152" w:type="dxa"/>
            <w:tcBorders>
              <w:bottom w:val="single" w:sz="4" w:space="0" w:color="auto"/>
            </w:tcBorders>
            <w:shd w:val="clear" w:color="auto" w:fill="F2F2F2" w:themeFill="background1" w:themeFillShade="F2"/>
            <w:noWrap/>
            <w:vAlign w:val="center"/>
            <w:hideMark/>
          </w:tcPr>
          <w:p w14:paraId="728D6D44" w14:textId="77777777" w:rsidR="009C7D45" w:rsidRPr="00202271" w:rsidRDefault="009C7D45" w:rsidP="002E3F44">
            <w:pPr>
              <w:spacing w:line="240" w:lineRule="auto"/>
              <w:ind w:firstLine="0"/>
              <w:rPr>
                <w:rFonts w:cs="Times New Roman"/>
                <w:color w:val="000000"/>
              </w:rPr>
            </w:pPr>
            <w:r w:rsidRPr="00202271">
              <w:rPr>
                <w:rFonts w:cs="Times New Roman"/>
                <w:color w:val="000000"/>
              </w:rPr>
              <w:t>3.23E-08</w:t>
            </w:r>
          </w:p>
        </w:tc>
        <w:tc>
          <w:tcPr>
            <w:tcW w:w="6994" w:type="dxa"/>
            <w:tcBorders>
              <w:bottom w:val="single" w:sz="4" w:space="0" w:color="auto"/>
            </w:tcBorders>
            <w:shd w:val="clear" w:color="auto" w:fill="F2F2F2" w:themeFill="background1" w:themeFillShade="F2"/>
            <w:vAlign w:val="center"/>
            <w:hideMark/>
          </w:tcPr>
          <w:p w14:paraId="36A5B779" w14:textId="77777777" w:rsidR="009C7D45" w:rsidRPr="00202271" w:rsidRDefault="009C7D45" w:rsidP="002E3F44">
            <w:pPr>
              <w:spacing w:line="240" w:lineRule="auto"/>
              <w:ind w:firstLine="0"/>
              <w:rPr>
                <w:rFonts w:cs="Times New Roman"/>
                <w:color w:val="000000"/>
              </w:rPr>
            </w:pPr>
            <w:r w:rsidRPr="00202271">
              <w:rPr>
                <w:rFonts w:cs="Times New Roman"/>
                <w:color w:val="000000"/>
              </w:rPr>
              <w:t>N-Acetyl-L-glutamic acid (C</w:t>
            </w:r>
            <w:r w:rsidRPr="00202271">
              <w:rPr>
                <w:rFonts w:cs="Times New Roman"/>
                <w:color w:val="000000"/>
                <w:vertAlign w:val="subscript"/>
              </w:rPr>
              <w:t>7</w:t>
            </w:r>
            <w:r w:rsidRPr="00202271">
              <w:rPr>
                <w:rFonts w:cs="Times New Roman"/>
                <w:color w:val="000000"/>
              </w:rPr>
              <w:t>H</w:t>
            </w:r>
            <w:r w:rsidRPr="00202271">
              <w:rPr>
                <w:rFonts w:cs="Times New Roman"/>
                <w:color w:val="000000"/>
                <w:vertAlign w:val="subscript"/>
              </w:rPr>
              <w:t>11</w:t>
            </w:r>
            <w:r w:rsidRPr="00202271">
              <w:rPr>
                <w:rFonts w:cs="Times New Roman"/>
                <w:color w:val="000000"/>
              </w:rPr>
              <w:t>NO</w:t>
            </w:r>
            <w:r w:rsidRPr="00202271">
              <w:rPr>
                <w:rFonts w:cs="Times New Roman"/>
                <w:color w:val="000000"/>
                <w:vertAlign w:val="subscript"/>
              </w:rPr>
              <w:t>5</w:t>
            </w:r>
            <w:r w:rsidRPr="00202271">
              <w:rPr>
                <w:rFonts w:cs="Times New Roman"/>
                <w:color w:val="000000"/>
              </w:rPr>
              <w:t>)</w:t>
            </w:r>
            <w:r w:rsidRPr="00202271">
              <w:rPr>
                <w:rFonts w:cs="Times New Roman"/>
                <w:color w:val="000000"/>
              </w:rPr>
              <w:br/>
              <w:t>a-Cyano-3-hydroxycinnamic acid (C</w:t>
            </w:r>
            <w:r w:rsidRPr="00202271">
              <w:rPr>
                <w:rFonts w:cs="Times New Roman"/>
                <w:color w:val="000000"/>
                <w:vertAlign w:val="subscript"/>
              </w:rPr>
              <w:t>10</w:t>
            </w:r>
            <w:r w:rsidRPr="00202271">
              <w:rPr>
                <w:rFonts w:cs="Times New Roman"/>
                <w:color w:val="000000"/>
              </w:rPr>
              <w:t>H</w:t>
            </w:r>
            <w:r w:rsidRPr="00202271">
              <w:rPr>
                <w:rFonts w:cs="Times New Roman"/>
                <w:color w:val="000000"/>
                <w:vertAlign w:val="subscript"/>
              </w:rPr>
              <w:t>7</w:t>
            </w:r>
            <w:r w:rsidRPr="00202271">
              <w:rPr>
                <w:rFonts w:cs="Times New Roman"/>
                <w:color w:val="000000"/>
              </w:rPr>
              <w:t>NO</w:t>
            </w:r>
            <w:r w:rsidRPr="00202271">
              <w:rPr>
                <w:rFonts w:cs="Times New Roman"/>
                <w:color w:val="000000"/>
                <w:vertAlign w:val="subscript"/>
              </w:rPr>
              <w:t>3</w:t>
            </w:r>
            <w:r w:rsidRPr="00202271">
              <w:rPr>
                <w:rFonts w:cs="Times New Roman"/>
                <w:color w:val="000000"/>
              </w:rPr>
              <w:t>)</w:t>
            </w:r>
            <w:r w:rsidRPr="00202271">
              <w:rPr>
                <w:rFonts w:cs="Times New Roman"/>
                <w:color w:val="000000"/>
              </w:rPr>
              <w:br/>
              <w:t>1H-Indole-3-acetic acid methyl ester (C</w:t>
            </w:r>
            <w:r w:rsidRPr="00202271">
              <w:rPr>
                <w:rFonts w:cs="Times New Roman"/>
                <w:color w:val="000000"/>
                <w:vertAlign w:val="subscript"/>
              </w:rPr>
              <w:t>11</w:t>
            </w:r>
            <w:r w:rsidRPr="00202271">
              <w:rPr>
                <w:rFonts w:cs="Times New Roman"/>
                <w:color w:val="000000"/>
              </w:rPr>
              <w:t>H</w:t>
            </w:r>
            <w:r w:rsidRPr="00202271">
              <w:rPr>
                <w:rFonts w:cs="Times New Roman"/>
                <w:color w:val="000000"/>
                <w:vertAlign w:val="subscript"/>
              </w:rPr>
              <w:t>11</w:t>
            </w:r>
            <w:r w:rsidRPr="00202271">
              <w:rPr>
                <w:rFonts w:cs="Times New Roman"/>
                <w:color w:val="000000"/>
              </w:rPr>
              <w:t>NO</w:t>
            </w:r>
            <w:r w:rsidRPr="00202271">
              <w:rPr>
                <w:rFonts w:cs="Times New Roman"/>
                <w:color w:val="000000"/>
                <w:vertAlign w:val="subscript"/>
              </w:rPr>
              <w:t>2</w:t>
            </w:r>
            <w:r w:rsidRPr="00202271">
              <w:rPr>
                <w:rFonts w:cs="Times New Roman"/>
                <w:color w:val="000000"/>
              </w:rPr>
              <w:t>)</w:t>
            </w:r>
            <w:r w:rsidRPr="00202271">
              <w:rPr>
                <w:rFonts w:cs="Times New Roman"/>
                <w:color w:val="000000"/>
              </w:rPr>
              <w:br/>
              <w:t>1H-Indole-3-propanoic acid (C</w:t>
            </w:r>
            <w:r w:rsidRPr="00202271">
              <w:rPr>
                <w:rFonts w:cs="Times New Roman"/>
                <w:color w:val="000000"/>
                <w:vertAlign w:val="subscript"/>
              </w:rPr>
              <w:t>11</w:t>
            </w:r>
            <w:r w:rsidRPr="00202271">
              <w:rPr>
                <w:rFonts w:cs="Times New Roman"/>
                <w:color w:val="000000"/>
              </w:rPr>
              <w:t>H</w:t>
            </w:r>
            <w:r w:rsidRPr="00202271">
              <w:rPr>
                <w:rFonts w:cs="Times New Roman"/>
                <w:color w:val="000000"/>
                <w:vertAlign w:val="subscript"/>
              </w:rPr>
              <w:t>11</w:t>
            </w:r>
            <w:r w:rsidRPr="00202271">
              <w:rPr>
                <w:rFonts w:cs="Times New Roman"/>
                <w:color w:val="000000"/>
              </w:rPr>
              <w:t>NO</w:t>
            </w:r>
            <w:r w:rsidRPr="00202271">
              <w:rPr>
                <w:rFonts w:cs="Times New Roman"/>
                <w:color w:val="000000"/>
                <w:vertAlign w:val="subscript"/>
              </w:rPr>
              <w:t>2</w:t>
            </w:r>
            <w:r w:rsidRPr="00202271">
              <w:rPr>
                <w:rFonts w:cs="Times New Roman"/>
                <w:color w:val="000000"/>
              </w:rPr>
              <w:t>)</w:t>
            </w:r>
            <w:r w:rsidRPr="00202271">
              <w:rPr>
                <w:rFonts w:cs="Times New Roman"/>
                <w:color w:val="000000"/>
              </w:rPr>
              <w:br/>
              <w:t>Tricyclazole (C</w:t>
            </w:r>
            <w:r w:rsidRPr="00202271">
              <w:rPr>
                <w:rFonts w:cs="Times New Roman"/>
                <w:color w:val="000000"/>
                <w:vertAlign w:val="subscript"/>
              </w:rPr>
              <w:t>9</w:t>
            </w:r>
            <w:r w:rsidRPr="00202271">
              <w:rPr>
                <w:rFonts w:cs="Times New Roman"/>
                <w:color w:val="000000"/>
              </w:rPr>
              <w:t>H</w:t>
            </w:r>
            <w:r w:rsidRPr="00202271">
              <w:rPr>
                <w:rFonts w:cs="Times New Roman"/>
                <w:color w:val="000000"/>
                <w:vertAlign w:val="subscript"/>
              </w:rPr>
              <w:t>7</w:t>
            </w:r>
            <w:r w:rsidRPr="00202271">
              <w:rPr>
                <w:rFonts w:cs="Times New Roman"/>
                <w:color w:val="000000"/>
              </w:rPr>
              <w:t>N</w:t>
            </w:r>
            <w:r w:rsidRPr="00202271">
              <w:rPr>
                <w:rFonts w:cs="Times New Roman"/>
                <w:color w:val="000000"/>
                <w:vertAlign w:val="subscript"/>
              </w:rPr>
              <w:t>3</w:t>
            </w:r>
            <w:r w:rsidRPr="00202271">
              <w:rPr>
                <w:rFonts w:cs="Times New Roman"/>
                <w:color w:val="000000"/>
              </w:rPr>
              <w:t>S)</w:t>
            </w:r>
            <w:r w:rsidRPr="00202271">
              <w:rPr>
                <w:rFonts w:cs="Times New Roman"/>
                <w:color w:val="000000"/>
              </w:rPr>
              <w:br/>
              <w:t>Lesquerellin (C</w:t>
            </w:r>
            <w:r w:rsidRPr="00202271">
              <w:rPr>
                <w:rFonts w:cs="Times New Roman"/>
                <w:color w:val="000000"/>
                <w:vertAlign w:val="subscript"/>
              </w:rPr>
              <w:t>8</w:t>
            </w:r>
            <w:r w:rsidRPr="00202271">
              <w:rPr>
                <w:rFonts w:cs="Times New Roman"/>
                <w:color w:val="000000"/>
              </w:rPr>
              <w:t>H</w:t>
            </w:r>
            <w:r w:rsidRPr="00202271">
              <w:rPr>
                <w:rFonts w:cs="Times New Roman"/>
                <w:color w:val="000000"/>
                <w:vertAlign w:val="subscript"/>
              </w:rPr>
              <w:t>15</w:t>
            </w:r>
            <w:r w:rsidRPr="00202271">
              <w:rPr>
                <w:rFonts w:cs="Times New Roman"/>
                <w:color w:val="000000"/>
              </w:rPr>
              <w:t>NS</w:t>
            </w:r>
            <w:r w:rsidRPr="00202271">
              <w:rPr>
                <w:rFonts w:cs="Times New Roman"/>
                <w:color w:val="000000"/>
                <w:vertAlign w:val="subscript"/>
              </w:rPr>
              <w:t>2</w:t>
            </w:r>
            <w:r w:rsidRPr="00202271">
              <w:rPr>
                <w:rFonts w:cs="Times New Roman"/>
                <w:color w:val="000000"/>
              </w:rPr>
              <w:t>)</w:t>
            </w:r>
          </w:p>
          <w:p w14:paraId="0E7C7AD8" w14:textId="77777777" w:rsidR="009C7D45" w:rsidRPr="00202271" w:rsidRDefault="009C7D45" w:rsidP="002E3F44">
            <w:pPr>
              <w:spacing w:line="240" w:lineRule="auto"/>
              <w:ind w:firstLine="0"/>
              <w:rPr>
                <w:rFonts w:cs="Times New Roman"/>
                <w:color w:val="000000"/>
              </w:rPr>
            </w:pPr>
          </w:p>
        </w:tc>
      </w:tr>
      <w:tr w:rsidR="009C7D45" w:rsidRPr="00202271" w14:paraId="5169BE4A" w14:textId="77777777" w:rsidTr="00F86765">
        <w:trPr>
          <w:trHeight w:val="144"/>
        </w:trPr>
        <w:tc>
          <w:tcPr>
            <w:tcW w:w="1613" w:type="dxa"/>
            <w:gridSpan w:val="2"/>
            <w:tcBorders>
              <w:top w:val="single" w:sz="4" w:space="0" w:color="auto"/>
            </w:tcBorders>
            <w:noWrap/>
            <w:vAlign w:val="center"/>
            <w:hideMark/>
          </w:tcPr>
          <w:p w14:paraId="7A50C523" w14:textId="77777777" w:rsidR="009C7D45" w:rsidRPr="00202271" w:rsidRDefault="009C7D45" w:rsidP="002E3F44">
            <w:pPr>
              <w:spacing w:line="240" w:lineRule="auto"/>
              <w:ind w:firstLine="0"/>
              <w:rPr>
                <w:rFonts w:cs="Times New Roman"/>
                <w:color w:val="000000"/>
              </w:rPr>
            </w:pPr>
          </w:p>
        </w:tc>
        <w:tc>
          <w:tcPr>
            <w:tcW w:w="2142" w:type="dxa"/>
            <w:tcBorders>
              <w:top w:val="single" w:sz="4" w:space="0" w:color="auto"/>
            </w:tcBorders>
            <w:noWrap/>
            <w:vAlign w:val="center"/>
            <w:hideMark/>
          </w:tcPr>
          <w:p w14:paraId="07A7D88A" w14:textId="77777777" w:rsidR="009C7D45" w:rsidRPr="00202271" w:rsidRDefault="009C7D45" w:rsidP="002E3F44">
            <w:pPr>
              <w:spacing w:line="240" w:lineRule="auto"/>
              <w:ind w:firstLine="0"/>
              <w:rPr>
                <w:rFonts w:cs="Times New Roman"/>
              </w:rPr>
            </w:pPr>
          </w:p>
        </w:tc>
        <w:tc>
          <w:tcPr>
            <w:tcW w:w="2152" w:type="dxa"/>
            <w:tcBorders>
              <w:top w:val="single" w:sz="4" w:space="0" w:color="auto"/>
            </w:tcBorders>
            <w:noWrap/>
            <w:vAlign w:val="center"/>
            <w:hideMark/>
          </w:tcPr>
          <w:p w14:paraId="4D2ACD52" w14:textId="77777777" w:rsidR="009C7D45" w:rsidRPr="00202271" w:rsidRDefault="009C7D45" w:rsidP="002E3F44">
            <w:pPr>
              <w:spacing w:line="240" w:lineRule="auto"/>
              <w:ind w:firstLine="0"/>
              <w:rPr>
                <w:rFonts w:cs="Times New Roman"/>
              </w:rPr>
            </w:pPr>
          </w:p>
        </w:tc>
        <w:tc>
          <w:tcPr>
            <w:tcW w:w="6994" w:type="dxa"/>
            <w:tcBorders>
              <w:top w:val="single" w:sz="4" w:space="0" w:color="auto"/>
            </w:tcBorders>
            <w:noWrap/>
            <w:vAlign w:val="center"/>
            <w:hideMark/>
          </w:tcPr>
          <w:p w14:paraId="7E139C8D" w14:textId="77777777" w:rsidR="009C7D45" w:rsidRPr="00202271" w:rsidRDefault="009C7D45" w:rsidP="002E3F44">
            <w:pPr>
              <w:spacing w:line="240" w:lineRule="auto"/>
              <w:ind w:firstLine="0"/>
              <w:rPr>
                <w:rFonts w:cs="Times New Roman"/>
              </w:rPr>
            </w:pPr>
          </w:p>
        </w:tc>
      </w:tr>
    </w:tbl>
    <w:p w14:paraId="60B5FA77" w14:textId="77777777" w:rsidR="009C7D45" w:rsidRDefault="009C7D45" w:rsidP="009C7D45">
      <w:pPr>
        <w:spacing w:line="240" w:lineRule="auto"/>
        <w:ind w:firstLine="0"/>
        <w:rPr>
          <w:rFonts w:cs="Times New Roman"/>
          <w:b/>
          <w:bCs/>
        </w:rPr>
      </w:pPr>
    </w:p>
    <w:p w14:paraId="4056A26A" w14:textId="77777777" w:rsidR="009C7D45" w:rsidRDefault="009C7D45" w:rsidP="009C7D45">
      <w:pPr>
        <w:spacing w:line="240" w:lineRule="auto"/>
        <w:ind w:firstLine="0"/>
        <w:rPr>
          <w:rFonts w:cs="Times New Roman"/>
          <w:b/>
          <w:bCs/>
        </w:rPr>
      </w:pPr>
      <w:r>
        <w:rPr>
          <w:rFonts w:cs="Times New Roman"/>
          <w:b/>
          <w:bCs/>
        </w:rPr>
        <w:br w:type="page"/>
      </w:r>
    </w:p>
    <w:p w14:paraId="56A187A9" w14:textId="77777777" w:rsidR="009C7D45" w:rsidRPr="00CE4E6D" w:rsidRDefault="009C7D45" w:rsidP="009C7D45">
      <w:pPr>
        <w:spacing w:line="240" w:lineRule="auto"/>
        <w:ind w:firstLine="0"/>
        <w:rPr>
          <w:rFonts w:cs="Times New Roman"/>
          <w:b/>
          <w:bCs/>
        </w:rPr>
      </w:pPr>
      <w:r w:rsidRPr="00CE4E6D">
        <w:rPr>
          <w:rFonts w:cs="Times New Roman"/>
          <w:b/>
          <w:bCs/>
        </w:rPr>
        <w:lastRenderedPageBreak/>
        <w:t>Day 56</w:t>
      </w:r>
    </w:p>
    <w:tbl>
      <w:tblPr>
        <w:tblStyle w:val="TableGrid"/>
        <w:tblW w:w="129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0"/>
        <w:gridCol w:w="2410"/>
        <w:gridCol w:w="2154"/>
        <w:gridCol w:w="7002"/>
      </w:tblGrid>
      <w:tr w:rsidR="009C7D45" w:rsidRPr="0064147A" w14:paraId="22313B2F" w14:textId="77777777" w:rsidTr="002E3F44">
        <w:trPr>
          <w:trHeight w:val="230"/>
          <w:tblHeader/>
        </w:trPr>
        <w:tc>
          <w:tcPr>
            <w:tcW w:w="12916" w:type="dxa"/>
            <w:gridSpan w:val="4"/>
            <w:tcBorders>
              <w:bottom w:val="single" w:sz="4" w:space="0" w:color="auto"/>
            </w:tcBorders>
            <w:noWrap/>
            <w:vAlign w:val="bottom"/>
          </w:tcPr>
          <w:p w14:paraId="0DDE3F5B" w14:textId="1189D4BE" w:rsidR="009C7D45" w:rsidRPr="0064147A" w:rsidRDefault="009C7D45" w:rsidP="002E3F44">
            <w:pPr>
              <w:spacing w:line="240" w:lineRule="auto"/>
              <w:ind w:firstLine="0"/>
              <w:rPr>
                <w:rFonts w:cs="Times New Roman"/>
                <w:b/>
                <w:bCs/>
                <w:color w:val="000000"/>
              </w:rPr>
            </w:pPr>
            <w:r w:rsidRPr="0064147A">
              <w:rPr>
                <w:rFonts w:cs="Times New Roman"/>
                <w:b/>
                <w:bCs/>
                <w:color w:val="000000"/>
              </w:rPr>
              <w:t>Table 6.</w:t>
            </w:r>
            <w:r w:rsidR="004235CC">
              <w:rPr>
                <w:rFonts w:cs="Times New Roman"/>
                <w:b/>
                <w:bCs/>
                <w:color w:val="000000"/>
              </w:rPr>
              <w:t>9</w:t>
            </w:r>
            <w:r w:rsidRPr="0064147A">
              <w:rPr>
                <w:rFonts w:cs="Times New Roman"/>
                <w:b/>
                <w:bCs/>
                <w:color w:val="000000"/>
              </w:rPr>
              <w:t xml:space="preserve"> (Continued)</w:t>
            </w:r>
          </w:p>
        </w:tc>
      </w:tr>
      <w:tr w:rsidR="009C7D45" w:rsidRPr="0064147A" w14:paraId="481694C7" w14:textId="77777777" w:rsidTr="002E3F44">
        <w:trPr>
          <w:trHeight w:val="276"/>
          <w:tblHeader/>
        </w:trPr>
        <w:tc>
          <w:tcPr>
            <w:tcW w:w="1350" w:type="dxa"/>
            <w:vMerge w:val="restart"/>
            <w:tcBorders>
              <w:top w:val="single" w:sz="4" w:space="0" w:color="auto"/>
            </w:tcBorders>
            <w:noWrap/>
            <w:vAlign w:val="bottom"/>
          </w:tcPr>
          <w:p w14:paraId="55B84B98" w14:textId="77777777" w:rsidR="009C7D45" w:rsidRPr="0064147A" w:rsidRDefault="009C7D45" w:rsidP="002E3F44">
            <w:pPr>
              <w:spacing w:line="240" w:lineRule="auto"/>
              <w:ind w:firstLine="0"/>
              <w:rPr>
                <w:rFonts w:cs="Times New Roman"/>
                <w:i/>
                <w:iCs/>
                <w:color w:val="000000"/>
              </w:rPr>
            </w:pPr>
            <w:r w:rsidRPr="0064147A">
              <w:rPr>
                <w:rFonts w:cs="Times New Roman"/>
                <w:b/>
                <w:bCs/>
                <w:i/>
                <w:iCs/>
                <w:color w:val="000000"/>
              </w:rPr>
              <w:t>m/z</w:t>
            </w:r>
          </w:p>
        </w:tc>
        <w:tc>
          <w:tcPr>
            <w:tcW w:w="2410" w:type="dxa"/>
            <w:vMerge w:val="restart"/>
            <w:tcBorders>
              <w:top w:val="single" w:sz="4" w:space="0" w:color="auto"/>
            </w:tcBorders>
            <w:noWrap/>
            <w:vAlign w:val="bottom"/>
          </w:tcPr>
          <w:p w14:paraId="1A38F80A" w14:textId="77777777" w:rsidR="009C7D45" w:rsidRPr="0064147A" w:rsidRDefault="009C7D45" w:rsidP="002E3F44">
            <w:pPr>
              <w:spacing w:line="240" w:lineRule="auto"/>
              <w:ind w:firstLine="0"/>
              <w:rPr>
                <w:rFonts w:cs="Times New Roman"/>
                <w:color w:val="000000"/>
              </w:rPr>
            </w:pPr>
            <w:r w:rsidRPr="0064147A">
              <w:rPr>
                <w:rFonts w:cs="Times New Roman"/>
                <w:b/>
                <w:bCs/>
                <w:color w:val="000000"/>
              </w:rPr>
              <w:t>Log(2) Fold Change</w:t>
            </w:r>
          </w:p>
        </w:tc>
        <w:tc>
          <w:tcPr>
            <w:tcW w:w="2154" w:type="dxa"/>
            <w:vMerge w:val="restart"/>
            <w:tcBorders>
              <w:top w:val="single" w:sz="4" w:space="0" w:color="auto"/>
            </w:tcBorders>
            <w:noWrap/>
            <w:vAlign w:val="bottom"/>
          </w:tcPr>
          <w:p w14:paraId="169047BD" w14:textId="77777777" w:rsidR="009C7D45" w:rsidRPr="0064147A" w:rsidRDefault="009C7D45" w:rsidP="002E3F44">
            <w:pPr>
              <w:spacing w:line="240" w:lineRule="auto"/>
              <w:ind w:firstLine="0"/>
              <w:rPr>
                <w:rFonts w:cs="Times New Roman"/>
                <w:color w:val="000000"/>
              </w:rPr>
            </w:pPr>
            <w:r w:rsidRPr="0064147A">
              <w:rPr>
                <w:rFonts w:cs="Times New Roman"/>
                <w:b/>
                <w:bCs/>
                <w:color w:val="000000"/>
              </w:rPr>
              <w:t>ANOVA (</w:t>
            </w:r>
            <w:r w:rsidRPr="0064147A">
              <w:rPr>
                <w:rFonts w:cs="Times New Roman"/>
                <w:b/>
                <w:bCs/>
                <w:i/>
                <w:iCs/>
                <w:color w:val="000000"/>
              </w:rPr>
              <w:t>p</w:t>
            </w:r>
            <w:r w:rsidRPr="0064147A">
              <w:rPr>
                <w:rFonts w:cs="Times New Roman"/>
                <w:b/>
                <w:bCs/>
                <w:color w:val="000000"/>
              </w:rPr>
              <w:t>)</w:t>
            </w:r>
          </w:p>
        </w:tc>
        <w:tc>
          <w:tcPr>
            <w:tcW w:w="7002" w:type="dxa"/>
            <w:vMerge w:val="restart"/>
            <w:tcBorders>
              <w:top w:val="single" w:sz="4" w:space="0" w:color="auto"/>
            </w:tcBorders>
            <w:noWrap/>
            <w:vAlign w:val="bottom"/>
          </w:tcPr>
          <w:p w14:paraId="381CE8AA" w14:textId="77777777" w:rsidR="009C7D45" w:rsidRPr="0064147A" w:rsidRDefault="009C7D45" w:rsidP="002E3F44">
            <w:pPr>
              <w:spacing w:line="240" w:lineRule="auto"/>
              <w:ind w:firstLine="0"/>
              <w:rPr>
                <w:rFonts w:cs="Times New Roman"/>
                <w:color w:val="000000"/>
              </w:rPr>
            </w:pPr>
            <w:r w:rsidRPr="0064147A">
              <w:rPr>
                <w:rFonts w:cs="Times New Roman"/>
                <w:b/>
                <w:bCs/>
                <w:color w:val="000000"/>
              </w:rPr>
              <w:t>Putative ID's (assigned by Progenesis MALDI)</w:t>
            </w:r>
          </w:p>
        </w:tc>
      </w:tr>
      <w:tr w:rsidR="009C7D45" w:rsidRPr="0064147A" w14:paraId="1332A0AB" w14:textId="77777777" w:rsidTr="002E3F44">
        <w:trPr>
          <w:trHeight w:val="276"/>
          <w:tblHeader/>
        </w:trPr>
        <w:tc>
          <w:tcPr>
            <w:tcW w:w="1350" w:type="dxa"/>
            <w:vMerge/>
            <w:tcBorders>
              <w:bottom w:val="single" w:sz="4" w:space="0" w:color="auto"/>
            </w:tcBorders>
            <w:noWrap/>
            <w:vAlign w:val="bottom"/>
          </w:tcPr>
          <w:p w14:paraId="25567A06" w14:textId="77777777" w:rsidR="009C7D45" w:rsidRPr="0064147A" w:rsidRDefault="009C7D45" w:rsidP="002E3F44">
            <w:pPr>
              <w:spacing w:line="240" w:lineRule="auto"/>
              <w:ind w:firstLine="0"/>
              <w:rPr>
                <w:rFonts w:cs="Times New Roman"/>
                <w:color w:val="000000"/>
              </w:rPr>
            </w:pPr>
          </w:p>
        </w:tc>
        <w:tc>
          <w:tcPr>
            <w:tcW w:w="2410" w:type="dxa"/>
            <w:vMerge/>
            <w:tcBorders>
              <w:bottom w:val="single" w:sz="4" w:space="0" w:color="auto"/>
            </w:tcBorders>
            <w:noWrap/>
            <w:vAlign w:val="bottom"/>
          </w:tcPr>
          <w:p w14:paraId="019408F5" w14:textId="77777777" w:rsidR="009C7D45" w:rsidRPr="0064147A" w:rsidRDefault="009C7D45" w:rsidP="002E3F44">
            <w:pPr>
              <w:spacing w:line="240" w:lineRule="auto"/>
              <w:ind w:firstLine="0"/>
              <w:rPr>
                <w:rFonts w:cs="Times New Roman"/>
                <w:color w:val="000000"/>
              </w:rPr>
            </w:pPr>
          </w:p>
        </w:tc>
        <w:tc>
          <w:tcPr>
            <w:tcW w:w="2154" w:type="dxa"/>
            <w:vMerge/>
            <w:tcBorders>
              <w:bottom w:val="single" w:sz="4" w:space="0" w:color="auto"/>
            </w:tcBorders>
            <w:noWrap/>
            <w:vAlign w:val="bottom"/>
          </w:tcPr>
          <w:p w14:paraId="27284B23" w14:textId="77777777" w:rsidR="009C7D45" w:rsidRPr="0064147A" w:rsidRDefault="009C7D45" w:rsidP="002E3F44">
            <w:pPr>
              <w:spacing w:line="240" w:lineRule="auto"/>
              <w:ind w:firstLine="0"/>
              <w:rPr>
                <w:rFonts w:cs="Times New Roman"/>
                <w:color w:val="000000"/>
              </w:rPr>
            </w:pPr>
          </w:p>
        </w:tc>
        <w:tc>
          <w:tcPr>
            <w:tcW w:w="7002" w:type="dxa"/>
            <w:vMerge/>
            <w:tcBorders>
              <w:bottom w:val="single" w:sz="4" w:space="0" w:color="auto"/>
            </w:tcBorders>
            <w:noWrap/>
            <w:vAlign w:val="bottom"/>
          </w:tcPr>
          <w:p w14:paraId="4FD75708" w14:textId="77777777" w:rsidR="009C7D45" w:rsidRPr="0064147A" w:rsidRDefault="009C7D45" w:rsidP="002E3F44">
            <w:pPr>
              <w:spacing w:line="240" w:lineRule="auto"/>
              <w:ind w:firstLine="0"/>
              <w:rPr>
                <w:rFonts w:cs="Times New Roman"/>
                <w:color w:val="000000"/>
              </w:rPr>
            </w:pPr>
          </w:p>
        </w:tc>
      </w:tr>
      <w:tr w:rsidR="009C7D45" w:rsidRPr="0064147A" w14:paraId="22D43DDB" w14:textId="77777777" w:rsidTr="002E3F44">
        <w:trPr>
          <w:trHeight w:val="20"/>
        </w:trPr>
        <w:tc>
          <w:tcPr>
            <w:tcW w:w="1350" w:type="dxa"/>
            <w:tcBorders>
              <w:top w:val="single" w:sz="4" w:space="0" w:color="auto"/>
            </w:tcBorders>
            <w:noWrap/>
            <w:vAlign w:val="center"/>
            <w:hideMark/>
          </w:tcPr>
          <w:p w14:paraId="184A7852" w14:textId="77777777" w:rsidR="009C7D45" w:rsidRPr="0064147A" w:rsidRDefault="009C7D45" w:rsidP="002E3F44">
            <w:pPr>
              <w:spacing w:line="240" w:lineRule="auto"/>
              <w:ind w:firstLine="0"/>
              <w:rPr>
                <w:rFonts w:cs="Times New Roman"/>
                <w:color w:val="000000"/>
              </w:rPr>
            </w:pPr>
            <w:r w:rsidRPr="0064147A">
              <w:rPr>
                <w:rFonts w:cs="Times New Roman"/>
                <w:color w:val="000000"/>
              </w:rPr>
              <w:t>36.91</w:t>
            </w:r>
          </w:p>
        </w:tc>
        <w:tc>
          <w:tcPr>
            <w:tcW w:w="2410" w:type="dxa"/>
            <w:tcBorders>
              <w:top w:val="single" w:sz="4" w:space="0" w:color="auto"/>
            </w:tcBorders>
            <w:noWrap/>
            <w:vAlign w:val="center"/>
            <w:hideMark/>
          </w:tcPr>
          <w:p w14:paraId="7BF69E1A" w14:textId="77777777" w:rsidR="009C7D45" w:rsidRPr="0064147A" w:rsidRDefault="009C7D45" w:rsidP="002E3F44">
            <w:pPr>
              <w:spacing w:line="240" w:lineRule="auto"/>
              <w:ind w:firstLine="0"/>
              <w:rPr>
                <w:rFonts w:cs="Times New Roman"/>
                <w:color w:val="000000"/>
              </w:rPr>
            </w:pPr>
            <w:r w:rsidRPr="0064147A">
              <w:rPr>
                <w:rFonts w:cs="Times New Roman"/>
                <w:color w:val="000000"/>
              </w:rPr>
              <w:t>23.75</w:t>
            </w:r>
          </w:p>
        </w:tc>
        <w:tc>
          <w:tcPr>
            <w:tcW w:w="2154" w:type="dxa"/>
            <w:tcBorders>
              <w:top w:val="single" w:sz="4" w:space="0" w:color="auto"/>
            </w:tcBorders>
            <w:noWrap/>
            <w:vAlign w:val="center"/>
            <w:hideMark/>
          </w:tcPr>
          <w:p w14:paraId="3F1C541D" w14:textId="77777777" w:rsidR="009C7D45" w:rsidRPr="0064147A" w:rsidRDefault="009C7D45" w:rsidP="002E3F44">
            <w:pPr>
              <w:spacing w:line="240" w:lineRule="auto"/>
              <w:ind w:firstLine="0"/>
              <w:rPr>
                <w:rFonts w:cs="Times New Roman"/>
                <w:color w:val="000000"/>
              </w:rPr>
            </w:pPr>
            <w:r w:rsidRPr="0064147A">
              <w:rPr>
                <w:rFonts w:cs="Times New Roman"/>
                <w:color w:val="000000"/>
              </w:rPr>
              <w:t>8.88E-16</w:t>
            </w:r>
          </w:p>
        </w:tc>
        <w:tc>
          <w:tcPr>
            <w:tcW w:w="7002" w:type="dxa"/>
            <w:tcBorders>
              <w:top w:val="single" w:sz="4" w:space="0" w:color="auto"/>
            </w:tcBorders>
            <w:noWrap/>
            <w:vAlign w:val="center"/>
            <w:hideMark/>
          </w:tcPr>
          <w:p w14:paraId="3CD3C25D" w14:textId="77777777" w:rsidR="009C7D45" w:rsidRPr="0064147A" w:rsidRDefault="009C7D45" w:rsidP="002E3F44">
            <w:pPr>
              <w:spacing w:line="240" w:lineRule="auto"/>
              <w:ind w:firstLine="0"/>
              <w:rPr>
                <w:rFonts w:cs="Times New Roman"/>
                <w:color w:val="000000"/>
              </w:rPr>
            </w:pPr>
          </w:p>
        </w:tc>
      </w:tr>
      <w:tr w:rsidR="009C7D45" w:rsidRPr="0064147A" w14:paraId="4D85F055" w14:textId="77777777" w:rsidTr="002E3F44">
        <w:trPr>
          <w:trHeight w:val="20"/>
        </w:trPr>
        <w:tc>
          <w:tcPr>
            <w:tcW w:w="1350" w:type="dxa"/>
            <w:shd w:val="clear" w:color="auto" w:fill="D9D9D9" w:themeFill="background1" w:themeFillShade="D9"/>
            <w:noWrap/>
            <w:vAlign w:val="center"/>
            <w:hideMark/>
          </w:tcPr>
          <w:p w14:paraId="4355CCC1" w14:textId="77777777" w:rsidR="009C7D45" w:rsidRPr="0064147A" w:rsidRDefault="009C7D45" w:rsidP="002E3F44">
            <w:pPr>
              <w:spacing w:line="240" w:lineRule="auto"/>
              <w:ind w:firstLine="0"/>
              <w:rPr>
                <w:rFonts w:cs="Times New Roman"/>
                <w:color w:val="000000"/>
              </w:rPr>
            </w:pPr>
            <w:r w:rsidRPr="0064147A">
              <w:rPr>
                <w:rFonts w:cs="Times New Roman"/>
                <w:color w:val="000000"/>
              </w:rPr>
              <w:t>46.68</w:t>
            </w:r>
          </w:p>
        </w:tc>
        <w:tc>
          <w:tcPr>
            <w:tcW w:w="2410" w:type="dxa"/>
            <w:shd w:val="clear" w:color="auto" w:fill="D9D9D9" w:themeFill="background1" w:themeFillShade="D9"/>
            <w:noWrap/>
            <w:vAlign w:val="center"/>
            <w:hideMark/>
          </w:tcPr>
          <w:p w14:paraId="4D9CEBEB" w14:textId="77777777" w:rsidR="009C7D45" w:rsidRPr="0064147A" w:rsidRDefault="009C7D45" w:rsidP="002E3F44">
            <w:pPr>
              <w:spacing w:line="240" w:lineRule="auto"/>
              <w:ind w:firstLine="0"/>
              <w:rPr>
                <w:rFonts w:cs="Times New Roman"/>
                <w:color w:val="000000"/>
              </w:rPr>
            </w:pPr>
            <w:r w:rsidRPr="0064147A">
              <w:rPr>
                <w:rFonts w:cs="Times New Roman"/>
                <w:color w:val="000000"/>
              </w:rPr>
              <w:t>3.1</w:t>
            </w:r>
          </w:p>
        </w:tc>
        <w:tc>
          <w:tcPr>
            <w:tcW w:w="2154" w:type="dxa"/>
            <w:shd w:val="clear" w:color="auto" w:fill="D9D9D9" w:themeFill="background1" w:themeFillShade="D9"/>
            <w:noWrap/>
            <w:vAlign w:val="center"/>
            <w:hideMark/>
          </w:tcPr>
          <w:p w14:paraId="18136E1D" w14:textId="77777777" w:rsidR="009C7D45" w:rsidRPr="0064147A" w:rsidRDefault="009C7D45" w:rsidP="002E3F44">
            <w:pPr>
              <w:spacing w:line="240" w:lineRule="auto"/>
              <w:ind w:firstLine="0"/>
              <w:rPr>
                <w:rFonts w:cs="Times New Roman"/>
                <w:color w:val="000000"/>
              </w:rPr>
            </w:pPr>
            <w:r w:rsidRPr="0064147A">
              <w:rPr>
                <w:rFonts w:cs="Times New Roman"/>
                <w:color w:val="000000"/>
              </w:rPr>
              <w:t>2.20E-09</w:t>
            </w:r>
          </w:p>
        </w:tc>
        <w:tc>
          <w:tcPr>
            <w:tcW w:w="7002" w:type="dxa"/>
            <w:shd w:val="clear" w:color="auto" w:fill="D9D9D9" w:themeFill="background1" w:themeFillShade="D9"/>
            <w:vAlign w:val="center"/>
            <w:hideMark/>
          </w:tcPr>
          <w:p w14:paraId="3C741CE9" w14:textId="77777777" w:rsidR="009C7D45" w:rsidRPr="0064147A" w:rsidRDefault="009C7D45" w:rsidP="002E3F44">
            <w:pPr>
              <w:spacing w:line="240" w:lineRule="auto"/>
              <w:ind w:firstLine="0"/>
              <w:rPr>
                <w:rFonts w:cs="Times New Roman"/>
                <w:color w:val="000000"/>
              </w:rPr>
            </w:pPr>
            <w:r w:rsidRPr="0064147A">
              <w:rPr>
                <w:rFonts w:cs="Times New Roman"/>
                <w:color w:val="000000"/>
              </w:rPr>
              <w:t>Nitrosomethane (CH</w:t>
            </w:r>
            <w:r w:rsidRPr="0064147A">
              <w:rPr>
                <w:rFonts w:cs="Times New Roman"/>
                <w:color w:val="000000"/>
                <w:vertAlign w:val="subscript"/>
              </w:rPr>
              <w:t>3</w:t>
            </w:r>
            <w:r w:rsidRPr="0064147A">
              <w:rPr>
                <w:rFonts w:cs="Times New Roman"/>
                <w:color w:val="000000"/>
              </w:rPr>
              <w:t>NO)</w:t>
            </w:r>
            <w:r w:rsidRPr="0064147A">
              <w:rPr>
                <w:rFonts w:cs="Times New Roman"/>
                <w:color w:val="000000"/>
              </w:rPr>
              <w:br/>
              <w:t>Dimethylamine (CH</w:t>
            </w:r>
            <w:r w:rsidRPr="0064147A">
              <w:rPr>
                <w:rFonts w:cs="Times New Roman"/>
                <w:color w:val="000000"/>
                <w:vertAlign w:val="subscript"/>
              </w:rPr>
              <w:t>3</w:t>
            </w:r>
            <w:r w:rsidRPr="0064147A">
              <w:rPr>
                <w:rFonts w:cs="Times New Roman"/>
                <w:color w:val="000000"/>
              </w:rPr>
              <w:t>NHCH</w:t>
            </w:r>
            <w:r w:rsidRPr="0064147A">
              <w:rPr>
                <w:rFonts w:cs="Times New Roman"/>
                <w:color w:val="000000"/>
                <w:vertAlign w:val="subscript"/>
              </w:rPr>
              <w:t>3</w:t>
            </w:r>
            <w:r w:rsidRPr="0064147A">
              <w:rPr>
                <w:rFonts w:cs="Times New Roman"/>
                <w:color w:val="000000"/>
              </w:rPr>
              <w:t>)</w:t>
            </w:r>
            <w:r w:rsidRPr="0064147A">
              <w:rPr>
                <w:rFonts w:cs="Times New Roman"/>
                <w:color w:val="000000"/>
              </w:rPr>
              <w:br/>
              <w:t>Ethylamine (CH</w:t>
            </w:r>
            <w:r w:rsidRPr="0064147A">
              <w:rPr>
                <w:rFonts w:cs="Times New Roman"/>
                <w:color w:val="000000"/>
                <w:vertAlign w:val="subscript"/>
              </w:rPr>
              <w:t>3</w:t>
            </w:r>
            <w:r w:rsidRPr="0064147A">
              <w:rPr>
                <w:rFonts w:cs="Times New Roman"/>
                <w:color w:val="000000"/>
              </w:rPr>
              <w:t>CH</w:t>
            </w:r>
            <w:r w:rsidRPr="0064147A">
              <w:rPr>
                <w:rFonts w:cs="Times New Roman"/>
                <w:color w:val="000000"/>
                <w:vertAlign w:val="subscript"/>
              </w:rPr>
              <w:t>2</w:t>
            </w:r>
            <w:r w:rsidRPr="0064147A">
              <w:rPr>
                <w:rFonts w:cs="Times New Roman"/>
                <w:color w:val="000000"/>
              </w:rPr>
              <w:t>NH</w:t>
            </w:r>
            <w:r w:rsidRPr="0064147A">
              <w:rPr>
                <w:rFonts w:cs="Times New Roman"/>
                <w:color w:val="000000"/>
                <w:vertAlign w:val="subscript"/>
              </w:rPr>
              <w:t>2</w:t>
            </w:r>
            <w:r w:rsidRPr="0064147A">
              <w:rPr>
                <w:rFonts w:cs="Times New Roman"/>
                <w:color w:val="000000"/>
              </w:rPr>
              <w:t>)</w:t>
            </w:r>
          </w:p>
        </w:tc>
      </w:tr>
      <w:tr w:rsidR="009C7D45" w:rsidRPr="0064147A" w14:paraId="5E722210" w14:textId="77777777" w:rsidTr="002E3F44">
        <w:trPr>
          <w:trHeight w:val="20"/>
        </w:trPr>
        <w:tc>
          <w:tcPr>
            <w:tcW w:w="1350" w:type="dxa"/>
            <w:noWrap/>
            <w:vAlign w:val="center"/>
            <w:hideMark/>
          </w:tcPr>
          <w:p w14:paraId="2661D6FB" w14:textId="77777777" w:rsidR="009C7D45" w:rsidRPr="0064147A" w:rsidRDefault="009C7D45" w:rsidP="002E3F44">
            <w:pPr>
              <w:spacing w:line="240" w:lineRule="auto"/>
              <w:ind w:firstLine="0"/>
              <w:rPr>
                <w:rFonts w:cs="Times New Roman"/>
                <w:color w:val="000000"/>
              </w:rPr>
            </w:pPr>
            <w:r w:rsidRPr="0064147A">
              <w:rPr>
                <w:rFonts w:cs="Times New Roman"/>
                <w:color w:val="000000"/>
              </w:rPr>
              <w:t>48.09</w:t>
            </w:r>
          </w:p>
        </w:tc>
        <w:tc>
          <w:tcPr>
            <w:tcW w:w="2410" w:type="dxa"/>
            <w:noWrap/>
            <w:vAlign w:val="center"/>
            <w:hideMark/>
          </w:tcPr>
          <w:p w14:paraId="12811674" w14:textId="77777777" w:rsidR="009C7D45" w:rsidRPr="0064147A" w:rsidRDefault="009C7D45" w:rsidP="002E3F44">
            <w:pPr>
              <w:spacing w:line="240" w:lineRule="auto"/>
              <w:ind w:firstLine="0"/>
              <w:rPr>
                <w:rFonts w:cs="Times New Roman"/>
                <w:color w:val="000000"/>
              </w:rPr>
            </w:pPr>
            <w:r w:rsidRPr="0064147A">
              <w:rPr>
                <w:rFonts w:cs="Times New Roman"/>
                <w:color w:val="000000"/>
              </w:rPr>
              <w:t>5.91</w:t>
            </w:r>
          </w:p>
        </w:tc>
        <w:tc>
          <w:tcPr>
            <w:tcW w:w="2154" w:type="dxa"/>
            <w:noWrap/>
            <w:vAlign w:val="center"/>
            <w:hideMark/>
          </w:tcPr>
          <w:p w14:paraId="7D472D9D" w14:textId="77777777" w:rsidR="009C7D45" w:rsidRPr="0064147A" w:rsidRDefault="009C7D45" w:rsidP="002E3F44">
            <w:pPr>
              <w:spacing w:line="240" w:lineRule="auto"/>
              <w:ind w:firstLine="0"/>
              <w:rPr>
                <w:rFonts w:cs="Times New Roman"/>
                <w:color w:val="000000"/>
              </w:rPr>
            </w:pPr>
            <w:r w:rsidRPr="0064147A">
              <w:rPr>
                <w:rFonts w:cs="Times New Roman"/>
                <w:color w:val="000000"/>
              </w:rPr>
              <w:t>&lt;1.1E-16</w:t>
            </w:r>
          </w:p>
        </w:tc>
        <w:tc>
          <w:tcPr>
            <w:tcW w:w="7002" w:type="dxa"/>
            <w:vAlign w:val="center"/>
            <w:hideMark/>
          </w:tcPr>
          <w:p w14:paraId="2EADD932" w14:textId="77777777" w:rsidR="009C7D45" w:rsidRPr="0064147A" w:rsidRDefault="009C7D45" w:rsidP="002E3F44">
            <w:pPr>
              <w:spacing w:line="240" w:lineRule="auto"/>
              <w:ind w:firstLine="0"/>
              <w:rPr>
                <w:rFonts w:cs="Times New Roman"/>
                <w:color w:val="000000"/>
              </w:rPr>
            </w:pPr>
            <w:r w:rsidRPr="0064147A">
              <w:rPr>
                <w:rFonts w:cs="Times New Roman"/>
                <w:color w:val="000000"/>
              </w:rPr>
              <w:t>N-Methyl-hydroxylamine (CH</w:t>
            </w:r>
            <w:r w:rsidRPr="0064147A">
              <w:rPr>
                <w:rFonts w:cs="Times New Roman"/>
                <w:color w:val="000000"/>
                <w:vertAlign w:val="subscript"/>
              </w:rPr>
              <w:t>5</w:t>
            </w:r>
            <w:r w:rsidRPr="0064147A">
              <w:rPr>
                <w:rFonts w:cs="Times New Roman"/>
                <w:color w:val="000000"/>
              </w:rPr>
              <w:t>NO)</w:t>
            </w:r>
            <w:r w:rsidRPr="0064147A">
              <w:rPr>
                <w:rFonts w:cs="Times New Roman"/>
                <w:color w:val="000000"/>
              </w:rPr>
              <w:br/>
              <w:t>O-Methyl-hydroxylamine (CH</w:t>
            </w:r>
            <w:r w:rsidRPr="0064147A">
              <w:rPr>
                <w:rFonts w:cs="Times New Roman"/>
                <w:color w:val="000000"/>
                <w:vertAlign w:val="subscript"/>
              </w:rPr>
              <w:t>5</w:t>
            </w:r>
            <w:r w:rsidRPr="0064147A">
              <w:rPr>
                <w:rFonts w:cs="Times New Roman"/>
                <w:color w:val="000000"/>
              </w:rPr>
              <w:t>NO)</w:t>
            </w:r>
          </w:p>
        </w:tc>
      </w:tr>
      <w:tr w:rsidR="009C7D45" w:rsidRPr="0064147A" w14:paraId="337DF255" w14:textId="77777777" w:rsidTr="002E3F44">
        <w:trPr>
          <w:trHeight w:val="20"/>
        </w:trPr>
        <w:tc>
          <w:tcPr>
            <w:tcW w:w="1350" w:type="dxa"/>
            <w:shd w:val="clear" w:color="auto" w:fill="F2F2F2" w:themeFill="background1" w:themeFillShade="F2"/>
            <w:noWrap/>
            <w:vAlign w:val="center"/>
            <w:hideMark/>
          </w:tcPr>
          <w:p w14:paraId="5B91A3EA" w14:textId="77777777" w:rsidR="009C7D45" w:rsidRPr="0064147A" w:rsidRDefault="009C7D45" w:rsidP="002E3F44">
            <w:pPr>
              <w:spacing w:line="240" w:lineRule="auto"/>
              <w:ind w:firstLine="0"/>
              <w:rPr>
                <w:rFonts w:cs="Times New Roman"/>
                <w:color w:val="000000"/>
              </w:rPr>
            </w:pPr>
            <w:r w:rsidRPr="0064147A">
              <w:rPr>
                <w:rFonts w:cs="Times New Roman"/>
                <w:color w:val="000000"/>
              </w:rPr>
              <w:t>55.11</w:t>
            </w:r>
          </w:p>
        </w:tc>
        <w:tc>
          <w:tcPr>
            <w:tcW w:w="2410" w:type="dxa"/>
            <w:shd w:val="clear" w:color="auto" w:fill="F2F2F2" w:themeFill="background1" w:themeFillShade="F2"/>
            <w:noWrap/>
            <w:vAlign w:val="center"/>
            <w:hideMark/>
          </w:tcPr>
          <w:p w14:paraId="7D4A3B9E"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148.97</w:t>
            </w:r>
          </w:p>
        </w:tc>
        <w:tc>
          <w:tcPr>
            <w:tcW w:w="2154" w:type="dxa"/>
            <w:shd w:val="clear" w:color="auto" w:fill="F2F2F2" w:themeFill="background1" w:themeFillShade="F2"/>
            <w:noWrap/>
            <w:vAlign w:val="center"/>
            <w:hideMark/>
          </w:tcPr>
          <w:p w14:paraId="23DE2705" w14:textId="77777777" w:rsidR="009C7D45" w:rsidRPr="0064147A" w:rsidRDefault="009C7D45" w:rsidP="002E3F44">
            <w:pPr>
              <w:spacing w:line="240" w:lineRule="auto"/>
              <w:ind w:firstLine="0"/>
              <w:rPr>
                <w:rFonts w:cs="Times New Roman"/>
                <w:color w:val="000000"/>
              </w:rPr>
            </w:pPr>
            <w:r w:rsidRPr="0064147A">
              <w:rPr>
                <w:rFonts w:cs="Times New Roman"/>
                <w:color w:val="000000"/>
              </w:rPr>
              <w:t>&lt;1.1E-16</w:t>
            </w:r>
          </w:p>
        </w:tc>
        <w:tc>
          <w:tcPr>
            <w:tcW w:w="7002" w:type="dxa"/>
            <w:shd w:val="clear" w:color="auto" w:fill="F2F2F2" w:themeFill="background1" w:themeFillShade="F2"/>
            <w:vAlign w:val="center"/>
            <w:hideMark/>
          </w:tcPr>
          <w:p w14:paraId="1C8B9FCB"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1,3-Butadiene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6</w:t>
            </w:r>
            <w:r w:rsidRPr="0064147A">
              <w:rPr>
                <w:rFonts w:cs="Times New Roman"/>
                <w:color w:val="000000"/>
              </w:rPr>
              <w:t>)</w:t>
            </w:r>
            <w:r w:rsidRPr="0064147A">
              <w:rPr>
                <w:rFonts w:cs="Times New Roman"/>
                <w:color w:val="000000"/>
              </w:rPr>
              <w:br/>
              <w:t>1,2-Butadiene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6</w:t>
            </w:r>
            <w:r w:rsidRPr="0064147A">
              <w:rPr>
                <w:rFonts w:cs="Times New Roman"/>
                <w:color w:val="000000"/>
              </w:rPr>
              <w:t>)</w:t>
            </w:r>
            <w:r w:rsidRPr="0064147A">
              <w:rPr>
                <w:rFonts w:cs="Times New Roman"/>
                <w:color w:val="000000"/>
              </w:rPr>
              <w:br/>
              <w:t>Cyclobutene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6</w:t>
            </w:r>
            <w:r w:rsidRPr="0064147A">
              <w:rPr>
                <w:rFonts w:cs="Times New Roman"/>
                <w:color w:val="000000"/>
              </w:rPr>
              <w:t>)</w:t>
            </w:r>
            <w:r w:rsidRPr="0064147A">
              <w:rPr>
                <w:rFonts w:cs="Times New Roman"/>
                <w:color w:val="000000"/>
              </w:rPr>
              <w:br/>
              <w:t>1-Butyne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6</w:t>
            </w:r>
            <w:r w:rsidRPr="0064147A">
              <w:rPr>
                <w:rFonts w:cs="Times New Roman"/>
                <w:color w:val="000000"/>
              </w:rPr>
              <w:t>)</w:t>
            </w:r>
            <w:r w:rsidRPr="0064147A">
              <w:rPr>
                <w:rFonts w:cs="Times New Roman"/>
                <w:color w:val="000000"/>
              </w:rPr>
              <w:br/>
              <w:t>2-Butyne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6</w:t>
            </w:r>
            <w:r w:rsidRPr="0064147A">
              <w:rPr>
                <w:rFonts w:cs="Times New Roman"/>
                <w:color w:val="000000"/>
              </w:rPr>
              <w:t>)</w:t>
            </w:r>
            <w:r w:rsidRPr="0064147A">
              <w:rPr>
                <w:rFonts w:cs="Times New Roman"/>
                <w:color w:val="000000"/>
              </w:rPr>
              <w:br/>
              <w:t>1-Methylcyclopropene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6</w:t>
            </w:r>
            <w:r w:rsidRPr="0064147A">
              <w:rPr>
                <w:rFonts w:cs="Times New Roman"/>
                <w:color w:val="000000"/>
              </w:rPr>
              <w:t>)</w:t>
            </w:r>
          </w:p>
        </w:tc>
      </w:tr>
      <w:tr w:rsidR="009C7D45" w:rsidRPr="0064147A" w14:paraId="15559900" w14:textId="77777777" w:rsidTr="002E3F44">
        <w:trPr>
          <w:trHeight w:val="20"/>
        </w:trPr>
        <w:tc>
          <w:tcPr>
            <w:tcW w:w="1350" w:type="dxa"/>
            <w:noWrap/>
            <w:vAlign w:val="center"/>
            <w:hideMark/>
          </w:tcPr>
          <w:p w14:paraId="01C67A94" w14:textId="77777777" w:rsidR="009C7D45" w:rsidRPr="0064147A" w:rsidRDefault="009C7D45" w:rsidP="002E3F44">
            <w:pPr>
              <w:spacing w:line="240" w:lineRule="auto"/>
              <w:ind w:firstLine="0"/>
              <w:rPr>
                <w:rFonts w:cs="Times New Roman"/>
                <w:color w:val="000000"/>
              </w:rPr>
            </w:pPr>
            <w:r w:rsidRPr="0064147A">
              <w:rPr>
                <w:rFonts w:cs="Times New Roman"/>
                <w:color w:val="000000"/>
              </w:rPr>
              <w:t>56.55</w:t>
            </w:r>
          </w:p>
        </w:tc>
        <w:tc>
          <w:tcPr>
            <w:tcW w:w="2410" w:type="dxa"/>
            <w:noWrap/>
            <w:vAlign w:val="center"/>
            <w:hideMark/>
          </w:tcPr>
          <w:p w14:paraId="36592F1F" w14:textId="77777777" w:rsidR="009C7D45" w:rsidRPr="0064147A" w:rsidRDefault="009C7D45" w:rsidP="002E3F44">
            <w:pPr>
              <w:spacing w:line="240" w:lineRule="auto"/>
              <w:ind w:firstLine="0"/>
              <w:rPr>
                <w:rFonts w:cs="Times New Roman"/>
                <w:color w:val="000000"/>
              </w:rPr>
            </w:pPr>
            <w:r w:rsidRPr="0064147A">
              <w:rPr>
                <w:rFonts w:cs="Times New Roman"/>
                <w:color w:val="000000"/>
              </w:rPr>
              <w:t>433.61</w:t>
            </w:r>
          </w:p>
        </w:tc>
        <w:tc>
          <w:tcPr>
            <w:tcW w:w="2154" w:type="dxa"/>
            <w:noWrap/>
            <w:vAlign w:val="center"/>
            <w:hideMark/>
          </w:tcPr>
          <w:p w14:paraId="16718A50" w14:textId="77777777" w:rsidR="009C7D45" w:rsidRPr="0064147A" w:rsidRDefault="009C7D45" w:rsidP="002E3F44">
            <w:pPr>
              <w:spacing w:line="240" w:lineRule="auto"/>
              <w:ind w:firstLine="0"/>
              <w:rPr>
                <w:rFonts w:cs="Times New Roman"/>
                <w:color w:val="000000"/>
              </w:rPr>
            </w:pPr>
            <w:r w:rsidRPr="0064147A">
              <w:rPr>
                <w:rFonts w:cs="Times New Roman"/>
                <w:color w:val="000000"/>
              </w:rPr>
              <w:t>&lt;1.1E-16</w:t>
            </w:r>
          </w:p>
        </w:tc>
        <w:tc>
          <w:tcPr>
            <w:tcW w:w="7002" w:type="dxa"/>
            <w:vAlign w:val="center"/>
            <w:hideMark/>
          </w:tcPr>
          <w:p w14:paraId="1CD3E593"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1-Oxoprop-2-enyl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3</w:t>
            </w:r>
            <w:r w:rsidRPr="0064147A">
              <w:rPr>
                <w:rFonts w:cs="Times New Roman"/>
                <w:color w:val="000000"/>
              </w:rPr>
              <w:t>O)</w:t>
            </w:r>
          </w:p>
          <w:p w14:paraId="081AE8F6" w14:textId="77777777" w:rsidR="009C7D45" w:rsidRPr="0064147A" w:rsidRDefault="009C7D45" w:rsidP="002E3F44">
            <w:pPr>
              <w:spacing w:line="240" w:lineRule="auto"/>
              <w:ind w:firstLine="0"/>
              <w:rPr>
                <w:rFonts w:cs="Times New Roman"/>
                <w:color w:val="000000"/>
              </w:rPr>
            </w:pPr>
            <w:r w:rsidRPr="0064147A">
              <w:rPr>
                <w:rFonts w:cs="Times New Roman"/>
                <w:color w:val="000000"/>
              </w:rPr>
              <w:t>Propanenitrile (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5</w:t>
            </w:r>
            <w:r w:rsidRPr="0064147A">
              <w:rPr>
                <w:rFonts w:cs="Times New Roman"/>
                <w:color w:val="000000"/>
              </w:rPr>
              <w:t>N)</w:t>
            </w:r>
          </w:p>
          <w:p w14:paraId="0B67CD75" w14:textId="77777777" w:rsidR="009C7D45" w:rsidRPr="0064147A" w:rsidRDefault="009C7D45" w:rsidP="002E3F44">
            <w:pPr>
              <w:spacing w:line="240" w:lineRule="auto"/>
              <w:ind w:firstLine="0"/>
              <w:rPr>
                <w:rFonts w:cs="Times New Roman"/>
                <w:color w:val="000000"/>
              </w:rPr>
            </w:pPr>
            <w:r w:rsidRPr="0064147A">
              <w:rPr>
                <w:rFonts w:cs="Times New Roman"/>
                <w:color w:val="000000"/>
              </w:rPr>
              <w:t>Vinylimine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5</w:t>
            </w:r>
            <w:r w:rsidRPr="0064147A">
              <w:rPr>
                <w:rFonts w:cs="Times New Roman"/>
                <w:color w:val="000000"/>
              </w:rPr>
              <w:t>N)</w:t>
            </w:r>
          </w:p>
          <w:p w14:paraId="2841BBCD" w14:textId="77777777" w:rsidR="009C7D45" w:rsidRPr="0064147A" w:rsidRDefault="009C7D45" w:rsidP="002E3F44">
            <w:pPr>
              <w:spacing w:line="240" w:lineRule="auto"/>
              <w:ind w:firstLine="0"/>
              <w:rPr>
                <w:rFonts w:cs="Times New Roman"/>
                <w:color w:val="000000"/>
              </w:rPr>
            </w:pPr>
            <w:r w:rsidRPr="0064147A">
              <w:rPr>
                <w:rFonts w:cs="Times New Roman"/>
                <w:color w:val="000000"/>
              </w:rPr>
              <w:t>Propargylamine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5</w:t>
            </w:r>
            <w:r w:rsidRPr="0064147A">
              <w:rPr>
                <w:rFonts w:cs="Times New Roman"/>
                <w:color w:val="000000"/>
              </w:rPr>
              <w:t>N)</w:t>
            </w:r>
          </w:p>
          <w:p w14:paraId="7CCE6715" w14:textId="77777777" w:rsidR="009C7D45" w:rsidRPr="0064147A" w:rsidRDefault="009C7D45" w:rsidP="002E3F44">
            <w:pPr>
              <w:spacing w:line="240" w:lineRule="auto"/>
              <w:ind w:firstLine="0"/>
              <w:rPr>
                <w:rFonts w:cs="Times New Roman"/>
                <w:color w:val="000000"/>
              </w:rPr>
            </w:pPr>
            <w:r w:rsidRPr="0064147A">
              <w:rPr>
                <w:rFonts w:cs="Times New Roman"/>
                <w:color w:val="000000"/>
              </w:rPr>
              <w:t>Cyclopropanimine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5</w:t>
            </w:r>
            <w:r w:rsidRPr="0064147A">
              <w:rPr>
                <w:rFonts w:cs="Times New Roman"/>
                <w:color w:val="000000"/>
              </w:rPr>
              <w:t>N)</w:t>
            </w:r>
          </w:p>
        </w:tc>
      </w:tr>
      <w:tr w:rsidR="009C7D45" w:rsidRPr="0064147A" w14:paraId="17A077C7" w14:textId="77777777" w:rsidTr="002E3F44">
        <w:trPr>
          <w:trHeight w:val="20"/>
        </w:trPr>
        <w:tc>
          <w:tcPr>
            <w:tcW w:w="1350" w:type="dxa"/>
            <w:shd w:val="clear" w:color="auto" w:fill="F2F2F2" w:themeFill="background1" w:themeFillShade="F2"/>
            <w:noWrap/>
            <w:vAlign w:val="center"/>
            <w:hideMark/>
          </w:tcPr>
          <w:p w14:paraId="0FDB5EF5" w14:textId="77777777" w:rsidR="009C7D45" w:rsidRPr="0064147A" w:rsidRDefault="009C7D45" w:rsidP="002E3F44">
            <w:pPr>
              <w:spacing w:line="240" w:lineRule="auto"/>
              <w:ind w:firstLine="0"/>
              <w:rPr>
                <w:rFonts w:cs="Times New Roman"/>
                <w:color w:val="000000"/>
              </w:rPr>
            </w:pPr>
            <w:r w:rsidRPr="0064147A">
              <w:rPr>
                <w:rFonts w:cs="Times New Roman"/>
                <w:color w:val="000000"/>
              </w:rPr>
              <w:t>59.39</w:t>
            </w:r>
          </w:p>
        </w:tc>
        <w:tc>
          <w:tcPr>
            <w:tcW w:w="2410" w:type="dxa"/>
            <w:shd w:val="clear" w:color="auto" w:fill="F2F2F2" w:themeFill="background1" w:themeFillShade="F2"/>
            <w:noWrap/>
            <w:vAlign w:val="center"/>
            <w:hideMark/>
          </w:tcPr>
          <w:p w14:paraId="6DD69B31"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183.57</w:t>
            </w:r>
          </w:p>
        </w:tc>
        <w:tc>
          <w:tcPr>
            <w:tcW w:w="2154" w:type="dxa"/>
            <w:shd w:val="clear" w:color="auto" w:fill="F2F2F2" w:themeFill="background1" w:themeFillShade="F2"/>
            <w:noWrap/>
            <w:vAlign w:val="center"/>
            <w:hideMark/>
          </w:tcPr>
          <w:p w14:paraId="5D0C9DDC" w14:textId="77777777" w:rsidR="009C7D45" w:rsidRPr="0064147A" w:rsidRDefault="009C7D45" w:rsidP="002E3F44">
            <w:pPr>
              <w:spacing w:line="240" w:lineRule="auto"/>
              <w:ind w:firstLine="0"/>
              <w:rPr>
                <w:rFonts w:cs="Times New Roman"/>
                <w:color w:val="000000"/>
              </w:rPr>
            </w:pPr>
            <w:r w:rsidRPr="0064147A">
              <w:rPr>
                <w:rFonts w:cs="Times New Roman"/>
                <w:color w:val="000000"/>
              </w:rPr>
              <w:t>&lt;1.1E-16</w:t>
            </w:r>
          </w:p>
        </w:tc>
        <w:tc>
          <w:tcPr>
            <w:tcW w:w="7002" w:type="dxa"/>
            <w:shd w:val="clear" w:color="auto" w:fill="F2F2F2" w:themeFill="background1" w:themeFillShade="F2"/>
            <w:vAlign w:val="center"/>
            <w:hideMark/>
          </w:tcPr>
          <w:p w14:paraId="4810F2E3" w14:textId="77777777" w:rsidR="009C7D45" w:rsidRPr="0064147A" w:rsidRDefault="009C7D45" w:rsidP="002E3F44">
            <w:pPr>
              <w:spacing w:line="240" w:lineRule="auto"/>
              <w:ind w:firstLine="0"/>
              <w:rPr>
                <w:rFonts w:cs="Times New Roman"/>
                <w:color w:val="000000"/>
              </w:rPr>
            </w:pPr>
            <w:r w:rsidRPr="0064147A">
              <w:rPr>
                <w:rFonts w:cs="Times New Roman"/>
                <w:color w:val="000000"/>
              </w:rPr>
              <w:t>Acetone (CH</w:t>
            </w:r>
            <w:r w:rsidRPr="0064147A">
              <w:rPr>
                <w:rFonts w:cs="Times New Roman"/>
                <w:color w:val="000000"/>
                <w:vertAlign w:val="subscript"/>
              </w:rPr>
              <w:t>3</w:t>
            </w:r>
            <w:r w:rsidRPr="0064147A">
              <w:rPr>
                <w:rFonts w:cs="Times New Roman"/>
                <w:color w:val="000000"/>
              </w:rPr>
              <w:t>COCH</w:t>
            </w:r>
            <w:r w:rsidRPr="0064147A">
              <w:rPr>
                <w:rFonts w:cs="Times New Roman"/>
                <w:color w:val="000000"/>
                <w:vertAlign w:val="subscript"/>
              </w:rPr>
              <w:t>3</w:t>
            </w:r>
            <w:r w:rsidRPr="0064147A">
              <w:rPr>
                <w:rFonts w:cs="Times New Roman"/>
                <w:color w:val="000000"/>
              </w:rPr>
              <w:t>)</w:t>
            </w:r>
            <w:r w:rsidRPr="0064147A">
              <w:rPr>
                <w:rFonts w:cs="Times New Roman"/>
                <w:color w:val="000000"/>
              </w:rPr>
              <w:br/>
              <w:t>Ethanedial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2</w:t>
            </w:r>
            <w:r w:rsidRPr="0064147A">
              <w:rPr>
                <w:rFonts w:cs="Times New Roman"/>
                <w:color w:val="000000"/>
              </w:rPr>
              <w:t>O</w:t>
            </w:r>
            <w:r w:rsidRPr="0064147A">
              <w:rPr>
                <w:rFonts w:cs="Times New Roman"/>
                <w:color w:val="000000"/>
                <w:vertAlign w:val="subscript"/>
              </w:rPr>
              <w:t>2</w:t>
            </w:r>
            <w:r w:rsidRPr="0064147A">
              <w:rPr>
                <w:rFonts w:cs="Times New Roman"/>
                <w:color w:val="000000"/>
              </w:rPr>
              <w:t>)</w:t>
            </w:r>
            <w:r w:rsidRPr="0064147A">
              <w:rPr>
                <w:rFonts w:cs="Times New Roman"/>
                <w:color w:val="000000"/>
              </w:rPr>
              <w:br/>
              <w:t>Propanal (CH</w:t>
            </w:r>
            <w:r w:rsidRPr="0064147A">
              <w:rPr>
                <w:rFonts w:cs="Times New Roman"/>
                <w:color w:val="000000"/>
                <w:vertAlign w:val="subscript"/>
              </w:rPr>
              <w:t>3</w:t>
            </w:r>
            <w:r w:rsidRPr="0064147A">
              <w:rPr>
                <w:rFonts w:cs="Times New Roman"/>
                <w:color w:val="000000"/>
              </w:rPr>
              <w:t>CH</w:t>
            </w:r>
            <w:r w:rsidRPr="0064147A">
              <w:rPr>
                <w:rFonts w:cs="Times New Roman"/>
                <w:color w:val="000000"/>
                <w:vertAlign w:val="subscript"/>
              </w:rPr>
              <w:t>2</w:t>
            </w:r>
            <w:r w:rsidRPr="0064147A">
              <w:rPr>
                <w:rFonts w:cs="Times New Roman"/>
                <w:color w:val="000000"/>
              </w:rPr>
              <w:t>CHO)</w:t>
            </w:r>
            <w:r w:rsidRPr="0064147A">
              <w:rPr>
                <w:rFonts w:cs="Times New Roman"/>
                <w:color w:val="000000"/>
              </w:rPr>
              <w:br/>
              <w:t>Propen-2-ol (CH</w:t>
            </w:r>
            <w:r w:rsidRPr="0064147A">
              <w:rPr>
                <w:rFonts w:cs="Times New Roman"/>
                <w:color w:val="000000"/>
                <w:vertAlign w:val="subscript"/>
              </w:rPr>
              <w:t>3</w:t>
            </w:r>
            <w:r w:rsidRPr="0064147A">
              <w:rPr>
                <w:rFonts w:cs="Times New Roman"/>
                <w:color w:val="000000"/>
              </w:rPr>
              <w:t>COHCH</w:t>
            </w:r>
            <w:r w:rsidRPr="0064147A">
              <w:rPr>
                <w:rFonts w:cs="Times New Roman"/>
                <w:color w:val="000000"/>
                <w:vertAlign w:val="subscript"/>
              </w:rPr>
              <w:t>2</w:t>
            </w:r>
            <w:r w:rsidRPr="0064147A">
              <w:rPr>
                <w:rFonts w:cs="Times New Roman"/>
                <w:color w:val="000000"/>
              </w:rPr>
              <w:t>)</w:t>
            </w:r>
            <w:r w:rsidRPr="0064147A">
              <w:rPr>
                <w:rFonts w:cs="Times New Roman"/>
                <w:color w:val="000000"/>
              </w:rPr>
              <w:br/>
              <w:t>2-Propen-1-ol (CH</w:t>
            </w:r>
            <w:r w:rsidRPr="0064147A">
              <w:rPr>
                <w:rFonts w:cs="Times New Roman"/>
                <w:color w:val="000000"/>
                <w:vertAlign w:val="subscript"/>
              </w:rPr>
              <w:t>2</w:t>
            </w:r>
            <w:r w:rsidRPr="0064147A">
              <w:rPr>
                <w:rFonts w:cs="Times New Roman"/>
                <w:color w:val="000000"/>
              </w:rPr>
              <w:t>CHCH</w:t>
            </w:r>
            <w:r w:rsidRPr="0064147A">
              <w:rPr>
                <w:rFonts w:cs="Times New Roman"/>
                <w:color w:val="000000"/>
                <w:vertAlign w:val="subscript"/>
              </w:rPr>
              <w:t>2</w:t>
            </w:r>
            <w:r w:rsidRPr="0064147A">
              <w:rPr>
                <w:rFonts w:cs="Times New Roman"/>
                <w:color w:val="000000"/>
              </w:rPr>
              <w:t>OH)</w:t>
            </w:r>
            <w:r w:rsidRPr="0064147A">
              <w:rPr>
                <w:rFonts w:cs="Times New Roman"/>
                <w:color w:val="000000"/>
              </w:rPr>
              <w:br/>
              <w:t>Dimethyldiazene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6</w:t>
            </w:r>
            <w:r w:rsidRPr="0064147A">
              <w:rPr>
                <w:rFonts w:cs="Times New Roman"/>
                <w:color w:val="000000"/>
              </w:rPr>
              <w:t>N</w:t>
            </w:r>
            <w:r w:rsidRPr="0064147A">
              <w:rPr>
                <w:rFonts w:cs="Times New Roman"/>
                <w:color w:val="000000"/>
                <w:vertAlign w:val="subscript"/>
              </w:rPr>
              <w:t>2</w:t>
            </w:r>
            <w:r w:rsidRPr="0064147A">
              <w:rPr>
                <w:rFonts w:cs="Times New Roman"/>
                <w:color w:val="000000"/>
              </w:rPr>
              <w:t>)</w:t>
            </w:r>
            <w:r w:rsidRPr="0064147A">
              <w:rPr>
                <w:rFonts w:cs="Times New Roman"/>
                <w:color w:val="000000"/>
              </w:rPr>
              <w:br/>
              <w:t>Butane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10</w:t>
            </w:r>
            <w:r w:rsidRPr="0064147A">
              <w:rPr>
                <w:rFonts w:cs="Times New Roman"/>
                <w:color w:val="000000"/>
              </w:rPr>
              <w:t>)</w:t>
            </w:r>
            <w:r w:rsidRPr="0064147A">
              <w:rPr>
                <w:rFonts w:cs="Times New Roman"/>
                <w:color w:val="000000"/>
              </w:rPr>
              <w:br/>
              <w:t>Methylpropane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10</w:t>
            </w:r>
            <w:r w:rsidRPr="0064147A">
              <w:rPr>
                <w:rFonts w:cs="Times New Roman"/>
                <w:color w:val="000000"/>
              </w:rPr>
              <w:t>)</w:t>
            </w:r>
          </w:p>
          <w:p w14:paraId="4D42D2DE" w14:textId="77777777" w:rsidR="009C7D45" w:rsidRPr="0064147A" w:rsidRDefault="009C7D45" w:rsidP="002E3F44">
            <w:pPr>
              <w:spacing w:line="240" w:lineRule="auto"/>
              <w:ind w:firstLine="0"/>
              <w:rPr>
                <w:rFonts w:cs="Times New Roman"/>
                <w:color w:val="000000"/>
              </w:rPr>
            </w:pPr>
          </w:p>
        </w:tc>
      </w:tr>
      <w:tr w:rsidR="009C7D45" w:rsidRPr="0064147A" w14:paraId="074DE866" w14:textId="77777777" w:rsidTr="002E3F44">
        <w:trPr>
          <w:trHeight w:val="20"/>
        </w:trPr>
        <w:tc>
          <w:tcPr>
            <w:tcW w:w="1350" w:type="dxa"/>
            <w:noWrap/>
            <w:vAlign w:val="center"/>
            <w:hideMark/>
          </w:tcPr>
          <w:p w14:paraId="021FBAB4" w14:textId="77777777" w:rsidR="009C7D45" w:rsidRPr="0064147A" w:rsidRDefault="009C7D45" w:rsidP="002E3F44">
            <w:pPr>
              <w:spacing w:line="240" w:lineRule="auto"/>
              <w:ind w:firstLine="0"/>
              <w:rPr>
                <w:rFonts w:cs="Times New Roman"/>
                <w:color w:val="000000"/>
              </w:rPr>
            </w:pPr>
            <w:r w:rsidRPr="0064147A">
              <w:rPr>
                <w:rFonts w:cs="Times New Roman"/>
                <w:color w:val="000000"/>
              </w:rPr>
              <w:t>60.82</w:t>
            </w:r>
          </w:p>
        </w:tc>
        <w:tc>
          <w:tcPr>
            <w:tcW w:w="2410" w:type="dxa"/>
            <w:noWrap/>
            <w:vAlign w:val="center"/>
            <w:hideMark/>
          </w:tcPr>
          <w:p w14:paraId="164A41B7" w14:textId="77777777" w:rsidR="009C7D45" w:rsidRPr="0064147A" w:rsidRDefault="009C7D45" w:rsidP="002E3F44">
            <w:pPr>
              <w:spacing w:line="240" w:lineRule="auto"/>
              <w:ind w:firstLine="0"/>
              <w:rPr>
                <w:rFonts w:cs="Times New Roman"/>
                <w:color w:val="000000"/>
              </w:rPr>
            </w:pPr>
            <w:r w:rsidRPr="0064147A">
              <w:rPr>
                <w:rFonts w:cs="Times New Roman"/>
                <w:color w:val="000000"/>
              </w:rPr>
              <w:t>78.05</w:t>
            </w:r>
          </w:p>
        </w:tc>
        <w:tc>
          <w:tcPr>
            <w:tcW w:w="2154" w:type="dxa"/>
            <w:noWrap/>
            <w:vAlign w:val="center"/>
            <w:hideMark/>
          </w:tcPr>
          <w:p w14:paraId="39C7D769"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1.29E-09</w:t>
            </w:r>
          </w:p>
        </w:tc>
        <w:tc>
          <w:tcPr>
            <w:tcW w:w="7002" w:type="dxa"/>
            <w:noWrap/>
            <w:vAlign w:val="center"/>
            <w:hideMark/>
          </w:tcPr>
          <w:p w14:paraId="429F9E07" w14:textId="77777777" w:rsidR="009C7D45" w:rsidRPr="0064147A" w:rsidRDefault="009C7D45" w:rsidP="002E3F44">
            <w:pPr>
              <w:spacing w:line="240" w:lineRule="auto"/>
              <w:ind w:firstLine="0"/>
              <w:rPr>
                <w:rFonts w:cs="Times New Roman"/>
                <w:color w:val="000000"/>
              </w:rPr>
            </w:pPr>
          </w:p>
          <w:p w14:paraId="007E45F1" w14:textId="77777777" w:rsidR="009C7D45" w:rsidRPr="0064147A" w:rsidRDefault="009C7D45" w:rsidP="002E3F44">
            <w:pPr>
              <w:spacing w:line="240" w:lineRule="auto"/>
              <w:ind w:firstLine="0"/>
              <w:rPr>
                <w:rFonts w:cs="Times New Roman"/>
                <w:color w:val="000000"/>
              </w:rPr>
            </w:pPr>
          </w:p>
        </w:tc>
      </w:tr>
      <w:tr w:rsidR="009C7D45" w:rsidRPr="0064147A" w14:paraId="41659319" w14:textId="77777777" w:rsidTr="002E3F44">
        <w:trPr>
          <w:trHeight w:val="20"/>
        </w:trPr>
        <w:tc>
          <w:tcPr>
            <w:tcW w:w="1350" w:type="dxa"/>
            <w:shd w:val="clear" w:color="auto" w:fill="F2F2F2" w:themeFill="background1" w:themeFillShade="F2"/>
            <w:noWrap/>
            <w:vAlign w:val="center"/>
            <w:hideMark/>
          </w:tcPr>
          <w:p w14:paraId="52D94D39" w14:textId="77777777" w:rsidR="009C7D45" w:rsidRPr="0064147A" w:rsidRDefault="009C7D45" w:rsidP="002E3F44">
            <w:pPr>
              <w:spacing w:line="240" w:lineRule="auto"/>
              <w:ind w:firstLine="0"/>
              <w:rPr>
                <w:rFonts w:cs="Times New Roman"/>
                <w:color w:val="000000"/>
              </w:rPr>
            </w:pPr>
            <w:r w:rsidRPr="0064147A">
              <w:rPr>
                <w:rFonts w:cs="Times New Roman"/>
                <w:color w:val="000000"/>
              </w:rPr>
              <w:t>62.27</w:t>
            </w:r>
          </w:p>
        </w:tc>
        <w:tc>
          <w:tcPr>
            <w:tcW w:w="2410" w:type="dxa"/>
            <w:shd w:val="clear" w:color="auto" w:fill="F2F2F2" w:themeFill="background1" w:themeFillShade="F2"/>
            <w:noWrap/>
            <w:vAlign w:val="center"/>
            <w:hideMark/>
          </w:tcPr>
          <w:p w14:paraId="75746393"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1345.47</w:t>
            </w:r>
          </w:p>
        </w:tc>
        <w:tc>
          <w:tcPr>
            <w:tcW w:w="2154" w:type="dxa"/>
            <w:shd w:val="clear" w:color="auto" w:fill="F2F2F2" w:themeFill="background1" w:themeFillShade="F2"/>
            <w:noWrap/>
            <w:vAlign w:val="center"/>
            <w:hideMark/>
          </w:tcPr>
          <w:p w14:paraId="0D1CFB16" w14:textId="77777777" w:rsidR="009C7D45" w:rsidRPr="0064147A" w:rsidRDefault="009C7D45" w:rsidP="002E3F44">
            <w:pPr>
              <w:spacing w:line="240" w:lineRule="auto"/>
              <w:ind w:firstLine="0"/>
              <w:rPr>
                <w:rFonts w:cs="Times New Roman"/>
                <w:color w:val="000000"/>
              </w:rPr>
            </w:pPr>
            <w:r w:rsidRPr="0064147A">
              <w:rPr>
                <w:rFonts w:cs="Times New Roman"/>
                <w:color w:val="000000"/>
              </w:rPr>
              <w:t>&lt;1.1E-16</w:t>
            </w:r>
          </w:p>
        </w:tc>
        <w:tc>
          <w:tcPr>
            <w:tcW w:w="7002" w:type="dxa"/>
            <w:shd w:val="clear" w:color="auto" w:fill="F2F2F2" w:themeFill="background1" w:themeFillShade="F2"/>
            <w:vAlign w:val="center"/>
            <w:hideMark/>
          </w:tcPr>
          <w:p w14:paraId="2BD9380F" w14:textId="77777777" w:rsidR="009C7D45" w:rsidRPr="0064147A" w:rsidRDefault="009C7D45" w:rsidP="002E3F44">
            <w:pPr>
              <w:spacing w:line="240" w:lineRule="auto"/>
              <w:ind w:firstLine="0"/>
              <w:rPr>
                <w:rFonts w:cs="Times New Roman"/>
                <w:color w:val="000000"/>
              </w:rPr>
            </w:pPr>
            <w:r w:rsidRPr="0064147A">
              <w:rPr>
                <w:rFonts w:cs="Times New Roman"/>
                <w:color w:val="000000"/>
              </w:rPr>
              <w:t>N-Methoxy-methanamine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7</w:t>
            </w:r>
            <w:r w:rsidRPr="0064147A">
              <w:rPr>
                <w:rFonts w:cs="Times New Roman"/>
                <w:color w:val="000000"/>
              </w:rPr>
              <w:t>NO)</w:t>
            </w:r>
            <w:r w:rsidRPr="0064147A">
              <w:rPr>
                <w:rFonts w:cs="Times New Roman"/>
                <w:color w:val="000000"/>
              </w:rPr>
              <w:br/>
              <w:t>Monoethanolamine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7</w:t>
            </w:r>
            <w:r w:rsidRPr="0064147A">
              <w:rPr>
                <w:rFonts w:cs="Times New Roman"/>
                <w:color w:val="000000"/>
              </w:rPr>
              <w:t>NO)</w:t>
            </w:r>
            <w:r w:rsidRPr="0064147A">
              <w:rPr>
                <w:rFonts w:cs="Times New Roman"/>
                <w:color w:val="000000"/>
              </w:rPr>
              <w:br/>
            </w:r>
            <w:r w:rsidRPr="0064147A">
              <w:rPr>
                <w:rFonts w:cs="Times New Roman"/>
                <w:color w:val="000000"/>
              </w:rPr>
              <w:lastRenderedPageBreak/>
              <w:t>N-Hydroxy-N-methylmethanamine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7</w:t>
            </w:r>
            <w:r w:rsidRPr="0064147A">
              <w:rPr>
                <w:rFonts w:cs="Times New Roman"/>
                <w:color w:val="000000"/>
              </w:rPr>
              <w:t>NO)</w:t>
            </w:r>
            <w:r w:rsidRPr="0064147A">
              <w:rPr>
                <w:rFonts w:cs="Times New Roman"/>
                <w:color w:val="000000"/>
              </w:rPr>
              <w:br/>
              <w:t>Thioformamide (CH</w:t>
            </w:r>
            <w:r w:rsidRPr="0064147A">
              <w:rPr>
                <w:rFonts w:cs="Times New Roman"/>
                <w:color w:val="000000"/>
                <w:vertAlign w:val="subscript"/>
              </w:rPr>
              <w:t>3</w:t>
            </w:r>
            <w:r w:rsidRPr="0064147A">
              <w:rPr>
                <w:rFonts w:cs="Times New Roman"/>
                <w:color w:val="000000"/>
              </w:rPr>
              <w:t>NS)</w:t>
            </w:r>
          </w:p>
          <w:p w14:paraId="474872B6" w14:textId="77777777" w:rsidR="009C7D45" w:rsidRPr="0064147A" w:rsidRDefault="009C7D45" w:rsidP="002E3F44">
            <w:pPr>
              <w:spacing w:line="240" w:lineRule="auto"/>
              <w:ind w:firstLine="0"/>
              <w:rPr>
                <w:rFonts w:cs="Times New Roman"/>
                <w:color w:val="000000"/>
              </w:rPr>
            </w:pPr>
          </w:p>
        </w:tc>
      </w:tr>
      <w:tr w:rsidR="009C7D45" w:rsidRPr="0064147A" w14:paraId="224D7438" w14:textId="77777777" w:rsidTr="002E3F44">
        <w:trPr>
          <w:trHeight w:val="20"/>
        </w:trPr>
        <w:tc>
          <w:tcPr>
            <w:tcW w:w="1350" w:type="dxa"/>
            <w:noWrap/>
            <w:vAlign w:val="center"/>
            <w:hideMark/>
          </w:tcPr>
          <w:p w14:paraId="70C8FDE5" w14:textId="77777777" w:rsidR="009C7D45" w:rsidRPr="0064147A" w:rsidRDefault="009C7D45" w:rsidP="002E3F44">
            <w:pPr>
              <w:spacing w:line="240" w:lineRule="auto"/>
              <w:ind w:firstLine="0"/>
              <w:rPr>
                <w:rFonts w:cs="Times New Roman"/>
                <w:color w:val="000000"/>
              </w:rPr>
            </w:pPr>
            <w:r w:rsidRPr="0064147A">
              <w:rPr>
                <w:rFonts w:cs="Times New Roman"/>
                <w:color w:val="000000"/>
              </w:rPr>
              <w:t>63.71</w:t>
            </w:r>
          </w:p>
        </w:tc>
        <w:tc>
          <w:tcPr>
            <w:tcW w:w="2410" w:type="dxa"/>
            <w:noWrap/>
            <w:vAlign w:val="center"/>
            <w:hideMark/>
          </w:tcPr>
          <w:p w14:paraId="69C135E5" w14:textId="77777777" w:rsidR="009C7D45" w:rsidRPr="0064147A" w:rsidRDefault="009C7D45" w:rsidP="002E3F44">
            <w:pPr>
              <w:spacing w:line="240" w:lineRule="auto"/>
              <w:ind w:firstLine="0"/>
              <w:rPr>
                <w:rFonts w:cs="Times New Roman"/>
                <w:color w:val="000000"/>
              </w:rPr>
            </w:pPr>
            <w:r w:rsidRPr="0064147A">
              <w:rPr>
                <w:rFonts w:cs="Times New Roman"/>
                <w:color w:val="000000"/>
              </w:rPr>
              <w:t>9.08</w:t>
            </w:r>
          </w:p>
        </w:tc>
        <w:tc>
          <w:tcPr>
            <w:tcW w:w="2154" w:type="dxa"/>
            <w:noWrap/>
            <w:vAlign w:val="center"/>
            <w:hideMark/>
          </w:tcPr>
          <w:p w14:paraId="343D8E33" w14:textId="77777777" w:rsidR="009C7D45" w:rsidRPr="0064147A" w:rsidRDefault="009C7D45" w:rsidP="002E3F44">
            <w:pPr>
              <w:spacing w:line="240" w:lineRule="auto"/>
              <w:ind w:firstLine="0"/>
              <w:rPr>
                <w:rFonts w:cs="Times New Roman"/>
                <w:color w:val="000000"/>
              </w:rPr>
            </w:pPr>
            <w:r w:rsidRPr="0064147A">
              <w:rPr>
                <w:rFonts w:cs="Times New Roman"/>
                <w:color w:val="000000"/>
              </w:rPr>
              <w:t>4.44E-16</w:t>
            </w:r>
          </w:p>
        </w:tc>
        <w:tc>
          <w:tcPr>
            <w:tcW w:w="7002" w:type="dxa"/>
            <w:vAlign w:val="center"/>
            <w:hideMark/>
          </w:tcPr>
          <w:p w14:paraId="3885059B"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1,2-Ethanediol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6</w:t>
            </w:r>
            <w:r w:rsidRPr="0064147A">
              <w:rPr>
                <w:rFonts w:cs="Times New Roman"/>
                <w:color w:val="000000"/>
              </w:rPr>
              <w:t>O</w:t>
            </w:r>
            <w:r w:rsidRPr="0064147A">
              <w:rPr>
                <w:rFonts w:cs="Times New Roman"/>
                <w:color w:val="000000"/>
                <w:vertAlign w:val="subscript"/>
              </w:rPr>
              <w:t>2</w:t>
            </w:r>
            <w:r w:rsidRPr="0064147A">
              <w:rPr>
                <w:rFonts w:cs="Times New Roman"/>
                <w:color w:val="000000"/>
              </w:rPr>
              <w:t>)</w:t>
            </w:r>
            <w:r w:rsidRPr="0064147A">
              <w:rPr>
                <w:rFonts w:cs="Times New Roman"/>
                <w:color w:val="000000"/>
              </w:rPr>
              <w:br/>
              <w:t>Dimethylsulfide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6</w:t>
            </w:r>
            <w:r w:rsidRPr="0064147A">
              <w:rPr>
                <w:rFonts w:cs="Times New Roman"/>
                <w:color w:val="000000"/>
              </w:rPr>
              <w:t>S)</w:t>
            </w:r>
            <w:r w:rsidRPr="0064147A">
              <w:rPr>
                <w:rFonts w:cs="Times New Roman"/>
                <w:color w:val="000000"/>
              </w:rPr>
              <w:br/>
              <w:t>Ethanethiol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6</w:t>
            </w:r>
            <w:r w:rsidRPr="0064147A">
              <w:rPr>
                <w:rFonts w:cs="Times New Roman"/>
                <w:color w:val="000000"/>
              </w:rPr>
              <w:t>S)</w:t>
            </w:r>
          </w:p>
          <w:p w14:paraId="6234E54C" w14:textId="77777777" w:rsidR="009C7D45" w:rsidRPr="0064147A" w:rsidRDefault="009C7D45" w:rsidP="002E3F44">
            <w:pPr>
              <w:spacing w:line="240" w:lineRule="auto"/>
              <w:ind w:firstLine="0"/>
              <w:rPr>
                <w:rFonts w:cs="Times New Roman"/>
                <w:color w:val="000000"/>
              </w:rPr>
            </w:pPr>
          </w:p>
        </w:tc>
      </w:tr>
      <w:tr w:rsidR="009C7D45" w:rsidRPr="0064147A" w14:paraId="7A1D0D5E" w14:textId="77777777" w:rsidTr="002E3F44">
        <w:trPr>
          <w:trHeight w:val="20"/>
        </w:trPr>
        <w:tc>
          <w:tcPr>
            <w:tcW w:w="1350" w:type="dxa"/>
            <w:shd w:val="clear" w:color="auto" w:fill="F2F2F2" w:themeFill="background1" w:themeFillShade="F2"/>
            <w:noWrap/>
            <w:vAlign w:val="center"/>
            <w:hideMark/>
          </w:tcPr>
          <w:p w14:paraId="1070597F" w14:textId="77777777" w:rsidR="009C7D45" w:rsidRPr="0064147A" w:rsidRDefault="009C7D45" w:rsidP="002E3F44">
            <w:pPr>
              <w:spacing w:line="240" w:lineRule="auto"/>
              <w:ind w:firstLine="0"/>
              <w:rPr>
                <w:rFonts w:cs="Times New Roman"/>
                <w:color w:val="000000"/>
              </w:rPr>
            </w:pPr>
            <w:r w:rsidRPr="0064147A">
              <w:rPr>
                <w:rFonts w:cs="Times New Roman"/>
                <w:color w:val="000000"/>
              </w:rPr>
              <w:t>65.13</w:t>
            </w:r>
          </w:p>
        </w:tc>
        <w:tc>
          <w:tcPr>
            <w:tcW w:w="2410" w:type="dxa"/>
            <w:shd w:val="clear" w:color="auto" w:fill="F2F2F2" w:themeFill="background1" w:themeFillShade="F2"/>
            <w:noWrap/>
            <w:vAlign w:val="center"/>
            <w:hideMark/>
          </w:tcPr>
          <w:p w14:paraId="412605C0" w14:textId="77777777" w:rsidR="009C7D45" w:rsidRPr="0064147A" w:rsidRDefault="009C7D45" w:rsidP="002E3F44">
            <w:pPr>
              <w:spacing w:line="240" w:lineRule="auto"/>
              <w:ind w:firstLine="0"/>
              <w:rPr>
                <w:rFonts w:cs="Times New Roman"/>
                <w:color w:val="000000"/>
              </w:rPr>
            </w:pPr>
            <w:r w:rsidRPr="0064147A">
              <w:rPr>
                <w:rFonts w:cs="Times New Roman"/>
                <w:color w:val="000000"/>
              </w:rPr>
              <w:t>31.58</w:t>
            </w:r>
          </w:p>
        </w:tc>
        <w:tc>
          <w:tcPr>
            <w:tcW w:w="2154" w:type="dxa"/>
            <w:shd w:val="clear" w:color="auto" w:fill="F2F2F2" w:themeFill="background1" w:themeFillShade="F2"/>
            <w:noWrap/>
            <w:vAlign w:val="center"/>
            <w:hideMark/>
          </w:tcPr>
          <w:p w14:paraId="6AB75B75"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1.11E-16</w:t>
            </w:r>
          </w:p>
        </w:tc>
        <w:tc>
          <w:tcPr>
            <w:tcW w:w="7002" w:type="dxa"/>
            <w:shd w:val="clear" w:color="auto" w:fill="F2F2F2" w:themeFill="background1" w:themeFillShade="F2"/>
            <w:noWrap/>
            <w:vAlign w:val="center"/>
            <w:hideMark/>
          </w:tcPr>
          <w:p w14:paraId="173C8700" w14:textId="77777777" w:rsidR="009C7D45" w:rsidRPr="0064147A" w:rsidRDefault="009C7D45" w:rsidP="002E3F44">
            <w:pPr>
              <w:spacing w:line="240" w:lineRule="auto"/>
              <w:ind w:firstLine="0"/>
              <w:rPr>
                <w:rFonts w:cs="Times New Roman"/>
                <w:color w:val="000000"/>
              </w:rPr>
            </w:pPr>
          </w:p>
          <w:p w14:paraId="0813C945" w14:textId="77777777" w:rsidR="009C7D45" w:rsidRPr="0064147A" w:rsidRDefault="009C7D45" w:rsidP="002E3F44">
            <w:pPr>
              <w:spacing w:line="240" w:lineRule="auto"/>
              <w:ind w:firstLine="0"/>
              <w:rPr>
                <w:rFonts w:cs="Times New Roman"/>
                <w:color w:val="000000"/>
              </w:rPr>
            </w:pPr>
          </w:p>
        </w:tc>
      </w:tr>
      <w:tr w:rsidR="009C7D45" w:rsidRPr="0064147A" w14:paraId="21C88FDD" w14:textId="77777777" w:rsidTr="002E3F44">
        <w:trPr>
          <w:trHeight w:val="20"/>
        </w:trPr>
        <w:tc>
          <w:tcPr>
            <w:tcW w:w="1350" w:type="dxa"/>
            <w:noWrap/>
            <w:vAlign w:val="center"/>
            <w:hideMark/>
          </w:tcPr>
          <w:p w14:paraId="4796BCEB" w14:textId="77777777" w:rsidR="009C7D45" w:rsidRPr="0064147A" w:rsidRDefault="009C7D45" w:rsidP="002E3F44">
            <w:pPr>
              <w:spacing w:line="240" w:lineRule="auto"/>
              <w:ind w:firstLine="0"/>
              <w:rPr>
                <w:rFonts w:cs="Times New Roman"/>
                <w:color w:val="000000"/>
              </w:rPr>
            </w:pPr>
            <w:r w:rsidRPr="0064147A">
              <w:rPr>
                <w:rFonts w:cs="Times New Roman"/>
                <w:color w:val="000000"/>
              </w:rPr>
              <w:t>72.22</w:t>
            </w:r>
          </w:p>
        </w:tc>
        <w:tc>
          <w:tcPr>
            <w:tcW w:w="2410" w:type="dxa"/>
            <w:noWrap/>
            <w:vAlign w:val="center"/>
            <w:hideMark/>
          </w:tcPr>
          <w:p w14:paraId="7CDA6141"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1.31</w:t>
            </w:r>
          </w:p>
        </w:tc>
        <w:tc>
          <w:tcPr>
            <w:tcW w:w="2154" w:type="dxa"/>
            <w:noWrap/>
            <w:vAlign w:val="center"/>
            <w:hideMark/>
          </w:tcPr>
          <w:p w14:paraId="60D1EB4E"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1.19E-06</w:t>
            </w:r>
          </w:p>
        </w:tc>
        <w:tc>
          <w:tcPr>
            <w:tcW w:w="7002" w:type="dxa"/>
            <w:vAlign w:val="center"/>
            <w:hideMark/>
          </w:tcPr>
          <w:p w14:paraId="703CF05E" w14:textId="77777777" w:rsidR="009C7D45" w:rsidRPr="0064147A" w:rsidRDefault="009C7D45" w:rsidP="002E3F44">
            <w:pPr>
              <w:spacing w:line="240" w:lineRule="auto"/>
              <w:ind w:firstLine="0"/>
              <w:rPr>
                <w:rFonts w:cs="Times New Roman"/>
                <w:color w:val="000000"/>
              </w:rPr>
            </w:pPr>
            <w:r w:rsidRPr="0064147A">
              <w:rPr>
                <w:rFonts w:cs="Times New Roman"/>
                <w:color w:val="000000"/>
              </w:rPr>
              <w:t>2-Hydroxy-propanenitrile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5</w:t>
            </w:r>
            <w:r w:rsidRPr="0064147A">
              <w:rPr>
                <w:rFonts w:cs="Times New Roman"/>
                <w:color w:val="000000"/>
              </w:rPr>
              <w:t>NO)</w:t>
            </w:r>
            <w:r w:rsidRPr="0064147A">
              <w:rPr>
                <w:rFonts w:cs="Times New Roman"/>
                <w:color w:val="000000"/>
              </w:rPr>
              <w:br/>
              <w:t>3-Hydroxy-propanenitrile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5</w:t>
            </w:r>
            <w:r w:rsidRPr="0064147A">
              <w:rPr>
                <w:rFonts w:cs="Times New Roman"/>
                <w:color w:val="000000"/>
              </w:rPr>
              <w:t>NO)</w:t>
            </w:r>
            <w:r w:rsidRPr="0064147A">
              <w:rPr>
                <w:rFonts w:cs="Times New Roman"/>
                <w:color w:val="000000"/>
              </w:rPr>
              <w:br/>
              <w:t>Isocyanatoethane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5</w:t>
            </w:r>
            <w:r w:rsidRPr="0064147A">
              <w:rPr>
                <w:rFonts w:cs="Times New Roman"/>
                <w:color w:val="000000"/>
              </w:rPr>
              <w:t>NO)</w:t>
            </w:r>
            <w:r w:rsidRPr="0064147A">
              <w:rPr>
                <w:rFonts w:cs="Times New Roman"/>
                <w:color w:val="000000"/>
              </w:rPr>
              <w:br/>
              <w:t>Methoxyacetonitrile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5</w:t>
            </w:r>
            <w:r w:rsidRPr="0064147A">
              <w:rPr>
                <w:rFonts w:cs="Times New Roman"/>
                <w:color w:val="000000"/>
              </w:rPr>
              <w:t>NO)</w:t>
            </w:r>
            <w:r w:rsidRPr="0064147A">
              <w:rPr>
                <w:rFonts w:cs="Times New Roman"/>
                <w:color w:val="000000"/>
              </w:rPr>
              <w:br/>
              <w:t>2-Propanamide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5</w:t>
            </w:r>
            <w:r w:rsidRPr="0064147A">
              <w:rPr>
                <w:rFonts w:cs="Times New Roman"/>
                <w:color w:val="000000"/>
              </w:rPr>
              <w:t>NO)</w:t>
            </w:r>
            <w:r w:rsidRPr="0064147A">
              <w:rPr>
                <w:rFonts w:cs="Times New Roman"/>
                <w:color w:val="000000"/>
              </w:rPr>
              <w:br/>
              <w:t>Pyrrolidine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9</w:t>
            </w:r>
            <w:r w:rsidRPr="0064147A">
              <w:rPr>
                <w:rFonts w:cs="Times New Roman"/>
                <w:color w:val="000000"/>
              </w:rPr>
              <w:t>N)</w:t>
            </w:r>
            <w:r w:rsidRPr="0064147A">
              <w:rPr>
                <w:rFonts w:cs="Times New Roman"/>
                <w:color w:val="000000"/>
              </w:rPr>
              <w:br/>
              <w:t>2-Methyl-2-propen-1-amine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9</w:t>
            </w:r>
            <w:r w:rsidRPr="0064147A">
              <w:rPr>
                <w:rFonts w:cs="Times New Roman"/>
                <w:color w:val="000000"/>
              </w:rPr>
              <w:t>N)</w:t>
            </w:r>
            <w:r w:rsidRPr="0064147A">
              <w:rPr>
                <w:rFonts w:cs="Times New Roman"/>
                <w:color w:val="000000"/>
              </w:rPr>
              <w:br/>
              <w:t>N-Methyl-2-propen-1-amine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9</w:t>
            </w:r>
            <w:r w:rsidRPr="0064147A">
              <w:rPr>
                <w:rFonts w:cs="Times New Roman"/>
                <w:color w:val="000000"/>
              </w:rPr>
              <w:t>N)</w:t>
            </w:r>
            <w:r w:rsidRPr="0064147A">
              <w:rPr>
                <w:rFonts w:cs="Times New Roman"/>
                <w:color w:val="000000"/>
              </w:rPr>
              <w:br/>
              <w:t>N-Methylallylamine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9</w:t>
            </w:r>
            <w:r w:rsidRPr="0064147A">
              <w:rPr>
                <w:rFonts w:cs="Times New Roman"/>
                <w:color w:val="000000"/>
              </w:rPr>
              <w:t>N)</w:t>
            </w:r>
          </w:p>
          <w:p w14:paraId="6CDE289A" w14:textId="77777777" w:rsidR="009C7D45" w:rsidRPr="0064147A" w:rsidRDefault="009C7D45" w:rsidP="002E3F44">
            <w:pPr>
              <w:spacing w:line="240" w:lineRule="auto"/>
              <w:ind w:firstLine="0"/>
              <w:rPr>
                <w:rFonts w:cs="Times New Roman"/>
                <w:color w:val="000000"/>
              </w:rPr>
            </w:pPr>
          </w:p>
        </w:tc>
      </w:tr>
      <w:tr w:rsidR="009C7D45" w:rsidRPr="0064147A" w14:paraId="4E225188" w14:textId="77777777" w:rsidTr="002E3F44">
        <w:trPr>
          <w:trHeight w:val="20"/>
        </w:trPr>
        <w:tc>
          <w:tcPr>
            <w:tcW w:w="1350" w:type="dxa"/>
            <w:shd w:val="clear" w:color="auto" w:fill="F2F2F2" w:themeFill="background1" w:themeFillShade="F2"/>
            <w:noWrap/>
            <w:vAlign w:val="center"/>
            <w:hideMark/>
          </w:tcPr>
          <w:p w14:paraId="2643C4C3" w14:textId="77777777" w:rsidR="009C7D45" w:rsidRPr="0064147A" w:rsidRDefault="009C7D45" w:rsidP="002E3F44">
            <w:pPr>
              <w:spacing w:line="240" w:lineRule="auto"/>
              <w:ind w:firstLine="0"/>
              <w:rPr>
                <w:rFonts w:cs="Times New Roman"/>
                <w:color w:val="000000"/>
              </w:rPr>
            </w:pPr>
            <w:r w:rsidRPr="0064147A">
              <w:rPr>
                <w:rFonts w:cs="Times New Roman"/>
                <w:color w:val="000000"/>
              </w:rPr>
              <w:t>76.72</w:t>
            </w:r>
          </w:p>
        </w:tc>
        <w:tc>
          <w:tcPr>
            <w:tcW w:w="2410" w:type="dxa"/>
            <w:shd w:val="clear" w:color="auto" w:fill="F2F2F2" w:themeFill="background1" w:themeFillShade="F2"/>
            <w:noWrap/>
            <w:vAlign w:val="center"/>
            <w:hideMark/>
          </w:tcPr>
          <w:p w14:paraId="10E03E84" w14:textId="77777777" w:rsidR="009C7D45" w:rsidRPr="0064147A" w:rsidRDefault="009C7D45" w:rsidP="002E3F44">
            <w:pPr>
              <w:spacing w:line="240" w:lineRule="auto"/>
              <w:ind w:firstLine="0"/>
              <w:rPr>
                <w:rFonts w:cs="Times New Roman"/>
                <w:color w:val="000000"/>
              </w:rPr>
            </w:pPr>
            <w:r w:rsidRPr="0064147A">
              <w:rPr>
                <w:rFonts w:cs="Times New Roman"/>
                <w:color w:val="000000"/>
              </w:rPr>
              <w:t>95.9</w:t>
            </w:r>
          </w:p>
        </w:tc>
        <w:tc>
          <w:tcPr>
            <w:tcW w:w="2154" w:type="dxa"/>
            <w:shd w:val="clear" w:color="auto" w:fill="F2F2F2" w:themeFill="background1" w:themeFillShade="F2"/>
            <w:noWrap/>
            <w:vAlign w:val="center"/>
            <w:hideMark/>
          </w:tcPr>
          <w:p w14:paraId="05CB00FC" w14:textId="77777777" w:rsidR="009C7D45" w:rsidRPr="0064147A" w:rsidRDefault="009C7D45" w:rsidP="002E3F44">
            <w:pPr>
              <w:spacing w:line="240" w:lineRule="auto"/>
              <w:ind w:firstLine="0"/>
              <w:rPr>
                <w:rFonts w:cs="Times New Roman"/>
                <w:color w:val="000000"/>
              </w:rPr>
            </w:pPr>
            <w:r w:rsidRPr="0064147A">
              <w:rPr>
                <w:rFonts w:cs="Times New Roman"/>
                <w:color w:val="000000"/>
              </w:rPr>
              <w:t>&lt;1.1E-16</w:t>
            </w:r>
          </w:p>
        </w:tc>
        <w:tc>
          <w:tcPr>
            <w:tcW w:w="7002" w:type="dxa"/>
            <w:shd w:val="clear" w:color="auto" w:fill="F2F2F2" w:themeFill="background1" w:themeFillShade="F2"/>
            <w:vAlign w:val="center"/>
            <w:hideMark/>
          </w:tcPr>
          <w:p w14:paraId="57F16B68" w14:textId="77777777" w:rsidR="009C7D45" w:rsidRPr="0064147A" w:rsidRDefault="009C7D45" w:rsidP="002E3F44">
            <w:pPr>
              <w:spacing w:line="240" w:lineRule="auto"/>
              <w:ind w:firstLine="0"/>
              <w:rPr>
                <w:rFonts w:cs="Times New Roman"/>
                <w:color w:val="000000"/>
              </w:rPr>
            </w:pPr>
            <w:r w:rsidRPr="0064147A">
              <w:rPr>
                <w:rFonts w:cs="Times New Roman"/>
                <w:color w:val="000000"/>
              </w:rPr>
              <w:t>Acetohydroxamic acid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5</w:t>
            </w:r>
            <w:r w:rsidRPr="0064147A">
              <w:rPr>
                <w:rFonts w:cs="Times New Roman"/>
                <w:color w:val="000000"/>
              </w:rPr>
              <w:t>NO</w:t>
            </w:r>
            <w:r w:rsidRPr="0064147A">
              <w:rPr>
                <w:rFonts w:cs="Times New Roman"/>
                <w:color w:val="000000"/>
                <w:vertAlign w:val="subscript"/>
              </w:rPr>
              <w:t>2</w:t>
            </w:r>
            <w:r w:rsidRPr="0064147A">
              <w:rPr>
                <w:rFonts w:cs="Times New Roman"/>
                <w:color w:val="000000"/>
              </w:rPr>
              <w:t>)</w:t>
            </w:r>
            <w:r w:rsidRPr="0064147A">
              <w:rPr>
                <w:rFonts w:cs="Times New Roman"/>
                <w:color w:val="000000"/>
              </w:rPr>
              <w:br/>
              <w:t>Glycine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5</w:t>
            </w:r>
            <w:r w:rsidRPr="0064147A">
              <w:rPr>
                <w:rFonts w:cs="Times New Roman"/>
                <w:color w:val="000000"/>
              </w:rPr>
              <w:t>NO</w:t>
            </w:r>
            <w:r w:rsidRPr="0064147A">
              <w:rPr>
                <w:rFonts w:cs="Times New Roman"/>
                <w:color w:val="000000"/>
                <w:vertAlign w:val="subscript"/>
              </w:rPr>
              <w:t>2</w:t>
            </w:r>
            <w:r w:rsidRPr="0064147A">
              <w:rPr>
                <w:rFonts w:cs="Times New Roman"/>
                <w:color w:val="000000"/>
              </w:rPr>
              <w:t>)</w:t>
            </w:r>
            <w:r w:rsidRPr="0064147A">
              <w:rPr>
                <w:rFonts w:cs="Times New Roman"/>
                <w:color w:val="000000"/>
              </w:rPr>
              <w:br/>
              <w:t>Glycoamide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5</w:t>
            </w:r>
            <w:r w:rsidRPr="0064147A">
              <w:rPr>
                <w:rFonts w:cs="Times New Roman"/>
                <w:color w:val="000000"/>
              </w:rPr>
              <w:t>NO</w:t>
            </w:r>
            <w:r w:rsidRPr="0064147A">
              <w:rPr>
                <w:rFonts w:cs="Times New Roman"/>
                <w:color w:val="000000"/>
                <w:vertAlign w:val="subscript"/>
              </w:rPr>
              <w:t>2</w:t>
            </w:r>
            <w:r w:rsidRPr="0064147A">
              <w:rPr>
                <w:rFonts w:cs="Times New Roman"/>
                <w:color w:val="000000"/>
              </w:rPr>
              <w:t>)</w:t>
            </w:r>
            <w:r w:rsidRPr="0064147A">
              <w:rPr>
                <w:rFonts w:cs="Times New Roman"/>
                <w:color w:val="000000"/>
              </w:rPr>
              <w:br/>
              <w:t>Methylcarbamate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5</w:t>
            </w:r>
            <w:r w:rsidRPr="0064147A">
              <w:rPr>
                <w:rFonts w:cs="Times New Roman"/>
                <w:color w:val="000000"/>
              </w:rPr>
              <w:t>NO</w:t>
            </w:r>
            <w:r w:rsidRPr="0064147A">
              <w:rPr>
                <w:rFonts w:cs="Times New Roman"/>
                <w:color w:val="000000"/>
                <w:vertAlign w:val="subscript"/>
              </w:rPr>
              <w:t>2</w:t>
            </w:r>
            <w:r w:rsidRPr="0064147A">
              <w:rPr>
                <w:rFonts w:cs="Times New Roman"/>
                <w:color w:val="000000"/>
              </w:rPr>
              <w:t>)</w:t>
            </w:r>
            <w:r w:rsidRPr="0064147A">
              <w:rPr>
                <w:rFonts w:cs="Times New Roman"/>
                <w:color w:val="000000"/>
              </w:rPr>
              <w:br/>
              <w:t>Hydrazinecarboxamide (CH</w:t>
            </w:r>
            <w:r w:rsidRPr="0064147A">
              <w:rPr>
                <w:rFonts w:cs="Times New Roman"/>
                <w:color w:val="000000"/>
                <w:vertAlign w:val="subscript"/>
              </w:rPr>
              <w:t>5</w:t>
            </w:r>
            <w:r w:rsidRPr="0064147A">
              <w:rPr>
                <w:rFonts w:cs="Times New Roman"/>
                <w:color w:val="000000"/>
              </w:rPr>
              <w:t>N</w:t>
            </w:r>
            <w:r w:rsidRPr="0064147A">
              <w:rPr>
                <w:rFonts w:cs="Times New Roman"/>
                <w:color w:val="000000"/>
                <w:vertAlign w:val="subscript"/>
              </w:rPr>
              <w:t>3</w:t>
            </w:r>
            <w:r w:rsidRPr="0064147A">
              <w:rPr>
                <w:rFonts w:cs="Times New Roman"/>
                <w:color w:val="000000"/>
              </w:rPr>
              <w:t>O)</w:t>
            </w:r>
            <w:r w:rsidRPr="0064147A">
              <w:rPr>
                <w:rFonts w:cs="Times New Roman"/>
                <w:color w:val="000000"/>
              </w:rPr>
              <w:br/>
              <w:t>2-Methoxyethanamine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9</w:t>
            </w:r>
            <w:r w:rsidRPr="0064147A">
              <w:rPr>
                <w:rFonts w:cs="Times New Roman"/>
                <w:color w:val="000000"/>
              </w:rPr>
              <w:t>NO)</w:t>
            </w:r>
            <w:r w:rsidRPr="0064147A">
              <w:rPr>
                <w:rFonts w:cs="Times New Roman"/>
                <w:color w:val="000000"/>
              </w:rPr>
              <w:br/>
              <w:t>Trimethylamine N-oxide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9</w:t>
            </w:r>
            <w:r w:rsidRPr="0064147A">
              <w:rPr>
                <w:rFonts w:cs="Times New Roman"/>
                <w:color w:val="000000"/>
              </w:rPr>
              <w:t>NO)</w:t>
            </w:r>
            <w:r w:rsidRPr="0064147A">
              <w:rPr>
                <w:rFonts w:cs="Times New Roman"/>
                <w:color w:val="000000"/>
              </w:rPr>
              <w:br/>
              <w:t>Dimethylaminomethanol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9</w:t>
            </w:r>
            <w:r w:rsidRPr="0064147A">
              <w:rPr>
                <w:rFonts w:cs="Times New Roman"/>
                <w:color w:val="000000"/>
              </w:rPr>
              <w:t>NO)</w:t>
            </w:r>
            <w:r w:rsidRPr="0064147A">
              <w:rPr>
                <w:rFonts w:cs="Times New Roman"/>
                <w:color w:val="000000"/>
              </w:rPr>
              <w:br/>
              <w:t>3-Amino-1-propanol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9</w:t>
            </w:r>
            <w:r w:rsidRPr="0064147A">
              <w:rPr>
                <w:rFonts w:cs="Times New Roman"/>
                <w:color w:val="000000"/>
              </w:rPr>
              <w:t>NO)</w:t>
            </w:r>
            <w:r w:rsidRPr="0064147A">
              <w:rPr>
                <w:rFonts w:cs="Times New Roman"/>
                <w:color w:val="000000"/>
              </w:rPr>
              <w:br/>
              <w:t>2-Amino-1-propanol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9</w:t>
            </w:r>
            <w:r w:rsidRPr="0064147A">
              <w:rPr>
                <w:rFonts w:cs="Times New Roman"/>
                <w:color w:val="000000"/>
              </w:rPr>
              <w:t>NO)</w:t>
            </w:r>
            <w:r w:rsidRPr="0064147A">
              <w:rPr>
                <w:rFonts w:cs="Times New Roman"/>
                <w:color w:val="000000"/>
              </w:rPr>
              <w:br/>
              <w:t>1-Amino-2-propanol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9</w:t>
            </w:r>
            <w:r w:rsidRPr="0064147A">
              <w:rPr>
                <w:rFonts w:cs="Times New Roman"/>
                <w:color w:val="000000"/>
              </w:rPr>
              <w:t>NO)</w:t>
            </w:r>
            <w:r w:rsidRPr="0064147A">
              <w:rPr>
                <w:rFonts w:cs="Times New Roman"/>
                <w:color w:val="000000"/>
              </w:rPr>
              <w:br/>
              <w:t>Ethanethioamide (C</w:t>
            </w:r>
            <w:r w:rsidRPr="0064147A">
              <w:rPr>
                <w:rFonts w:cs="Times New Roman"/>
                <w:color w:val="000000"/>
                <w:vertAlign w:val="subscript"/>
              </w:rPr>
              <w:t>2</w:t>
            </w:r>
            <w:r w:rsidRPr="0064147A">
              <w:rPr>
                <w:rFonts w:cs="Times New Roman"/>
                <w:color w:val="000000"/>
              </w:rPr>
              <w:t>H</w:t>
            </w:r>
            <w:r w:rsidRPr="0064147A">
              <w:rPr>
                <w:rFonts w:cs="Times New Roman"/>
                <w:color w:val="000000"/>
                <w:vertAlign w:val="subscript"/>
              </w:rPr>
              <w:t>5</w:t>
            </w:r>
            <w:r w:rsidRPr="0064147A">
              <w:rPr>
                <w:rFonts w:cs="Times New Roman"/>
                <w:color w:val="000000"/>
              </w:rPr>
              <w:t>NS)</w:t>
            </w:r>
          </w:p>
          <w:p w14:paraId="63B266E5" w14:textId="77777777" w:rsidR="009C7D45" w:rsidRPr="0064147A" w:rsidRDefault="009C7D45" w:rsidP="002E3F44">
            <w:pPr>
              <w:spacing w:line="240" w:lineRule="auto"/>
              <w:ind w:firstLine="0"/>
              <w:rPr>
                <w:rFonts w:cs="Times New Roman"/>
                <w:color w:val="000000"/>
              </w:rPr>
            </w:pPr>
          </w:p>
        </w:tc>
      </w:tr>
      <w:tr w:rsidR="009C7D45" w:rsidRPr="0064147A" w14:paraId="542A8C89" w14:textId="77777777" w:rsidTr="002E3F44">
        <w:trPr>
          <w:trHeight w:val="20"/>
        </w:trPr>
        <w:tc>
          <w:tcPr>
            <w:tcW w:w="1350" w:type="dxa"/>
            <w:noWrap/>
            <w:vAlign w:val="center"/>
            <w:hideMark/>
          </w:tcPr>
          <w:p w14:paraId="159EAF4B" w14:textId="77777777" w:rsidR="009C7D45" w:rsidRPr="0064147A" w:rsidRDefault="009C7D45" w:rsidP="002E3F44">
            <w:pPr>
              <w:spacing w:line="240" w:lineRule="auto"/>
              <w:ind w:firstLine="0"/>
              <w:rPr>
                <w:rFonts w:cs="Times New Roman"/>
                <w:color w:val="000000"/>
              </w:rPr>
            </w:pPr>
            <w:r w:rsidRPr="0064147A">
              <w:rPr>
                <w:rFonts w:cs="Times New Roman"/>
                <w:color w:val="000000"/>
              </w:rPr>
              <w:t>78.17</w:t>
            </w:r>
          </w:p>
        </w:tc>
        <w:tc>
          <w:tcPr>
            <w:tcW w:w="2410" w:type="dxa"/>
            <w:noWrap/>
            <w:vAlign w:val="center"/>
            <w:hideMark/>
          </w:tcPr>
          <w:p w14:paraId="03B77E68"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12.3</w:t>
            </w:r>
          </w:p>
        </w:tc>
        <w:tc>
          <w:tcPr>
            <w:tcW w:w="2154" w:type="dxa"/>
            <w:noWrap/>
            <w:vAlign w:val="center"/>
            <w:hideMark/>
          </w:tcPr>
          <w:p w14:paraId="31790B10" w14:textId="77777777" w:rsidR="009C7D45" w:rsidRPr="0064147A" w:rsidRDefault="009C7D45" w:rsidP="002E3F44">
            <w:pPr>
              <w:spacing w:line="240" w:lineRule="auto"/>
              <w:ind w:firstLine="0"/>
              <w:rPr>
                <w:rFonts w:cs="Times New Roman"/>
                <w:color w:val="000000"/>
              </w:rPr>
            </w:pPr>
            <w:r w:rsidRPr="0064147A">
              <w:rPr>
                <w:rFonts w:cs="Times New Roman"/>
                <w:color w:val="000000"/>
              </w:rPr>
              <w:t>2.01E-11</w:t>
            </w:r>
          </w:p>
        </w:tc>
        <w:tc>
          <w:tcPr>
            <w:tcW w:w="7002" w:type="dxa"/>
            <w:noWrap/>
            <w:vAlign w:val="center"/>
            <w:hideMark/>
          </w:tcPr>
          <w:p w14:paraId="0BAA2FE5" w14:textId="77777777" w:rsidR="009C7D45" w:rsidRPr="0064147A" w:rsidRDefault="009C7D45" w:rsidP="002E3F44">
            <w:pPr>
              <w:spacing w:line="240" w:lineRule="auto"/>
              <w:ind w:firstLine="0"/>
              <w:rPr>
                <w:rFonts w:cs="Times New Roman"/>
                <w:color w:val="000000"/>
              </w:rPr>
            </w:pPr>
          </w:p>
          <w:p w14:paraId="1AFC17D2" w14:textId="77777777" w:rsidR="009C7D45" w:rsidRPr="0064147A" w:rsidRDefault="009C7D45" w:rsidP="002E3F44">
            <w:pPr>
              <w:spacing w:line="240" w:lineRule="auto"/>
              <w:ind w:firstLine="0"/>
              <w:rPr>
                <w:rFonts w:cs="Times New Roman"/>
                <w:color w:val="000000"/>
              </w:rPr>
            </w:pPr>
          </w:p>
        </w:tc>
      </w:tr>
      <w:tr w:rsidR="009C7D45" w:rsidRPr="0064147A" w14:paraId="31299D6D" w14:textId="77777777" w:rsidTr="002E3F44">
        <w:trPr>
          <w:trHeight w:val="20"/>
        </w:trPr>
        <w:tc>
          <w:tcPr>
            <w:tcW w:w="1350" w:type="dxa"/>
            <w:shd w:val="clear" w:color="auto" w:fill="F2F2F2" w:themeFill="background1" w:themeFillShade="F2"/>
            <w:noWrap/>
            <w:vAlign w:val="center"/>
            <w:hideMark/>
          </w:tcPr>
          <w:p w14:paraId="7F5E34EA" w14:textId="77777777" w:rsidR="009C7D45" w:rsidRPr="0064147A" w:rsidRDefault="009C7D45" w:rsidP="002E3F44">
            <w:pPr>
              <w:spacing w:line="240" w:lineRule="auto"/>
              <w:ind w:firstLine="0"/>
              <w:rPr>
                <w:rFonts w:cs="Times New Roman"/>
                <w:color w:val="000000"/>
              </w:rPr>
            </w:pPr>
            <w:r w:rsidRPr="0064147A">
              <w:rPr>
                <w:rFonts w:cs="Times New Roman"/>
                <w:color w:val="000000"/>
              </w:rPr>
              <w:t>83.82</w:t>
            </w:r>
          </w:p>
        </w:tc>
        <w:tc>
          <w:tcPr>
            <w:tcW w:w="2410" w:type="dxa"/>
            <w:shd w:val="clear" w:color="auto" w:fill="F2F2F2" w:themeFill="background1" w:themeFillShade="F2"/>
            <w:noWrap/>
            <w:vAlign w:val="center"/>
            <w:hideMark/>
          </w:tcPr>
          <w:p w14:paraId="5C20EA58" w14:textId="77777777" w:rsidR="009C7D45" w:rsidRPr="0064147A" w:rsidRDefault="009C7D45" w:rsidP="002E3F44">
            <w:pPr>
              <w:spacing w:line="240" w:lineRule="auto"/>
              <w:ind w:firstLine="0"/>
              <w:rPr>
                <w:rFonts w:cs="Times New Roman"/>
                <w:color w:val="000000"/>
              </w:rPr>
            </w:pPr>
            <w:r w:rsidRPr="0064147A">
              <w:rPr>
                <w:rFonts w:cs="Times New Roman"/>
                <w:color w:val="000000"/>
              </w:rPr>
              <w:t>30.84</w:t>
            </w:r>
          </w:p>
        </w:tc>
        <w:tc>
          <w:tcPr>
            <w:tcW w:w="2154" w:type="dxa"/>
            <w:shd w:val="clear" w:color="auto" w:fill="F2F2F2" w:themeFill="background1" w:themeFillShade="F2"/>
            <w:noWrap/>
            <w:vAlign w:val="center"/>
            <w:hideMark/>
          </w:tcPr>
          <w:p w14:paraId="75CB1D30" w14:textId="77777777" w:rsidR="009C7D45" w:rsidRPr="0064147A" w:rsidRDefault="009C7D45" w:rsidP="002E3F44">
            <w:pPr>
              <w:spacing w:line="240" w:lineRule="auto"/>
              <w:ind w:firstLine="0"/>
              <w:rPr>
                <w:rFonts w:cs="Times New Roman"/>
                <w:color w:val="000000"/>
              </w:rPr>
            </w:pPr>
            <w:r w:rsidRPr="0064147A">
              <w:rPr>
                <w:rFonts w:cs="Times New Roman"/>
                <w:color w:val="000000"/>
              </w:rPr>
              <w:t>&lt;1.1E-16</w:t>
            </w:r>
          </w:p>
        </w:tc>
        <w:tc>
          <w:tcPr>
            <w:tcW w:w="7002" w:type="dxa"/>
            <w:shd w:val="clear" w:color="auto" w:fill="F2F2F2" w:themeFill="background1" w:themeFillShade="F2"/>
            <w:noWrap/>
            <w:vAlign w:val="center"/>
            <w:hideMark/>
          </w:tcPr>
          <w:p w14:paraId="0C2BB7DF" w14:textId="77777777" w:rsidR="009C7D45" w:rsidRPr="0064147A" w:rsidRDefault="009C7D45" w:rsidP="002E3F44">
            <w:pPr>
              <w:spacing w:line="240" w:lineRule="auto"/>
              <w:ind w:firstLine="0"/>
              <w:rPr>
                <w:rFonts w:cs="Times New Roman"/>
                <w:color w:val="000000"/>
              </w:rPr>
            </w:pPr>
          </w:p>
          <w:p w14:paraId="04399C30" w14:textId="77777777" w:rsidR="009C7D45" w:rsidRPr="0064147A" w:rsidRDefault="009C7D45" w:rsidP="002E3F44">
            <w:pPr>
              <w:spacing w:line="240" w:lineRule="auto"/>
              <w:ind w:firstLine="0"/>
              <w:rPr>
                <w:rFonts w:cs="Times New Roman"/>
                <w:color w:val="000000"/>
              </w:rPr>
            </w:pPr>
          </w:p>
        </w:tc>
      </w:tr>
      <w:tr w:rsidR="009C7D45" w:rsidRPr="0064147A" w14:paraId="4ABBA8E4" w14:textId="77777777" w:rsidTr="002E3F44">
        <w:trPr>
          <w:trHeight w:val="20"/>
        </w:trPr>
        <w:tc>
          <w:tcPr>
            <w:tcW w:w="1350" w:type="dxa"/>
            <w:noWrap/>
            <w:vAlign w:val="center"/>
            <w:hideMark/>
          </w:tcPr>
          <w:p w14:paraId="24893D16" w14:textId="77777777" w:rsidR="009C7D45" w:rsidRPr="0064147A" w:rsidRDefault="009C7D45" w:rsidP="002E3F44">
            <w:pPr>
              <w:spacing w:line="240" w:lineRule="auto"/>
              <w:ind w:firstLine="0"/>
              <w:rPr>
                <w:rFonts w:cs="Times New Roman"/>
                <w:color w:val="000000"/>
              </w:rPr>
            </w:pPr>
            <w:r w:rsidRPr="0064147A">
              <w:rPr>
                <w:rFonts w:cs="Times New Roman"/>
                <w:color w:val="000000"/>
              </w:rPr>
              <w:lastRenderedPageBreak/>
              <w:t>105.76</w:t>
            </w:r>
          </w:p>
        </w:tc>
        <w:tc>
          <w:tcPr>
            <w:tcW w:w="2410" w:type="dxa"/>
            <w:noWrap/>
            <w:vAlign w:val="center"/>
            <w:hideMark/>
          </w:tcPr>
          <w:p w14:paraId="3FF92A57"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18.54</w:t>
            </w:r>
          </w:p>
        </w:tc>
        <w:tc>
          <w:tcPr>
            <w:tcW w:w="2154" w:type="dxa"/>
            <w:noWrap/>
            <w:vAlign w:val="center"/>
            <w:hideMark/>
          </w:tcPr>
          <w:p w14:paraId="54DA3208" w14:textId="77777777" w:rsidR="009C7D45" w:rsidRPr="0064147A" w:rsidRDefault="009C7D45" w:rsidP="002E3F44">
            <w:pPr>
              <w:spacing w:line="240" w:lineRule="auto"/>
              <w:ind w:firstLine="0"/>
              <w:rPr>
                <w:rFonts w:cs="Times New Roman"/>
                <w:color w:val="000000"/>
              </w:rPr>
            </w:pPr>
            <w:r w:rsidRPr="0064147A">
              <w:rPr>
                <w:rFonts w:cs="Times New Roman"/>
                <w:color w:val="000000"/>
              </w:rPr>
              <w:t>&lt;1.1E-16</w:t>
            </w:r>
          </w:p>
        </w:tc>
        <w:tc>
          <w:tcPr>
            <w:tcW w:w="7002" w:type="dxa"/>
            <w:vAlign w:val="center"/>
            <w:hideMark/>
          </w:tcPr>
          <w:p w14:paraId="51BE425C" w14:textId="77777777" w:rsidR="009C7D45" w:rsidRPr="0064147A" w:rsidRDefault="009C7D45" w:rsidP="002E3F44">
            <w:pPr>
              <w:spacing w:line="240" w:lineRule="auto"/>
              <w:ind w:firstLine="0"/>
              <w:rPr>
                <w:rFonts w:cs="Times New Roman"/>
                <w:color w:val="000000"/>
              </w:rPr>
            </w:pPr>
            <w:r w:rsidRPr="0064147A">
              <w:rPr>
                <w:rFonts w:cs="Times New Roman"/>
                <w:color w:val="000000"/>
              </w:rPr>
              <w:t>Diethanolamine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11</w:t>
            </w:r>
            <w:r w:rsidRPr="0064147A">
              <w:rPr>
                <w:rFonts w:cs="Times New Roman"/>
                <w:color w:val="000000"/>
              </w:rPr>
              <w:t>NS)</w:t>
            </w:r>
            <w:r w:rsidRPr="0064147A">
              <w:rPr>
                <w:rFonts w:cs="Times New Roman"/>
                <w:color w:val="000000"/>
              </w:rPr>
              <w:br/>
              <w:t>2-Amino-1,3-butanediol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11</w:t>
            </w:r>
            <w:r w:rsidRPr="0064147A">
              <w:rPr>
                <w:rFonts w:cs="Times New Roman"/>
                <w:color w:val="000000"/>
              </w:rPr>
              <w:t>NS)</w:t>
            </w:r>
            <w:r w:rsidRPr="0064147A">
              <w:rPr>
                <w:rFonts w:cs="Times New Roman"/>
                <w:color w:val="000000"/>
              </w:rPr>
              <w:br/>
              <w:t>N-(Methyl)mercaptoacetamide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7</w:t>
            </w:r>
            <w:r w:rsidRPr="0064147A">
              <w:rPr>
                <w:rFonts w:cs="Times New Roman"/>
                <w:color w:val="000000"/>
              </w:rPr>
              <w:t>NOS)</w:t>
            </w:r>
            <w:r w:rsidRPr="0064147A">
              <w:rPr>
                <w:rFonts w:cs="Times New Roman"/>
                <w:color w:val="000000"/>
              </w:rPr>
              <w:br/>
              <w:t>DL-a-aminothiopropionic acid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7</w:t>
            </w:r>
            <w:r w:rsidRPr="0064147A">
              <w:rPr>
                <w:rFonts w:cs="Times New Roman"/>
                <w:color w:val="000000"/>
              </w:rPr>
              <w:t>NOS)</w:t>
            </w:r>
            <w:r w:rsidRPr="0064147A">
              <w:rPr>
                <w:rFonts w:cs="Times New Roman"/>
                <w:color w:val="000000"/>
              </w:rPr>
              <w:br/>
              <w:t>b-Mercaptopropionamide (C</w:t>
            </w:r>
            <w:r w:rsidRPr="0064147A">
              <w:rPr>
                <w:rFonts w:cs="Times New Roman"/>
                <w:color w:val="000000"/>
                <w:vertAlign w:val="subscript"/>
              </w:rPr>
              <w:t>3</w:t>
            </w:r>
            <w:r w:rsidRPr="0064147A">
              <w:rPr>
                <w:rFonts w:cs="Times New Roman"/>
                <w:color w:val="000000"/>
              </w:rPr>
              <w:t>H</w:t>
            </w:r>
            <w:r w:rsidRPr="0064147A">
              <w:rPr>
                <w:rFonts w:cs="Times New Roman"/>
                <w:color w:val="000000"/>
                <w:vertAlign w:val="subscript"/>
              </w:rPr>
              <w:t>7</w:t>
            </w:r>
            <w:r w:rsidRPr="0064147A">
              <w:rPr>
                <w:rFonts w:cs="Times New Roman"/>
                <w:color w:val="000000"/>
              </w:rPr>
              <w:t>NOS)</w:t>
            </w:r>
            <w:r w:rsidRPr="0064147A">
              <w:rPr>
                <w:rFonts w:cs="Times New Roman"/>
                <w:color w:val="000000"/>
              </w:rPr>
              <w:br/>
              <w:t>2-(Dimethylamino)-ethanethiol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11</w:t>
            </w:r>
            <w:r w:rsidRPr="0064147A">
              <w:rPr>
                <w:rFonts w:cs="Times New Roman"/>
                <w:color w:val="000000"/>
              </w:rPr>
              <w:t>NS)</w:t>
            </w:r>
          </w:p>
          <w:p w14:paraId="0B049B04" w14:textId="77777777" w:rsidR="009C7D45" w:rsidRPr="0064147A" w:rsidRDefault="009C7D45" w:rsidP="002E3F44">
            <w:pPr>
              <w:spacing w:line="240" w:lineRule="auto"/>
              <w:ind w:firstLine="0"/>
              <w:rPr>
                <w:rFonts w:cs="Times New Roman"/>
                <w:color w:val="000000"/>
              </w:rPr>
            </w:pPr>
          </w:p>
        </w:tc>
      </w:tr>
      <w:tr w:rsidR="009C7D45" w:rsidRPr="0064147A" w14:paraId="3E827D36" w14:textId="77777777" w:rsidTr="002E3F44">
        <w:trPr>
          <w:trHeight w:val="20"/>
        </w:trPr>
        <w:tc>
          <w:tcPr>
            <w:tcW w:w="1350" w:type="dxa"/>
            <w:shd w:val="clear" w:color="auto" w:fill="F2F2F2" w:themeFill="background1" w:themeFillShade="F2"/>
            <w:noWrap/>
            <w:vAlign w:val="center"/>
            <w:hideMark/>
          </w:tcPr>
          <w:p w14:paraId="1C4B14C3"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111.61</w:t>
            </w:r>
          </w:p>
        </w:tc>
        <w:tc>
          <w:tcPr>
            <w:tcW w:w="2410" w:type="dxa"/>
            <w:shd w:val="clear" w:color="auto" w:fill="F2F2F2" w:themeFill="background1" w:themeFillShade="F2"/>
            <w:noWrap/>
            <w:vAlign w:val="center"/>
            <w:hideMark/>
          </w:tcPr>
          <w:p w14:paraId="07683FD4" w14:textId="77777777" w:rsidR="009C7D45" w:rsidRPr="0064147A" w:rsidRDefault="009C7D45" w:rsidP="002E3F44">
            <w:pPr>
              <w:spacing w:line="240" w:lineRule="auto"/>
              <w:ind w:firstLine="0"/>
              <w:rPr>
                <w:rFonts w:cs="Times New Roman"/>
                <w:color w:val="000000"/>
              </w:rPr>
            </w:pPr>
            <w:r w:rsidRPr="0064147A">
              <w:rPr>
                <w:rFonts w:cs="Times New Roman"/>
                <w:color w:val="000000"/>
              </w:rPr>
              <w:t>210.58</w:t>
            </w:r>
          </w:p>
        </w:tc>
        <w:tc>
          <w:tcPr>
            <w:tcW w:w="2154" w:type="dxa"/>
            <w:shd w:val="clear" w:color="auto" w:fill="F2F2F2" w:themeFill="background1" w:themeFillShade="F2"/>
            <w:noWrap/>
            <w:vAlign w:val="center"/>
            <w:hideMark/>
          </w:tcPr>
          <w:p w14:paraId="45656A54" w14:textId="77777777" w:rsidR="009C7D45" w:rsidRPr="0064147A" w:rsidRDefault="009C7D45" w:rsidP="002E3F44">
            <w:pPr>
              <w:spacing w:line="240" w:lineRule="auto"/>
              <w:ind w:firstLine="0"/>
              <w:rPr>
                <w:rFonts w:cs="Times New Roman"/>
                <w:color w:val="000000"/>
              </w:rPr>
            </w:pPr>
            <w:r w:rsidRPr="0064147A">
              <w:rPr>
                <w:rFonts w:cs="Times New Roman"/>
                <w:color w:val="000000"/>
              </w:rPr>
              <w:t>&lt;1.1E-16</w:t>
            </w:r>
          </w:p>
        </w:tc>
        <w:tc>
          <w:tcPr>
            <w:tcW w:w="7002" w:type="dxa"/>
            <w:shd w:val="clear" w:color="auto" w:fill="F2F2F2" w:themeFill="background1" w:themeFillShade="F2"/>
            <w:vAlign w:val="center"/>
            <w:hideMark/>
          </w:tcPr>
          <w:p w14:paraId="5EACE8D6"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1-(2-Furany)-ethanone (C</w:t>
            </w:r>
            <w:r w:rsidRPr="0064147A">
              <w:rPr>
                <w:rFonts w:cs="Times New Roman"/>
                <w:color w:val="000000"/>
                <w:vertAlign w:val="subscript"/>
              </w:rPr>
              <w:t>6</w:t>
            </w:r>
            <w:r w:rsidRPr="0064147A">
              <w:rPr>
                <w:rFonts w:cs="Times New Roman"/>
                <w:color w:val="000000"/>
              </w:rPr>
              <w:t>H</w:t>
            </w:r>
            <w:r w:rsidRPr="0064147A">
              <w:rPr>
                <w:rFonts w:cs="Times New Roman"/>
                <w:color w:val="000000"/>
                <w:vertAlign w:val="subscript"/>
              </w:rPr>
              <w:t>6</w:t>
            </w:r>
            <w:r w:rsidRPr="0064147A">
              <w:rPr>
                <w:rFonts w:cs="Times New Roman"/>
                <w:color w:val="000000"/>
              </w:rPr>
              <w:t>O</w:t>
            </w:r>
            <w:r w:rsidRPr="0064147A">
              <w:rPr>
                <w:rFonts w:cs="Times New Roman"/>
                <w:color w:val="000000"/>
                <w:vertAlign w:val="subscript"/>
              </w:rPr>
              <w:t>2</w:t>
            </w:r>
            <w:r w:rsidRPr="0064147A">
              <w:rPr>
                <w:rFonts w:cs="Times New Roman"/>
                <w:color w:val="000000"/>
              </w:rPr>
              <w:t>)</w:t>
            </w:r>
            <w:r w:rsidRPr="0064147A">
              <w:rPr>
                <w:rFonts w:cs="Times New Roman"/>
                <w:color w:val="000000"/>
              </w:rPr>
              <w:br/>
              <w:t>2-Methyl-2-furancarboxaldehyde (C</w:t>
            </w:r>
            <w:r w:rsidRPr="0064147A">
              <w:rPr>
                <w:rFonts w:cs="Times New Roman"/>
                <w:color w:val="000000"/>
                <w:vertAlign w:val="subscript"/>
              </w:rPr>
              <w:t>6</w:t>
            </w:r>
            <w:r w:rsidRPr="0064147A">
              <w:rPr>
                <w:rFonts w:cs="Times New Roman"/>
                <w:color w:val="000000"/>
              </w:rPr>
              <w:t>H</w:t>
            </w:r>
            <w:r w:rsidRPr="0064147A">
              <w:rPr>
                <w:rFonts w:cs="Times New Roman"/>
                <w:color w:val="000000"/>
                <w:vertAlign w:val="subscript"/>
              </w:rPr>
              <w:t>6</w:t>
            </w:r>
            <w:r w:rsidRPr="0064147A">
              <w:rPr>
                <w:rFonts w:cs="Times New Roman"/>
                <w:color w:val="000000"/>
              </w:rPr>
              <w:t>O</w:t>
            </w:r>
            <w:r w:rsidRPr="0064147A">
              <w:rPr>
                <w:rFonts w:cs="Times New Roman"/>
                <w:color w:val="000000"/>
                <w:vertAlign w:val="subscript"/>
              </w:rPr>
              <w:t>2</w:t>
            </w:r>
            <w:r w:rsidRPr="0064147A">
              <w:rPr>
                <w:rFonts w:cs="Times New Roman"/>
                <w:color w:val="000000"/>
              </w:rPr>
              <w:t>)</w:t>
            </w:r>
            <w:r w:rsidRPr="0064147A">
              <w:rPr>
                <w:rFonts w:cs="Times New Roman"/>
                <w:color w:val="000000"/>
              </w:rPr>
              <w:br/>
              <w:t>1-(1H-Pyrazol-4-yl)-ethanone (C</w:t>
            </w:r>
            <w:r w:rsidRPr="0064147A">
              <w:rPr>
                <w:rFonts w:cs="Times New Roman"/>
                <w:color w:val="000000"/>
                <w:vertAlign w:val="subscript"/>
              </w:rPr>
              <w:t>5</w:t>
            </w:r>
            <w:r w:rsidRPr="0064147A">
              <w:rPr>
                <w:rFonts w:cs="Times New Roman"/>
                <w:color w:val="000000"/>
              </w:rPr>
              <w:t>H</w:t>
            </w:r>
            <w:r w:rsidRPr="0064147A">
              <w:rPr>
                <w:rFonts w:cs="Times New Roman"/>
                <w:color w:val="000000"/>
                <w:vertAlign w:val="subscript"/>
              </w:rPr>
              <w:t>6</w:t>
            </w:r>
            <w:r w:rsidRPr="0064147A">
              <w:rPr>
                <w:rFonts w:cs="Times New Roman"/>
                <w:color w:val="000000"/>
              </w:rPr>
              <w:t>N</w:t>
            </w:r>
            <w:r w:rsidRPr="0064147A">
              <w:rPr>
                <w:rFonts w:cs="Times New Roman"/>
                <w:color w:val="000000"/>
                <w:vertAlign w:val="subscript"/>
              </w:rPr>
              <w:t>2</w:t>
            </w:r>
            <w:r w:rsidRPr="0064147A">
              <w:rPr>
                <w:rFonts w:cs="Times New Roman"/>
                <w:color w:val="000000"/>
              </w:rPr>
              <w:t>O)</w:t>
            </w:r>
            <w:r w:rsidRPr="0064147A">
              <w:rPr>
                <w:rFonts w:cs="Times New Roman"/>
                <w:color w:val="000000"/>
              </w:rPr>
              <w:br/>
              <w:t>2-Ethyl-5-methylfuran (C</w:t>
            </w:r>
            <w:r w:rsidRPr="0064147A">
              <w:rPr>
                <w:rFonts w:cs="Times New Roman"/>
                <w:color w:val="000000"/>
                <w:vertAlign w:val="subscript"/>
              </w:rPr>
              <w:t>7</w:t>
            </w:r>
            <w:r w:rsidRPr="0064147A">
              <w:rPr>
                <w:rFonts w:cs="Times New Roman"/>
                <w:color w:val="000000"/>
              </w:rPr>
              <w:t>H</w:t>
            </w:r>
            <w:r w:rsidRPr="0064147A">
              <w:rPr>
                <w:rFonts w:cs="Times New Roman"/>
                <w:color w:val="000000"/>
                <w:vertAlign w:val="subscript"/>
              </w:rPr>
              <w:t>10</w:t>
            </w:r>
            <w:r w:rsidRPr="0064147A">
              <w:rPr>
                <w:rFonts w:cs="Times New Roman"/>
                <w:color w:val="000000"/>
              </w:rPr>
              <w:t>O)</w:t>
            </w:r>
            <w:r w:rsidRPr="0064147A">
              <w:rPr>
                <w:rFonts w:cs="Times New Roman"/>
                <w:color w:val="000000"/>
              </w:rPr>
              <w:br/>
              <w:t>2,3,5-Trimethylfuran (C</w:t>
            </w:r>
            <w:r w:rsidRPr="0064147A">
              <w:rPr>
                <w:rFonts w:cs="Times New Roman"/>
                <w:color w:val="000000"/>
                <w:vertAlign w:val="subscript"/>
              </w:rPr>
              <w:t>7</w:t>
            </w:r>
            <w:r w:rsidRPr="0064147A">
              <w:rPr>
                <w:rFonts w:cs="Times New Roman"/>
                <w:color w:val="000000"/>
              </w:rPr>
              <w:t>H</w:t>
            </w:r>
            <w:r w:rsidRPr="0064147A">
              <w:rPr>
                <w:rFonts w:cs="Times New Roman"/>
                <w:color w:val="000000"/>
                <w:vertAlign w:val="subscript"/>
              </w:rPr>
              <w:t>10</w:t>
            </w:r>
            <w:r w:rsidRPr="0064147A">
              <w:rPr>
                <w:rFonts w:cs="Times New Roman"/>
                <w:color w:val="000000"/>
              </w:rPr>
              <w:t>O)</w:t>
            </w:r>
            <w:r w:rsidRPr="0064147A">
              <w:rPr>
                <w:rFonts w:cs="Times New Roman"/>
                <w:color w:val="000000"/>
              </w:rPr>
              <w:br/>
              <w:t>3-Methyl-2-cyclohexen-1-one (C</w:t>
            </w:r>
            <w:r w:rsidRPr="0064147A">
              <w:rPr>
                <w:rFonts w:cs="Times New Roman"/>
                <w:color w:val="000000"/>
                <w:vertAlign w:val="subscript"/>
              </w:rPr>
              <w:t>7</w:t>
            </w:r>
            <w:r w:rsidRPr="0064147A">
              <w:rPr>
                <w:rFonts w:cs="Times New Roman"/>
                <w:color w:val="000000"/>
              </w:rPr>
              <w:t>H</w:t>
            </w:r>
            <w:r w:rsidRPr="0064147A">
              <w:rPr>
                <w:rFonts w:cs="Times New Roman"/>
                <w:color w:val="000000"/>
                <w:vertAlign w:val="subscript"/>
              </w:rPr>
              <w:t>10</w:t>
            </w:r>
            <w:r w:rsidRPr="0064147A">
              <w:rPr>
                <w:rFonts w:cs="Times New Roman"/>
                <w:color w:val="000000"/>
              </w:rPr>
              <w:t>O)</w:t>
            </w:r>
          </w:p>
          <w:p w14:paraId="2A6D4F28" w14:textId="77777777" w:rsidR="009C7D45" w:rsidRPr="0064147A" w:rsidRDefault="009C7D45" w:rsidP="002E3F44">
            <w:pPr>
              <w:spacing w:line="240" w:lineRule="auto"/>
              <w:ind w:firstLine="0"/>
              <w:rPr>
                <w:rFonts w:cs="Times New Roman"/>
                <w:color w:val="000000"/>
              </w:rPr>
            </w:pPr>
          </w:p>
        </w:tc>
      </w:tr>
      <w:tr w:rsidR="009C7D45" w:rsidRPr="0064147A" w14:paraId="15DEB713" w14:textId="77777777" w:rsidTr="002E3F44">
        <w:trPr>
          <w:trHeight w:val="20"/>
        </w:trPr>
        <w:tc>
          <w:tcPr>
            <w:tcW w:w="1350" w:type="dxa"/>
            <w:noWrap/>
            <w:vAlign w:val="center"/>
            <w:hideMark/>
          </w:tcPr>
          <w:p w14:paraId="2F0A45A1"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114.55</w:t>
            </w:r>
          </w:p>
        </w:tc>
        <w:tc>
          <w:tcPr>
            <w:tcW w:w="2410" w:type="dxa"/>
            <w:noWrap/>
            <w:vAlign w:val="center"/>
            <w:hideMark/>
          </w:tcPr>
          <w:p w14:paraId="381DF021" w14:textId="77777777" w:rsidR="009C7D45" w:rsidRPr="0064147A" w:rsidRDefault="009C7D45" w:rsidP="002E3F44">
            <w:pPr>
              <w:spacing w:line="240" w:lineRule="auto"/>
              <w:ind w:firstLine="0"/>
              <w:rPr>
                <w:rFonts w:cs="Times New Roman"/>
                <w:color w:val="000000"/>
              </w:rPr>
            </w:pPr>
            <w:r w:rsidRPr="0064147A">
              <w:rPr>
                <w:rFonts w:cs="Times New Roman"/>
                <w:color w:val="000000"/>
              </w:rPr>
              <w:t>338.54</w:t>
            </w:r>
          </w:p>
        </w:tc>
        <w:tc>
          <w:tcPr>
            <w:tcW w:w="2154" w:type="dxa"/>
            <w:noWrap/>
            <w:vAlign w:val="center"/>
            <w:hideMark/>
          </w:tcPr>
          <w:p w14:paraId="6F91F621" w14:textId="77777777" w:rsidR="009C7D45" w:rsidRPr="0064147A" w:rsidRDefault="009C7D45" w:rsidP="002E3F44">
            <w:pPr>
              <w:spacing w:line="240" w:lineRule="auto"/>
              <w:ind w:firstLine="0"/>
              <w:rPr>
                <w:rFonts w:cs="Times New Roman"/>
                <w:color w:val="000000"/>
              </w:rPr>
            </w:pPr>
            <w:r w:rsidRPr="0064147A">
              <w:rPr>
                <w:rFonts w:cs="Times New Roman"/>
                <w:color w:val="000000"/>
              </w:rPr>
              <w:t>&lt;1.1E-16</w:t>
            </w:r>
          </w:p>
        </w:tc>
        <w:tc>
          <w:tcPr>
            <w:tcW w:w="7002" w:type="dxa"/>
            <w:vAlign w:val="center"/>
            <w:hideMark/>
          </w:tcPr>
          <w:p w14:paraId="4D9C4F84"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1-Methyl-2-piperidinone (C</w:t>
            </w:r>
            <w:r w:rsidRPr="0064147A">
              <w:rPr>
                <w:rFonts w:cs="Times New Roman"/>
                <w:color w:val="000000"/>
                <w:vertAlign w:val="subscript"/>
              </w:rPr>
              <w:t>6</w:t>
            </w:r>
            <w:r w:rsidRPr="0064147A">
              <w:rPr>
                <w:rFonts w:cs="Times New Roman"/>
                <w:color w:val="000000"/>
              </w:rPr>
              <w:t>H</w:t>
            </w:r>
            <w:r w:rsidRPr="0064147A">
              <w:rPr>
                <w:rFonts w:cs="Times New Roman"/>
                <w:color w:val="000000"/>
                <w:vertAlign w:val="subscript"/>
              </w:rPr>
              <w:t>11</w:t>
            </w:r>
            <w:r w:rsidRPr="0064147A">
              <w:rPr>
                <w:rFonts w:cs="Times New Roman"/>
                <w:color w:val="000000"/>
              </w:rPr>
              <w:t>NO)</w:t>
            </w:r>
            <w:r w:rsidRPr="0064147A">
              <w:rPr>
                <w:rFonts w:cs="Times New Roman"/>
                <w:color w:val="000000"/>
              </w:rPr>
              <w:br/>
              <w:t>4-Isothiocyanato-1-butene (C</w:t>
            </w:r>
            <w:r w:rsidRPr="0064147A">
              <w:rPr>
                <w:rFonts w:cs="Times New Roman"/>
                <w:color w:val="000000"/>
                <w:vertAlign w:val="subscript"/>
              </w:rPr>
              <w:t>5</w:t>
            </w:r>
            <w:r w:rsidRPr="0064147A">
              <w:rPr>
                <w:rFonts w:cs="Times New Roman"/>
                <w:color w:val="000000"/>
              </w:rPr>
              <w:t>H</w:t>
            </w:r>
            <w:r w:rsidRPr="0064147A">
              <w:rPr>
                <w:rFonts w:cs="Times New Roman"/>
                <w:color w:val="000000"/>
                <w:vertAlign w:val="subscript"/>
              </w:rPr>
              <w:t>7</w:t>
            </w:r>
            <w:r w:rsidRPr="0064147A">
              <w:rPr>
                <w:rFonts w:cs="Times New Roman"/>
                <w:color w:val="000000"/>
              </w:rPr>
              <w:t>NS)</w:t>
            </w:r>
          </w:p>
          <w:p w14:paraId="00A35ACA" w14:textId="77777777" w:rsidR="009C7D45" w:rsidRPr="0064147A" w:rsidRDefault="009C7D45" w:rsidP="002E3F44">
            <w:pPr>
              <w:spacing w:line="240" w:lineRule="auto"/>
              <w:ind w:firstLine="0"/>
              <w:rPr>
                <w:rFonts w:cs="Times New Roman"/>
                <w:color w:val="000000"/>
              </w:rPr>
            </w:pPr>
          </w:p>
        </w:tc>
      </w:tr>
      <w:tr w:rsidR="009C7D45" w:rsidRPr="0064147A" w14:paraId="5C7B28FE" w14:textId="77777777" w:rsidTr="002E3F44">
        <w:trPr>
          <w:trHeight w:val="20"/>
        </w:trPr>
        <w:tc>
          <w:tcPr>
            <w:tcW w:w="1350" w:type="dxa"/>
            <w:tcBorders>
              <w:bottom w:val="single" w:sz="4" w:space="0" w:color="auto"/>
            </w:tcBorders>
            <w:shd w:val="clear" w:color="auto" w:fill="F2F2F2" w:themeFill="background1" w:themeFillShade="F2"/>
            <w:noWrap/>
            <w:vAlign w:val="center"/>
            <w:hideMark/>
          </w:tcPr>
          <w:p w14:paraId="1C221684"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117.49</w:t>
            </w:r>
          </w:p>
        </w:tc>
        <w:tc>
          <w:tcPr>
            <w:tcW w:w="2410" w:type="dxa"/>
            <w:tcBorders>
              <w:bottom w:val="single" w:sz="4" w:space="0" w:color="auto"/>
            </w:tcBorders>
            <w:shd w:val="clear" w:color="auto" w:fill="F2F2F2" w:themeFill="background1" w:themeFillShade="F2"/>
            <w:noWrap/>
            <w:vAlign w:val="center"/>
            <w:hideMark/>
          </w:tcPr>
          <w:p w14:paraId="62C69749" w14:textId="77777777" w:rsidR="009C7D45" w:rsidRPr="0064147A" w:rsidRDefault="009C7D45" w:rsidP="002E3F44">
            <w:pPr>
              <w:spacing w:line="240" w:lineRule="auto"/>
              <w:ind w:firstLine="0"/>
              <w:rPr>
                <w:rFonts w:cs="Times New Roman"/>
                <w:color w:val="000000"/>
              </w:rPr>
            </w:pPr>
            <w:r w:rsidRPr="0064147A">
              <w:rPr>
                <w:rFonts w:cs="Times New Roman"/>
                <w:color w:val="000000"/>
              </w:rPr>
              <w:t>75.17</w:t>
            </w:r>
          </w:p>
        </w:tc>
        <w:tc>
          <w:tcPr>
            <w:tcW w:w="2154" w:type="dxa"/>
            <w:tcBorders>
              <w:bottom w:val="single" w:sz="4" w:space="0" w:color="auto"/>
            </w:tcBorders>
            <w:shd w:val="clear" w:color="auto" w:fill="F2F2F2" w:themeFill="background1" w:themeFillShade="F2"/>
            <w:noWrap/>
            <w:vAlign w:val="center"/>
            <w:hideMark/>
          </w:tcPr>
          <w:p w14:paraId="77A6BF18" w14:textId="77777777" w:rsidR="009C7D45" w:rsidRPr="0064147A" w:rsidRDefault="009C7D45" w:rsidP="002E3F44">
            <w:pPr>
              <w:spacing w:line="240" w:lineRule="auto"/>
              <w:ind w:firstLine="0"/>
              <w:rPr>
                <w:rFonts w:cs="Times New Roman"/>
                <w:color w:val="000000"/>
              </w:rPr>
            </w:pPr>
            <w:r w:rsidRPr="0064147A">
              <w:rPr>
                <w:rFonts w:cs="Times New Roman"/>
                <w:color w:val="000000"/>
              </w:rPr>
              <w:t>1.11E-16</w:t>
            </w:r>
          </w:p>
        </w:tc>
        <w:tc>
          <w:tcPr>
            <w:tcW w:w="7002" w:type="dxa"/>
            <w:tcBorders>
              <w:bottom w:val="single" w:sz="4" w:space="0" w:color="auto"/>
            </w:tcBorders>
            <w:shd w:val="clear" w:color="auto" w:fill="F2F2F2" w:themeFill="background1" w:themeFillShade="F2"/>
            <w:vAlign w:val="center"/>
            <w:hideMark/>
          </w:tcPr>
          <w:p w14:paraId="52FDEFB5" w14:textId="77777777" w:rsidR="009C7D45" w:rsidRPr="0064147A" w:rsidRDefault="009C7D45" w:rsidP="002E3F44">
            <w:pPr>
              <w:spacing w:line="240" w:lineRule="auto"/>
              <w:ind w:firstLine="0"/>
              <w:rPr>
                <w:rFonts w:cs="Times New Roman"/>
                <w:color w:val="000000"/>
              </w:rPr>
            </w:pPr>
            <w:r w:rsidRPr="0064147A">
              <w:rPr>
                <w:rFonts w:cs="Times New Roman"/>
                <w:color w:val="000000"/>
              </w:rPr>
              <w:t>Nitrosomorpholine (C</w:t>
            </w:r>
            <w:r w:rsidRPr="0064147A">
              <w:rPr>
                <w:rFonts w:cs="Times New Roman"/>
                <w:color w:val="000000"/>
                <w:vertAlign w:val="subscript"/>
              </w:rPr>
              <w:t>4</w:t>
            </w:r>
            <w:r w:rsidRPr="0064147A">
              <w:rPr>
                <w:rFonts w:cs="Times New Roman"/>
                <w:color w:val="000000"/>
              </w:rPr>
              <w:t>H</w:t>
            </w:r>
            <w:r w:rsidRPr="0064147A">
              <w:rPr>
                <w:rFonts w:cs="Times New Roman"/>
                <w:color w:val="000000"/>
                <w:vertAlign w:val="subscript"/>
              </w:rPr>
              <w:t>8</w:t>
            </w:r>
            <w:r w:rsidRPr="0064147A">
              <w:rPr>
                <w:rFonts w:cs="Times New Roman"/>
                <w:color w:val="000000"/>
              </w:rPr>
              <w:t>H</w:t>
            </w:r>
            <w:r w:rsidRPr="0064147A">
              <w:rPr>
                <w:rFonts w:cs="Times New Roman"/>
                <w:color w:val="000000"/>
                <w:vertAlign w:val="subscript"/>
              </w:rPr>
              <w:t>2</w:t>
            </w:r>
            <w:r w:rsidRPr="0064147A">
              <w:rPr>
                <w:rFonts w:cs="Times New Roman"/>
                <w:color w:val="000000"/>
              </w:rPr>
              <w:t>O</w:t>
            </w:r>
            <w:r w:rsidRPr="0064147A">
              <w:rPr>
                <w:rFonts w:cs="Times New Roman"/>
                <w:color w:val="000000"/>
                <w:vertAlign w:val="subscript"/>
              </w:rPr>
              <w:t>2</w:t>
            </w:r>
            <w:r w:rsidRPr="0064147A">
              <w:rPr>
                <w:rFonts w:cs="Times New Roman"/>
                <w:color w:val="000000"/>
              </w:rPr>
              <w:t>)</w:t>
            </w:r>
            <w:r w:rsidRPr="0064147A">
              <w:rPr>
                <w:rFonts w:cs="Times New Roman"/>
                <w:color w:val="000000"/>
              </w:rPr>
              <w:br/>
              <w:t>Hexanoic acid (C</w:t>
            </w:r>
            <w:r w:rsidRPr="0064147A">
              <w:rPr>
                <w:rFonts w:cs="Times New Roman"/>
                <w:color w:val="000000"/>
                <w:vertAlign w:val="subscript"/>
              </w:rPr>
              <w:t>6</w:t>
            </w:r>
            <w:r w:rsidRPr="0064147A">
              <w:rPr>
                <w:rFonts w:cs="Times New Roman"/>
                <w:color w:val="000000"/>
              </w:rPr>
              <w:t>H</w:t>
            </w:r>
            <w:r w:rsidRPr="0064147A">
              <w:rPr>
                <w:rFonts w:cs="Times New Roman"/>
                <w:color w:val="000000"/>
                <w:vertAlign w:val="subscript"/>
              </w:rPr>
              <w:t>12</w:t>
            </w:r>
            <w:r w:rsidRPr="0064147A">
              <w:rPr>
                <w:rFonts w:cs="Times New Roman"/>
                <w:color w:val="000000"/>
              </w:rPr>
              <w:t>O</w:t>
            </w:r>
            <w:r w:rsidRPr="0064147A">
              <w:rPr>
                <w:rFonts w:cs="Times New Roman"/>
                <w:color w:val="000000"/>
                <w:vertAlign w:val="subscript"/>
              </w:rPr>
              <w:t>2</w:t>
            </w:r>
            <w:r w:rsidRPr="0064147A">
              <w:rPr>
                <w:rFonts w:cs="Times New Roman"/>
                <w:color w:val="000000"/>
              </w:rPr>
              <w:t>)</w:t>
            </w:r>
            <w:r w:rsidRPr="0064147A">
              <w:rPr>
                <w:rFonts w:cs="Times New Roman"/>
                <w:color w:val="000000"/>
              </w:rPr>
              <w:br/>
              <w:t>5-Methyl-3-hexanol (C</w:t>
            </w:r>
            <w:r w:rsidRPr="0064147A">
              <w:rPr>
                <w:rFonts w:cs="Times New Roman"/>
                <w:color w:val="000000"/>
                <w:vertAlign w:val="subscript"/>
              </w:rPr>
              <w:t>7</w:t>
            </w:r>
            <w:r w:rsidRPr="0064147A">
              <w:rPr>
                <w:rFonts w:cs="Times New Roman"/>
                <w:color w:val="000000"/>
              </w:rPr>
              <w:t>H</w:t>
            </w:r>
            <w:r w:rsidRPr="0064147A">
              <w:rPr>
                <w:rFonts w:cs="Times New Roman"/>
                <w:color w:val="000000"/>
                <w:vertAlign w:val="subscript"/>
              </w:rPr>
              <w:t>16</w:t>
            </w:r>
            <w:r w:rsidRPr="0064147A">
              <w:rPr>
                <w:rFonts w:cs="Times New Roman"/>
                <w:color w:val="000000"/>
              </w:rPr>
              <w:t>O)</w:t>
            </w:r>
          </w:p>
          <w:p w14:paraId="72E1D37C" w14:textId="77777777" w:rsidR="009C7D45" w:rsidRPr="0064147A" w:rsidRDefault="009C7D45" w:rsidP="002E3F44">
            <w:pPr>
              <w:spacing w:line="240" w:lineRule="auto"/>
              <w:ind w:firstLine="0"/>
              <w:rPr>
                <w:rFonts w:cs="Times New Roman"/>
                <w:color w:val="000000"/>
              </w:rPr>
            </w:pPr>
          </w:p>
        </w:tc>
      </w:tr>
    </w:tbl>
    <w:p w14:paraId="7BE0764E" w14:textId="77777777" w:rsidR="009C7D45" w:rsidRPr="00CE4E6D" w:rsidRDefault="009C7D45" w:rsidP="009C7D45">
      <w:pPr>
        <w:spacing w:line="240" w:lineRule="auto"/>
        <w:ind w:firstLine="0"/>
        <w:rPr>
          <w:rFonts w:cs="Times New Roman"/>
        </w:rPr>
      </w:pPr>
    </w:p>
    <w:p w14:paraId="6D278CF6" w14:textId="77777777" w:rsidR="009C7D45" w:rsidRPr="00CE4E6D" w:rsidRDefault="009C7D45" w:rsidP="009C7D45">
      <w:pPr>
        <w:spacing w:line="240" w:lineRule="auto"/>
        <w:ind w:firstLine="0"/>
        <w:rPr>
          <w:rFonts w:cs="Times New Roman"/>
        </w:rPr>
      </w:pPr>
      <w:r w:rsidRPr="00CE4E6D">
        <w:rPr>
          <w:rFonts w:cs="Times New Roman"/>
        </w:rPr>
        <w:br w:type="page"/>
      </w:r>
    </w:p>
    <w:p w14:paraId="2157B8AC" w14:textId="77777777" w:rsidR="009C7D45" w:rsidRPr="00CE4E6D" w:rsidRDefault="009C7D45" w:rsidP="009C7D45">
      <w:pPr>
        <w:spacing w:line="240" w:lineRule="auto"/>
        <w:ind w:firstLine="0"/>
        <w:rPr>
          <w:rFonts w:cs="Times New Roman"/>
        </w:rPr>
        <w:sectPr w:rsidR="009C7D45" w:rsidRPr="00CE4E6D" w:rsidSect="009C7D45">
          <w:pgSz w:w="15840" w:h="12240" w:orient="landscape"/>
          <w:pgMar w:top="1440" w:right="1440" w:bottom="1440" w:left="1440" w:header="720" w:footer="720" w:gutter="0"/>
          <w:cols w:space="720"/>
          <w:docGrid w:linePitch="326"/>
        </w:sectPr>
      </w:pPr>
    </w:p>
    <w:p w14:paraId="3D546957" w14:textId="77777777" w:rsidR="009C7D45" w:rsidRPr="00CE4E6D" w:rsidRDefault="009C7D45" w:rsidP="009C7D45">
      <w:pPr>
        <w:spacing w:line="240" w:lineRule="auto"/>
        <w:ind w:firstLine="0"/>
        <w:rPr>
          <w:rFonts w:cs="Times New Roman"/>
        </w:rPr>
      </w:pPr>
    </w:p>
    <w:bookmarkStart w:id="270" w:name="_Toc193668470"/>
    <w:p w14:paraId="6A59F3B0" w14:textId="3D2D2C1B" w:rsidR="009C7D45" w:rsidRDefault="004235CC" w:rsidP="00F13F6D">
      <w:pPr>
        <w:pStyle w:val="Caption"/>
      </w:pPr>
      <w:r>
        <w:rPr>
          <w:noProof/>
        </w:rPr>
        <mc:AlternateContent>
          <mc:Choice Requires="wps">
            <w:drawing>
              <wp:anchor distT="0" distB="0" distL="114300" distR="114300" simplePos="0" relativeHeight="251749376" behindDoc="0" locked="0" layoutInCell="1" allowOverlap="1" wp14:anchorId="5151DCF1" wp14:editId="5AD3CCDB">
                <wp:simplePos x="0" y="0"/>
                <wp:positionH relativeFrom="column">
                  <wp:posOffset>-181030</wp:posOffset>
                </wp:positionH>
                <wp:positionV relativeFrom="paragraph">
                  <wp:posOffset>543575</wp:posOffset>
                </wp:positionV>
                <wp:extent cx="1865799" cy="232105"/>
                <wp:effectExtent l="0" t="0" r="20320" b="15875"/>
                <wp:wrapNone/>
                <wp:docPr id="1993870661" name="Rectangle 30"/>
                <wp:cNvGraphicFramePr/>
                <a:graphic xmlns:a="http://schemas.openxmlformats.org/drawingml/2006/main">
                  <a:graphicData uri="http://schemas.microsoft.com/office/word/2010/wordprocessingShape">
                    <wps:wsp>
                      <wps:cNvSpPr/>
                      <wps:spPr>
                        <a:xfrm>
                          <a:off x="0" y="0"/>
                          <a:ext cx="1865799" cy="23210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56BD97" id="Rectangle 30" o:spid="_x0000_s1026" style="position:absolute;margin-left:-14.25pt;margin-top:42.8pt;width:146.9pt;height:18.3pt;z-index:251749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" fillcolor="white [3212]" strokecolor="white [3212]" strokeweight="2pt"/>
            </w:pict>
          </mc:Fallback>
        </mc:AlternateContent>
      </w:r>
      <w:r w:rsidR="009C7D45">
        <w:t xml:space="preserve">Table </w:t>
      </w:r>
      <w:fldSimple w:instr=" STYLEREF 1 \s ">
        <w:r w:rsidR="00971287">
          <w:rPr>
            <w:noProof/>
          </w:rPr>
          <w:t>6</w:t>
        </w:r>
      </w:fldSimple>
      <w:r w:rsidR="00A46B68">
        <w:t>.</w:t>
      </w:r>
      <w:fldSimple w:instr=" SEQ Table \* ARABIC \s 1 ">
        <w:r w:rsidR="00971287">
          <w:rPr>
            <w:noProof/>
          </w:rPr>
          <w:t>10</w:t>
        </w:r>
      </w:fldSimple>
      <w:r w:rsidR="009C7D45">
        <w:t xml:space="preserve">. </w:t>
      </w:r>
      <w:r w:rsidR="009C7D45" w:rsidRPr="00CE4E6D">
        <w:t>Protein Data Bank (PDB) matches with structural similarity to predicted BF02_Schw PrnA (KIMDJLCH_04457) structure.</w:t>
      </w:r>
      <w:bookmarkEnd w:id="270"/>
    </w:p>
    <w:tbl>
      <w:tblPr>
        <w:tblStyle w:val="PlainTable3"/>
        <w:tblW w:w="8614" w:type="dxa"/>
        <w:tblLayout w:type="fixed"/>
        <w:tblLook w:val="0420" w:firstRow="1" w:lastRow="0" w:firstColumn="0" w:lastColumn="0" w:noHBand="0" w:noVBand="1"/>
      </w:tblPr>
      <w:tblGrid>
        <w:gridCol w:w="3367"/>
        <w:gridCol w:w="990"/>
        <w:gridCol w:w="1584"/>
        <w:gridCol w:w="1445"/>
        <w:gridCol w:w="1228"/>
      </w:tblGrid>
      <w:tr w:rsidR="009C7D45" w:rsidRPr="004235CC" w14:paraId="1DC6A86B" w14:textId="77777777" w:rsidTr="002E3F44">
        <w:trPr>
          <w:cnfStyle w:val="100000000000" w:firstRow="1" w:lastRow="0" w:firstColumn="0" w:lastColumn="0" w:oddVBand="0" w:evenVBand="0" w:oddHBand="0" w:evenHBand="0" w:firstRowFirstColumn="0" w:firstRowLastColumn="0" w:lastRowFirstColumn="0" w:lastRowLastColumn="0"/>
          <w:trHeight w:val="199"/>
          <w:tblHeader/>
        </w:trPr>
        <w:tc>
          <w:tcPr>
            <w:tcW w:w="3367" w:type="dxa"/>
            <w:noWrap/>
            <w:vAlign w:val="bottom"/>
            <w:hideMark/>
          </w:tcPr>
          <w:p w14:paraId="17E692E9" w14:textId="44A87660" w:rsidR="009C7D45" w:rsidRPr="004235CC" w:rsidRDefault="009C7D45" w:rsidP="002E3F44">
            <w:pPr>
              <w:spacing w:line="240" w:lineRule="auto"/>
              <w:ind w:firstLine="0"/>
              <w:rPr>
                <w:rFonts w:ascii="Times New Roman" w:eastAsia="Times New Roman" w:hAnsi="Times New Roman" w:cs="Times New Roman"/>
                <w:caps w:val="0"/>
                <w:color w:val="000000"/>
                <w:sz w:val="24"/>
                <w:szCs w:val="24"/>
                <w:lang w:val="en-US"/>
              </w:rPr>
            </w:pPr>
            <w:r w:rsidRPr="004235CC">
              <w:rPr>
                <w:rFonts w:ascii="Times New Roman" w:eastAsia="Times New Roman" w:hAnsi="Times New Roman" w:cs="Times New Roman"/>
                <w:caps w:val="0"/>
                <w:color w:val="000000"/>
                <w:sz w:val="24"/>
                <w:szCs w:val="24"/>
                <w:lang w:val="en-US"/>
              </w:rPr>
              <w:t>Table 6.</w:t>
            </w:r>
            <w:r w:rsidR="004235CC">
              <w:rPr>
                <w:rFonts w:ascii="Times New Roman" w:eastAsia="Times New Roman" w:hAnsi="Times New Roman" w:cs="Times New Roman"/>
                <w:caps w:val="0"/>
                <w:color w:val="000000"/>
                <w:sz w:val="24"/>
                <w:szCs w:val="24"/>
                <w:lang w:val="en-US"/>
              </w:rPr>
              <w:t>10</w:t>
            </w:r>
            <w:r w:rsidRPr="004235CC">
              <w:rPr>
                <w:rFonts w:ascii="Times New Roman" w:eastAsia="Times New Roman" w:hAnsi="Times New Roman" w:cs="Times New Roman"/>
                <w:caps w:val="0"/>
                <w:color w:val="000000"/>
                <w:sz w:val="24"/>
                <w:szCs w:val="24"/>
                <w:lang w:val="en-US"/>
              </w:rPr>
              <w:t xml:space="preserve"> (continued)</w:t>
            </w:r>
          </w:p>
          <w:p w14:paraId="039EC4AC" w14:textId="77777777" w:rsidR="009C7D45" w:rsidRPr="004235CC" w:rsidRDefault="009C7D45" w:rsidP="002E3F44">
            <w:pPr>
              <w:spacing w:line="240" w:lineRule="auto"/>
              <w:ind w:firstLine="0"/>
              <w:rPr>
                <w:rFonts w:ascii="Times New Roman" w:eastAsia="Times New Roman" w:hAnsi="Times New Roman" w:cs="Times New Roman"/>
                <w:b w:val="0"/>
                <w:bCs w:val="0"/>
                <w:color w:val="000000"/>
                <w:sz w:val="24"/>
                <w:szCs w:val="24"/>
                <w:lang w:val="en-US"/>
              </w:rPr>
            </w:pPr>
          </w:p>
          <w:p w14:paraId="7CEBADA8"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aps w:val="0"/>
                <w:color w:val="000000"/>
                <w:sz w:val="24"/>
                <w:szCs w:val="24"/>
                <w:lang w:val="en-US"/>
              </w:rPr>
              <w:t>Protein description</w:t>
            </w:r>
          </w:p>
        </w:tc>
        <w:tc>
          <w:tcPr>
            <w:tcW w:w="990" w:type="dxa"/>
            <w:noWrap/>
            <w:vAlign w:val="bottom"/>
            <w:hideMark/>
          </w:tcPr>
          <w:p w14:paraId="7872088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aps w:val="0"/>
                <w:color w:val="000000"/>
                <w:sz w:val="24"/>
                <w:szCs w:val="24"/>
                <w:lang w:val="en-US"/>
              </w:rPr>
              <w:t>Chain</w:t>
            </w:r>
          </w:p>
        </w:tc>
        <w:tc>
          <w:tcPr>
            <w:tcW w:w="1584" w:type="dxa"/>
            <w:noWrap/>
            <w:vAlign w:val="bottom"/>
            <w:hideMark/>
          </w:tcPr>
          <w:p w14:paraId="49BF199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aps w:val="0"/>
                <w:color w:val="000000"/>
                <w:sz w:val="24"/>
                <w:szCs w:val="24"/>
                <w:lang w:val="en-US"/>
              </w:rPr>
              <w:t>Lali (</w:t>
            </w:r>
            <w:r w:rsidRPr="004235CC">
              <w:rPr>
                <w:rFonts w:ascii="Times New Roman" w:eastAsia="Times New Roman" w:hAnsi="Times New Roman" w:cs="Times New Roman"/>
                <w:color w:val="000000"/>
                <w:sz w:val="24"/>
                <w:szCs w:val="24"/>
                <w:lang w:val="en-US"/>
              </w:rPr>
              <w:t>#</w:t>
            </w:r>
            <w:r w:rsidRPr="004235CC">
              <w:rPr>
                <w:rFonts w:ascii="Times New Roman" w:eastAsia="Times New Roman" w:hAnsi="Times New Roman" w:cs="Times New Roman"/>
                <w:caps w:val="0"/>
                <w:color w:val="000000"/>
                <w:sz w:val="24"/>
                <w:szCs w:val="24"/>
                <w:lang w:val="en-US"/>
              </w:rPr>
              <w:t xml:space="preserve"> of equivalent residues)</w:t>
            </w:r>
          </w:p>
        </w:tc>
        <w:tc>
          <w:tcPr>
            <w:tcW w:w="1445" w:type="dxa"/>
            <w:noWrap/>
            <w:vAlign w:val="bottom"/>
            <w:hideMark/>
          </w:tcPr>
          <w:p w14:paraId="4346506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w:t>
            </w:r>
            <w:r w:rsidRPr="004235CC">
              <w:rPr>
                <w:rFonts w:ascii="Times New Roman" w:eastAsia="Times New Roman" w:hAnsi="Times New Roman" w:cs="Times New Roman"/>
                <w:caps w:val="0"/>
                <w:color w:val="000000"/>
                <w:sz w:val="24"/>
                <w:szCs w:val="24"/>
                <w:lang w:val="en-US"/>
              </w:rPr>
              <w:t xml:space="preserve"> of residues in target structure</w:t>
            </w:r>
          </w:p>
        </w:tc>
        <w:tc>
          <w:tcPr>
            <w:tcW w:w="1228" w:type="dxa"/>
            <w:noWrap/>
            <w:vAlign w:val="bottom"/>
            <w:hideMark/>
          </w:tcPr>
          <w:p w14:paraId="7B87A4B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aps w:val="0"/>
                <w:color w:val="000000"/>
                <w:sz w:val="24"/>
                <w:szCs w:val="24"/>
                <w:lang w:val="en-US"/>
              </w:rPr>
              <w:t>% Identity to PDB match</w:t>
            </w:r>
          </w:p>
        </w:tc>
      </w:tr>
      <w:tr w:rsidR="009C7D45" w:rsidRPr="004235CC" w14:paraId="7EA5564A" w14:textId="77777777" w:rsidTr="002E3F44">
        <w:trPr>
          <w:cnfStyle w:val="000000100000" w:firstRow="0" w:lastRow="0" w:firstColumn="0" w:lastColumn="0" w:oddVBand="0" w:evenVBand="0" w:oddHBand="1" w:evenHBand="0" w:firstRowFirstColumn="0" w:firstRowLastColumn="0" w:lastRowFirstColumn="0" w:lastRowLastColumn="0"/>
          <w:trHeight w:val="257"/>
        </w:trPr>
        <w:tc>
          <w:tcPr>
            <w:tcW w:w="3367" w:type="dxa"/>
            <w:noWrap/>
            <w:vAlign w:val="bottom"/>
            <w:hideMark/>
          </w:tcPr>
          <w:p w14:paraId="6937E3AA"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Putative Tryptophan Halogenase</w:t>
            </w:r>
          </w:p>
        </w:tc>
        <w:tc>
          <w:tcPr>
            <w:tcW w:w="990" w:type="dxa"/>
            <w:noWrap/>
            <w:vAlign w:val="center"/>
            <w:hideMark/>
          </w:tcPr>
          <w:p w14:paraId="2025E5F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6y1w-b</w:t>
            </w:r>
          </w:p>
        </w:tc>
        <w:tc>
          <w:tcPr>
            <w:tcW w:w="1584" w:type="dxa"/>
            <w:noWrap/>
            <w:vAlign w:val="center"/>
            <w:hideMark/>
          </w:tcPr>
          <w:p w14:paraId="68F3520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479</w:t>
            </w:r>
          </w:p>
        </w:tc>
        <w:tc>
          <w:tcPr>
            <w:tcW w:w="1445" w:type="dxa"/>
            <w:noWrap/>
            <w:vAlign w:val="center"/>
            <w:hideMark/>
          </w:tcPr>
          <w:p w14:paraId="599F8E1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493</w:t>
            </w:r>
          </w:p>
        </w:tc>
        <w:tc>
          <w:tcPr>
            <w:tcW w:w="1228" w:type="dxa"/>
            <w:noWrap/>
            <w:vAlign w:val="center"/>
            <w:hideMark/>
          </w:tcPr>
          <w:p w14:paraId="591B129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w:t>
            </w:r>
          </w:p>
        </w:tc>
      </w:tr>
      <w:tr w:rsidR="009C7D45" w:rsidRPr="004235CC" w14:paraId="00243D13" w14:textId="77777777" w:rsidTr="002E3F44">
        <w:trPr>
          <w:trHeight w:val="199"/>
        </w:trPr>
        <w:tc>
          <w:tcPr>
            <w:tcW w:w="3367" w:type="dxa"/>
            <w:noWrap/>
            <w:vAlign w:val="bottom"/>
            <w:hideMark/>
          </w:tcPr>
          <w:p w14:paraId="27EC4580"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Putative Tryptophan Halogenase</w:t>
            </w:r>
          </w:p>
        </w:tc>
        <w:tc>
          <w:tcPr>
            <w:tcW w:w="990" w:type="dxa"/>
            <w:noWrap/>
            <w:vAlign w:val="center"/>
            <w:hideMark/>
          </w:tcPr>
          <w:p w14:paraId="2E3319A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6y1w-a</w:t>
            </w:r>
          </w:p>
        </w:tc>
        <w:tc>
          <w:tcPr>
            <w:tcW w:w="1584" w:type="dxa"/>
            <w:noWrap/>
            <w:vAlign w:val="center"/>
            <w:hideMark/>
          </w:tcPr>
          <w:p w14:paraId="796B6FC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483</w:t>
            </w:r>
          </w:p>
        </w:tc>
        <w:tc>
          <w:tcPr>
            <w:tcW w:w="1445" w:type="dxa"/>
            <w:noWrap/>
            <w:vAlign w:val="center"/>
            <w:hideMark/>
          </w:tcPr>
          <w:p w14:paraId="29AB54B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505</w:t>
            </w:r>
          </w:p>
        </w:tc>
        <w:tc>
          <w:tcPr>
            <w:tcW w:w="1228" w:type="dxa"/>
            <w:noWrap/>
            <w:vAlign w:val="center"/>
            <w:hideMark/>
          </w:tcPr>
          <w:p w14:paraId="2CDEF33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w:t>
            </w:r>
          </w:p>
        </w:tc>
      </w:tr>
      <w:tr w:rsidR="009C7D45" w:rsidRPr="004235CC" w14:paraId="2BC82F8C"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0947C41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 Superfamily</w:t>
            </w:r>
          </w:p>
        </w:tc>
        <w:tc>
          <w:tcPr>
            <w:tcW w:w="990" w:type="dxa"/>
            <w:noWrap/>
            <w:vAlign w:val="center"/>
            <w:hideMark/>
          </w:tcPr>
          <w:p w14:paraId="2139829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6frl-a</w:t>
            </w:r>
          </w:p>
        </w:tc>
        <w:tc>
          <w:tcPr>
            <w:tcW w:w="1584" w:type="dxa"/>
            <w:noWrap/>
            <w:vAlign w:val="center"/>
            <w:hideMark/>
          </w:tcPr>
          <w:p w14:paraId="3652B3F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483</w:t>
            </w:r>
          </w:p>
        </w:tc>
        <w:tc>
          <w:tcPr>
            <w:tcW w:w="1445" w:type="dxa"/>
            <w:noWrap/>
            <w:vAlign w:val="center"/>
            <w:hideMark/>
          </w:tcPr>
          <w:p w14:paraId="1DCF816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491</w:t>
            </w:r>
          </w:p>
        </w:tc>
        <w:tc>
          <w:tcPr>
            <w:tcW w:w="1228" w:type="dxa"/>
            <w:noWrap/>
            <w:vAlign w:val="center"/>
            <w:hideMark/>
          </w:tcPr>
          <w:p w14:paraId="3CA5480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46</w:t>
            </w:r>
          </w:p>
        </w:tc>
      </w:tr>
      <w:tr w:rsidR="009C7D45" w:rsidRPr="004235CC" w14:paraId="03FEC477" w14:textId="77777777" w:rsidTr="002E3F44">
        <w:trPr>
          <w:trHeight w:val="199"/>
        </w:trPr>
        <w:tc>
          <w:tcPr>
            <w:tcW w:w="3367" w:type="dxa"/>
            <w:noWrap/>
            <w:vAlign w:val="bottom"/>
            <w:hideMark/>
          </w:tcPr>
          <w:p w14:paraId="39D4D7E4"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 Superfamily</w:t>
            </w:r>
          </w:p>
        </w:tc>
        <w:tc>
          <w:tcPr>
            <w:tcW w:w="990" w:type="dxa"/>
            <w:noWrap/>
            <w:vAlign w:val="center"/>
            <w:hideMark/>
          </w:tcPr>
          <w:p w14:paraId="356B0AF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6frl-b</w:t>
            </w:r>
          </w:p>
        </w:tc>
        <w:tc>
          <w:tcPr>
            <w:tcW w:w="1584" w:type="dxa"/>
            <w:noWrap/>
            <w:vAlign w:val="center"/>
            <w:hideMark/>
          </w:tcPr>
          <w:p w14:paraId="6691587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481</w:t>
            </w:r>
          </w:p>
        </w:tc>
        <w:tc>
          <w:tcPr>
            <w:tcW w:w="1445" w:type="dxa"/>
            <w:noWrap/>
            <w:vAlign w:val="center"/>
            <w:hideMark/>
          </w:tcPr>
          <w:p w14:paraId="70FC7F4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492</w:t>
            </w:r>
          </w:p>
        </w:tc>
        <w:tc>
          <w:tcPr>
            <w:tcW w:w="1228" w:type="dxa"/>
            <w:noWrap/>
            <w:vAlign w:val="center"/>
            <w:hideMark/>
          </w:tcPr>
          <w:p w14:paraId="21ACF9F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46</w:t>
            </w:r>
          </w:p>
        </w:tc>
      </w:tr>
      <w:tr w:rsidR="009C7D45" w:rsidRPr="004235CC" w14:paraId="3BCEA347"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5FC3B822"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727BE55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2wet-c</w:t>
            </w:r>
          </w:p>
        </w:tc>
        <w:tc>
          <w:tcPr>
            <w:tcW w:w="1584" w:type="dxa"/>
            <w:noWrap/>
            <w:vAlign w:val="center"/>
            <w:hideMark/>
          </w:tcPr>
          <w:p w14:paraId="16191CA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5C6D36C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494</w:t>
            </w:r>
          </w:p>
        </w:tc>
        <w:tc>
          <w:tcPr>
            <w:tcW w:w="1228" w:type="dxa"/>
            <w:noWrap/>
            <w:vAlign w:val="center"/>
            <w:hideMark/>
          </w:tcPr>
          <w:p w14:paraId="64DADFF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7442165F" w14:textId="77777777" w:rsidTr="002E3F44">
        <w:trPr>
          <w:trHeight w:val="199"/>
        </w:trPr>
        <w:tc>
          <w:tcPr>
            <w:tcW w:w="3367" w:type="dxa"/>
            <w:noWrap/>
            <w:vAlign w:val="bottom"/>
            <w:hideMark/>
          </w:tcPr>
          <w:p w14:paraId="015ABC8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10FE4EF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2wet-d</w:t>
            </w:r>
          </w:p>
        </w:tc>
        <w:tc>
          <w:tcPr>
            <w:tcW w:w="1584" w:type="dxa"/>
            <w:noWrap/>
            <w:vAlign w:val="center"/>
            <w:hideMark/>
          </w:tcPr>
          <w:p w14:paraId="0727689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0DE4438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494</w:t>
            </w:r>
          </w:p>
        </w:tc>
        <w:tc>
          <w:tcPr>
            <w:tcW w:w="1228" w:type="dxa"/>
            <w:noWrap/>
            <w:vAlign w:val="center"/>
            <w:hideMark/>
          </w:tcPr>
          <w:p w14:paraId="090086D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78CA7882"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26613369"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79FE0CC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2wet-a</w:t>
            </w:r>
          </w:p>
        </w:tc>
        <w:tc>
          <w:tcPr>
            <w:tcW w:w="1584" w:type="dxa"/>
            <w:noWrap/>
            <w:vAlign w:val="center"/>
            <w:hideMark/>
          </w:tcPr>
          <w:p w14:paraId="223DDD2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3A5A028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496</w:t>
            </w:r>
          </w:p>
        </w:tc>
        <w:tc>
          <w:tcPr>
            <w:tcW w:w="1228" w:type="dxa"/>
            <w:noWrap/>
            <w:vAlign w:val="center"/>
            <w:hideMark/>
          </w:tcPr>
          <w:p w14:paraId="2A1EC07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12671478" w14:textId="77777777" w:rsidTr="002E3F44">
        <w:trPr>
          <w:trHeight w:val="199"/>
        </w:trPr>
        <w:tc>
          <w:tcPr>
            <w:tcW w:w="3367" w:type="dxa"/>
            <w:noWrap/>
            <w:vAlign w:val="bottom"/>
            <w:hideMark/>
          </w:tcPr>
          <w:p w14:paraId="0A7E06EB"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1FDC2A3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8fov-a</w:t>
            </w:r>
          </w:p>
        </w:tc>
        <w:tc>
          <w:tcPr>
            <w:tcW w:w="1584" w:type="dxa"/>
            <w:noWrap/>
            <w:vAlign w:val="center"/>
            <w:hideMark/>
          </w:tcPr>
          <w:p w14:paraId="5C4CF08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480</w:t>
            </w:r>
          </w:p>
        </w:tc>
        <w:tc>
          <w:tcPr>
            <w:tcW w:w="1445" w:type="dxa"/>
            <w:noWrap/>
            <w:vAlign w:val="center"/>
            <w:hideMark/>
          </w:tcPr>
          <w:p w14:paraId="0EB33AE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496</w:t>
            </w:r>
          </w:p>
        </w:tc>
        <w:tc>
          <w:tcPr>
            <w:tcW w:w="1228" w:type="dxa"/>
            <w:noWrap/>
            <w:vAlign w:val="center"/>
            <w:hideMark/>
          </w:tcPr>
          <w:p w14:paraId="0CE6EEE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3FE02044"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1788F432"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7C0CE94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8fov-b</w:t>
            </w:r>
          </w:p>
        </w:tc>
        <w:tc>
          <w:tcPr>
            <w:tcW w:w="1584" w:type="dxa"/>
            <w:noWrap/>
            <w:vAlign w:val="center"/>
            <w:hideMark/>
          </w:tcPr>
          <w:p w14:paraId="165DE45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482</w:t>
            </w:r>
          </w:p>
        </w:tc>
        <w:tc>
          <w:tcPr>
            <w:tcW w:w="1445" w:type="dxa"/>
            <w:noWrap/>
            <w:vAlign w:val="center"/>
            <w:hideMark/>
          </w:tcPr>
          <w:p w14:paraId="2B0EBDF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500</w:t>
            </w:r>
          </w:p>
        </w:tc>
        <w:tc>
          <w:tcPr>
            <w:tcW w:w="1228" w:type="dxa"/>
            <w:noWrap/>
            <w:vAlign w:val="center"/>
            <w:hideMark/>
          </w:tcPr>
          <w:p w14:paraId="6F9B9CE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6904F19E" w14:textId="77777777" w:rsidTr="002E3F44">
        <w:trPr>
          <w:trHeight w:val="199"/>
        </w:trPr>
        <w:tc>
          <w:tcPr>
            <w:tcW w:w="3367" w:type="dxa"/>
            <w:noWrap/>
            <w:vAlign w:val="bottom"/>
            <w:hideMark/>
          </w:tcPr>
          <w:p w14:paraId="1442A766"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5C1CAD9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5hy5-b</w:t>
            </w:r>
          </w:p>
        </w:tc>
        <w:tc>
          <w:tcPr>
            <w:tcW w:w="1584" w:type="dxa"/>
            <w:noWrap/>
            <w:vAlign w:val="center"/>
            <w:hideMark/>
          </w:tcPr>
          <w:p w14:paraId="533CB39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473</w:t>
            </w:r>
          </w:p>
        </w:tc>
        <w:tc>
          <w:tcPr>
            <w:tcW w:w="1445" w:type="dxa"/>
            <w:noWrap/>
            <w:vAlign w:val="center"/>
            <w:hideMark/>
          </w:tcPr>
          <w:p w14:paraId="5AC2FFC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490</w:t>
            </w:r>
          </w:p>
        </w:tc>
        <w:tc>
          <w:tcPr>
            <w:tcW w:w="1228" w:type="dxa"/>
            <w:noWrap/>
            <w:vAlign w:val="center"/>
            <w:hideMark/>
          </w:tcPr>
          <w:p w14:paraId="05DC21A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7601E398"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7DB61954"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4DF6B10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2wes-c</w:t>
            </w:r>
          </w:p>
        </w:tc>
        <w:tc>
          <w:tcPr>
            <w:tcW w:w="1584" w:type="dxa"/>
            <w:noWrap/>
            <w:vAlign w:val="center"/>
            <w:hideMark/>
          </w:tcPr>
          <w:p w14:paraId="0BF29A7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751D565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496</w:t>
            </w:r>
          </w:p>
        </w:tc>
        <w:tc>
          <w:tcPr>
            <w:tcW w:w="1228" w:type="dxa"/>
            <w:noWrap/>
            <w:vAlign w:val="center"/>
            <w:hideMark/>
          </w:tcPr>
          <w:p w14:paraId="0185686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17DDD88C" w14:textId="77777777" w:rsidTr="002E3F44">
        <w:trPr>
          <w:trHeight w:val="199"/>
        </w:trPr>
        <w:tc>
          <w:tcPr>
            <w:tcW w:w="3367" w:type="dxa"/>
            <w:noWrap/>
            <w:vAlign w:val="bottom"/>
            <w:hideMark/>
          </w:tcPr>
          <w:p w14:paraId="41852B5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2CDB936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2wes-b</w:t>
            </w:r>
          </w:p>
        </w:tc>
        <w:tc>
          <w:tcPr>
            <w:tcW w:w="1584" w:type="dxa"/>
            <w:noWrap/>
            <w:vAlign w:val="center"/>
            <w:hideMark/>
          </w:tcPr>
          <w:p w14:paraId="7EB37DA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46E7A32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496</w:t>
            </w:r>
          </w:p>
        </w:tc>
        <w:tc>
          <w:tcPr>
            <w:tcW w:w="1228" w:type="dxa"/>
            <w:noWrap/>
            <w:vAlign w:val="center"/>
            <w:hideMark/>
          </w:tcPr>
          <w:p w14:paraId="3F6B711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55CF94ED"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34C922E4"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234C48D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2wes-d</w:t>
            </w:r>
          </w:p>
        </w:tc>
        <w:tc>
          <w:tcPr>
            <w:tcW w:w="1584" w:type="dxa"/>
            <w:noWrap/>
            <w:vAlign w:val="center"/>
            <w:hideMark/>
          </w:tcPr>
          <w:p w14:paraId="40941D6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0D39C1F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496</w:t>
            </w:r>
          </w:p>
        </w:tc>
        <w:tc>
          <w:tcPr>
            <w:tcW w:w="1228" w:type="dxa"/>
            <w:noWrap/>
            <w:vAlign w:val="center"/>
            <w:hideMark/>
          </w:tcPr>
          <w:p w14:paraId="7BD281E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37FC4343" w14:textId="77777777" w:rsidTr="002E3F44">
        <w:trPr>
          <w:trHeight w:val="199"/>
        </w:trPr>
        <w:tc>
          <w:tcPr>
            <w:tcW w:w="3367" w:type="dxa"/>
            <w:noWrap/>
            <w:vAlign w:val="bottom"/>
            <w:hideMark/>
          </w:tcPr>
          <w:p w14:paraId="17911F8B"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3573CA0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2wes-a</w:t>
            </w:r>
          </w:p>
        </w:tc>
        <w:tc>
          <w:tcPr>
            <w:tcW w:w="1584" w:type="dxa"/>
            <w:noWrap/>
            <w:vAlign w:val="center"/>
            <w:hideMark/>
          </w:tcPr>
          <w:p w14:paraId="361925D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7DCC5EC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496</w:t>
            </w:r>
          </w:p>
        </w:tc>
        <w:tc>
          <w:tcPr>
            <w:tcW w:w="1228" w:type="dxa"/>
            <w:noWrap/>
            <w:vAlign w:val="center"/>
            <w:hideMark/>
          </w:tcPr>
          <w:p w14:paraId="245DA7D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331D210B"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63AD339C"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06A1D27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2wet-b</w:t>
            </w:r>
          </w:p>
        </w:tc>
        <w:tc>
          <w:tcPr>
            <w:tcW w:w="1584" w:type="dxa"/>
            <w:noWrap/>
            <w:vAlign w:val="center"/>
            <w:hideMark/>
          </w:tcPr>
          <w:p w14:paraId="0913330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474</w:t>
            </w:r>
          </w:p>
        </w:tc>
        <w:tc>
          <w:tcPr>
            <w:tcW w:w="1445" w:type="dxa"/>
            <w:noWrap/>
            <w:vAlign w:val="center"/>
            <w:hideMark/>
          </w:tcPr>
          <w:p w14:paraId="4099AF0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502</w:t>
            </w:r>
          </w:p>
        </w:tc>
        <w:tc>
          <w:tcPr>
            <w:tcW w:w="1228" w:type="dxa"/>
            <w:noWrap/>
            <w:vAlign w:val="center"/>
            <w:hideMark/>
          </w:tcPr>
          <w:p w14:paraId="62DC28F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4913E628" w14:textId="77777777" w:rsidTr="002E3F44">
        <w:trPr>
          <w:trHeight w:val="199"/>
        </w:trPr>
        <w:tc>
          <w:tcPr>
            <w:tcW w:w="3367" w:type="dxa"/>
            <w:noWrap/>
            <w:vAlign w:val="bottom"/>
            <w:hideMark/>
          </w:tcPr>
          <w:p w14:paraId="7F896022"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543A00F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6nsd-b</w:t>
            </w:r>
          </w:p>
        </w:tc>
        <w:tc>
          <w:tcPr>
            <w:tcW w:w="1584" w:type="dxa"/>
            <w:noWrap/>
            <w:vAlign w:val="center"/>
            <w:hideMark/>
          </w:tcPr>
          <w:p w14:paraId="504322D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474</w:t>
            </w:r>
          </w:p>
        </w:tc>
        <w:tc>
          <w:tcPr>
            <w:tcW w:w="1445" w:type="dxa"/>
            <w:noWrap/>
            <w:vAlign w:val="center"/>
            <w:hideMark/>
          </w:tcPr>
          <w:p w14:paraId="3A9CBDF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498</w:t>
            </w:r>
          </w:p>
        </w:tc>
        <w:tc>
          <w:tcPr>
            <w:tcW w:w="1228" w:type="dxa"/>
            <w:noWrap/>
            <w:vAlign w:val="center"/>
            <w:hideMark/>
          </w:tcPr>
          <w:p w14:paraId="2A3186F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4FFBC43E"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1B71755C"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6AB0025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6nsd-a</w:t>
            </w:r>
          </w:p>
        </w:tc>
        <w:tc>
          <w:tcPr>
            <w:tcW w:w="1584" w:type="dxa"/>
            <w:noWrap/>
            <w:vAlign w:val="center"/>
            <w:hideMark/>
          </w:tcPr>
          <w:p w14:paraId="7D55CA9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475</w:t>
            </w:r>
          </w:p>
        </w:tc>
        <w:tc>
          <w:tcPr>
            <w:tcW w:w="1445" w:type="dxa"/>
            <w:noWrap/>
            <w:vAlign w:val="center"/>
            <w:hideMark/>
          </w:tcPr>
          <w:p w14:paraId="5F4A1C0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503</w:t>
            </w:r>
          </w:p>
        </w:tc>
        <w:tc>
          <w:tcPr>
            <w:tcW w:w="1228" w:type="dxa"/>
            <w:noWrap/>
            <w:vAlign w:val="center"/>
            <w:hideMark/>
          </w:tcPr>
          <w:p w14:paraId="39215D0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603F0346" w14:textId="77777777" w:rsidTr="002E3F44">
        <w:trPr>
          <w:trHeight w:val="199"/>
        </w:trPr>
        <w:tc>
          <w:tcPr>
            <w:tcW w:w="3367" w:type="dxa"/>
            <w:noWrap/>
            <w:vAlign w:val="bottom"/>
            <w:hideMark/>
          </w:tcPr>
          <w:p w14:paraId="08A4566B"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Flavin-Dependent Tryptophan Halogenase PrnA</w:t>
            </w:r>
          </w:p>
        </w:tc>
        <w:tc>
          <w:tcPr>
            <w:tcW w:w="990" w:type="dxa"/>
            <w:noWrap/>
            <w:vAlign w:val="center"/>
            <w:hideMark/>
          </w:tcPr>
          <w:p w14:paraId="2393FCD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4z43-a</w:t>
            </w:r>
          </w:p>
        </w:tc>
        <w:tc>
          <w:tcPr>
            <w:tcW w:w="1584" w:type="dxa"/>
            <w:noWrap/>
            <w:vAlign w:val="center"/>
            <w:hideMark/>
          </w:tcPr>
          <w:p w14:paraId="7F56D5B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481</w:t>
            </w:r>
          </w:p>
        </w:tc>
        <w:tc>
          <w:tcPr>
            <w:tcW w:w="1445" w:type="dxa"/>
            <w:noWrap/>
            <w:vAlign w:val="center"/>
            <w:hideMark/>
          </w:tcPr>
          <w:p w14:paraId="4152782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505</w:t>
            </w:r>
          </w:p>
        </w:tc>
        <w:tc>
          <w:tcPr>
            <w:tcW w:w="1228" w:type="dxa"/>
            <w:noWrap/>
            <w:vAlign w:val="center"/>
            <w:hideMark/>
          </w:tcPr>
          <w:p w14:paraId="13D7FE2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34</w:t>
            </w:r>
          </w:p>
        </w:tc>
      </w:tr>
      <w:tr w:rsidR="009C7D45" w:rsidRPr="004235CC" w14:paraId="528D4763"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6C6D8917"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4131307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8fox-d</w:t>
            </w:r>
          </w:p>
        </w:tc>
        <w:tc>
          <w:tcPr>
            <w:tcW w:w="1584" w:type="dxa"/>
            <w:noWrap/>
            <w:vAlign w:val="center"/>
            <w:hideMark/>
          </w:tcPr>
          <w:p w14:paraId="171C26E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2E0D738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491</w:t>
            </w:r>
          </w:p>
        </w:tc>
        <w:tc>
          <w:tcPr>
            <w:tcW w:w="1228" w:type="dxa"/>
            <w:noWrap/>
            <w:vAlign w:val="center"/>
            <w:hideMark/>
          </w:tcPr>
          <w:p w14:paraId="5516462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7B69C9E7" w14:textId="77777777" w:rsidTr="002E3F44">
        <w:trPr>
          <w:trHeight w:val="199"/>
        </w:trPr>
        <w:tc>
          <w:tcPr>
            <w:tcW w:w="3367" w:type="dxa"/>
            <w:noWrap/>
            <w:vAlign w:val="bottom"/>
            <w:hideMark/>
          </w:tcPr>
          <w:p w14:paraId="10F89448"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 PrnA</w:t>
            </w:r>
          </w:p>
        </w:tc>
        <w:tc>
          <w:tcPr>
            <w:tcW w:w="990" w:type="dxa"/>
            <w:noWrap/>
            <w:vAlign w:val="center"/>
            <w:hideMark/>
          </w:tcPr>
          <w:p w14:paraId="2B5D568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2ard-a</w:t>
            </w:r>
          </w:p>
        </w:tc>
        <w:tc>
          <w:tcPr>
            <w:tcW w:w="1584" w:type="dxa"/>
            <w:noWrap/>
            <w:vAlign w:val="center"/>
            <w:hideMark/>
          </w:tcPr>
          <w:p w14:paraId="36CDB17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481</w:t>
            </w:r>
          </w:p>
        </w:tc>
        <w:tc>
          <w:tcPr>
            <w:tcW w:w="1445" w:type="dxa"/>
            <w:noWrap/>
            <w:vAlign w:val="center"/>
            <w:hideMark/>
          </w:tcPr>
          <w:p w14:paraId="0C1D169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503</w:t>
            </w:r>
          </w:p>
        </w:tc>
        <w:tc>
          <w:tcPr>
            <w:tcW w:w="1228" w:type="dxa"/>
            <w:noWrap/>
            <w:vAlign w:val="center"/>
            <w:hideMark/>
          </w:tcPr>
          <w:p w14:paraId="52F77C5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34</w:t>
            </w:r>
          </w:p>
        </w:tc>
      </w:tr>
      <w:tr w:rsidR="009C7D45" w:rsidRPr="004235CC" w14:paraId="34694CAA"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24739AE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02097C3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8fox-a</w:t>
            </w:r>
          </w:p>
        </w:tc>
        <w:tc>
          <w:tcPr>
            <w:tcW w:w="1584" w:type="dxa"/>
            <w:noWrap/>
            <w:vAlign w:val="center"/>
            <w:hideMark/>
          </w:tcPr>
          <w:p w14:paraId="40EFE31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470</w:t>
            </w:r>
          </w:p>
        </w:tc>
        <w:tc>
          <w:tcPr>
            <w:tcW w:w="1445" w:type="dxa"/>
            <w:noWrap/>
            <w:vAlign w:val="center"/>
            <w:hideMark/>
          </w:tcPr>
          <w:p w14:paraId="4DE896C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488</w:t>
            </w:r>
          </w:p>
        </w:tc>
        <w:tc>
          <w:tcPr>
            <w:tcW w:w="1228" w:type="dxa"/>
            <w:noWrap/>
            <w:vAlign w:val="center"/>
            <w:hideMark/>
          </w:tcPr>
          <w:p w14:paraId="6EEDD09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28740B55" w14:textId="77777777" w:rsidTr="002E3F44">
        <w:trPr>
          <w:trHeight w:val="199"/>
        </w:trPr>
        <w:tc>
          <w:tcPr>
            <w:tcW w:w="3367" w:type="dxa"/>
            <w:noWrap/>
            <w:vAlign w:val="bottom"/>
            <w:hideMark/>
          </w:tcPr>
          <w:p w14:paraId="46AED49F"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3C1FC0D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8fox-c</w:t>
            </w:r>
          </w:p>
        </w:tc>
        <w:tc>
          <w:tcPr>
            <w:tcW w:w="1584" w:type="dxa"/>
            <w:noWrap/>
            <w:vAlign w:val="center"/>
            <w:hideMark/>
          </w:tcPr>
          <w:p w14:paraId="2934B85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6691A89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489</w:t>
            </w:r>
          </w:p>
        </w:tc>
        <w:tc>
          <w:tcPr>
            <w:tcW w:w="1228" w:type="dxa"/>
            <w:noWrap/>
            <w:vAlign w:val="center"/>
            <w:hideMark/>
          </w:tcPr>
          <w:p w14:paraId="7CFD9CC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34</w:t>
            </w:r>
          </w:p>
        </w:tc>
      </w:tr>
      <w:tr w:rsidR="009C7D45" w:rsidRPr="004235CC" w14:paraId="4B2C6B0F"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06E386BC"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61B49F6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8fox-b</w:t>
            </w:r>
          </w:p>
        </w:tc>
        <w:tc>
          <w:tcPr>
            <w:tcW w:w="1584" w:type="dxa"/>
            <w:noWrap/>
            <w:vAlign w:val="center"/>
            <w:hideMark/>
          </w:tcPr>
          <w:p w14:paraId="6953383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474</w:t>
            </w:r>
          </w:p>
        </w:tc>
        <w:tc>
          <w:tcPr>
            <w:tcW w:w="1445" w:type="dxa"/>
            <w:noWrap/>
            <w:vAlign w:val="center"/>
            <w:hideMark/>
          </w:tcPr>
          <w:p w14:paraId="38A03FA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495</w:t>
            </w:r>
          </w:p>
        </w:tc>
        <w:tc>
          <w:tcPr>
            <w:tcW w:w="1228" w:type="dxa"/>
            <w:noWrap/>
            <w:vAlign w:val="center"/>
            <w:hideMark/>
          </w:tcPr>
          <w:p w14:paraId="76B6501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5537799B" w14:textId="77777777" w:rsidTr="002E3F44">
        <w:trPr>
          <w:trHeight w:val="199"/>
        </w:trPr>
        <w:tc>
          <w:tcPr>
            <w:tcW w:w="3367" w:type="dxa"/>
            <w:noWrap/>
            <w:vAlign w:val="bottom"/>
            <w:hideMark/>
          </w:tcPr>
          <w:p w14:paraId="0214087A"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5595E49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5hy5-a</w:t>
            </w:r>
          </w:p>
        </w:tc>
        <w:tc>
          <w:tcPr>
            <w:tcW w:w="1584" w:type="dxa"/>
            <w:noWrap/>
            <w:vAlign w:val="center"/>
            <w:hideMark/>
          </w:tcPr>
          <w:p w14:paraId="7270795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5FECA7D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510</w:t>
            </w:r>
          </w:p>
        </w:tc>
        <w:tc>
          <w:tcPr>
            <w:tcW w:w="1228" w:type="dxa"/>
            <w:noWrap/>
            <w:vAlign w:val="center"/>
            <w:hideMark/>
          </w:tcPr>
          <w:p w14:paraId="14EFF93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736ADB52"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4C4120F9"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799ADF5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6sls-b</w:t>
            </w:r>
          </w:p>
        </w:tc>
        <w:tc>
          <w:tcPr>
            <w:tcW w:w="1584" w:type="dxa"/>
            <w:noWrap/>
            <w:vAlign w:val="center"/>
            <w:hideMark/>
          </w:tcPr>
          <w:p w14:paraId="457752F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0DB5B9E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517</w:t>
            </w:r>
          </w:p>
        </w:tc>
        <w:tc>
          <w:tcPr>
            <w:tcW w:w="1228" w:type="dxa"/>
            <w:noWrap/>
            <w:vAlign w:val="center"/>
            <w:hideMark/>
          </w:tcPr>
          <w:p w14:paraId="0FA977F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3C000088" w14:textId="77777777" w:rsidTr="002E3F44">
        <w:trPr>
          <w:trHeight w:val="199"/>
        </w:trPr>
        <w:tc>
          <w:tcPr>
            <w:tcW w:w="3367" w:type="dxa"/>
            <w:noWrap/>
            <w:vAlign w:val="bottom"/>
            <w:hideMark/>
          </w:tcPr>
          <w:p w14:paraId="656CCE46"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 PrnA</w:t>
            </w:r>
          </w:p>
        </w:tc>
        <w:tc>
          <w:tcPr>
            <w:tcW w:w="990" w:type="dxa"/>
            <w:noWrap/>
            <w:vAlign w:val="center"/>
            <w:hideMark/>
          </w:tcPr>
          <w:p w14:paraId="1A324C7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2jkc-a</w:t>
            </w:r>
          </w:p>
        </w:tc>
        <w:tc>
          <w:tcPr>
            <w:tcW w:w="1584" w:type="dxa"/>
            <w:noWrap/>
            <w:vAlign w:val="center"/>
            <w:hideMark/>
          </w:tcPr>
          <w:p w14:paraId="16AB4BF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482</w:t>
            </w:r>
          </w:p>
        </w:tc>
        <w:tc>
          <w:tcPr>
            <w:tcW w:w="1445" w:type="dxa"/>
            <w:noWrap/>
            <w:vAlign w:val="center"/>
            <w:hideMark/>
          </w:tcPr>
          <w:p w14:paraId="448D1B9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517</w:t>
            </w:r>
          </w:p>
        </w:tc>
        <w:tc>
          <w:tcPr>
            <w:tcW w:w="1228" w:type="dxa"/>
            <w:noWrap/>
            <w:vAlign w:val="center"/>
            <w:hideMark/>
          </w:tcPr>
          <w:p w14:paraId="74675A4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34</w:t>
            </w:r>
          </w:p>
        </w:tc>
      </w:tr>
      <w:tr w:rsidR="009C7D45" w:rsidRPr="004235CC" w14:paraId="6F71B90B"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67214309"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0215A41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2weu-c</w:t>
            </w:r>
          </w:p>
        </w:tc>
        <w:tc>
          <w:tcPr>
            <w:tcW w:w="1584" w:type="dxa"/>
            <w:noWrap/>
            <w:vAlign w:val="center"/>
            <w:hideMark/>
          </w:tcPr>
          <w:p w14:paraId="134598F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474</w:t>
            </w:r>
          </w:p>
        </w:tc>
        <w:tc>
          <w:tcPr>
            <w:tcW w:w="1445" w:type="dxa"/>
            <w:noWrap/>
            <w:vAlign w:val="center"/>
            <w:hideMark/>
          </w:tcPr>
          <w:p w14:paraId="700A30E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500</w:t>
            </w:r>
          </w:p>
        </w:tc>
        <w:tc>
          <w:tcPr>
            <w:tcW w:w="1228" w:type="dxa"/>
            <w:noWrap/>
            <w:vAlign w:val="center"/>
            <w:hideMark/>
          </w:tcPr>
          <w:p w14:paraId="52039B8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5B54C7D6" w14:textId="77777777" w:rsidTr="002E3F44">
        <w:trPr>
          <w:trHeight w:val="199"/>
        </w:trPr>
        <w:tc>
          <w:tcPr>
            <w:tcW w:w="3367" w:type="dxa"/>
            <w:noWrap/>
            <w:vAlign w:val="bottom"/>
            <w:hideMark/>
          </w:tcPr>
          <w:p w14:paraId="78D4CDA2"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16E1BCC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2weu-a</w:t>
            </w:r>
          </w:p>
        </w:tc>
        <w:tc>
          <w:tcPr>
            <w:tcW w:w="1584" w:type="dxa"/>
            <w:noWrap/>
            <w:vAlign w:val="center"/>
            <w:hideMark/>
          </w:tcPr>
          <w:p w14:paraId="6D13308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467</w:t>
            </w:r>
          </w:p>
        </w:tc>
        <w:tc>
          <w:tcPr>
            <w:tcW w:w="1445" w:type="dxa"/>
            <w:noWrap/>
            <w:vAlign w:val="center"/>
            <w:hideMark/>
          </w:tcPr>
          <w:p w14:paraId="14395A8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495</w:t>
            </w:r>
          </w:p>
        </w:tc>
        <w:tc>
          <w:tcPr>
            <w:tcW w:w="1228" w:type="dxa"/>
            <w:noWrap/>
            <w:vAlign w:val="center"/>
            <w:hideMark/>
          </w:tcPr>
          <w:p w14:paraId="77538CF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33</w:t>
            </w:r>
          </w:p>
        </w:tc>
      </w:tr>
      <w:tr w:rsidR="009C7D45" w:rsidRPr="004235CC" w14:paraId="20CCBA85"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5E83356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 PrnA</w:t>
            </w:r>
          </w:p>
        </w:tc>
        <w:tc>
          <w:tcPr>
            <w:tcW w:w="990" w:type="dxa"/>
            <w:noWrap/>
            <w:vAlign w:val="center"/>
            <w:hideMark/>
          </w:tcPr>
          <w:p w14:paraId="6AA3C5D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2apg-a</w:t>
            </w:r>
          </w:p>
        </w:tc>
        <w:tc>
          <w:tcPr>
            <w:tcW w:w="1584" w:type="dxa"/>
            <w:noWrap/>
            <w:vAlign w:val="center"/>
            <w:hideMark/>
          </w:tcPr>
          <w:p w14:paraId="27EACA9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479</w:t>
            </w:r>
          </w:p>
        </w:tc>
        <w:tc>
          <w:tcPr>
            <w:tcW w:w="1445" w:type="dxa"/>
            <w:noWrap/>
            <w:vAlign w:val="center"/>
            <w:hideMark/>
          </w:tcPr>
          <w:p w14:paraId="756BB14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517</w:t>
            </w:r>
          </w:p>
        </w:tc>
        <w:tc>
          <w:tcPr>
            <w:tcW w:w="1228" w:type="dxa"/>
            <w:noWrap/>
            <w:vAlign w:val="center"/>
            <w:hideMark/>
          </w:tcPr>
          <w:p w14:paraId="3F7C5B7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34</w:t>
            </w:r>
          </w:p>
        </w:tc>
      </w:tr>
      <w:tr w:rsidR="009C7D45" w:rsidRPr="004235CC" w14:paraId="30EB211D" w14:textId="77777777" w:rsidTr="002E3F44">
        <w:trPr>
          <w:trHeight w:val="199"/>
        </w:trPr>
        <w:tc>
          <w:tcPr>
            <w:tcW w:w="3367" w:type="dxa"/>
            <w:noWrap/>
            <w:vAlign w:val="bottom"/>
            <w:hideMark/>
          </w:tcPr>
          <w:p w14:paraId="691C4A32"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7D573DB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6sls-a</w:t>
            </w:r>
          </w:p>
        </w:tc>
        <w:tc>
          <w:tcPr>
            <w:tcW w:w="1584" w:type="dxa"/>
            <w:noWrap/>
            <w:vAlign w:val="center"/>
            <w:hideMark/>
          </w:tcPr>
          <w:p w14:paraId="16E8C39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479</w:t>
            </w:r>
          </w:p>
        </w:tc>
        <w:tc>
          <w:tcPr>
            <w:tcW w:w="1445" w:type="dxa"/>
            <w:noWrap/>
            <w:vAlign w:val="center"/>
            <w:hideMark/>
          </w:tcPr>
          <w:p w14:paraId="7AA3833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524</w:t>
            </w:r>
          </w:p>
        </w:tc>
        <w:tc>
          <w:tcPr>
            <w:tcW w:w="1228" w:type="dxa"/>
            <w:noWrap/>
            <w:vAlign w:val="center"/>
            <w:hideMark/>
          </w:tcPr>
          <w:p w14:paraId="6DECCFC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30</w:t>
            </w:r>
          </w:p>
        </w:tc>
      </w:tr>
      <w:tr w:rsidR="009C7D45" w:rsidRPr="004235CC" w14:paraId="1FA82DD9"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47623512"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 PrnA</w:t>
            </w:r>
          </w:p>
        </w:tc>
        <w:tc>
          <w:tcPr>
            <w:tcW w:w="990" w:type="dxa"/>
            <w:noWrap/>
            <w:vAlign w:val="center"/>
            <w:hideMark/>
          </w:tcPr>
          <w:p w14:paraId="1D9ABDB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2aqj-a</w:t>
            </w:r>
          </w:p>
        </w:tc>
        <w:tc>
          <w:tcPr>
            <w:tcW w:w="1584" w:type="dxa"/>
            <w:noWrap/>
            <w:vAlign w:val="center"/>
            <w:hideMark/>
          </w:tcPr>
          <w:p w14:paraId="546D0EF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481</w:t>
            </w:r>
          </w:p>
        </w:tc>
        <w:tc>
          <w:tcPr>
            <w:tcW w:w="1445" w:type="dxa"/>
            <w:noWrap/>
            <w:vAlign w:val="center"/>
            <w:hideMark/>
          </w:tcPr>
          <w:p w14:paraId="76E2F7E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518</w:t>
            </w:r>
          </w:p>
        </w:tc>
        <w:tc>
          <w:tcPr>
            <w:tcW w:w="1228" w:type="dxa"/>
            <w:noWrap/>
            <w:vAlign w:val="center"/>
            <w:hideMark/>
          </w:tcPr>
          <w:p w14:paraId="7C4C8C1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34</w:t>
            </w:r>
          </w:p>
        </w:tc>
      </w:tr>
      <w:tr w:rsidR="009C7D45" w:rsidRPr="004235CC" w14:paraId="7D3BF378" w14:textId="77777777" w:rsidTr="002E3F44">
        <w:trPr>
          <w:trHeight w:val="199"/>
        </w:trPr>
        <w:tc>
          <w:tcPr>
            <w:tcW w:w="3367" w:type="dxa"/>
            <w:noWrap/>
            <w:vAlign w:val="bottom"/>
            <w:hideMark/>
          </w:tcPr>
          <w:p w14:paraId="11F3944F"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488D503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2weu-d</w:t>
            </w:r>
          </w:p>
        </w:tc>
        <w:tc>
          <w:tcPr>
            <w:tcW w:w="1584" w:type="dxa"/>
            <w:noWrap/>
            <w:vAlign w:val="center"/>
            <w:hideMark/>
          </w:tcPr>
          <w:p w14:paraId="704A828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469</w:t>
            </w:r>
          </w:p>
        </w:tc>
        <w:tc>
          <w:tcPr>
            <w:tcW w:w="1445" w:type="dxa"/>
            <w:noWrap/>
            <w:vAlign w:val="center"/>
            <w:hideMark/>
          </w:tcPr>
          <w:p w14:paraId="757E524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499</w:t>
            </w:r>
          </w:p>
        </w:tc>
        <w:tc>
          <w:tcPr>
            <w:tcW w:w="1228" w:type="dxa"/>
            <w:noWrap/>
            <w:vAlign w:val="center"/>
            <w:hideMark/>
          </w:tcPr>
          <w:p w14:paraId="0A265FF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71D89E71"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7FF84F0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 PrnA</w:t>
            </w:r>
          </w:p>
        </w:tc>
        <w:tc>
          <w:tcPr>
            <w:tcW w:w="990" w:type="dxa"/>
            <w:noWrap/>
            <w:vAlign w:val="center"/>
            <w:hideMark/>
          </w:tcPr>
          <w:p w14:paraId="73FBE8D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2ar8-a</w:t>
            </w:r>
          </w:p>
        </w:tc>
        <w:tc>
          <w:tcPr>
            <w:tcW w:w="1584" w:type="dxa"/>
            <w:noWrap/>
            <w:vAlign w:val="center"/>
            <w:hideMark/>
          </w:tcPr>
          <w:p w14:paraId="2220C70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479</w:t>
            </w:r>
          </w:p>
        </w:tc>
        <w:tc>
          <w:tcPr>
            <w:tcW w:w="1445" w:type="dxa"/>
            <w:noWrap/>
            <w:vAlign w:val="center"/>
            <w:hideMark/>
          </w:tcPr>
          <w:p w14:paraId="5E80AE5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518</w:t>
            </w:r>
          </w:p>
        </w:tc>
        <w:tc>
          <w:tcPr>
            <w:tcW w:w="1228" w:type="dxa"/>
            <w:noWrap/>
            <w:vAlign w:val="center"/>
            <w:hideMark/>
          </w:tcPr>
          <w:p w14:paraId="09ADF69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34</w:t>
            </w:r>
          </w:p>
        </w:tc>
      </w:tr>
      <w:tr w:rsidR="009C7D45" w:rsidRPr="004235CC" w14:paraId="4CAFC9D6" w14:textId="77777777" w:rsidTr="002E3F44">
        <w:trPr>
          <w:trHeight w:val="199"/>
        </w:trPr>
        <w:tc>
          <w:tcPr>
            <w:tcW w:w="3367" w:type="dxa"/>
            <w:noWrap/>
            <w:vAlign w:val="bottom"/>
            <w:hideMark/>
          </w:tcPr>
          <w:p w14:paraId="1E4354BB"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1816513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7cu2-b</w:t>
            </w:r>
          </w:p>
        </w:tc>
        <w:tc>
          <w:tcPr>
            <w:tcW w:w="1584" w:type="dxa"/>
            <w:noWrap/>
            <w:vAlign w:val="center"/>
            <w:hideMark/>
          </w:tcPr>
          <w:p w14:paraId="2B3594A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480</w:t>
            </w:r>
          </w:p>
        </w:tc>
        <w:tc>
          <w:tcPr>
            <w:tcW w:w="1445" w:type="dxa"/>
            <w:noWrap/>
            <w:vAlign w:val="center"/>
            <w:hideMark/>
          </w:tcPr>
          <w:p w14:paraId="41957C7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520</w:t>
            </w:r>
          </w:p>
        </w:tc>
        <w:tc>
          <w:tcPr>
            <w:tcW w:w="1228" w:type="dxa"/>
            <w:noWrap/>
            <w:vAlign w:val="center"/>
            <w:hideMark/>
          </w:tcPr>
          <w:p w14:paraId="1ED42C2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4C58EF86"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0EDEEA84"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lastRenderedPageBreak/>
              <w:t>Flavin-Dependent Tryptophan Halogenase PrnA</w:t>
            </w:r>
          </w:p>
        </w:tc>
        <w:tc>
          <w:tcPr>
            <w:tcW w:w="990" w:type="dxa"/>
            <w:noWrap/>
            <w:vAlign w:val="center"/>
            <w:hideMark/>
          </w:tcPr>
          <w:p w14:paraId="18D7804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4z44-a</w:t>
            </w:r>
          </w:p>
        </w:tc>
        <w:tc>
          <w:tcPr>
            <w:tcW w:w="1584" w:type="dxa"/>
            <w:noWrap/>
            <w:vAlign w:val="center"/>
            <w:hideMark/>
          </w:tcPr>
          <w:p w14:paraId="1E60F1B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481</w:t>
            </w:r>
          </w:p>
        </w:tc>
        <w:tc>
          <w:tcPr>
            <w:tcW w:w="1445" w:type="dxa"/>
            <w:noWrap/>
            <w:vAlign w:val="center"/>
            <w:hideMark/>
          </w:tcPr>
          <w:p w14:paraId="0825F61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516</w:t>
            </w:r>
          </w:p>
        </w:tc>
        <w:tc>
          <w:tcPr>
            <w:tcW w:w="1228" w:type="dxa"/>
            <w:noWrap/>
            <w:vAlign w:val="center"/>
            <w:hideMark/>
          </w:tcPr>
          <w:p w14:paraId="335E867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34</w:t>
            </w:r>
          </w:p>
        </w:tc>
      </w:tr>
      <w:tr w:rsidR="009C7D45" w:rsidRPr="004235CC" w14:paraId="06045D31" w14:textId="77777777" w:rsidTr="002E3F44">
        <w:trPr>
          <w:trHeight w:val="199"/>
        </w:trPr>
        <w:tc>
          <w:tcPr>
            <w:tcW w:w="3367" w:type="dxa"/>
            <w:noWrap/>
            <w:vAlign w:val="bottom"/>
            <w:hideMark/>
          </w:tcPr>
          <w:p w14:paraId="0AE9CA4A"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46022DD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6slt-b</w:t>
            </w:r>
          </w:p>
        </w:tc>
        <w:tc>
          <w:tcPr>
            <w:tcW w:w="1584" w:type="dxa"/>
            <w:noWrap/>
            <w:vAlign w:val="center"/>
            <w:hideMark/>
          </w:tcPr>
          <w:p w14:paraId="5CA6148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6A6D92E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525</w:t>
            </w:r>
          </w:p>
        </w:tc>
        <w:tc>
          <w:tcPr>
            <w:tcW w:w="1228" w:type="dxa"/>
            <w:noWrap/>
            <w:vAlign w:val="center"/>
            <w:hideMark/>
          </w:tcPr>
          <w:p w14:paraId="08AA3D7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519214E5"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7077D04D"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5-Halogenase</w:t>
            </w:r>
          </w:p>
        </w:tc>
        <w:tc>
          <w:tcPr>
            <w:tcW w:w="990" w:type="dxa"/>
            <w:noWrap/>
            <w:vAlign w:val="center"/>
            <w:hideMark/>
          </w:tcPr>
          <w:p w14:paraId="3F7F205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2weu-b</w:t>
            </w:r>
          </w:p>
        </w:tc>
        <w:tc>
          <w:tcPr>
            <w:tcW w:w="1584" w:type="dxa"/>
            <w:noWrap/>
            <w:vAlign w:val="center"/>
            <w:hideMark/>
          </w:tcPr>
          <w:p w14:paraId="0B07B77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471</w:t>
            </w:r>
          </w:p>
        </w:tc>
        <w:tc>
          <w:tcPr>
            <w:tcW w:w="1445" w:type="dxa"/>
            <w:noWrap/>
            <w:vAlign w:val="center"/>
            <w:hideMark/>
          </w:tcPr>
          <w:p w14:paraId="42171E1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500</w:t>
            </w:r>
          </w:p>
        </w:tc>
        <w:tc>
          <w:tcPr>
            <w:tcW w:w="1228" w:type="dxa"/>
            <w:noWrap/>
            <w:vAlign w:val="center"/>
            <w:hideMark/>
          </w:tcPr>
          <w:p w14:paraId="0BEB010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75A40D45" w14:textId="77777777" w:rsidTr="002E3F44">
        <w:trPr>
          <w:trHeight w:val="199"/>
        </w:trPr>
        <w:tc>
          <w:tcPr>
            <w:tcW w:w="3367" w:type="dxa"/>
            <w:noWrap/>
            <w:vAlign w:val="bottom"/>
            <w:hideMark/>
          </w:tcPr>
          <w:p w14:paraId="6C38825C"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Thermophilic Tryptophan Halogenase</w:t>
            </w:r>
          </w:p>
        </w:tc>
        <w:tc>
          <w:tcPr>
            <w:tcW w:w="990" w:type="dxa"/>
            <w:noWrap/>
            <w:vAlign w:val="center"/>
            <w:hideMark/>
          </w:tcPr>
          <w:p w14:paraId="4EEDF63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5lv9-b</w:t>
            </w:r>
          </w:p>
        </w:tc>
        <w:tc>
          <w:tcPr>
            <w:tcW w:w="1584" w:type="dxa"/>
            <w:noWrap/>
            <w:vAlign w:val="center"/>
            <w:hideMark/>
          </w:tcPr>
          <w:p w14:paraId="1A0B59F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474</w:t>
            </w:r>
          </w:p>
        </w:tc>
        <w:tc>
          <w:tcPr>
            <w:tcW w:w="1445" w:type="dxa"/>
            <w:noWrap/>
            <w:vAlign w:val="center"/>
            <w:hideMark/>
          </w:tcPr>
          <w:p w14:paraId="40867B1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513</w:t>
            </w:r>
          </w:p>
        </w:tc>
        <w:tc>
          <w:tcPr>
            <w:tcW w:w="1228" w:type="dxa"/>
            <w:noWrap/>
            <w:vAlign w:val="center"/>
            <w:hideMark/>
          </w:tcPr>
          <w:p w14:paraId="022C396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34</w:t>
            </w:r>
          </w:p>
        </w:tc>
      </w:tr>
      <w:tr w:rsidR="009C7D45" w:rsidRPr="004235CC" w14:paraId="3AAEB1A5"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319E07E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Thermophilic Tryptophan Halogenase</w:t>
            </w:r>
          </w:p>
        </w:tc>
        <w:tc>
          <w:tcPr>
            <w:tcW w:w="990" w:type="dxa"/>
            <w:noWrap/>
            <w:vAlign w:val="center"/>
            <w:hideMark/>
          </w:tcPr>
          <w:p w14:paraId="16A11E3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5lv9-a</w:t>
            </w:r>
          </w:p>
        </w:tc>
        <w:tc>
          <w:tcPr>
            <w:tcW w:w="1584" w:type="dxa"/>
            <w:noWrap/>
            <w:vAlign w:val="center"/>
            <w:hideMark/>
          </w:tcPr>
          <w:p w14:paraId="3E11689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467</w:t>
            </w:r>
          </w:p>
        </w:tc>
        <w:tc>
          <w:tcPr>
            <w:tcW w:w="1445" w:type="dxa"/>
            <w:noWrap/>
            <w:vAlign w:val="center"/>
            <w:hideMark/>
          </w:tcPr>
          <w:p w14:paraId="3CE65AA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509</w:t>
            </w:r>
          </w:p>
        </w:tc>
        <w:tc>
          <w:tcPr>
            <w:tcW w:w="1228" w:type="dxa"/>
            <w:noWrap/>
            <w:vAlign w:val="center"/>
            <w:hideMark/>
          </w:tcPr>
          <w:p w14:paraId="6C314EF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34</w:t>
            </w:r>
          </w:p>
        </w:tc>
      </w:tr>
      <w:tr w:rsidR="009C7D45" w:rsidRPr="004235CC" w14:paraId="7D886894" w14:textId="77777777" w:rsidTr="002E3F44">
        <w:trPr>
          <w:trHeight w:val="199"/>
        </w:trPr>
        <w:tc>
          <w:tcPr>
            <w:tcW w:w="3367" w:type="dxa"/>
            <w:noWrap/>
            <w:vAlign w:val="bottom"/>
            <w:hideMark/>
          </w:tcPr>
          <w:p w14:paraId="5AE1DA09"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257675F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7cu1-a</w:t>
            </w:r>
          </w:p>
        </w:tc>
        <w:tc>
          <w:tcPr>
            <w:tcW w:w="1584" w:type="dxa"/>
            <w:noWrap/>
            <w:vAlign w:val="center"/>
            <w:hideMark/>
          </w:tcPr>
          <w:p w14:paraId="4C9877B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1036AD4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535</w:t>
            </w:r>
          </w:p>
        </w:tc>
        <w:tc>
          <w:tcPr>
            <w:tcW w:w="1228" w:type="dxa"/>
            <w:noWrap/>
            <w:vAlign w:val="center"/>
            <w:hideMark/>
          </w:tcPr>
          <w:p w14:paraId="1CA192C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30</w:t>
            </w:r>
          </w:p>
        </w:tc>
      </w:tr>
      <w:tr w:rsidR="009C7D45" w:rsidRPr="004235CC" w14:paraId="26E07905"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7520EDDF"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 ThaL</w:t>
            </w:r>
          </w:p>
        </w:tc>
        <w:tc>
          <w:tcPr>
            <w:tcW w:w="990" w:type="dxa"/>
            <w:noWrap/>
            <w:vAlign w:val="center"/>
            <w:hideMark/>
          </w:tcPr>
          <w:p w14:paraId="0B528AD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6h43-b</w:t>
            </w:r>
          </w:p>
        </w:tc>
        <w:tc>
          <w:tcPr>
            <w:tcW w:w="1584" w:type="dxa"/>
            <w:noWrap/>
            <w:vAlign w:val="center"/>
            <w:hideMark/>
          </w:tcPr>
          <w:p w14:paraId="78A3F85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457B3D4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521</w:t>
            </w:r>
          </w:p>
        </w:tc>
        <w:tc>
          <w:tcPr>
            <w:tcW w:w="1228" w:type="dxa"/>
            <w:noWrap/>
            <w:vAlign w:val="center"/>
            <w:hideMark/>
          </w:tcPr>
          <w:p w14:paraId="23EBC48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488EC305" w14:textId="77777777" w:rsidTr="002E3F44">
        <w:trPr>
          <w:trHeight w:val="199"/>
        </w:trPr>
        <w:tc>
          <w:tcPr>
            <w:tcW w:w="3367" w:type="dxa"/>
            <w:noWrap/>
            <w:vAlign w:val="bottom"/>
            <w:hideMark/>
          </w:tcPr>
          <w:p w14:paraId="0C8F6AD8"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Flavin-Dependent Tryptophan Halogenase RebH</w:t>
            </w:r>
          </w:p>
        </w:tc>
        <w:tc>
          <w:tcPr>
            <w:tcW w:w="990" w:type="dxa"/>
            <w:noWrap/>
            <w:vAlign w:val="center"/>
            <w:hideMark/>
          </w:tcPr>
          <w:p w14:paraId="7502928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6p00-b</w:t>
            </w:r>
          </w:p>
        </w:tc>
        <w:tc>
          <w:tcPr>
            <w:tcW w:w="1584" w:type="dxa"/>
            <w:noWrap/>
            <w:vAlign w:val="center"/>
            <w:hideMark/>
          </w:tcPr>
          <w:p w14:paraId="7EBBDF0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0868840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519</w:t>
            </w:r>
          </w:p>
        </w:tc>
        <w:tc>
          <w:tcPr>
            <w:tcW w:w="1228" w:type="dxa"/>
            <w:noWrap/>
            <w:vAlign w:val="center"/>
            <w:hideMark/>
          </w:tcPr>
          <w:p w14:paraId="2C9E1B6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1D6DA6B3"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27DC66EB"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4D64FF8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7aqv-a</w:t>
            </w:r>
          </w:p>
        </w:tc>
        <w:tc>
          <w:tcPr>
            <w:tcW w:w="1584" w:type="dxa"/>
            <w:noWrap/>
            <w:vAlign w:val="center"/>
            <w:hideMark/>
          </w:tcPr>
          <w:p w14:paraId="36AB42F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473</w:t>
            </w:r>
          </w:p>
        </w:tc>
        <w:tc>
          <w:tcPr>
            <w:tcW w:w="1445" w:type="dxa"/>
            <w:noWrap/>
            <w:vAlign w:val="center"/>
            <w:hideMark/>
          </w:tcPr>
          <w:p w14:paraId="6335F48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520</w:t>
            </w:r>
          </w:p>
        </w:tc>
        <w:tc>
          <w:tcPr>
            <w:tcW w:w="1228" w:type="dxa"/>
            <w:noWrap/>
            <w:vAlign w:val="center"/>
            <w:hideMark/>
          </w:tcPr>
          <w:p w14:paraId="27F281E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73F54862" w14:textId="77777777" w:rsidTr="002E3F44">
        <w:trPr>
          <w:trHeight w:val="199"/>
        </w:trPr>
        <w:tc>
          <w:tcPr>
            <w:tcW w:w="3367" w:type="dxa"/>
            <w:noWrap/>
            <w:vAlign w:val="bottom"/>
            <w:hideMark/>
          </w:tcPr>
          <w:p w14:paraId="12A0F493"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Flavin-Dependent Tryptophan Halogenase RebH</w:t>
            </w:r>
          </w:p>
        </w:tc>
        <w:tc>
          <w:tcPr>
            <w:tcW w:w="990" w:type="dxa"/>
            <w:noWrap/>
            <w:vAlign w:val="center"/>
            <w:hideMark/>
          </w:tcPr>
          <w:p w14:paraId="43D3732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6p00-a</w:t>
            </w:r>
          </w:p>
        </w:tc>
        <w:tc>
          <w:tcPr>
            <w:tcW w:w="1584" w:type="dxa"/>
            <w:noWrap/>
            <w:vAlign w:val="center"/>
            <w:hideMark/>
          </w:tcPr>
          <w:p w14:paraId="21F6AC5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474</w:t>
            </w:r>
          </w:p>
        </w:tc>
        <w:tc>
          <w:tcPr>
            <w:tcW w:w="1445" w:type="dxa"/>
            <w:noWrap/>
            <w:vAlign w:val="center"/>
            <w:hideMark/>
          </w:tcPr>
          <w:p w14:paraId="0F3F40E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518</w:t>
            </w:r>
          </w:p>
        </w:tc>
        <w:tc>
          <w:tcPr>
            <w:tcW w:w="1228" w:type="dxa"/>
            <w:noWrap/>
            <w:vAlign w:val="center"/>
            <w:hideMark/>
          </w:tcPr>
          <w:p w14:paraId="08A9C4F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03F8D829"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23E6DAF4"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6A6A862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8ad8-b</w:t>
            </w:r>
          </w:p>
        </w:tc>
        <w:tc>
          <w:tcPr>
            <w:tcW w:w="1584" w:type="dxa"/>
            <w:noWrap/>
            <w:vAlign w:val="center"/>
            <w:hideMark/>
          </w:tcPr>
          <w:p w14:paraId="13A952E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473</w:t>
            </w:r>
          </w:p>
        </w:tc>
        <w:tc>
          <w:tcPr>
            <w:tcW w:w="1445" w:type="dxa"/>
            <w:noWrap/>
            <w:vAlign w:val="center"/>
            <w:hideMark/>
          </w:tcPr>
          <w:p w14:paraId="61DDF50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515</w:t>
            </w:r>
          </w:p>
        </w:tc>
        <w:tc>
          <w:tcPr>
            <w:tcW w:w="1228" w:type="dxa"/>
            <w:noWrap/>
            <w:vAlign w:val="center"/>
            <w:hideMark/>
          </w:tcPr>
          <w:p w14:paraId="1B0E059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30</w:t>
            </w:r>
          </w:p>
        </w:tc>
      </w:tr>
      <w:tr w:rsidR="009C7D45" w:rsidRPr="004235CC" w14:paraId="6C74EEA8" w14:textId="77777777" w:rsidTr="002E3F44">
        <w:trPr>
          <w:trHeight w:val="199"/>
        </w:trPr>
        <w:tc>
          <w:tcPr>
            <w:tcW w:w="3367" w:type="dxa"/>
            <w:noWrap/>
            <w:vAlign w:val="bottom"/>
            <w:hideMark/>
          </w:tcPr>
          <w:p w14:paraId="7C8944C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391F923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7cu1-b</w:t>
            </w:r>
          </w:p>
        </w:tc>
        <w:tc>
          <w:tcPr>
            <w:tcW w:w="1584" w:type="dxa"/>
            <w:noWrap/>
            <w:vAlign w:val="center"/>
            <w:hideMark/>
          </w:tcPr>
          <w:p w14:paraId="0B39AD7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3EC155E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524</w:t>
            </w:r>
          </w:p>
        </w:tc>
        <w:tc>
          <w:tcPr>
            <w:tcW w:w="1228" w:type="dxa"/>
            <w:noWrap/>
            <w:vAlign w:val="center"/>
            <w:hideMark/>
          </w:tcPr>
          <w:p w14:paraId="1A0928F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30</w:t>
            </w:r>
          </w:p>
        </w:tc>
      </w:tr>
      <w:tr w:rsidR="009C7D45" w:rsidRPr="004235CC" w14:paraId="47A835C0"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5CF490F3"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2D69A61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7cu2-a</w:t>
            </w:r>
          </w:p>
        </w:tc>
        <w:tc>
          <w:tcPr>
            <w:tcW w:w="1584" w:type="dxa"/>
            <w:noWrap/>
            <w:vAlign w:val="center"/>
            <w:hideMark/>
          </w:tcPr>
          <w:p w14:paraId="4915F58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478</w:t>
            </w:r>
          </w:p>
        </w:tc>
        <w:tc>
          <w:tcPr>
            <w:tcW w:w="1445" w:type="dxa"/>
            <w:noWrap/>
            <w:vAlign w:val="center"/>
            <w:hideMark/>
          </w:tcPr>
          <w:p w14:paraId="6A79442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522</w:t>
            </w:r>
          </w:p>
        </w:tc>
        <w:tc>
          <w:tcPr>
            <w:tcW w:w="1228" w:type="dxa"/>
            <w:noWrap/>
            <w:vAlign w:val="center"/>
            <w:hideMark/>
          </w:tcPr>
          <w:p w14:paraId="4939C0D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587CF69D" w14:textId="77777777" w:rsidTr="002E3F44">
        <w:trPr>
          <w:trHeight w:val="199"/>
        </w:trPr>
        <w:tc>
          <w:tcPr>
            <w:tcW w:w="3367" w:type="dxa"/>
            <w:noWrap/>
            <w:vAlign w:val="bottom"/>
            <w:hideMark/>
          </w:tcPr>
          <w:p w14:paraId="1B22D654"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Flavin-Dependent Tryptophan Halogenase RebH</w:t>
            </w:r>
          </w:p>
        </w:tc>
        <w:tc>
          <w:tcPr>
            <w:tcW w:w="990" w:type="dxa"/>
            <w:noWrap/>
            <w:vAlign w:val="center"/>
            <w:hideMark/>
          </w:tcPr>
          <w:p w14:paraId="2285043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6p2v-b</w:t>
            </w:r>
          </w:p>
        </w:tc>
        <w:tc>
          <w:tcPr>
            <w:tcW w:w="1584" w:type="dxa"/>
            <w:noWrap/>
            <w:vAlign w:val="center"/>
            <w:hideMark/>
          </w:tcPr>
          <w:p w14:paraId="6400B36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474</w:t>
            </w:r>
          </w:p>
        </w:tc>
        <w:tc>
          <w:tcPr>
            <w:tcW w:w="1445" w:type="dxa"/>
            <w:noWrap/>
            <w:vAlign w:val="center"/>
            <w:hideMark/>
          </w:tcPr>
          <w:p w14:paraId="09EFAAC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521</w:t>
            </w:r>
          </w:p>
        </w:tc>
        <w:tc>
          <w:tcPr>
            <w:tcW w:w="1228" w:type="dxa"/>
            <w:noWrap/>
            <w:vAlign w:val="center"/>
            <w:hideMark/>
          </w:tcPr>
          <w:p w14:paraId="4A77296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749249B5"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4D0DD1D5"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2637A85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8ttk-d</w:t>
            </w:r>
          </w:p>
        </w:tc>
        <w:tc>
          <w:tcPr>
            <w:tcW w:w="1584" w:type="dxa"/>
            <w:noWrap/>
            <w:vAlign w:val="center"/>
            <w:hideMark/>
          </w:tcPr>
          <w:p w14:paraId="4041711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474</w:t>
            </w:r>
          </w:p>
        </w:tc>
        <w:tc>
          <w:tcPr>
            <w:tcW w:w="1445" w:type="dxa"/>
            <w:noWrap/>
            <w:vAlign w:val="center"/>
            <w:hideMark/>
          </w:tcPr>
          <w:p w14:paraId="299C394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517</w:t>
            </w:r>
          </w:p>
        </w:tc>
        <w:tc>
          <w:tcPr>
            <w:tcW w:w="1228" w:type="dxa"/>
            <w:noWrap/>
            <w:vAlign w:val="center"/>
            <w:hideMark/>
          </w:tcPr>
          <w:p w14:paraId="694E1BE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17AE55BC" w14:textId="77777777" w:rsidTr="002E3F44">
        <w:trPr>
          <w:trHeight w:val="199"/>
        </w:trPr>
        <w:tc>
          <w:tcPr>
            <w:tcW w:w="3367" w:type="dxa"/>
            <w:noWrap/>
            <w:vAlign w:val="bottom"/>
            <w:hideMark/>
          </w:tcPr>
          <w:p w14:paraId="2B229333"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6875DB7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8ttk-b</w:t>
            </w:r>
          </w:p>
        </w:tc>
        <w:tc>
          <w:tcPr>
            <w:tcW w:w="1584" w:type="dxa"/>
            <w:noWrap/>
            <w:vAlign w:val="center"/>
            <w:hideMark/>
          </w:tcPr>
          <w:p w14:paraId="0C71A9E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472</w:t>
            </w:r>
          </w:p>
        </w:tc>
        <w:tc>
          <w:tcPr>
            <w:tcW w:w="1445" w:type="dxa"/>
            <w:noWrap/>
            <w:vAlign w:val="center"/>
            <w:hideMark/>
          </w:tcPr>
          <w:p w14:paraId="7F8F701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519</w:t>
            </w:r>
          </w:p>
        </w:tc>
        <w:tc>
          <w:tcPr>
            <w:tcW w:w="1228" w:type="dxa"/>
            <w:noWrap/>
            <w:vAlign w:val="center"/>
            <w:hideMark/>
          </w:tcPr>
          <w:p w14:paraId="3CCCCBA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490CB395"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161BD56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44D5BA0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2oal-b</w:t>
            </w:r>
          </w:p>
        </w:tc>
        <w:tc>
          <w:tcPr>
            <w:tcW w:w="1584" w:type="dxa"/>
            <w:noWrap/>
            <w:vAlign w:val="center"/>
            <w:hideMark/>
          </w:tcPr>
          <w:p w14:paraId="564ED64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297ED73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528</w:t>
            </w:r>
          </w:p>
        </w:tc>
        <w:tc>
          <w:tcPr>
            <w:tcW w:w="1228" w:type="dxa"/>
            <w:noWrap/>
            <w:vAlign w:val="center"/>
            <w:hideMark/>
          </w:tcPr>
          <w:p w14:paraId="0213B4D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159AAC43" w14:textId="77777777" w:rsidTr="002E3F44">
        <w:trPr>
          <w:trHeight w:val="199"/>
        </w:trPr>
        <w:tc>
          <w:tcPr>
            <w:tcW w:w="3367" w:type="dxa"/>
            <w:noWrap/>
            <w:vAlign w:val="bottom"/>
            <w:hideMark/>
          </w:tcPr>
          <w:p w14:paraId="07522610"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758AF08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8tti-d</w:t>
            </w:r>
          </w:p>
        </w:tc>
        <w:tc>
          <w:tcPr>
            <w:tcW w:w="1584" w:type="dxa"/>
            <w:noWrap/>
            <w:vAlign w:val="center"/>
            <w:hideMark/>
          </w:tcPr>
          <w:p w14:paraId="6E3963A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470</w:t>
            </w:r>
          </w:p>
        </w:tc>
        <w:tc>
          <w:tcPr>
            <w:tcW w:w="1445" w:type="dxa"/>
            <w:noWrap/>
            <w:vAlign w:val="center"/>
            <w:hideMark/>
          </w:tcPr>
          <w:p w14:paraId="2AB0A89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519</w:t>
            </w:r>
          </w:p>
        </w:tc>
        <w:tc>
          <w:tcPr>
            <w:tcW w:w="1228" w:type="dxa"/>
            <w:noWrap/>
            <w:vAlign w:val="center"/>
            <w:hideMark/>
          </w:tcPr>
          <w:p w14:paraId="5640F8E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5F2FBCAA"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69CF4C19"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50A7390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8ttk-c</w:t>
            </w:r>
          </w:p>
        </w:tc>
        <w:tc>
          <w:tcPr>
            <w:tcW w:w="1584" w:type="dxa"/>
            <w:noWrap/>
            <w:vAlign w:val="center"/>
            <w:hideMark/>
          </w:tcPr>
          <w:p w14:paraId="3A442C4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474</w:t>
            </w:r>
          </w:p>
        </w:tc>
        <w:tc>
          <w:tcPr>
            <w:tcW w:w="1445" w:type="dxa"/>
            <w:noWrap/>
            <w:vAlign w:val="center"/>
            <w:hideMark/>
          </w:tcPr>
          <w:p w14:paraId="6464162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519</w:t>
            </w:r>
          </w:p>
        </w:tc>
        <w:tc>
          <w:tcPr>
            <w:tcW w:w="1228" w:type="dxa"/>
            <w:noWrap/>
            <w:vAlign w:val="center"/>
            <w:hideMark/>
          </w:tcPr>
          <w:p w14:paraId="6EB2DF5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4568A8DC" w14:textId="77777777" w:rsidTr="002E3F44">
        <w:trPr>
          <w:trHeight w:val="199"/>
        </w:trPr>
        <w:tc>
          <w:tcPr>
            <w:tcW w:w="3367" w:type="dxa"/>
            <w:noWrap/>
            <w:vAlign w:val="bottom"/>
            <w:hideMark/>
          </w:tcPr>
          <w:p w14:paraId="4565A37E"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673DFB8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6ib5-b</w:t>
            </w:r>
          </w:p>
        </w:tc>
        <w:tc>
          <w:tcPr>
            <w:tcW w:w="1584" w:type="dxa"/>
            <w:noWrap/>
            <w:vAlign w:val="center"/>
            <w:hideMark/>
          </w:tcPr>
          <w:p w14:paraId="4FE7535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78742C2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524</w:t>
            </w:r>
          </w:p>
        </w:tc>
        <w:tc>
          <w:tcPr>
            <w:tcW w:w="1228" w:type="dxa"/>
            <w:noWrap/>
            <w:vAlign w:val="center"/>
            <w:hideMark/>
          </w:tcPr>
          <w:p w14:paraId="1BCDE8C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7E81F41D"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5B22D617"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Flavin-Dependent Tryptophan Halogenase RebH</w:t>
            </w:r>
          </w:p>
        </w:tc>
        <w:tc>
          <w:tcPr>
            <w:tcW w:w="990" w:type="dxa"/>
            <w:noWrap/>
            <w:vAlign w:val="center"/>
            <w:hideMark/>
          </w:tcPr>
          <w:p w14:paraId="627C05D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6p2v-a</w:t>
            </w:r>
          </w:p>
        </w:tc>
        <w:tc>
          <w:tcPr>
            <w:tcW w:w="1584" w:type="dxa"/>
            <w:noWrap/>
            <w:vAlign w:val="center"/>
            <w:hideMark/>
          </w:tcPr>
          <w:p w14:paraId="4AF9395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56197A7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523</w:t>
            </w:r>
          </w:p>
        </w:tc>
        <w:tc>
          <w:tcPr>
            <w:tcW w:w="1228" w:type="dxa"/>
            <w:noWrap/>
            <w:vAlign w:val="center"/>
            <w:hideMark/>
          </w:tcPr>
          <w:p w14:paraId="2A7C52D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693EC4FC" w14:textId="77777777" w:rsidTr="002E3F44">
        <w:trPr>
          <w:trHeight w:val="199"/>
        </w:trPr>
        <w:tc>
          <w:tcPr>
            <w:tcW w:w="3367" w:type="dxa"/>
            <w:noWrap/>
            <w:vAlign w:val="bottom"/>
            <w:hideMark/>
          </w:tcPr>
          <w:p w14:paraId="5A7EF4B8"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537F1E2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2oam-b</w:t>
            </w:r>
          </w:p>
        </w:tc>
        <w:tc>
          <w:tcPr>
            <w:tcW w:w="1584" w:type="dxa"/>
            <w:noWrap/>
            <w:vAlign w:val="center"/>
            <w:hideMark/>
          </w:tcPr>
          <w:p w14:paraId="4EB543F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1AFD4D9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524</w:t>
            </w:r>
          </w:p>
        </w:tc>
        <w:tc>
          <w:tcPr>
            <w:tcW w:w="1228" w:type="dxa"/>
            <w:noWrap/>
            <w:vAlign w:val="center"/>
            <w:hideMark/>
          </w:tcPr>
          <w:p w14:paraId="0296AB8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3C7C1B00"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2817F62E"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3A4C0C2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8ad8-a</w:t>
            </w:r>
          </w:p>
        </w:tc>
        <w:tc>
          <w:tcPr>
            <w:tcW w:w="1584" w:type="dxa"/>
            <w:noWrap/>
            <w:vAlign w:val="center"/>
            <w:hideMark/>
          </w:tcPr>
          <w:p w14:paraId="127A9B3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478</w:t>
            </w:r>
          </w:p>
        </w:tc>
        <w:tc>
          <w:tcPr>
            <w:tcW w:w="1445" w:type="dxa"/>
            <w:noWrap/>
            <w:vAlign w:val="center"/>
            <w:hideMark/>
          </w:tcPr>
          <w:p w14:paraId="04A17A8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524</w:t>
            </w:r>
          </w:p>
        </w:tc>
        <w:tc>
          <w:tcPr>
            <w:tcW w:w="1228" w:type="dxa"/>
            <w:noWrap/>
            <w:vAlign w:val="center"/>
            <w:hideMark/>
          </w:tcPr>
          <w:p w14:paraId="41E655F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29</w:t>
            </w:r>
          </w:p>
        </w:tc>
      </w:tr>
      <w:tr w:rsidR="009C7D45" w:rsidRPr="004235CC" w14:paraId="6F8F1E67" w14:textId="77777777" w:rsidTr="002E3F44">
        <w:trPr>
          <w:trHeight w:val="199"/>
        </w:trPr>
        <w:tc>
          <w:tcPr>
            <w:tcW w:w="3367" w:type="dxa"/>
            <w:noWrap/>
            <w:vAlign w:val="bottom"/>
            <w:hideMark/>
          </w:tcPr>
          <w:p w14:paraId="0024B309"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1AF5003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7aqu-b</w:t>
            </w:r>
          </w:p>
        </w:tc>
        <w:tc>
          <w:tcPr>
            <w:tcW w:w="1584" w:type="dxa"/>
            <w:noWrap/>
            <w:vAlign w:val="center"/>
            <w:hideMark/>
          </w:tcPr>
          <w:p w14:paraId="441519D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788C29C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527</w:t>
            </w:r>
          </w:p>
        </w:tc>
        <w:tc>
          <w:tcPr>
            <w:tcW w:w="1228" w:type="dxa"/>
            <w:noWrap/>
            <w:vAlign w:val="center"/>
            <w:hideMark/>
          </w:tcPr>
          <w:p w14:paraId="342AF89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25FA9A86"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608E510C"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4EC82E7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8ttk-a</w:t>
            </w:r>
          </w:p>
        </w:tc>
        <w:tc>
          <w:tcPr>
            <w:tcW w:w="1584" w:type="dxa"/>
            <w:noWrap/>
            <w:vAlign w:val="center"/>
            <w:hideMark/>
          </w:tcPr>
          <w:p w14:paraId="70ABAE1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472</w:t>
            </w:r>
          </w:p>
        </w:tc>
        <w:tc>
          <w:tcPr>
            <w:tcW w:w="1445" w:type="dxa"/>
            <w:noWrap/>
            <w:vAlign w:val="center"/>
            <w:hideMark/>
          </w:tcPr>
          <w:p w14:paraId="0543D71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521</w:t>
            </w:r>
          </w:p>
        </w:tc>
        <w:tc>
          <w:tcPr>
            <w:tcW w:w="1228" w:type="dxa"/>
            <w:noWrap/>
            <w:vAlign w:val="center"/>
            <w:hideMark/>
          </w:tcPr>
          <w:p w14:paraId="16A07D7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7A46CEE9" w14:textId="77777777" w:rsidTr="002E3F44">
        <w:trPr>
          <w:trHeight w:val="199"/>
        </w:trPr>
        <w:tc>
          <w:tcPr>
            <w:tcW w:w="3367" w:type="dxa"/>
            <w:noWrap/>
            <w:vAlign w:val="bottom"/>
            <w:hideMark/>
          </w:tcPr>
          <w:p w14:paraId="1A06BB0F"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0F42E0A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6h44-b</w:t>
            </w:r>
          </w:p>
        </w:tc>
        <w:tc>
          <w:tcPr>
            <w:tcW w:w="1584" w:type="dxa"/>
            <w:noWrap/>
            <w:vAlign w:val="center"/>
            <w:hideMark/>
          </w:tcPr>
          <w:p w14:paraId="13B134F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478</w:t>
            </w:r>
          </w:p>
        </w:tc>
        <w:tc>
          <w:tcPr>
            <w:tcW w:w="1445" w:type="dxa"/>
            <w:noWrap/>
            <w:vAlign w:val="center"/>
            <w:hideMark/>
          </w:tcPr>
          <w:p w14:paraId="1049E0D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529</w:t>
            </w:r>
          </w:p>
        </w:tc>
        <w:tc>
          <w:tcPr>
            <w:tcW w:w="1228" w:type="dxa"/>
            <w:noWrap/>
            <w:vAlign w:val="center"/>
            <w:hideMark/>
          </w:tcPr>
          <w:p w14:paraId="7D4279C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2842601F"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097CB829"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10B1A59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2o9z-a</w:t>
            </w:r>
          </w:p>
        </w:tc>
        <w:tc>
          <w:tcPr>
            <w:tcW w:w="1584" w:type="dxa"/>
            <w:noWrap/>
            <w:vAlign w:val="center"/>
            <w:hideMark/>
          </w:tcPr>
          <w:p w14:paraId="0A2A10C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474</w:t>
            </w:r>
          </w:p>
        </w:tc>
        <w:tc>
          <w:tcPr>
            <w:tcW w:w="1445" w:type="dxa"/>
            <w:noWrap/>
            <w:vAlign w:val="center"/>
            <w:hideMark/>
          </w:tcPr>
          <w:p w14:paraId="0AD39A3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524</w:t>
            </w:r>
          </w:p>
        </w:tc>
        <w:tc>
          <w:tcPr>
            <w:tcW w:w="1228" w:type="dxa"/>
            <w:noWrap/>
            <w:vAlign w:val="center"/>
            <w:hideMark/>
          </w:tcPr>
          <w:p w14:paraId="72CFC84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3CDB00E6" w14:textId="77777777" w:rsidTr="002E3F44">
        <w:trPr>
          <w:trHeight w:val="199"/>
        </w:trPr>
        <w:tc>
          <w:tcPr>
            <w:tcW w:w="3367" w:type="dxa"/>
            <w:noWrap/>
            <w:vAlign w:val="bottom"/>
            <w:hideMark/>
          </w:tcPr>
          <w:p w14:paraId="156E5E8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Flavin-Dependent Tryptophan Halogenase RebH</w:t>
            </w:r>
          </w:p>
        </w:tc>
        <w:tc>
          <w:tcPr>
            <w:tcW w:w="990" w:type="dxa"/>
            <w:noWrap/>
            <w:vAlign w:val="center"/>
            <w:hideMark/>
          </w:tcPr>
          <w:p w14:paraId="462C3B2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7ju0-b</w:t>
            </w:r>
          </w:p>
        </w:tc>
        <w:tc>
          <w:tcPr>
            <w:tcW w:w="1584" w:type="dxa"/>
            <w:noWrap/>
            <w:vAlign w:val="center"/>
            <w:hideMark/>
          </w:tcPr>
          <w:p w14:paraId="29E61B2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7BACE57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528</w:t>
            </w:r>
          </w:p>
        </w:tc>
        <w:tc>
          <w:tcPr>
            <w:tcW w:w="1228" w:type="dxa"/>
            <w:noWrap/>
            <w:vAlign w:val="center"/>
            <w:hideMark/>
          </w:tcPr>
          <w:p w14:paraId="32ECADF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73CAF598"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38BE506C"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7820030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8ad7-b</w:t>
            </w:r>
          </w:p>
        </w:tc>
        <w:tc>
          <w:tcPr>
            <w:tcW w:w="1584" w:type="dxa"/>
            <w:noWrap/>
            <w:vAlign w:val="center"/>
            <w:hideMark/>
          </w:tcPr>
          <w:p w14:paraId="7F21A59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475</w:t>
            </w:r>
          </w:p>
        </w:tc>
        <w:tc>
          <w:tcPr>
            <w:tcW w:w="1445" w:type="dxa"/>
            <w:noWrap/>
            <w:vAlign w:val="center"/>
            <w:hideMark/>
          </w:tcPr>
          <w:p w14:paraId="48DAA7F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525</w:t>
            </w:r>
          </w:p>
        </w:tc>
        <w:tc>
          <w:tcPr>
            <w:tcW w:w="1228" w:type="dxa"/>
            <w:noWrap/>
            <w:vAlign w:val="center"/>
            <w:hideMark/>
          </w:tcPr>
          <w:p w14:paraId="0769757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5E9AE91D" w14:textId="77777777" w:rsidTr="002E3F44">
        <w:trPr>
          <w:trHeight w:val="199"/>
        </w:trPr>
        <w:tc>
          <w:tcPr>
            <w:tcW w:w="3367" w:type="dxa"/>
            <w:noWrap/>
            <w:vAlign w:val="bottom"/>
            <w:hideMark/>
          </w:tcPr>
          <w:p w14:paraId="4C3CB2FE"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4FAB8DF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8tti-c</w:t>
            </w:r>
          </w:p>
        </w:tc>
        <w:tc>
          <w:tcPr>
            <w:tcW w:w="1584" w:type="dxa"/>
            <w:noWrap/>
            <w:vAlign w:val="center"/>
            <w:hideMark/>
          </w:tcPr>
          <w:p w14:paraId="037238D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471</w:t>
            </w:r>
          </w:p>
        </w:tc>
        <w:tc>
          <w:tcPr>
            <w:tcW w:w="1445" w:type="dxa"/>
            <w:noWrap/>
            <w:vAlign w:val="center"/>
            <w:hideMark/>
          </w:tcPr>
          <w:p w14:paraId="4FFA559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520</w:t>
            </w:r>
          </w:p>
        </w:tc>
        <w:tc>
          <w:tcPr>
            <w:tcW w:w="1228" w:type="dxa"/>
            <w:noWrap/>
            <w:vAlign w:val="center"/>
            <w:hideMark/>
          </w:tcPr>
          <w:p w14:paraId="51B3178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76F5A931"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77EDF185"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7E57826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2oa1-a</w:t>
            </w:r>
          </w:p>
        </w:tc>
        <w:tc>
          <w:tcPr>
            <w:tcW w:w="1584" w:type="dxa"/>
            <w:noWrap/>
            <w:vAlign w:val="center"/>
            <w:hideMark/>
          </w:tcPr>
          <w:p w14:paraId="7E32E32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0141A73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529</w:t>
            </w:r>
          </w:p>
        </w:tc>
        <w:tc>
          <w:tcPr>
            <w:tcW w:w="1228" w:type="dxa"/>
            <w:noWrap/>
            <w:vAlign w:val="center"/>
            <w:hideMark/>
          </w:tcPr>
          <w:p w14:paraId="4EB7A9B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12DB1A72" w14:textId="77777777" w:rsidTr="002E3F44">
        <w:trPr>
          <w:trHeight w:val="199"/>
        </w:trPr>
        <w:tc>
          <w:tcPr>
            <w:tcW w:w="3367" w:type="dxa"/>
            <w:noWrap/>
            <w:vAlign w:val="bottom"/>
            <w:hideMark/>
          </w:tcPr>
          <w:p w14:paraId="4968A374"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4E536D4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2oam-a</w:t>
            </w:r>
          </w:p>
        </w:tc>
        <w:tc>
          <w:tcPr>
            <w:tcW w:w="1584" w:type="dxa"/>
            <w:noWrap/>
            <w:vAlign w:val="center"/>
            <w:hideMark/>
          </w:tcPr>
          <w:p w14:paraId="719462A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475</w:t>
            </w:r>
          </w:p>
        </w:tc>
        <w:tc>
          <w:tcPr>
            <w:tcW w:w="1445" w:type="dxa"/>
            <w:noWrap/>
            <w:vAlign w:val="center"/>
            <w:hideMark/>
          </w:tcPr>
          <w:p w14:paraId="649AB34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523</w:t>
            </w:r>
          </w:p>
        </w:tc>
        <w:tc>
          <w:tcPr>
            <w:tcW w:w="1228" w:type="dxa"/>
            <w:noWrap/>
            <w:vAlign w:val="center"/>
            <w:hideMark/>
          </w:tcPr>
          <w:p w14:paraId="1DDBC32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13795564"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7A924860"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58EF773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6ib5-a</w:t>
            </w:r>
          </w:p>
        </w:tc>
        <w:tc>
          <w:tcPr>
            <w:tcW w:w="1584" w:type="dxa"/>
            <w:noWrap/>
            <w:vAlign w:val="center"/>
            <w:hideMark/>
          </w:tcPr>
          <w:p w14:paraId="75BD925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04A4A64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526</w:t>
            </w:r>
          </w:p>
        </w:tc>
        <w:tc>
          <w:tcPr>
            <w:tcW w:w="1228" w:type="dxa"/>
            <w:noWrap/>
            <w:vAlign w:val="center"/>
            <w:hideMark/>
          </w:tcPr>
          <w:p w14:paraId="3B8C613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30</w:t>
            </w:r>
          </w:p>
        </w:tc>
      </w:tr>
      <w:tr w:rsidR="009C7D45" w:rsidRPr="004235CC" w14:paraId="61772235" w14:textId="77777777" w:rsidTr="002E3F44">
        <w:trPr>
          <w:trHeight w:val="199"/>
        </w:trPr>
        <w:tc>
          <w:tcPr>
            <w:tcW w:w="3367" w:type="dxa"/>
            <w:noWrap/>
            <w:vAlign w:val="bottom"/>
            <w:hideMark/>
          </w:tcPr>
          <w:p w14:paraId="30CDA6D6"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lastRenderedPageBreak/>
              <w:t>Tryptophan 6-Halogenase</w:t>
            </w:r>
          </w:p>
        </w:tc>
        <w:tc>
          <w:tcPr>
            <w:tcW w:w="990" w:type="dxa"/>
            <w:noWrap/>
            <w:vAlign w:val="center"/>
            <w:hideMark/>
          </w:tcPr>
          <w:p w14:paraId="5C861A7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7aqv-b</w:t>
            </w:r>
          </w:p>
        </w:tc>
        <w:tc>
          <w:tcPr>
            <w:tcW w:w="1584" w:type="dxa"/>
            <w:noWrap/>
            <w:vAlign w:val="center"/>
            <w:hideMark/>
          </w:tcPr>
          <w:p w14:paraId="1FB2F07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2EC01B3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530</w:t>
            </w:r>
          </w:p>
        </w:tc>
        <w:tc>
          <w:tcPr>
            <w:tcW w:w="1228" w:type="dxa"/>
            <w:noWrap/>
            <w:vAlign w:val="center"/>
            <w:hideMark/>
          </w:tcPr>
          <w:p w14:paraId="1AE1BF5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30</w:t>
            </w:r>
          </w:p>
        </w:tc>
      </w:tr>
      <w:tr w:rsidR="009C7D45" w:rsidRPr="004235CC" w14:paraId="5F940E79"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326839C6"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Flavin-Dependent Tryptophan Halogenase RebH</w:t>
            </w:r>
          </w:p>
        </w:tc>
        <w:tc>
          <w:tcPr>
            <w:tcW w:w="990" w:type="dxa"/>
            <w:noWrap/>
            <w:vAlign w:val="center"/>
            <w:hideMark/>
          </w:tcPr>
          <w:p w14:paraId="637D37B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7ju0-a</w:t>
            </w:r>
          </w:p>
        </w:tc>
        <w:tc>
          <w:tcPr>
            <w:tcW w:w="1584" w:type="dxa"/>
            <w:noWrap/>
            <w:vAlign w:val="center"/>
            <w:hideMark/>
          </w:tcPr>
          <w:p w14:paraId="55CE8E8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703F2D0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527</w:t>
            </w:r>
          </w:p>
        </w:tc>
        <w:tc>
          <w:tcPr>
            <w:tcW w:w="1228" w:type="dxa"/>
            <w:noWrap/>
            <w:vAlign w:val="center"/>
            <w:hideMark/>
          </w:tcPr>
          <w:p w14:paraId="42AF712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759CE389" w14:textId="77777777" w:rsidTr="002E3F44">
        <w:trPr>
          <w:trHeight w:val="199"/>
        </w:trPr>
        <w:tc>
          <w:tcPr>
            <w:tcW w:w="3367" w:type="dxa"/>
            <w:noWrap/>
            <w:vAlign w:val="bottom"/>
            <w:hideMark/>
          </w:tcPr>
          <w:p w14:paraId="4DFC3217"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5F1A790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8tti-a</w:t>
            </w:r>
          </w:p>
        </w:tc>
        <w:tc>
          <w:tcPr>
            <w:tcW w:w="1584" w:type="dxa"/>
            <w:noWrap/>
            <w:vAlign w:val="center"/>
            <w:hideMark/>
          </w:tcPr>
          <w:p w14:paraId="15A268E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472</w:t>
            </w:r>
          </w:p>
        </w:tc>
        <w:tc>
          <w:tcPr>
            <w:tcW w:w="1445" w:type="dxa"/>
            <w:noWrap/>
            <w:vAlign w:val="center"/>
            <w:hideMark/>
          </w:tcPr>
          <w:p w14:paraId="129FFBF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522</w:t>
            </w:r>
          </w:p>
        </w:tc>
        <w:tc>
          <w:tcPr>
            <w:tcW w:w="1228" w:type="dxa"/>
            <w:noWrap/>
            <w:vAlign w:val="center"/>
            <w:hideMark/>
          </w:tcPr>
          <w:p w14:paraId="1E92824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168B455D"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1ED207BE"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7A7FB8F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2oa1-b</w:t>
            </w:r>
          </w:p>
        </w:tc>
        <w:tc>
          <w:tcPr>
            <w:tcW w:w="1584" w:type="dxa"/>
            <w:noWrap/>
            <w:vAlign w:val="center"/>
            <w:hideMark/>
          </w:tcPr>
          <w:p w14:paraId="10E8F89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5495665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527</w:t>
            </w:r>
          </w:p>
        </w:tc>
        <w:tc>
          <w:tcPr>
            <w:tcW w:w="1228" w:type="dxa"/>
            <w:noWrap/>
            <w:vAlign w:val="center"/>
            <w:hideMark/>
          </w:tcPr>
          <w:p w14:paraId="0283D4E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046BC03F" w14:textId="77777777" w:rsidTr="002E3F44">
        <w:trPr>
          <w:trHeight w:val="199"/>
        </w:trPr>
        <w:tc>
          <w:tcPr>
            <w:tcW w:w="3367" w:type="dxa"/>
            <w:noWrap/>
            <w:vAlign w:val="bottom"/>
            <w:hideMark/>
          </w:tcPr>
          <w:p w14:paraId="77F0B10A"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67C4BC9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2e4g-b</w:t>
            </w:r>
          </w:p>
        </w:tc>
        <w:tc>
          <w:tcPr>
            <w:tcW w:w="1584" w:type="dxa"/>
            <w:noWrap/>
            <w:vAlign w:val="center"/>
            <w:hideMark/>
          </w:tcPr>
          <w:p w14:paraId="01833BA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22935C5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529</w:t>
            </w:r>
          </w:p>
        </w:tc>
        <w:tc>
          <w:tcPr>
            <w:tcW w:w="1228" w:type="dxa"/>
            <w:noWrap/>
            <w:vAlign w:val="center"/>
            <w:hideMark/>
          </w:tcPr>
          <w:p w14:paraId="0A4B439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316DD74D"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34BAF350"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03150BA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2o9z-b</w:t>
            </w:r>
          </w:p>
        </w:tc>
        <w:tc>
          <w:tcPr>
            <w:tcW w:w="1584" w:type="dxa"/>
            <w:noWrap/>
            <w:vAlign w:val="center"/>
            <w:hideMark/>
          </w:tcPr>
          <w:p w14:paraId="596D081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475</w:t>
            </w:r>
          </w:p>
        </w:tc>
        <w:tc>
          <w:tcPr>
            <w:tcW w:w="1445" w:type="dxa"/>
            <w:noWrap/>
            <w:vAlign w:val="center"/>
            <w:hideMark/>
          </w:tcPr>
          <w:p w14:paraId="46DBD9D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526</w:t>
            </w:r>
          </w:p>
        </w:tc>
        <w:tc>
          <w:tcPr>
            <w:tcW w:w="1228" w:type="dxa"/>
            <w:noWrap/>
            <w:vAlign w:val="center"/>
            <w:hideMark/>
          </w:tcPr>
          <w:p w14:paraId="7B4216B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62C43384" w14:textId="77777777" w:rsidTr="002E3F44">
        <w:trPr>
          <w:trHeight w:val="199"/>
        </w:trPr>
        <w:tc>
          <w:tcPr>
            <w:tcW w:w="3367" w:type="dxa"/>
            <w:noWrap/>
            <w:vAlign w:val="bottom"/>
            <w:hideMark/>
          </w:tcPr>
          <w:p w14:paraId="5DE96BA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5ED2E45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8ttj-d</w:t>
            </w:r>
          </w:p>
        </w:tc>
        <w:tc>
          <w:tcPr>
            <w:tcW w:w="1584" w:type="dxa"/>
            <w:noWrap/>
            <w:vAlign w:val="center"/>
            <w:hideMark/>
          </w:tcPr>
          <w:p w14:paraId="5B8ECA2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472</w:t>
            </w:r>
          </w:p>
        </w:tc>
        <w:tc>
          <w:tcPr>
            <w:tcW w:w="1445" w:type="dxa"/>
            <w:noWrap/>
            <w:vAlign w:val="center"/>
            <w:hideMark/>
          </w:tcPr>
          <w:p w14:paraId="0FEF01C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521</w:t>
            </w:r>
          </w:p>
        </w:tc>
        <w:tc>
          <w:tcPr>
            <w:tcW w:w="1228" w:type="dxa"/>
            <w:noWrap/>
            <w:vAlign w:val="center"/>
            <w:hideMark/>
          </w:tcPr>
          <w:p w14:paraId="5F23280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7DC54630"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1BF94305"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448CD82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6h44-a</w:t>
            </w:r>
          </w:p>
        </w:tc>
        <w:tc>
          <w:tcPr>
            <w:tcW w:w="1584" w:type="dxa"/>
            <w:noWrap/>
            <w:vAlign w:val="center"/>
            <w:hideMark/>
          </w:tcPr>
          <w:p w14:paraId="6A4D38F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2F90468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529</w:t>
            </w:r>
          </w:p>
        </w:tc>
        <w:tc>
          <w:tcPr>
            <w:tcW w:w="1228" w:type="dxa"/>
            <w:noWrap/>
            <w:vAlign w:val="center"/>
            <w:hideMark/>
          </w:tcPr>
          <w:p w14:paraId="4CEEBC9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30</w:t>
            </w:r>
          </w:p>
        </w:tc>
      </w:tr>
      <w:tr w:rsidR="009C7D45" w:rsidRPr="004235CC" w14:paraId="32AB9E1B" w14:textId="77777777" w:rsidTr="002E3F44">
        <w:trPr>
          <w:trHeight w:val="199"/>
        </w:trPr>
        <w:tc>
          <w:tcPr>
            <w:tcW w:w="3367" w:type="dxa"/>
            <w:noWrap/>
            <w:vAlign w:val="bottom"/>
            <w:hideMark/>
          </w:tcPr>
          <w:p w14:paraId="1422AA22"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 ThaL</w:t>
            </w:r>
          </w:p>
        </w:tc>
        <w:tc>
          <w:tcPr>
            <w:tcW w:w="990" w:type="dxa"/>
            <w:noWrap/>
            <w:vAlign w:val="center"/>
            <w:hideMark/>
          </w:tcPr>
          <w:p w14:paraId="10E5963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6h43-a</w:t>
            </w:r>
          </w:p>
        </w:tc>
        <w:tc>
          <w:tcPr>
            <w:tcW w:w="1584" w:type="dxa"/>
            <w:noWrap/>
            <w:vAlign w:val="center"/>
            <w:hideMark/>
          </w:tcPr>
          <w:p w14:paraId="52C0C13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47C0C01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528</w:t>
            </w:r>
          </w:p>
        </w:tc>
        <w:tc>
          <w:tcPr>
            <w:tcW w:w="1228" w:type="dxa"/>
            <w:noWrap/>
            <w:vAlign w:val="center"/>
            <w:hideMark/>
          </w:tcPr>
          <w:p w14:paraId="4895B77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1C0DF3AF"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7CDD37CA"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4DB2333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6ul2-a</w:t>
            </w:r>
          </w:p>
        </w:tc>
        <w:tc>
          <w:tcPr>
            <w:tcW w:w="1584" w:type="dxa"/>
            <w:noWrap/>
            <w:vAlign w:val="center"/>
            <w:hideMark/>
          </w:tcPr>
          <w:p w14:paraId="4864E34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616F3FF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527</w:t>
            </w:r>
          </w:p>
        </w:tc>
        <w:tc>
          <w:tcPr>
            <w:tcW w:w="1228" w:type="dxa"/>
            <w:noWrap/>
            <w:vAlign w:val="center"/>
            <w:hideMark/>
          </w:tcPr>
          <w:p w14:paraId="03F6545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634613BE" w14:textId="77777777" w:rsidTr="002E3F44">
        <w:trPr>
          <w:trHeight w:val="199"/>
        </w:trPr>
        <w:tc>
          <w:tcPr>
            <w:tcW w:w="3367" w:type="dxa"/>
            <w:noWrap/>
            <w:vAlign w:val="bottom"/>
            <w:hideMark/>
          </w:tcPr>
          <w:p w14:paraId="5E4A39E5"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609BDE4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2oal-a</w:t>
            </w:r>
          </w:p>
        </w:tc>
        <w:tc>
          <w:tcPr>
            <w:tcW w:w="1584" w:type="dxa"/>
            <w:noWrap/>
            <w:vAlign w:val="center"/>
            <w:hideMark/>
          </w:tcPr>
          <w:p w14:paraId="56AC478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2A41D7A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527</w:t>
            </w:r>
          </w:p>
        </w:tc>
        <w:tc>
          <w:tcPr>
            <w:tcW w:w="1228" w:type="dxa"/>
            <w:noWrap/>
            <w:vAlign w:val="center"/>
            <w:hideMark/>
          </w:tcPr>
          <w:p w14:paraId="3AFBA71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17A610BE"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1270399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Flavin-Dependent Tryptophan Halogenase RebH</w:t>
            </w:r>
          </w:p>
        </w:tc>
        <w:tc>
          <w:tcPr>
            <w:tcW w:w="990" w:type="dxa"/>
            <w:noWrap/>
            <w:vAlign w:val="center"/>
            <w:hideMark/>
          </w:tcPr>
          <w:p w14:paraId="765D257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4lu6-b</w:t>
            </w:r>
          </w:p>
        </w:tc>
        <w:tc>
          <w:tcPr>
            <w:tcW w:w="1584" w:type="dxa"/>
            <w:noWrap/>
            <w:vAlign w:val="center"/>
            <w:hideMark/>
          </w:tcPr>
          <w:p w14:paraId="6E737CD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5F88C42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527</w:t>
            </w:r>
          </w:p>
        </w:tc>
        <w:tc>
          <w:tcPr>
            <w:tcW w:w="1228" w:type="dxa"/>
            <w:noWrap/>
            <w:vAlign w:val="center"/>
            <w:hideMark/>
          </w:tcPr>
          <w:p w14:paraId="1CDAF99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340114BF" w14:textId="77777777" w:rsidTr="002E3F44">
        <w:trPr>
          <w:trHeight w:val="199"/>
        </w:trPr>
        <w:tc>
          <w:tcPr>
            <w:tcW w:w="3367" w:type="dxa"/>
            <w:noWrap/>
            <w:vAlign w:val="bottom"/>
            <w:hideMark/>
          </w:tcPr>
          <w:p w14:paraId="58DCF84D"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302E936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8ttj-c</w:t>
            </w:r>
          </w:p>
        </w:tc>
        <w:tc>
          <w:tcPr>
            <w:tcW w:w="1584" w:type="dxa"/>
            <w:noWrap/>
            <w:vAlign w:val="center"/>
            <w:hideMark/>
          </w:tcPr>
          <w:p w14:paraId="05DA238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473</w:t>
            </w:r>
          </w:p>
        </w:tc>
        <w:tc>
          <w:tcPr>
            <w:tcW w:w="1445" w:type="dxa"/>
            <w:noWrap/>
            <w:vAlign w:val="center"/>
            <w:hideMark/>
          </w:tcPr>
          <w:p w14:paraId="1C909EB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522</w:t>
            </w:r>
          </w:p>
        </w:tc>
        <w:tc>
          <w:tcPr>
            <w:tcW w:w="1228" w:type="dxa"/>
            <w:noWrap/>
            <w:vAlign w:val="center"/>
            <w:hideMark/>
          </w:tcPr>
          <w:p w14:paraId="7326D68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3FB58DE6"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2885A83F"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2A944FF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2pyx-b</w:t>
            </w:r>
          </w:p>
        </w:tc>
        <w:tc>
          <w:tcPr>
            <w:tcW w:w="1584" w:type="dxa"/>
            <w:noWrap/>
            <w:vAlign w:val="center"/>
            <w:hideMark/>
          </w:tcPr>
          <w:p w14:paraId="16CC200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2FF584F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525</w:t>
            </w:r>
          </w:p>
        </w:tc>
        <w:tc>
          <w:tcPr>
            <w:tcW w:w="1228" w:type="dxa"/>
            <w:noWrap/>
            <w:vAlign w:val="center"/>
            <w:hideMark/>
          </w:tcPr>
          <w:p w14:paraId="78FA91B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18D06FB7" w14:textId="77777777" w:rsidTr="002E3F44">
        <w:trPr>
          <w:trHeight w:val="199"/>
        </w:trPr>
        <w:tc>
          <w:tcPr>
            <w:tcW w:w="3367" w:type="dxa"/>
            <w:noWrap/>
            <w:vAlign w:val="bottom"/>
            <w:hideMark/>
          </w:tcPr>
          <w:p w14:paraId="331177D0"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402E367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2e4g-a</w:t>
            </w:r>
          </w:p>
        </w:tc>
        <w:tc>
          <w:tcPr>
            <w:tcW w:w="1584" w:type="dxa"/>
            <w:noWrap/>
            <w:vAlign w:val="center"/>
            <w:hideMark/>
          </w:tcPr>
          <w:p w14:paraId="47EB324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24F5254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529</w:t>
            </w:r>
          </w:p>
        </w:tc>
        <w:tc>
          <w:tcPr>
            <w:tcW w:w="1228" w:type="dxa"/>
            <w:noWrap/>
            <w:vAlign w:val="center"/>
            <w:hideMark/>
          </w:tcPr>
          <w:p w14:paraId="6BA44AA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2804C215"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0F5A75F5"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1C6BED8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8ttj-a</w:t>
            </w:r>
          </w:p>
        </w:tc>
        <w:tc>
          <w:tcPr>
            <w:tcW w:w="1584" w:type="dxa"/>
            <w:noWrap/>
            <w:vAlign w:val="center"/>
            <w:hideMark/>
          </w:tcPr>
          <w:p w14:paraId="73833BD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472</w:t>
            </w:r>
          </w:p>
        </w:tc>
        <w:tc>
          <w:tcPr>
            <w:tcW w:w="1445" w:type="dxa"/>
            <w:noWrap/>
            <w:vAlign w:val="center"/>
            <w:hideMark/>
          </w:tcPr>
          <w:p w14:paraId="0C9C6A8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523</w:t>
            </w:r>
          </w:p>
        </w:tc>
        <w:tc>
          <w:tcPr>
            <w:tcW w:w="1228" w:type="dxa"/>
            <w:noWrap/>
            <w:vAlign w:val="center"/>
            <w:hideMark/>
          </w:tcPr>
          <w:p w14:paraId="67AE627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44256E58" w14:textId="77777777" w:rsidTr="002E3F44">
        <w:trPr>
          <w:trHeight w:val="199"/>
        </w:trPr>
        <w:tc>
          <w:tcPr>
            <w:tcW w:w="3367" w:type="dxa"/>
            <w:noWrap/>
            <w:vAlign w:val="bottom"/>
            <w:hideMark/>
          </w:tcPr>
          <w:p w14:paraId="59965859"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77C83B6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6ul2-d</w:t>
            </w:r>
          </w:p>
        </w:tc>
        <w:tc>
          <w:tcPr>
            <w:tcW w:w="1584" w:type="dxa"/>
            <w:noWrap/>
            <w:vAlign w:val="center"/>
            <w:hideMark/>
          </w:tcPr>
          <w:p w14:paraId="579CB06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468</w:t>
            </w:r>
          </w:p>
        </w:tc>
        <w:tc>
          <w:tcPr>
            <w:tcW w:w="1445" w:type="dxa"/>
            <w:noWrap/>
            <w:vAlign w:val="center"/>
            <w:hideMark/>
          </w:tcPr>
          <w:p w14:paraId="3128E16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517</w:t>
            </w:r>
          </w:p>
        </w:tc>
        <w:tc>
          <w:tcPr>
            <w:tcW w:w="1228" w:type="dxa"/>
            <w:noWrap/>
            <w:vAlign w:val="center"/>
            <w:hideMark/>
          </w:tcPr>
          <w:p w14:paraId="085BC87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40331976"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6B06F0E5"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0454739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8ttj-b</w:t>
            </w:r>
          </w:p>
        </w:tc>
        <w:tc>
          <w:tcPr>
            <w:tcW w:w="1584" w:type="dxa"/>
            <w:noWrap/>
            <w:vAlign w:val="center"/>
            <w:hideMark/>
          </w:tcPr>
          <w:p w14:paraId="36E3E93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472</w:t>
            </w:r>
          </w:p>
        </w:tc>
        <w:tc>
          <w:tcPr>
            <w:tcW w:w="1445" w:type="dxa"/>
            <w:noWrap/>
            <w:vAlign w:val="center"/>
            <w:hideMark/>
          </w:tcPr>
          <w:p w14:paraId="60777A2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523</w:t>
            </w:r>
          </w:p>
        </w:tc>
        <w:tc>
          <w:tcPr>
            <w:tcW w:w="1228" w:type="dxa"/>
            <w:noWrap/>
            <w:vAlign w:val="center"/>
            <w:hideMark/>
          </w:tcPr>
          <w:p w14:paraId="62966F2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580B0FAE" w14:textId="77777777" w:rsidTr="002E3F44">
        <w:trPr>
          <w:trHeight w:val="199"/>
        </w:trPr>
        <w:tc>
          <w:tcPr>
            <w:tcW w:w="3367" w:type="dxa"/>
            <w:noWrap/>
            <w:vAlign w:val="bottom"/>
            <w:hideMark/>
          </w:tcPr>
          <w:p w14:paraId="0364AC19"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Halogenase</w:t>
            </w:r>
          </w:p>
        </w:tc>
        <w:tc>
          <w:tcPr>
            <w:tcW w:w="990" w:type="dxa"/>
            <w:noWrap/>
            <w:vAlign w:val="center"/>
            <w:hideMark/>
          </w:tcPr>
          <w:p w14:paraId="482AE19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2pyx-a</w:t>
            </w:r>
          </w:p>
        </w:tc>
        <w:tc>
          <w:tcPr>
            <w:tcW w:w="1584" w:type="dxa"/>
            <w:noWrap/>
            <w:vAlign w:val="center"/>
            <w:hideMark/>
          </w:tcPr>
          <w:p w14:paraId="301D6BFF"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73C4DF1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526</w:t>
            </w:r>
          </w:p>
        </w:tc>
        <w:tc>
          <w:tcPr>
            <w:tcW w:w="1228" w:type="dxa"/>
            <w:noWrap/>
            <w:vAlign w:val="center"/>
            <w:hideMark/>
          </w:tcPr>
          <w:p w14:paraId="62AE695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11FD5A74"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3B657C73"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Flavin-Dependent Tryptophan Halogenase RebH</w:t>
            </w:r>
          </w:p>
        </w:tc>
        <w:tc>
          <w:tcPr>
            <w:tcW w:w="990" w:type="dxa"/>
            <w:noWrap/>
            <w:vAlign w:val="center"/>
            <w:hideMark/>
          </w:tcPr>
          <w:p w14:paraId="3F64136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4lu6-a</w:t>
            </w:r>
          </w:p>
        </w:tc>
        <w:tc>
          <w:tcPr>
            <w:tcW w:w="1584" w:type="dxa"/>
            <w:noWrap/>
            <w:vAlign w:val="center"/>
            <w:hideMark/>
          </w:tcPr>
          <w:p w14:paraId="7D4854A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5AE400B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527</w:t>
            </w:r>
          </w:p>
        </w:tc>
        <w:tc>
          <w:tcPr>
            <w:tcW w:w="1228" w:type="dxa"/>
            <w:noWrap/>
            <w:vAlign w:val="center"/>
            <w:hideMark/>
          </w:tcPr>
          <w:p w14:paraId="77FBCD3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142E3237" w14:textId="77777777" w:rsidTr="002E3F44">
        <w:trPr>
          <w:trHeight w:val="199"/>
        </w:trPr>
        <w:tc>
          <w:tcPr>
            <w:tcW w:w="3367" w:type="dxa"/>
            <w:noWrap/>
            <w:vAlign w:val="bottom"/>
            <w:hideMark/>
          </w:tcPr>
          <w:p w14:paraId="3F83DE18"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40EC234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6ul2-b</w:t>
            </w:r>
          </w:p>
        </w:tc>
        <w:tc>
          <w:tcPr>
            <w:tcW w:w="1584" w:type="dxa"/>
            <w:noWrap/>
            <w:vAlign w:val="center"/>
            <w:hideMark/>
          </w:tcPr>
          <w:p w14:paraId="3E12052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471</w:t>
            </w:r>
          </w:p>
        </w:tc>
        <w:tc>
          <w:tcPr>
            <w:tcW w:w="1445" w:type="dxa"/>
            <w:noWrap/>
            <w:vAlign w:val="center"/>
            <w:hideMark/>
          </w:tcPr>
          <w:p w14:paraId="545B8E8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521</w:t>
            </w:r>
          </w:p>
        </w:tc>
        <w:tc>
          <w:tcPr>
            <w:tcW w:w="1228" w:type="dxa"/>
            <w:noWrap/>
            <w:vAlign w:val="center"/>
            <w:hideMark/>
          </w:tcPr>
          <w:p w14:paraId="57773B6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4C5FD271"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4B491503"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4DB7F44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7aqu-a</w:t>
            </w:r>
          </w:p>
        </w:tc>
        <w:tc>
          <w:tcPr>
            <w:tcW w:w="1584" w:type="dxa"/>
            <w:noWrap/>
            <w:vAlign w:val="center"/>
            <w:hideMark/>
          </w:tcPr>
          <w:p w14:paraId="2523EA2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476</w:t>
            </w:r>
          </w:p>
        </w:tc>
        <w:tc>
          <w:tcPr>
            <w:tcW w:w="1445" w:type="dxa"/>
            <w:noWrap/>
            <w:vAlign w:val="center"/>
            <w:hideMark/>
          </w:tcPr>
          <w:p w14:paraId="6DDA3B7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530</w:t>
            </w:r>
          </w:p>
        </w:tc>
        <w:tc>
          <w:tcPr>
            <w:tcW w:w="1228" w:type="dxa"/>
            <w:noWrap/>
            <w:vAlign w:val="center"/>
            <w:hideMark/>
          </w:tcPr>
          <w:p w14:paraId="6827727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31</w:t>
            </w:r>
          </w:p>
        </w:tc>
      </w:tr>
      <w:tr w:rsidR="009C7D45" w:rsidRPr="004235CC" w14:paraId="3A5E24A2" w14:textId="77777777" w:rsidTr="002E3F44">
        <w:trPr>
          <w:trHeight w:val="199"/>
        </w:trPr>
        <w:tc>
          <w:tcPr>
            <w:tcW w:w="3367" w:type="dxa"/>
            <w:noWrap/>
            <w:vAlign w:val="bottom"/>
            <w:hideMark/>
          </w:tcPr>
          <w:p w14:paraId="13191943"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44EADB8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8tti-b</w:t>
            </w:r>
          </w:p>
        </w:tc>
        <w:tc>
          <w:tcPr>
            <w:tcW w:w="1584" w:type="dxa"/>
            <w:noWrap/>
            <w:vAlign w:val="center"/>
            <w:hideMark/>
          </w:tcPr>
          <w:p w14:paraId="00F3DE9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472</w:t>
            </w:r>
          </w:p>
        </w:tc>
        <w:tc>
          <w:tcPr>
            <w:tcW w:w="1445" w:type="dxa"/>
            <w:noWrap/>
            <w:vAlign w:val="center"/>
            <w:hideMark/>
          </w:tcPr>
          <w:p w14:paraId="26AF5B4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522</w:t>
            </w:r>
          </w:p>
        </w:tc>
        <w:tc>
          <w:tcPr>
            <w:tcW w:w="1228" w:type="dxa"/>
            <w:noWrap/>
            <w:vAlign w:val="center"/>
            <w:hideMark/>
          </w:tcPr>
          <w:p w14:paraId="304DF93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270D464C"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48B029CA"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293FFEC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7cu0-b</w:t>
            </w:r>
          </w:p>
        </w:tc>
        <w:tc>
          <w:tcPr>
            <w:tcW w:w="1584" w:type="dxa"/>
            <w:noWrap/>
            <w:vAlign w:val="center"/>
            <w:hideMark/>
          </w:tcPr>
          <w:p w14:paraId="171CF9D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475</w:t>
            </w:r>
          </w:p>
        </w:tc>
        <w:tc>
          <w:tcPr>
            <w:tcW w:w="1445" w:type="dxa"/>
            <w:noWrap/>
            <w:vAlign w:val="center"/>
            <w:hideMark/>
          </w:tcPr>
          <w:p w14:paraId="4DA8C09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531</w:t>
            </w:r>
          </w:p>
        </w:tc>
        <w:tc>
          <w:tcPr>
            <w:tcW w:w="1228" w:type="dxa"/>
            <w:noWrap/>
            <w:vAlign w:val="center"/>
            <w:hideMark/>
          </w:tcPr>
          <w:p w14:paraId="5DF1F9E9"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30</w:t>
            </w:r>
          </w:p>
        </w:tc>
      </w:tr>
      <w:tr w:rsidR="009C7D45" w:rsidRPr="004235CC" w14:paraId="1F1ABFC5" w14:textId="77777777" w:rsidTr="002E3F44">
        <w:trPr>
          <w:trHeight w:val="199"/>
        </w:trPr>
        <w:tc>
          <w:tcPr>
            <w:tcW w:w="3367" w:type="dxa"/>
            <w:noWrap/>
            <w:vAlign w:val="bottom"/>
            <w:hideMark/>
          </w:tcPr>
          <w:p w14:paraId="434EA59B"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3B33F68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8ad7-a</w:t>
            </w:r>
          </w:p>
        </w:tc>
        <w:tc>
          <w:tcPr>
            <w:tcW w:w="1584" w:type="dxa"/>
            <w:noWrap/>
            <w:vAlign w:val="center"/>
            <w:hideMark/>
          </w:tcPr>
          <w:p w14:paraId="5385CDB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4F30FD0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529</w:t>
            </w:r>
          </w:p>
        </w:tc>
        <w:tc>
          <w:tcPr>
            <w:tcW w:w="1228" w:type="dxa"/>
            <w:noWrap/>
            <w:vAlign w:val="center"/>
            <w:hideMark/>
          </w:tcPr>
          <w:p w14:paraId="2567EDC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30</w:t>
            </w:r>
          </w:p>
        </w:tc>
      </w:tr>
      <w:tr w:rsidR="009C7D45" w:rsidRPr="004235CC" w14:paraId="5096171D"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603BAA6D"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6C060AD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7cu0-a</w:t>
            </w:r>
          </w:p>
        </w:tc>
        <w:tc>
          <w:tcPr>
            <w:tcW w:w="1584" w:type="dxa"/>
            <w:noWrap/>
            <w:vAlign w:val="center"/>
            <w:hideMark/>
          </w:tcPr>
          <w:p w14:paraId="3EDA9B8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475</w:t>
            </w:r>
          </w:p>
        </w:tc>
        <w:tc>
          <w:tcPr>
            <w:tcW w:w="1445" w:type="dxa"/>
            <w:noWrap/>
            <w:vAlign w:val="center"/>
            <w:hideMark/>
          </w:tcPr>
          <w:p w14:paraId="638D06D2"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532</w:t>
            </w:r>
          </w:p>
        </w:tc>
        <w:tc>
          <w:tcPr>
            <w:tcW w:w="1228" w:type="dxa"/>
            <w:noWrap/>
            <w:vAlign w:val="center"/>
            <w:hideMark/>
          </w:tcPr>
          <w:p w14:paraId="344B876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30</w:t>
            </w:r>
          </w:p>
        </w:tc>
      </w:tr>
      <w:tr w:rsidR="009C7D45" w:rsidRPr="004235CC" w14:paraId="3B1C64A8" w14:textId="77777777" w:rsidTr="002E3F44">
        <w:trPr>
          <w:trHeight w:val="199"/>
        </w:trPr>
        <w:tc>
          <w:tcPr>
            <w:tcW w:w="3367" w:type="dxa"/>
            <w:noWrap/>
            <w:vAlign w:val="bottom"/>
            <w:hideMark/>
          </w:tcPr>
          <w:p w14:paraId="2901A32E"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3EDDE7E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6slt-a</w:t>
            </w:r>
          </w:p>
        </w:tc>
        <w:tc>
          <w:tcPr>
            <w:tcW w:w="1584" w:type="dxa"/>
            <w:noWrap/>
            <w:vAlign w:val="center"/>
            <w:hideMark/>
          </w:tcPr>
          <w:p w14:paraId="6216CB6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477</w:t>
            </w:r>
          </w:p>
        </w:tc>
        <w:tc>
          <w:tcPr>
            <w:tcW w:w="1445" w:type="dxa"/>
            <w:noWrap/>
            <w:vAlign w:val="center"/>
            <w:hideMark/>
          </w:tcPr>
          <w:p w14:paraId="1F87297C"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529</w:t>
            </w:r>
          </w:p>
        </w:tc>
        <w:tc>
          <w:tcPr>
            <w:tcW w:w="1228" w:type="dxa"/>
            <w:noWrap/>
            <w:vAlign w:val="center"/>
            <w:hideMark/>
          </w:tcPr>
          <w:p w14:paraId="1F4F2A7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30</w:t>
            </w:r>
          </w:p>
        </w:tc>
      </w:tr>
      <w:tr w:rsidR="009C7D45" w:rsidRPr="004235CC" w14:paraId="0DFB716D"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4B4E4391"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 6-Halogenase</w:t>
            </w:r>
          </w:p>
        </w:tc>
        <w:tc>
          <w:tcPr>
            <w:tcW w:w="990" w:type="dxa"/>
            <w:noWrap/>
            <w:vAlign w:val="center"/>
            <w:hideMark/>
          </w:tcPr>
          <w:p w14:paraId="1482F6E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6ul2-c</w:t>
            </w:r>
          </w:p>
        </w:tc>
        <w:tc>
          <w:tcPr>
            <w:tcW w:w="1584" w:type="dxa"/>
            <w:noWrap/>
            <w:vAlign w:val="center"/>
            <w:hideMark/>
          </w:tcPr>
          <w:p w14:paraId="7F46E4F7"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471</w:t>
            </w:r>
          </w:p>
        </w:tc>
        <w:tc>
          <w:tcPr>
            <w:tcW w:w="1445" w:type="dxa"/>
            <w:noWrap/>
            <w:vAlign w:val="center"/>
            <w:hideMark/>
          </w:tcPr>
          <w:p w14:paraId="5DCACAE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520</w:t>
            </w:r>
          </w:p>
        </w:tc>
        <w:tc>
          <w:tcPr>
            <w:tcW w:w="1228" w:type="dxa"/>
            <w:noWrap/>
            <w:vAlign w:val="center"/>
            <w:hideMark/>
          </w:tcPr>
          <w:p w14:paraId="47D6941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32</w:t>
            </w:r>
          </w:p>
        </w:tc>
      </w:tr>
      <w:tr w:rsidR="009C7D45" w:rsidRPr="004235CC" w14:paraId="0E449224" w14:textId="77777777" w:rsidTr="002E3F44">
        <w:trPr>
          <w:trHeight w:val="199"/>
        </w:trPr>
        <w:tc>
          <w:tcPr>
            <w:tcW w:w="3367" w:type="dxa"/>
            <w:noWrap/>
            <w:vAlign w:val="bottom"/>
            <w:hideMark/>
          </w:tcPr>
          <w:p w14:paraId="023B11E2"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Tryptophane-5-Halogenase</w:t>
            </w:r>
          </w:p>
        </w:tc>
        <w:tc>
          <w:tcPr>
            <w:tcW w:w="990" w:type="dxa"/>
            <w:noWrap/>
            <w:vAlign w:val="center"/>
            <w:hideMark/>
          </w:tcPr>
          <w:p w14:paraId="2F29AFD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5uao-c</w:t>
            </w:r>
          </w:p>
        </w:tc>
        <w:tc>
          <w:tcPr>
            <w:tcW w:w="1584" w:type="dxa"/>
            <w:noWrap/>
            <w:vAlign w:val="center"/>
            <w:hideMark/>
          </w:tcPr>
          <w:p w14:paraId="6D4ABEE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459</w:t>
            </w:r>
          </w:p>
        </w:tc>
        <w:tc>
          <w:tcPr>
            <w:tcW w:w="1445" w:type="dxa"/>
            <w:noWrap/>
            <w:vAlign w:val="center"/>
            <w:hideMark/>
          </w:tcPr>
          <w:p w14:paraId="678B0D9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514</w:t>
            </w:r>
          </w:p>
        </w:tc>
        <w:tc>
          <w:tcPr>
            <w:tcW w:w="1228" w:type="dxa"/>
            <w:noWrap/>
            <w:vAlign w:val="center"/>
            <w:hideMark/>
          </w:tcPr>
          <w:p w14:paraId="5C9654EB"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25</w:t>
            </w:r>
          </w:p>
        </w:tc>
      </w:tr>
      <w:tr w:rsidR="009C7D45" w:rsidRPr="004235CC" w14:paraId="207CB430"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77A72F97"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Tryptophane-5-Halogenase</w:t>
            </w:r>
          </w:p>
        </w:tc>
        <w:tc>
          <w:tcPr>
            <w:tcW w:w="990" w:type="dxa"/>
            <w:noWrap/>
            <w:vAlign w:val="center"/>
            <w:hideMark/>
          </w:tcPr>
          <w:p w14:paraId="63D99CC1"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5uao-d</w:t>
            </w:r>
          </w:p>
        </w:tc>
        <w:tc>
          <w:tcPr>
            <w:tcW w:w="1584" w:type="dxa"/>
            <w:noWrap/>
            <w:vAlign w:val="center"/>
            <w:hideMark/>
          </w:tcPr>
          <w:p w14:paraId="2E5F7D5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461</w:t>
            </w:r>
          </w:p>
        </w:tc>
        <w:tc>
          <w:tcPr>
            <w:tcW w:w="1445" w:type="dxa"/>
            <w:noWrap/>
            <w:vAlign w:val="center"/>
            <w:hideMark/>
          </w:tcPr>
          <w:p w14:paraId="20585BA8"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514</w:t>
            </w:r>
          </w:p>
        </w:tc>
        <w:tc>
          <w:tcPr>
            <w:tcW w:w="1228" w:type="dxa"/>
            <w:noWrap/>
            <w:vAlign w:val="center"/>
            <w:hideMark/>
          </w:tcPr>
          <w:p w14:paraId="78C108D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25</w:t>
            </w:r>
          </w:p>
        </w:tc>
      </w:tr>
      <w:tr w:rsidR="009C7D45" w:rsidRPr="004235CC" w14:paraId="7FFDA139" w14:textId="77777777" w:rsidTr="002E3F44">
        <w:trPr>
          <w:trHeight w:val="199"/>
        </w:trPr>
        <w:tc>
          <w:tcPr>
            <w:tcW w:w="3367" w:type="dxa"/>
            <w:noWrap/>
            <w:vAlign w:val="bottom"/>
            <w:hideMark/>
          </w:tcPr>
          <w:p w14:paraId="6B1962FC"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Tryptophane-5-Halogenase</w:t>
            </w:r>
          </w:p>
        </w:tc>
        <w:tc>
          <w:tcPr>
            <w:tcW w:w="990" w:type="dxa"/>
            <w:noWrap/>
            <w:vAlign w:val="center"/>
            <w:hideMark/>
          </w:tcPr>
          <w:p w14:paraId="47F75DAD"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5uao-a</w:t>
            </w:r>
          </w:p>
        </w:tc>
        <w:tc>
          <w:tcPr>
            <w:tcW w:w="1584" w:type="dxa"/>
            <w:noWrap/>
            <w:vAlign w:val="center"/>
            <w:hideMark/>
          </w:tcPr>
          <w:p w14:paraId="77D180B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460</w:t>
            </w:r>
          </w:p>
        </w:tc>
        <w:tc>
          <w:tcPr>
            <w:tcW w:w="1445" w:type="dxa"/>
            <w:noWrap/>
            <w:vAlign w:val="center"/>
            <w:hideMark/>
          </w:tcPr>
          <w:p w14:paraId="3B433E7A"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519</w:t>
            </w:r>
          </w:p>
        </w:tc>
        <w:tc>
          <w:tcPr>
            <w:tcW w:w="1228" w:type="dxa"/>
            <w:noWrap/>
            <w:vAlign w:val="center"/>
            <w:hideMark/>
          </w:tcPr>
          <w:p w14:paraId="1DC0941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25</w:t>
            </w:r>
          </w:p>
        </w:tc>
      </w:tr>
      <w:tr w:rsidR="009C7D45" w:rsidRPr="004235CC" w14:paraId="588536C9" w14:textId="77777777" w:rsidTr="002E3F44">
        <w:trPr>
          <w:cnfStyle w:val="000000100000" w:firstRow="0" w:lastRow="0" w:firstColumn="0" w:lastColumn="0" w:oddVBand="0" w:evenVBand="0" w:oddHBand="1" w:evenHBand="0" w:firstRowFirstColumn="0" w:firstRowLastColumn="0" w:lastRowFirstColumn="0" w:lastRowLastColumn="0"/>
          <w:trHeight w:val="199"/>
        </w:trPr>
        <w:tc>
          <w:tcPr>
            <w:tcW w:w="3367" w:type="dxa"/>
            <w:noWrap/>
            <w:vAlign w:val="bottom"/>
            <w:hideMark/>
          </w:tcPr>
          <w:p w14:paraId="401EFF5E"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VirX1</w:t>
            </w:r>
          </w:p>
        </w:tc>
        <w:tc>
          <w:tcPr>
            <w:tcW w:w="990" w:type="dxa"/>
            <w:noWrap/>
            <w:vAlign w:val="center"/>
            <w:hideMark/>
          </w:tcPr>
          <w:p w14:paraId="00379623"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6qgm-c</w:t>
            </w:r>
          </w:p>
        </w:tc>
        <w:tc>
          <w:tcPr>
            <w:tcW w:w="1584" w:type="dxa"/>
            <w:noWrap/>
            <w:vAlign w:val="center"/>
            <w:hideMark/>
          </w:tcPr>
          <w:p w14:paraId="6F878026"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474</w:t>
            </w:r>
          </w:p>
        </w:tc>
        <w:tc>
          <w:tcPr>
            <w:tcW w:w="1445" w:type="dxa"/>
            <w:noWrap/>
            <w:vAlign w:val="center"/>
            <w:hideMark/>
          </w:tcPr>
          <w:p w14:paraId="3C4C1DE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522</w:t>
            </w:r>
          </w:p>
        </w:tc>
        <w:tc>
          <w:tcPr>
            <w:tcW w:w="1228" w:type="dxa"/>
            <w:noWrap/>
            <w:vAlign w:val="center"/>
            <w:hideMark/>
          </w:tcPr>
          <w:p w14:paraId="4F24F98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28</w:t>
            </w:r>
          </w:p>
        </w:tc>
      </w:tr>
      <w:tr w:rsidR="009C7D45" w:rsidRPr="004235CC" w14:paraId="5C75DC7C" w14:textId="77777777" w:rsidTr="002E3F44">
        <w:trPr>
          <w:trHeight w:val="199"/>
        </w:trPr>
        <w:tc>
          <w:tcPr>
            <w:tcW w:w="3367" w:type="dxa"/>
            <w:tcBorders>
              <w:bottom w:val="single" w:sz="4" w:space="0" w:color="auto"/>
            </w:tcBorders>
            <w:noWrap/>
            <w:vAlign w:val="bottom"/>
            <w:hideMark/>
          </w:tcPr>
          <w:p w14:paraId="0993A433" w14:textId="77777777" w:rsidR="009C7D45" w:rsidRPr="004235CC" w:rsidRDefault="009C7D45" w:rsidP="002E3F44">
            <w:pPr>
              <w:spacing w:line="240" w:lineRule="auto"/>
              <w:ind w:firstLine="0"/>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Tryptophane-5-Halogenase</w:t>
            </w:r>
          </w:p>
        </w:tc>
        <w:tc>
          <w:tcPr>
            <w:tcW w:w="990" w:type="dxa"/>
            <w:tcBorders>
              <w:bottom w:val="single" w:sz="4" w:space="0" w:color="auto"/>
            </w:tcBorders>
            <w:noWrap/>
            <w:vAlign w:val="center"/>
            <w:hideMark/>
          </w:tcPr>
          <w:p w14:paraId="000EF094"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5uao-b</w:t>
            </w:r>
          </w:p>
        </w:tc>
        <w:tc>
          <w:tcPr>
            <w:tcW w:w="1584" w:type="dxa"/>
            <w:tcBorders>
              <w:bottom w:val="single" w:sz="4" w:space="0" w:color="auto"/>
            </w:tcBorders>
            <w:noWrap/>
            <w:vAlign w:val="center"/>
            <w:hideMark/>
          </w:tcPr>
          <w:p w14:paraId="58300C25"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459</w:t>
            </w:r>
          </w:p>
        </w:tc>
        <w:tc>
          <w:tcPr>
            <w:tcW w:w="1445" w:type="dxa"/>
            <w:tcBorders>
              <w:bottom w:val="single" w:sz="4" w:space="0" w:color="auto"/>
            </w:tcBorders>
            <w:noWrap/>
            <w:vAlign w:val="center"/>
            <w:hideMark/>
          </w:tcPr>
          <w:p w14:paraId="464ED1FE"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516</w:t>
            </w:r>
          </w:p>
        </w:tc>
        <w:tc>
          <w:tcPr>
            <w:tcW w:w="1228" w:type="dxa"/>
            <w:tcBorders>
              <w:bottom w:val="single" w:sz="4" w:space="0" w:color="auto"/>
            </w:tcBorders>
            <w:noWrap/>
            <w:vAlign w:val="center"/>
            <w:hideMark/>
          </w:tcPr>
          <w:p w14:paraId="58DAC9A0" w14:textId="77777777" w:rsidR="009C7D45" w:rsidRPr="004235CC" w:rsidRDefault="009C7D45" w:rsidP="002E3F44">
            <w:pPr>
              <w:spacing w:line="240" w:lineRule="auto"/>
              <w:ind w:firstLine="0"/>
              <w:jc w:val="center"/>
              <w:rPr>
                <w:rFonts w:ascii="Times New Roman" w:eastAsia="Times New Roman" w:hAnsi="Times New Roman" w:cs="Times New Roman"/>
                <w:color w:val="000000"/>
                <w:sz w:val="24"/>
                <w:szCs w:val="24"/>
                <w:lang w:val="en-US"/>
              </w:rPr>
            </w:pPr>
            <w:r w:rsidRPr="004235CC">
              <w:rPr>
                <w:rFonts w:ascii="Times New Roman" w:eastAsia="Times New Roman" w:hAnsi="Times New Roman" w:cs="Times New Roman"/>
                <w:color w:val="000000"/>
                <w:sz w:val="24"/>
                <w:szCs w:val="24"/>
                <w:lang w:val="en-US"/>
              </w:rPr>
              <w:t>25</w:t>
            </w:r>
          </w:p>
        </w:tc>
      </w:tr>
    </w:tbl>
    <w:p w14:paraId="30986753" w14:textId="77777777" w:rsidR="009C7D45" w:rsidRPr="00CE4E6D" w:rsidRDefault="009C7D45" w:rsidP="009C7D45">
      <w:pPr>
        <w:rPr>
          <w:rFonts w:cs="Times New Roman"/>
          <w:b/>
          <w:bCs/>
        </w:rPr>
      </w:pPr>
    </w:p>
    <w:p w14:paraId="202914C9" w14:textId="7154E733" w:rsidR="00121FFD" w:rsidRPr="00CE4E6D" w:rsidRDefault="009C7D45" w:rsidP="00A16CD3">
      <w:pPr>
        <w:spacing w:line="240" w:lineRule="auto"/>
        <w:ind w:firstLine="0"/>
        <w:rPr>
          <w:rFonts w:cs="Times New Roman"/>
        </w:rPr>
      </w:pPr>
      <w:r w:rsidRPr="00CE4E6D">
        <w:rPr>
          <w:rFonts w:cs="Times New Roman"/>
        </w:rPr>
        <w:br w:type="page"/>
      </w:r>
    </w:p>
    <w:p w14:paraId="755C3737" w14:textId="77777777" w:rsidR="00CE4E6D" w:rsidRPr="00CE4E6D" w:rsidRDefault="00121FFD" w:rsidP="00CE4E6D">
      <w:pPr>
        <w:keepNext/>
        <w:spacing w:line="480" w:lineRule="auto"/>
        <w:ind w:firstLine="0"/>
        <w:rPr>
          <w:rFonts w:cs="Times New Roman"/>
        </w:rPr>
      </w:pPr>
      <w:r w:rsidRPr="00CE4E6D">
        <w:rPr>
          <w:rFonts w:cs="Times New Roman"/>
          <w:noProof/>
        </w:rPr>
        <w:lastRenderedPageBreak/>
        <w:drawing>
          <wp:inline distT="0" distB="0" distL="0" distR="0" wp14:anchorId="38F6B85E" wp14:editId="04850477">
            <wp:extent cx="5465922" cy="3686177"/>
            <wp:effectExtent l="0" t="0" r="1905" b="0"/>
            <wp:docPr id="1940110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110934" name="Picture 1"/>
                    <pic:cNvPicPr>
                      <a:picLocks noChangeAspect="1" noChangeArrowheads="1"/>
                    </pic:cNvPicPr>
                  </pic:nvPicPr>
                  <pic:blipFill>
                    <a:blip r:embed="rId415">
                      <a:extLst>
                        <a:ext uri="{28A0092B-C50C-407E-A947-70E740481C1C}">
                          <a14:useLocalDpi xmlns:a14="http://schemas.microsoft.com/office/drawing/2010/main" val="0"/>
                        </a:ext>
                      </a:extLst>
                    </a:blip>
                    <a:srcRect t="2641" b="2641"/>
                    <a:stretch>
                      <a:fillRect/>
                    </a:stretch>
                  </pic:blipFill>
                  <pic:spPr bwMode="auto">
                    <a:xfrm>
                      <a:off x="0" y="0"/>
                      <a:ext cx="5465922" cy="3686177"/>
                    </a:xfrm>
                    <a:prstGeom prst="rect">
                      <a:avLst/>
                    </a:prstGeom>
                    <a:noFill/>
                    <a:ln>
                      <a:noFill/>
                    </a:ln>
                    <a:extLst>
                      <a:ext uri="{53640926-AAD7-44D8-BBD7-CCE9431645EC}">
                        <a14:shadowObscured xmlns:a14="http://schemas.microsoft.com/office/drawing/2010/main"/>
                      </a:ext>
                    </a:extLst>
                  </pic:spPr>
                </pic:pic>
              </a:graphicData>
            </a:graphic>
          </wp:inline>
        </w:drawing>
      </w:r>
    </w:p>
    <w:p w14:paraId="39601264" w14:textId="2CCCAA49" w:rsidR="00A16CD3" w:rsidRPr="00A16CD3" w:rsidRDefault="00CE4E6D" w:rsidP="00F13F6D">
      <w:pPr>
        <w:pStyle w:val="Caption"/>
      </w:pPr>
      <w:bookmarkStart w:id="271" w:name="_Toc193695195"/>
      <w:r w:rsidRPr="00CE4E6D">
        <w:t xml:space="preserve">Figure </w:t>
      </w:r>
      <w:fldSimple w:instr=" STYLEREF 1 \s ">
        <w:r w:rsidR="00971287">
          <w:rPr>
            <w:noProof/>
          </w:rPr>
          <w:t>6</w:t>
        </w:r>
      </w:fldSimple>
      <w:r w:rsidR="00F13F6D">
        <w:t>.</w:t>
      </w:r>
      <w:fldSimple w:instr=" SEQ Figure \* ARABIC \s 1 ">
        <w:r w:rsidR="00971287">
          <w:rPr>
            <w:noProof/>
          </w:rPr>
          <w:t>9</w:t>
        </w:r>
      </w:fldSimple>
      <w:r w:rsidRPr="00CE4E6D">
        <w:t>. Increase in CFUs following two and eight weeks of incubation for all experiments.</w:t>
      </w:r>
      <w:bookmarkEnd w:id="271"/>
    </w:p>
    <w:p w14:paraId="65502118" w14:textId="5CAB0F40" w:rsidR="00CE4E6D" w:rsidRPr="00CE4E6D" w:rsidRDefault="00CE4E6D" w:rsidP="00CE4E6D">
      <w:pPr>
        <w:keepNext/>
        <w:spacing w:line="480" w:lineRule="auto"/>
        <w:ind w:firstLine="0"/>
        <w:jc w:val="center"/>
        <w:rPr>
          <w:rFonts w:cs="Times New Roman"/>
        </w:rPr>
      </w:pPr>
    </w:p>
    <w:p w14:paraId="09E7B8E5" w14:textId="77777777" w:rsidR="00F86765" w:rsidRDefault="00F86765">
      <w:pPr>
        <w:spacing w:line="240" w:lineRule="auto"/>
        <w:ind w:firstLine="0"/>
        <w:rPr>
          <w:rFonts w:cs="Times New Roman"/>
          <w:b/>
          <w:bCs/>
          <w:iCs/>
          <w:color w:val="000000" w:themeColor="text1"/>
          <w:szCs w:val="22"/>
        </w:rPr>
      </w:pPr>
      <w:r>
        <w:rPr>
          <w:rFonts w:cs="Times New Roman"/>
        </w:rPr>
        <w:br w:type="page"/>
      </w:r>
    </w:p>
    <w:p w14:paraId="7D63FFB4" w14:textId="0BFD27AC" w:rsidR="00A16CD3" w:rsidRDefault="00A16CD3" w:rsidP="00F13F6D">
      <w:pPr>
        <w:pStyle w:val="Caption"/>
      </w:pPr>
      <w:r w:rsidRPr="00CE4E6D">
        <w:rPr>
          <w:noProof/>
        </w:rPr>
        <w:lastRenderedPageBreak/>
        <w:drawing>
          <wp:inline distT="0" distB="0" distL="0" distR="0" wp14:anchorId="48FC61AF" wp14:editId="27A443FF">
            <wp:extent cx="5485682" cy="1966906"/>
            <wp:effectExtent l="0" t="0" r="1270" b="0"/>
            <wp:docPr id="15294632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463271" name="Picture 8"/>
                    <pic:cNvPicPr>
                      <a:picLocks noChangeAspect="1" noChangeArrowheads="1"/>
                    </pic:cNvPicPr>
                  </pic:nvPicPr>
                  <pic:blipFill>
                    <a:blip r:embed="rId416" cstate="print">
                      <a:extLst>
                        <a:ext uri="{28A0092B-C50C-407E-A947-70E740481C1C}">
                          <a14:useLocalDpi xmlns:a14="http://schemas.microsoft.com/office/drawing/2010/main" val="0"/>
                        </a:ext>
                      </a:extLst>
                    </a:blip>
                    <a:stretch>
                      <a:fillRect/>
                    </a:stretch>
                  </pic:blipFill>
                  <pic:spPr bwMode="auto">
                    <a:xfrm>
                      <a:off x="0" y="0"/>
                      <a:ext cx="5485682" cy="1966906"/>
                    </a:xfrm>
                    <a:prstGeom prst="rect">
                      <a:avLst/>
                    </a:prstGeom>
                    <a:noFill/>
                    <a:ln>
                      <a:noFill/>
                    </a:ln>
                  </pic:spPr>
                </pic:pic>
              </a:graphicData>
            </a:graphic>
          </wp:inline>
        </w:drawing>
      </w:r>
    </w:p>
    <w:p w14:paraId="70EC3360" w14:textId="77777777" w:rsidR="00A16CD3" w:rsidRDefault="00A16CD3" w:rsidP="00F13F6D">
      <w:pPr>
        <w:pStyle w:val="Caption"/>
      </w:pPr>
    </w:p>
    <w:p w14:paraId="60767FBB" w14:textId="587EEDBF" w:rsidR="00121FFD" w:rsidRPr="00CE4E6D" w:rsidRDefault="00CE4E6D" w:rsidP="00F13F6D">
      <w:pPr>
        <w:pStyle w:val="Caption"/>
        <w:rPr>
          <w:szCs w:val="24"/>
        </w:rPr>
      </w:pPr>
      <w:bookmarkStart w:id="272" w:name="_Toc193695196"/>
      <w:r w:rsidRPr="00CE4E6D">
        <w:t xml:space="preserve">Figure </w:t>
      </w:r>
      <w:fldSimple w:instr=" STYLEREF 1 \s ">
        <w:r w:rsidR="00971287">
          <w:rPr>
            <w:noProof/>
          </w:rPr>
          <w:t>6</w:t>
        </w:r>
      </w:fldSimple>
      <w:r w:rsidR="00F13F6D">
        <w:t>.</w:t>
      </w:r>
      <w:fldSimple w:instr=" SEQ Figure \* ARABIC \s 1 ">
        <w:r w:rsidR="00971287">
          <w:rPr>
            <w:noProof/>
          </w:rPr>
          <w:t>10</w:t>
        </w:r>
      </w:fldSimple>
      <w:r w:rsidRPr="00CE4E6D">
        <w:t>. Visual transformation of insoluble in Fe following 2 weeks of incubation in Live +Fh incubations.</w:t>
      </w:r>
      <w:bookmarkEnd w:id="272"/>
    </w:p>
    <w:p w14:paraId="1832B6F1" w14:textId="77777777" w:rsidR="00F86765" w:rsidRDefault="00F86765">
      <w:pPr>
        <w:spacing w:line="240" w:lineRule="auto"/>
        <w:ind w:firstLine="0"/>
        <w:rPr>
          <w:rFonts w:cs="Times New Roman"/>
        </w:rPr>
      </w:pPr>
      <w:r>
        <w:rPr>
          <w:rFonts w:cs="Times New Roman"/>
        </w:rPr>
        <w:br w:type="page"/>
      </w:r>
    </w:p>
    <w:p w14:paraId="1AC126EB" w14:textId="19ACE0A4" w:rsidR="00CE4E6D" w:rsidRPr="00CE4E6D" w:rsidRDefault="00121FFD" w:rsidP="00CE4E6D">
      <w:pPr>
        <w:keepNext/>
        <w:spacing w:line="480" w:lineRule="auto"/>
        <w:ind w:firstLine="0"/>
        <w:jc w:val="center"/>
        <w:rPr>
          <w:rFonts w:cs="Times New Roman"/>
        </w:rPr>
      </w:pPr>
      <w:r w:rsidRPr="00CE4E6D">
        <w:rPr>
          <w:rFonts w:cs="Times New Roman"/>
          <w:noProof/>
        </w:rPr>
        <w:lastRenderedPageBreak/>
        <w:drawing>
          <wp:inline distT="0" distB="0" distL="0" distR="0" wp14:anchorId="2C3A61A0" wp14:editId="2AB2C7B5">
            <wp:extent cx="5470584" cy="5456575"/>
            <wp:effectExtent l="0" t="0" r="0" b="0"/>
            <wp:docPr id="14799838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83840" name="Picture 9"/>
                    <pic:cNvPicPr>
                      <a:picLocks noChangeAspect="1" noChangeArrowheads="1"/>
                    </pic:cNvPicPr>
                  </pic:nvPicPr>
                  <pic:blipFill>
                    <a:blip r:embed="rId417" cstate="print">
                      <a:extLst>
                        <a:ext uri="{28A0092B-C50C-407E-A947-70E740481C1C}">
                          <a14:useLocalDpi xmlns:a14="http://schemas.microsoft.com/office/drawing/2010/main" val="0"/>
                        </a:ext>
                      </a:extLst>
                    </a:blip>
                    <a:stretch>
                      <a:fillRect/>
                    </a:stretch>
                  </pic:blipFill>
                  <pic:spPr bwMode="auto">
                    <a:xfrm>
                      <a:off x="0" y="0"/>
                      <a:ext cx="5470584" cy="5456575"/>
                    </a:xfrm>
                    <a:prstGeom prst="rect">
                      <a:avLst/>
                    </a:prstGeom>
                    <a:noFill/>
                    <a:ln>
                      <a:noFill/>
                    </a:ln>
                  </pic:spPr>
                </pic:pic>
              </a:graphicData>
            </a:graphic>
          </wp:inline>
        </w:drawing>
      </w:r>
    </w:p>
    <w:p w14:paraId="738882B7" w14:textId="6D62EBAA" w:rsidR="00CE4E6D" w:rsidRPr="00CE4E6D" w:rsidRDefault="00CE4E6D" w:rsidP="00CE4E6D">
      <w:pPr>
        <w:spacing w:line="240" w:lineRule="auto"/>
        <w:ind w:firstLine="0"/>
        <w:rPr>
          <w:rFonts w:cs="Times New Roman"/>
          <w:i/>
          <w:iCs/>
        </w:rPr>
      </w:pPr>
      <w:bookmarkStart w:id="273" w:name="_Toc193695197"/>
      <w:r w:rsidRPr="00CE4E6D">
        <w:rPr>
          <w:rFonts w:cs="Times New Roman"/>
          <w:b/>
          <w:bCs/>
        </w:rPr>
        <w:t xml:space="preserve">Figure </w:t>
      </w:r>
      <w:r w:rsidR="00F13F6D">
        <w:rPr>
          <w:rFonts w:cs="Times New Roman"/>
          <w:b/>
          <w:bCs/>
        </w:rPr>
        <w:fldChar w:fldCharType="begin"/>
      </w:r>
      <w:r w:rsidR="00F13F6D">
        <w:rPr>
          <w:rFonts w:cs="Times New Roman"/>
          <w:b/>
          <w:bCs/>
        </w:rPr>
        <w:instrText xml:space="preserve"> STYLEREF 1 \s </w:instrText>
      </w:r>
      <w:r w:rsidR="00F13F6D">
        <w:rPr>
          <w:rFonts w:cs="Times New Roman"/>
          <w:b/>
          <w:bCs/>
        </w:rPr>
        <w:fldChar w:fldCharType="separate"/>
      </w:r>
      <w:r w:rsidR="00971287">
        <w:rPr>
          <w:rFonts w:cs="Times New Roman"/>
          <w:b/>
          <w:bCs/>
          <w:noProof/>
        </w:rPr>
        <w:t>6</w:t>
      </w:r>
      <w:r w:rsidR="00F13F6D">
        <w:rPr>
          <w:rFonts w:cs="Times New Roman"/>
          <w:b/>
          <w:bCs/>
        </w:rPr>
        <w:fldChar w:fldCharType="end"/>
      </w:r>
      <w:r w:rsidR="00F13F6D">
        <w:rPr>
          <w:rFonts w:cs="Times New Roman"/>
          <w:b/>
          <w:bCs/>
        </w:rPr>
        <w:t>.</w:t>
      </w:r>
      <w:r w:rsidR="00F13F6D">
        <w:rPr>
          <w:rFonts w:cs="Times New Roman"/>
          <w:b/>
          <w:bCs/>
        </w:rPr>
        <w:fldChar w:fldCharType="begin"/>
      </w:r>
      <w:r w:rsidR="00F13F6D">
        <w:rPr>
          <w:rFonts w:cs="Times New Roman"/>
          <w:b/>
          <w:bCs/>
        </w:rPr>
        <w:instrText xml:space="preserve"> SEQ Figure \* ARABIC \s 1 </w:instrText>
      </w:r>
      <w:r w:rsidR="00F13F6D">
        <w:rPr>
          <w:rFonts w:cs="Times New Roman"/>
          <w:b/>
          <w:bCs/>
        </w:rPr>
        <w:fldChar w:fldCharType="separate"/>
      </w:r>
      <w:r w:rsidR="00971287">
        <w:rPr>
          <w:rFonts w:cs="Times New Roman"/>
          <w:b/>
          <w:bCs/>
          <w:noProof/>
        </w:rPr>
        <w:t>11</w:t>
      </w:r>
      <w:r w:rsidR="00F13F6D">
        <w:rPr>
          <w:rFonts w:cs="Times New Roman"/>
          <w:b/>
          <w:bCs/>
        </w:rPr>
        <w:fldChar w:fldCharType="end"/>
      </w:r>
      <w:r w:rsidRPr="00CE4E6D">
        <w:rPr>
          <w:rFonts w:cs="Times New Roman"/>
          <w:b/>
          <w:bCs/>
        </w:rPr>
        <w:t>. Reduction of Fe(III) to Fe(II) as evidenced by FerroZine</w:t>
      </w:r>
      <w:r w:rsidRPr="00CE4E6D">
        <w:rPr>
          <w:rFonts w:cs="Times New Roman"/>
          <w:b/>
          <w:bCs/>
          <w:vertAlign w:val="superscript"/>
        </w:rPr>
        <w:t>TM</w:t>
      </w:r>
      <w:r w:rsidRPr="00CE4E6D">
        <w:rPr>
          <w:rFonts w:cs="Times New Roman"/>
          <w:b/>
          <w:bCs/>
        </w:rPr>
        <w:t xml:space="preserve"> colorimetric assay.</w:t>
      </w:r>
      <w:r w:rsidRPr="00CE4E6D">
        <w:rPr>
          <w:rFonts w:cs="Times New Roman"/>
        </w:rPr>
        <w:t xml:space="preserve"> All values are normalized to total Fe. (a) Fe(III) reduction in microcosms utilized for RNA-Seq. Total Fe(II) increased in Live microcosms over the course of incubation (t-test, *** = p &lt; 0.001, ns = not significant). Soluble Fe(II) and Fe(III) increased only on Day 13. (b) Fe(III) reduction in Live mineral microcosms. Treatments containing Fh + lactate + thiosulfate had greater Fe(III) reduction than those without thiosulfate. </w:t>
      </w:r>
      <w:r w:rsidRPr="00CE4E6D">
        <w:rPr>
          <w:rFonts w:cs="Times New Roman"/>
          <w:i/>
          <w:iCs/>
        </w:rPr>
        <w:t>ns – not significant</w:t>
      </w:r>
      <w:bookmarkEnd w:id="273"/>
    </w:p>
    <w:p w14:paraId="3D0F082B" w14:textId="570B8E8E" w:rsidR="00121FFD" w:rsidRPr="00CE4E6D" w:rsidRDefault="00CE4E6D" w:rsidP="00F13F6D">
      <w:pPr>
        <w:pStyle w:val="Caption"/>
        <w:rPr>
          <w:szCs w:val="24"/>
        </w:rPr>
      </w:pPr>
      <w:r w:rsidRPr="00CE4E6D">
        <w:t xml:space="preserve"> </w:t>
      </w:r>
    </w:p>
    <w:p w14:paraId="04B92E4B" w14:textId="33F0BBF0" w:rsidR="00121FFD" w:rsidRPr="00CE4E6D" w:rsidRDefault="00121FFD" w:rsidP="00CE4E6D">
      <w:pPr>
        <w:spacing w:line="480" w:lineRule="auto"/>
        <w:ind w:firstLine="0"/>
        <w:rPr>
          <w:rFonts w:cs="Times New Roman"/>
          <w:i/>
          <w:iCs/>
        </w:rPr>
      </w:pPr>
    </w:p>
    <w:p w14:paraId="4888F363" w14:textId="77777777" w:rsidR="00CE4E6D" w:rsidRPr="00CE4E6D" w:rsidRDefault="00121FFD" w:rsidP="00CE4E6D">
      <w:pPr>
        <w:keepNext/>
        <w:spacing w:line="480" w:lineRule="auto"/>
        <w:ind w:firstLine="0"/>
        <w:jc w:val="center"/>
        <w:rPr>
          <w:rFonts w:cs="Times New Roman"/>
        </w:rPr>
      </w:pPr>
      <w:r w:rsidRPr="00CE4E6D">
        <w:rPr>
          <w:rFonts w:cs="Times New Roman"/>
          <w:noProof/>
        </w:rPr>
        <w:lastRenderedPageBreak/>
        <w:drawing>
          <wp:inline distT="0" distB="0" distL="0" distR="0" wp14:anchorId="1F8BBA19" wp14:editId="408FB80D">
            <wp:extent cx="5416215" cy="3099223"/>
            <wp:effectExtent l="0" t="0" r="0" b="6350"/>
            <wp:docPr id="297345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45884" name="Picture 2"/>
                    <pic:cNvPicPr>
                      <a:picLocks noChangeAspect="1" noChangeArrowheads="1"/>
                    </pic:cNvPicPr>
                  </pic:nvPicPr>
                  <pic:blipFill>
                    <a:blip r:embed="rId418" cstate="print">
                      <a:extLst>
                        <a:ext uri="{28A0092B-C50C-407E-A947-70E740481C1C}">
                          <a14:useLocalDpi xmlns:a14="http://schemas.microsoft.com/office/drawing/2010/main" val="0"/>
                        </a:ext>
                      </a:extLst>
                    </a:blip>
                    <a:stretch>
                      <a:fillRect/>
                    </a:stretch>
                  </pic:blipFill>
                  <pic:spPr bwMode="auto">
                    <a:xfrm>
                      <a:off x="0" y="0"/>
                      <a:ext cx="5416215" cy="3099223"/>
                    </a:xfrm>
                    <a:prstGeom prst="rect">
                      <a:avLst/>
                    </a:prstGeom>
                    <a:noFill/>
                  </pic:spPr>
                </pic:pic>
              </a:graphicData>
            </a:graphic>
          </wp:inline>
        </w:drawing>
      </w:r>
    </w:p>
    <w:p w14:paraId="48EE044A" w14:textId="0C998D00" w:rsidR="00CE4E6D" w:rsidRPr="00CE4E6D" w:rsidRDefault="00CE4E6D" w:rsidP="00F13F6D">
      <w:pPr>
        <w:pStyle w:val="Caption"/>
      </w:pPr>
      <w:bookmarkStart w:id="274" w:name="_Toc193695198"/>
      <w:r w:rsidRPr="00CE4E6D">
        <w:t xml:space="preserve">Figure </w:t>
      </w:r>
      <w:fldSimple w:instr=" STYLEREF 1 \s ">
        <w:r w:rsidR="00971287">
          <w:rPr>
            <w:noProof/>
          </w:rPr>
          <w:t>6</w:t>
        </w:r>
      </w:fldSimple>
      <w:r w:rsidR="00F13F6D">
        <w:t>.</w:t>
      </w:r>
      <w:fldSimple w:instr=" SEQ Figure \* ARABIC \s 1 ">
        <w:r w:rsidR="00971287">
          <w:rPr>
            <w:noProof/>
          </w:rPr>
          <w:t>12</w:t>
        </w:r>
      </w:fldSimple>
      <w:r w:rsidRPr="00CE4E6D">
        <w:t xml:space="preserve"> </w:t>
      </w:r>
      <w:r w:rsidRPr="00CE4E6D">
        <w:rPr>
          <w:szCs w:val="24"/>
        </w:rPr>
        <w:t>XRD spectra collected for all treatments.</w:t>
      </w:r>
      <w:bookmarkEnd w:id="274"/>
    </w:p>
    <w:p w14:paraId="4F31B076" w14:textId="34374CC5" w:rsidR="00121FFD" w:rsidRPr="00CE4E6D" w:rsidRDefault="00121FFD" w:rsidP="00CE4E6D">
      <w:pPr>
        <w:spacing w:line="480" w:lineRule="auto"/>
        <w:ind w:firstLine="0"/>
        <w:jc w:val="center"/>
        <w:rPr>
          <w:rFonts w:cs="Times New Roman"/>
        </w:rPr>
      </w:pPr>
      <w:r w:rsidRPr="00CE4E6D">
        <w:rPr>
          <w:rFonts w:cs="Times New Roman"/>
          <w:noProof/>
        </w:rPr>
        <w:t xml:space="preserve"> </w:t>
      </w:r>
    </w:p>
    <w:p w14:paraId="404B8811" w14:textId="4D2A999D" w:rsidR="00121FFD" w:rsidRPr="00CE4E6D" w:rsidRDefault="00121FFD" w:rsidP="00CE4E6D">
      <w:pPr>
        <w:spacing w:line="480" w:lineRule="auto"/>
        <w:ind w:firstLine="0"/>
        <w:rPr>
          <w:rFonts w:cs="Times New Roman"/>
        </w:rPr>
      </w:pPr>
      <w:r w:rsidRPr="00CE4E6D">
        <w:rPr>
          <w:rFonts w:cs="Times New Roman"/>
        </w:rPr>
        <w:br w:type="page"/>
      </w:r>
    </w:p>
    <w:p w14:paraId="662BA0CB" w14:textId="77777777" w:rsidR="00CE4E6D" w:rsidRPr="00CE4E6D" w:rsidRDefault="00121FFD" w:rsidP="00CE4E6D">
      <w:pPr>
        <w:keepNext/>
        <w:spacing w:line="480" w:lineRule="auto"/>
        <w:ind w:firstLine="0"/>
        <w:rPr>
          <w:rFonts w:cs="Times New Roman"/>
        </w:rPr>
      </w:pPr>
      <w:r w:rsidRPr="00CE4E6D">
        <w:rPr>
          <w:rFonts w:cs="Times New Roman"/>
          <w:noProof/>
        </w:rPr>
        <w:lastRenderedPageBreak/>
        <w:drawing>
          <wp:inline distT="0" distB="0" distL="0" distR="0" wp14:anchorId="151167FC" wp14:editId="326DFD00">
            <wp:extent cx="5233670" cy="5829177"/>
            <wp:effectExtent l="0" t="0" r="0" b="0"/>
            <wp:docPr id="2575419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541995" name="Picture 3"/>
                    <pic:cNvPicPr>
                      <a:picLocks noChangeAspect="1" noChangeArrowheads="1"/>
                    </pic:cNvPicPr>
                  </pic:nvPicPr>
                  <pic:blipFill rotWithShape="1">
                    <a:blip r:embed="rId419" cstate="print">
                      <a:extLst>
                        <a:ext uri="{28A0092B-C50C-407E-A947-70E740481C1C}">
                          <a14:useLocalDpi xmlns:a14="http://schemas.microsoft.com/office/drawing/2010/main" val="0"/>
                        </a:ext>
                      </a:extLst>
                    </a:blip>
                    <a:srcRect l="7119" r="891"/>
                    <a:stretch/>
                  </pic:blipFill>
                  <pic:spPr bwMode="auto">
                    <a:xfrm>
                      <a:off x="0" y="0"/>
                      <a:ext cx="5233670" cy="5829177"/>
                    </a:xfrm>
                    <a:prstGeom prst="rect">
                      <a:avLst/>
                    </a:prstGeom>
                    <a:noFill/>
                    <a:ln>
                      <a:noFill/>
                    </a:ln>
                    <a:extLst>
                      <a:ext uri="{53640926-AAD7-44D8-BBD7-CCE9431645EC}">
                        <a14:shadowObscured xmlns:a14="http://schemas.microsoft.com/office/drawing/2010/main"/>
                      </a:ext>
                    </a:extLst>
                  </pic:spPr>
                </pic:pic>
              </a:graphicData>
            </a:graphic>
          </wp:inline>
        </w:drawing>
      </w:r>
    </w:p>
    <w:p w14:paraId="2CAFCEEA" w14:textId="59F20D4B" w:rsidR="00121FFD" w:rsidRPr="00854FA3" w:rsidRDefault="00CE4E6D" w:rsidP="00F13F6D">
      <w:pPr>
        <w:pStyle w:val="Caption"/>
        <w:rPr>
          <w:b w:val="0"/>
          <w:bCs w:val="0"/>
          <w:szCs w:val="24"/>
        </w:rPr>
      </w:pPr>
      <w:bookmarkStart w:id="275" w:name="_Toc193695199"/>
      <w:r w:rsidRPr="00CE4E6D">
        <w:t xml:space="preserve">Figure </w:t>
      </w:r>
      <w:fldSimple w:instr=" STYLEREF 1 \s ">
        <w:r w:rsidR="00971287">
          <w:rPr>
            <w:noProof/>
          </w:rPr>
          <w:t>6</w:t>
        </w:r>
      </w:fldSimple>
      <w:r w:rsidR="00F13F6D">
        <w:t>.</w:t>
      </w:r>
      <w:fldSimple w:instr=" SEQ Figure \* ARABIC \s 1 ">
        <w:r w:rsidR="00971287">
          <w:rPr>
            <w:noProof/>
          </w:rPr>
          <w:t>13</w:t>
        </w:r>
      </w:fldSimple>
      <w:r w:rsidRPr="00CE4E6D">
        <w:t xml:space="preserve">. FTIR spectra of </w:t>
      </w:r>
      <w:r w:rsidR="001D6E31">
        <w:t>eight-week</w:t>
      </w:r>
      <w:r w:rsidRPr="00CE4E6D">
        <w:t xml:space="preserve"> reaction products and controls for experiments with Fh + Lactate and Fh + Lactate + Thiosulfate. </w:t>
      </w:r>
      <w:r w:rsidRPr="00854FA3">
        <w:rPr>
          <w:b w:val="0"/>
          <w:bCs w:val="0"/>
        </w:rPr>
        <w:t xml:space="preserve">One replicate of each condition is shown except for the Live cell FLT experiment, where the products differed spectrally. Spectra of siderite from the USGS specli 7 </w:t>
      </w:r>
      <w:r w:rsidRPr="00854FA3">
        <w:rPr>
          <w:b w:val="0"/>
          <w:bCs w:val="0"/>
          <w:sz w:val="22"/>
        </w:rPr>
        <w:t>(Kokaly et al., 2017)</w:t>
      </w:r>
      <w:r w:rsidRPr="00854FA3">
        <w:rPr>
          <w:b w:val="0"/>
          <w:bCs w:val="0"/>
        </w:rPr>
        <w:t xml:space="preserve"> and for several nanophase Fe oxides spectra from Sklute et al. (Sklute et al., 2018)</w:t>
      </w:r>
      <w:r w:rsidRPr="00854FA3" w:rsidDel="00A777FB">
        <w:rPr>
          <w:b w:val="0"/>
          <w:bCs w:val="0"/>
        </w:rPr>
        <w:t xml:space="preserve"> </w:t>
      </w:r>
      <w:r w:rsidRPr="00854FA3">
        <w:rPr>
          <w:b w:val="0"/>
          <w:bCs w:val="0"/>
        </w:rPr>
        <w:t>are shown for reference.</w:t>
      </w:r>
      <w:bookmarkEnd w:id="275"/>
    </w:p>
    <w:p w14:paraId="6FA1BF92" w14:textId="6ABFE045" w:rsidR="00121FFD" w:rsidRPr="00CE4E6D" w:rsidRDefault="00121FFD" w:rsidP="00CE4E6D">
      <w:pPr>
        <w:spacing w:line="480" w:lineRule="auto"/>
        <w:ind w:firstLine="0"/>
        <w:rPr>
          <w:rFonts w:cs="Times New Roman"/>
        </w:rPr>
      </w:pPr>
    </w:p>
    <w:p w14:paraId="22323A97" w14:textId="77777777" w:rsidR="006256FC" w:rsidRDefault="00121FFD" w:rsidP="006256FC">
      <w:pPr>
        <w:keepNext/>
        <w:spacing w:line="480" w:lineRule="auto"/>
        <w:ind w:firstLine="0"/>
      </w:pPr>
      <w:r w:rsidRPr="00CE4E6D">
        <w:rPr>
          <w:rFonts w:cs="Times New Roman"/>
          <w:noProof/>
        </w:rPr>
        <w:lastRenderedPageBreak/>
        <w:t xml:space="preserve"> </w:t>
      </w:r>
      <w:r w:rsidRPr="00CE4E6D">
        <w:rPr>
          <w:rFonts w:cs="Times New Roman"/>
          <w:noProof/>
        </w:rPr>
        <w:drawing>
          <wp:inline distT="0" distB="0" distL="0" distR="0" wp14:anchorId="38993CA5" wp14:editId="1E9E1A91">
            <wp:extent cx="5257165" cy="3651812"/>
            <wp:effectExtent l="0" t="0" r="635" b="6350"/>
            <wp:docPr id="13115860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6070" name="Picture 4"/>
                    <pic:cNvPicPr>
                      <a:picLocks noChangeAspect="1" noChangeArrowheads="1"/>
                    </pic:cNvPicPr>
                  </pic:nvPicPr>
                  <pic:blipFill rotWithShape="1">
                    <a:blip r:embed="rId420" cstate="print">
                      <a:extLst>
                        <a:ext uri="{28A0092B-C50C-407E-A947-70E740481C1C}">
                          <a14:useLocalDpi xmlns:a14="http://schemas.microsoft.com/office/drawing/2010/main" val="0"/>
                        </a:ext>
                      </a:extLst>
                    </a:blip>
                    <a:srcRect l="4267"/>
                    <a:stretch/>
                  </pic:blipFill>
                  <pic:spPr bwMode="auto">
                    <a:xfrm>
                      <a:off x="0" y="0"/>
                      <a:ext cx="5258194" cy="3652527"/>
                    </a:xfrm>
                    <a:prstGeom prst="rect">
                      <a:avLst/>
                    </a:prstGeom>
                    <a:noFill/>
                    <a:ln>
                      <a:noFill/>
                    </a:ln>
                    <a:extLst>
                      <a:ext uri="{53640926-AAD7-44D8-BBD7-CCE9431645EC}">
                        <a14:shadowObscured xmlns:a14="http://schemas.microsoft.com/office/drawing/2010/main"/>
                      </a:ext>
                    </a:extLst>
                  </pic:spPr>
                </pic:pic>
              </a:graphicData>
            </a:graphic>
          </wp:inline>
        </w:drawing>
      </w:r>
    </w:p>
    <w:p w14:paraId="336F2430" w14:textId="43EDD58B" w:rsidR="00121FFD" w:rsidRPr="006256FC" w:rsidRDefault="006256FC" w:rsidP="00F13F6D">
      <w:pPr>
        <w:pStyle w:val="Caption"/>
      </w:pPr>
      <w:bookmarkStart w:id="276" w:name="_Toc193695200"/>
      <w:r>
        <w:t xml:space="preserve">Figure </w:t>
      </w:r>
      <w:fldSimple w:instr=" STYLEREF 1 \s ">
        <w:r w:rsidR="00971287">
          <w:rPr>
            <w:noProof/>
          </w:rPr>
          <w:t>6</w:t>
        </w:r>
      </w:fldSimple>
      <w:r w:rsidR="00F13F6D">
        <w:t>.</w:t>
      </w:r>
      <w:fldSimple w:instr=" SEQ Figure \* ARABIC \s 1 ">
        <w:r w:rsidR="00971287">
          <w:rPr>
            <w:noProof/>
          </w:rPr>
          <w:t>14</w:t>
        </w:r>
      </w:fldSimple>
      <w:r>
        <w:t xml:space="preserve">. </w:t>
      </w:r>
      <w:r w:rsidRPr="00CE4E6D">
        <w:t xml:space="preserve">FTIR spectra of two- and eight-week Live treatments, eight-week Dead treatments, and 10x concentrated marine minimal medium with lactate, thiosulfate, or lactate + thiosulfate (no Fh), in addition to 10x concentrated lactate or thiosulfate. </w:t>
      </w:r>
      <w:r w:rsidRPr="00854FA3">
        <w:rPr>
          <w:b w:val="0"/>
          <w:bCs w:val="0"/>
        </w:rPr>
        <w:t>Plot is grouped by experimental condition and scaled and offset for clarity. Magnetite and Fh are shown in red for reference. Note only reference oxides and two-week incubations have been baseline removed.</w:t>
      </w:r>
      <w:bookmarkEnd w:id="276"/>
    </w:p>
    <w:p w14:paraId="19040F94" w14:textId="77777777" w:rsidR="006256FC" w:rsidRPr="006256FC" w:rsidRDefault="006256FC" w:rsidP="006256FC"/>
    <w:p w14:paraId="7747F10F" w14:textId="77777777" w:rsidR="006256FC" w:rsidRDefault="00121FFD" w:rsidP="006256FC">
      <w:pPr>
        <w:keepNext/>
        <w:spacing w:line="480" w:lineRule="auto"/>
        <w:ind w:firstLine="0"/>
        <w:jc w:val="center"/>
      </w:pPr>
      <w:r w:rsidRPr="00CE4E6D">
        <w:rPr>
          <w:rFonts w:cs="Times New Roman"/>
          <w:noProof/>
        </w:rPr>
        <w:lastRenderedPageBreak/>
        <w:t xml:space="preserve"> </w:t>
      </w:r>
      <w:r w:rsidRPr="00CE4E6D">
        <w:rPr>
          <w:rFonts w:cs="Times New Roman"/>
          <w:noProof/>
        </w:rPr>
        <w:drawing>
          <wp:inline distT="0" distB="0" distL="0" distR="0" wp14:anchorId="5DA1B6F8" wp14:editId="076A9335">
            <wp:extent cx="5224626" cy="5486400"/>
            <wp:effectExtent l="0" t="0" r="0" b="0"/>
            <wp:docPr id="17951733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173357" name="Picture 5"/>
                    <pic:cNvPicPr>
                      <a:picLocks noChangeAspect="1" noChangeArrowheads="1"/>
                    </pic:cNvPicPr>
                  </pic:nvPicPr>
                  <pic:blipFill rotWithShape="1">
                    <a:blip r:embed="rId421" cstate="print">
                      <a:extLst>
                        <a:ext uri="{28A0092B-C50C-407E-A947-70E740481C1C}">
                          <a14:useLocalDpi xmlns:a14="http://schemas.microsoft.com/office/drawing/2010/main" val="0"/>
                        </a:ext>
                      </a:extLst>
                    </a:blip>
                    <a:srcRect l="7493" r="3912"/>
                    <a:stretch/>
                  </pic:blipFill>
                  <pic:spPr bwMode="auto">
                    <a:xfrm>
                      <a:off x="0" y="0"/>
                      <a:ext cx="5229692" cy="5491720"/>
                    </a:xfrm>
                    <a:prstGeom prst="rect">
                      <a:avLst/>
                    </a:prstGeom>
                    <a:noFill/>
                    <a:ln>
                      <a:noFill/>
                    </a:ln>
                    <a:extLst>
                      <a:ext uri="{53640926-AAD7-44D8-BBD7-CCE9431645EC}">
                        <a14:shadowObscured xmlns:a14="http://schemas.microsoft.com/office/drawing/2010/main"/>
                      </a:ext>
                    </a:extLst>
                  </pic:spPr>
                </pic:pic>
              </a:graphicData>
            </a:graphic>
          </wp:inline>
        </w:drawing>
      </w:r>
    </w:p>
    <w:p w14:paraId="49CC1443" w14:textId="18C798B2" w:rsidR="00121FFD" w:rsidRPr="00854FA3" w:rsidRDefault="006256FC" w:rsidP="00F13F6D">
      <w:pPr>
        <w:pStyle w:val="Caption"/>
        <w:rPr>
          <w:b w:val="0"/>
          <w:bCs w:val="0"/>
        </w:rPr>
      </w:pPr>
      <w:bookmarkStart w:id="277" w:name="_Toc193695201"/>
      <w:r>
        <w:t xml:space="preserve">Figure </w:t>
      </w:r>
      <w:fldSimple w:instr=" STYLEREF 1 \s ">
        <w:r w:rsidR="00971287">
          <w:rPr>
            <w:noProof/>
          </w:rPr>
          <w:t>6</w:t>
        </w:r>
      </w:fldSimple>
      <w:r w:rsidR="00F13F6D">
        <w:t>.</w:t>
      </w:r>
      <w:fldSimple w:instr=" SEQ Figure \* ARABIC \s 1 ">
        <w:r w:rsidR="00971287">
          <w:rPr>
            <w:noProof/>
          </w:rPr>
          <w:t>15</w:t>
        </w:r>
      </w:fldSimple>
      <w:r>
        <w:t xml:space="preserve">. </w:t>
      </w:r>
      <w:r w:rsidRPr="00CE4E6D">
        <w:t xml:space="preserve">VNIR spectra of two-week incubations and controls for experiments with Fh + lactate and Fh + lactate + thiosulfate. </w:t>
      </w:r>
      <w:r w:rsidRPr="00854FA3">
        <w:rPr>
          <w:b w:val="0"/>
          <w:bCs w:val="0"/>
        </w:rPr>
        <w:t>One replicate of each condition is shown except for the Live Cell Fh + lactate + thiosulfate experiment, where the products differed spectrally. Spectra of siderite from the USGS specli 7 (Kokaly et al., 2017) and for several nanophase Fe oxides spectra from Sklute et al. (Sklute et al., 2018)</w:t>
      </w:r>
      <w:r w:rsidRPr="00854FA3" w:rsidDel="00A777FB">
        <w:rPr>
          <w:b w:val="0"/>
          <w:bCs w:val="0"/>
        </w:rPr>
        <w:t xml:space="preserve"> </w:t>
      </w:r>
      <w:r w:rsidRPr="00854FA3">
        <w:rPr>
          <w:b w:val="0"/>
          <w:bCs w:val="0"/>
        </w:rPr>
        <w:t>are shown for reference.</w:t>
      </w:r>
      <w:bookmarkEnd w:id="277"/>
    </w:p>
    <w:p w14:paraId="35322B7A" w14:textId="35C6A774" w:rsidR="00121FFD" w:rsidRPr="00854FA3" w:rsidRDefault="00121FFD" w:rsidP="00CE4E6D">
      <w:pPr>
        <w:spacing w:line="480" w:lineRule="auto"/>
        <w:ind w:firstLine="0"/>
        <w:rPr>
          <w:rFonts w:cs="Times New Roman"/>
        </w:rPr>
      </w:pPr>
      <w:r w:rsidRPr="00854FA3">
        <w:rPr>
          <w:rFonts w:cs="Times New Roman"/>
        </w:rPr>
        <w:br w:type="page"/>
      </w:r>
    </w:p>
    <w:p w14:paraId="1389893E" w14:textId="77777777" w:rsidR="006256FC" w:rsidRDefault="00121FFD" w:rsidP="00A16CD3">
      <w:pPr>
        <w:keepNext/>
        <w:spacing w:line="480" w:lineRule="auto"/>
        <w:ind w:firstLine="0"/>
        <w:jc w:val="center"/>
      </w:pPr>
      <w:r w:rsidRPr="00CE4E6D">
        <w:rPr>
          <w:rFonts w:cs="Times New Roman"/>
          <w:b/>
          <w:bCs/>
          <w:noProof/>
        </w:rPr>
        <w:lastRenderedPageBreak/>
        <w:drawing>
          <wp:inline distT="0" distB="0" distL="0" distR="0" wp14:anchorId="1D767938" wp14:editId="5BC09D97">
            <wp:extent cx="4834474" cy="6324375"/>
            <wp:effectExtent l="0" t="0" r="0" b="635"/>
            <wp:docPr id="15909657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965792" name="Picture 6"/>
                    <pic:cNvPicPr>
                      <a:picLocks noChangeAspect="1" noChangeArrowheads="1"/>
                    </pic:cNvPicPr>
                  </pic:nvPicPr>
                  <pic:blipFill>
                    <a:blip r:embed="rId422" cstate="print">
                      <a:extLst>
                        <a:ext uri="{28A0092B-C50C-407E-A947-70E740481C1C}">
                          <a14:useLocalDpi xmlns:a14="http://schemas.microsoft.com/office/drawing/2010/main" val="0"/>
                        </a:ext>
                      </a:extLst>
                    </a:blip>
                    <a:stretch>
                      <a:fillRect/>
                    </a:stretch>
                  </pic:blipFill>
                  <pic:spPr bwMode="auto">
                    <a:xfrm>
                      <a:off x="0" y="0"/>
                      <a:ext cx="4834474" cy="6324375"/>
                    </a:xfrm>
                    <a:prstGeom prst="rect">
                      <a:avLst/>
                    </a:prstGeom>
                    <a:noFill/>
                  </pic:spPr>
                </pic:pic>
              </a:graphicData>
            </a:graphic>
          </wp:inline>
        </w:drawing>
      </w:r>
    </w:p>
    <w:p w14:paraId="60BAB8B1" w14:textId="19F10F22" w:rsidR="00121FFD" w:rsidRPr="00854FA3" w:rsidRDefault="006256FC" w:rsidP="00F13F6D">
      <w:pPr>
        <w:pStyle w:val="Caption"/>
        <w:rPr>
          <w:rFonts w:cs="Times New Roman"/>
          <w:b w:val="0"/>
          <w:bCs w:val="0"/>
          <w:szCs w:val="24"/>
        </w:rPr>
      </w:pPr>
      <w:bookmarkStart w:id="278" w:name="_Toc193695202"/>
      <w:r>
        <w:t xml:space="preserve">Figure </w:t>
      </w:r>
      <w:fldSimple w:instr=" STYLEREF 1 \s ">
        <w:r w:rsidR="00971287">
          <w:rPr>
            <w:noProof/>
          </w:rPr>
          <w:t>6</w:t>
        </w:r>
      </w:fldSimple>
      <w:r w:rsidR="00F13F6D">
        <w:t>.</w:t>
      </w:r>
      <w:fldSimple w:instr=" SEQ Figure \* ARABIC \s 1 ">
        <w:r w:rsidR="00971287">
          <w:rPr>
            <w:noProof/>
          </w:rPr>
          <w:t>16</w:t>
        </w:r>
      </w:fldSimple>
      <w:r>
        <w:t>.</w:t>
      </w:r>
      <w:r w:rsidRPr="006256FC">
        <w:t xml:space="preserve"> </w:t>
      </w:r>
      <w:r>
        <w:t xml:space="preserve">Raman spectra of Fh treatments. </w:t>
      </w:r>
      <w:r w:rsidRPr="00854FA3">
        <w:rPr>
          <w:b w:val="0"/>
          <w:bCs w:val="0"/>
        </w:rPr>
        <w:t>(a) Raman spectra acquired from mineral treatments compared to oxides from Sklute et al. (Sklute et al., 2018). (b) The Live Cell Fh + lactate treatment showed some spectral changes on one analysis. That spectrum, along with Live Cells Fh + lactate + thiosulfate are shown compared to (hydr)oxides from Sklute et al. (Sklute et al., 2018) and RRUFF sulfide samples pyrite R050190, pyrrhotite R606440, and greigite R120103 from the RRUFF database (Lafuente et al., 2015).</w:t>
      </w:r>
      <w:bookmarkEnd w:id="278"/>
    </w:p>
    <w:p w14:paraId="764C422D" w14:textId="139A3741" w:rsidR="00121FFD" w:rsidRPr="00854FA3" w:rsidRDefault="00121FFD" w:rsidP="00CE4E6D">
      <w:pPr>
        <w:spacing w:line="480" w:lineRule="auto"/>
        <w:ind w:firstLine="0"/>
        <w:rPr>
          <w:rFonts w:cs="Times New Roman"/>
        </w:rPr>
      </w:pPr>
      <w:r w:rsidRPr="00854FA3">
        <w:rPr>
          <w:rFonts w:cs="Times New Roman"/>
        </w:rPr>
        <w:br w:type="page"/>
      </w:r>
    </w:p>
    <w:p w14:paraId="37CB8610" w14:textId="77777777" w:rsidR="006256FC" w:rsidRDefault="00121FFD" w:rsidP="006256FC">
      <w:pPr>
        <w:keepNext/>
        <w:spacing w:line="480" w:lineRule="auto"/>
        <w:ind w:firstLine="0"/>
      </w:pPr>
      <w:r w:rsidRPr="00CE4E6D">
        <w:rPr>
          <w:rFonts w:cs="Times New Roman"/>
          <w:b/>
          <w:bCs/>
          <w:noProof/>
        </w:rPr>
        <w:lastRenderedPageBreak/>
        <w:drawing>
          <wp:inline distT="0" distB="0" distL="0" distR="0" wp14:anchorId="74B35949" wp14:editId="4F8C7DBD">
            <wp:extent cx="5462270" cy="2407907"/>
            <wp:effectExtent l="0" t="0" r="5080" b="0"/>
            <wp:docPr id="83624614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46141" name="Picture 7"/>
                    <pic:cNvPicPr>
                      <a:picLocks noChangeAspect="1" noChangeArrowheads="1"/>
                    </pic:cNvPicPr>
                  </pic:nvPicPr>
                  <pic:blipFill>
                    <a:blip r:embed="rId423" cstate="print">
                      <a:extLst>
                        <a:ext uri="{28A0092B-C50C-407E-A947-70E740481C1C}">
                          <a14:useLocalDpi xmlns:a14="http://schemas.microsoft.com/office/drawing/2010/main" val="0"/>
                        </a:ext>
                      </a:extLst>
                    </a:blip>
                    <a:stretch>
                      <a:fillRect/>
                    </a:stretch>
                  </pic:blipFill>
                  <pic:spPr bwMode="auto">
                    <a:xfrm>
                      <a:off x="0" y="0"/>
                      <a:ext cx="5465728" cy="2409431"/>
                    </a:xfrm>
                    <a:prstGeom prst="rect">
                      <a:avLst/>
                    </a:prstGeom>
                    <a:noFill/>
                  </pic:spPr>
                </pic:pic>
              </a:graphicData>
            </a:graphic>
          </wp:inline>
        </w:drawing>
      </w:r>
    </w:p>
    <w:p w14:paraId="6693BD6B" w14:textId="7843033C" w:rsidR="00121FFD" w:rsidRPr="003A5A06" w:rsidRDefault="006256FC" w:rsidP="00F13F6D">
      <w:pPr>
        <w:pStyle w:val="Caption"/>
        <w:rPr>
          <w:rFonts w:cs="Times New Roman"/>
          <w:b w:val="0"/>
          <w:bCs w:val="0"/>
          <w:szCs w:val="24"/>
        </w:rPr>
      </w:pPr>
      <w:bookmarkStart w:id="279" w:name="_Toc193695203"/>
      <w:r>
        <w:t xml:space="preserve">Figure </w:t>
      </w:r>
      <w:fldSimple w:instr=" STYLEREF 1 \s ">
        <w:r w:rsidR="00971287">
          <w:rPr>
            <w:noProof/>
          </w:rPr>
          <w:t>6</w:t>
        </w:r>
      </w:fldSimple>
      <w:r w:rsidR="00F13F6D">
        <w:t>.</w:t>
      </w:r>
      <w:fldSimple w:instr=" SEQ Figure \* ARABIC \s 1 ">
        <w:r w:rsidR="00971287">
          <w:rPr>
            <w:noProof/>
          </w:rPr>
          <w:t>17</w:t>
        </w:r>
      </w:fldSimple>
      <w:r>
        <w:t xml:space="preserve">. </w:t>
      </w:r>
      <w:r w:rsidRPr="00AA3841">
        <w:t>Mössbauer spectra acquired at (a) 295K and (b) 4K. (</w:t>
      </w:r>
      <w:r w:rsidRPr="006256FC">
        <w:t xml:space="preserve">c) Fits of Mössbauer spectra at 4K. </w:t>
      </w:r>
      <w:r w:rsidRPr="003A5A06">
        <w:rPr>
          <w:b w:val="0"/>
          <w:bCs w:val="0"/>
        </w:rPr>
        <w:t>All treatments contain Fh.</w:t>
      </w:r>
      <w:bookmarkEnd w:id="279"/>
    </w:p>
    <w:p w14:paraId="64296419" w14:textId="77777777" w:rsidR="006256FC" w:rsidRDefault="00121FFD" w:rsidP="006256FC">
      <w:pPr>
        <w:keepNext/>
        <w:spacing w:line="480" w:lineRule="auto"/>
        <w:ind w:firstLine="0"/>
        <w:jc w:val="center"/>
      </w:pPr>
      <w:r w:rsidRPr="00CE4E6D">
        <w:rPr>
          <w:rFonts w:cs="Times New Roman"/>
          <w:noProof/>
        </w:rPr>
        <w:lastRenderedPageBreak/>
        <w:drawing>
          <wp:inline distT="0" distB="0" distL="0" distR="0" wp14:anchorId="6DE73FA5" wp14:editId="5C58A3B0">
            <wp:extent cx="5177806" cy="6831061"/>
            <wp:effectExtent l="0" t="0" r="3810" b="8255"/>
            <wp:docPr id="17230665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066534" name="Picture 3"/>
                    <pic:cNvPicPr/>
                  </pic:nvPicPr>
                  <pic:blipFill>
                    <a:blip r:embed="rId424" cstate="print">
                      <a:extLst>
                        <a:ext uri="{28A0092B-C50C-407E-A947-70E740481C1C}">
                          <a14:useLocalDpi xmlns:a14="http://schemas.microsoft.com/office/drawing/2010/main" val="0"/>
                        </a:ext>
                      </a:extLst>
                    </a:blip>
                    <a:stretch>
                      <a:fillRect/>
                    </a:stretch>
                  </pic:blipFill>
                  <pic:spPr>
                    <a:xfrm>
                      <a:off x="0" y="0"/>
                      <a:ext cx="5177806" cy="6831061"/>
                    </a:xfrm>
                    <a:prstGeom prst="rect">
                      <a:avLst/>
                    </a:prstGeom>
                  </pic:spPr>
                </pic:pic>
              </a:graphicData>
            </a:graphic>
          </wp:inline>
        </w:drawing>
      </w:r>
    </w:p>
    <w:p w14:paraId="01F1A2BA" w14:textId="3D3540D2" w:rsidR="006256FC" w:rsidRPr="006256FC" w:rsidRDefault="006256FC" w:rsidP="006256FC">
      <w:pPr>
        <w:spacing w:line="480" w:lineRule="auto"/>
        <w:ind w:firstLine="0"/>
        <w:rPr>
          <w:rFonts w:cs="Times New Roman"/>
          <w:b/>
          <w:bCs/>
        </w:rPr>
      </w:pPr>
      <w:bookmarkStart w:id="280" w:name="_Toc193695204"/>
      <w:r w:rsidRPr="006256FC">
        <w:rPr>
          <w:b/>
          <w:bCs/>
        </w:rPr>
        <w:t xml:space="preserve">Figure </w:t>
      </w:r>
      <w:r w:rsidR="00F13F6D">
        <w:rPr>
          <w:b/>
          <w:bCs/>
        </w:rPr>
        <w:fldChar w:fldCharType="begin"/>
      </w:r>
      <w:r w:rsidR="00F13F6D">
        <w:rPr>
          <w:b/>
          <w:bCs/>
        </w:rPr>
        <w:instrText xml:space="preserve"> STYLEREF 1 \s </w:instrText>
      </w:r>
      <w:r w:rsidR="00F13F6D">
        <w:rPr>
          <w:b/>
          <w:bCs/>
        </w:rPr>
        <w:fldChar w:fldCharType="separate"/>
      </w:r>
      <w:r w:rsidR="00971287">
        <w:rPr>
          <w:b/>
          <w:bCs/>
          <w:noProof/>
        </w:rPr>
        <w:t>6</w:t>
      </w:r>
      <w:r w:rsidR="00F13F6D">
        <w:rPr>
          <w:b/>
          <w:bCs/>
        </w:rPr>
        <w:fldChar w:fldCharType="end"/>
      </w:r>
      <w:r w:rsidR="00F13F6D">
        <w:rPr>
          <w:b/>
          <w:bCs/>
        </w:rPr>
        <w:t>.</w:t>
      </w:r>
      <w:r w:rsidR="00F13F6D">
        <w:rPr>
          <w:b/>
          <w:bCs/>
        </w:rPr>
        <w:fldChar w:fldCharType="begin"/>
      </w:r>
      <w:r w:rsidR="00F13F6D">
        <w:rPr>
          <w:b/>
          <w:bCs/>
        </w:rPr>
        <w:instrText xml:space="preserve"> SEQ Figure \* ARABIC \s 1 </w:instrText>
      </w:r>
      <w:r w:rsidR="00F13F6D">
        <w:rPr>
          <w:b/>
          <w:bCs/>
        </w:rPr>
        <w:fldChar w:fldCharType="separate"/>
      </w:r>
      <w:r w:rsidR="00971287">
        <w:rPr>
          <w:b/>
          <w:bCs/>
          <w:noProof/>
        </w:rPr>
        <w:t>18</w:t>
      </w:r>
      <w:r w:rsidR="00F13F6D">
        <w:rPr>
          <w:b/>
          <w:bCs/>
        </w:rPr>
        <w:fldChar w:fldCharType="end"/>
      </w:r>
      <w:r w:rsidRPr="006256FC">
        <w:rPr>
          <w:b/>
          <w:bCs/>
        </w:rPr>
        <w:t xml:space="preserve">. </w:t>
      </w:r>
      <w:r w:rsidRPr="006256FC">
        <w:rPr>
          <w:rFonts w:cs="Times New Roman"/>
          <w:b/>
          <w:bCs/>
        </w:rPr>
        <w:t>TEM images of a BF02_Schw cell associated with Fe oxides.</w:t>
      </w:r>
      <w:bookmarkEnd w:id="280"/>
    </w:p>
    <w:p w14:paraId="61246F79" w14:textId="2DFC7524" w:rsidR="00121FFD" w:rsidRPr="00CE4E6D" w:rsidRDefault="00121FFD" w:rsidP="00F13F6D">
      <w:pPr>
        <w:pStyle w:val="Caption"/>
      </w:pPr>
    </w:p>
    <w:p w14:paraId="4DD55B89" w14:textId="37164253" w:rsidR="00121FFD" w:rsidRPr="00CE4E6D" w:rsidRDefault="00121FFD" w:rsidP="00CE4E6D">
      <w:pPr>
        <w:spacing w:line="480" w:lineRule="auto"/>
        <w:ind w:firstLine="0"/>
        <w:rPr>
          <w:rFonts w:cs="Times New Roman"/>
        </w:rPr>
      </w:pPr>
    </w:p>
    <w:p w14:paraId="44EA9D9D" w14:textId="77777777" w:rsidR="006256FC" w:rsidRDefault="00121FFD" w:rsidP="006256FC">
      <w:pPr>
        <w:keepNext/>
        <w:spacing w:line="480" w:lineRule="auto"/>
        <w:ind w:firstLine="0"/>
        <w:jc w:val="center"/>
      </w:pPr>
      <w:r w:rsidRPr="00CE4E6D">
        <w:rPr>
          <w:rFonts w:cs="Times New Roman"/>
          <w:noProof/>
        </w:rPr>
        <w:lastRenderedPageBreak/>
        <w:drawing>
          <wp:inline distT="0" distB="0" distL="0" distR="0" wp14:anchorId="156B124B" wp14:editId="674A422F">
            <wp:extent cx="4978844" cy="3373836"/>
            <wp:effectExtent l="0" t="0" r="0" b="0"/>
            <wp:docPr id="3854197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19757" name="Picture 12"/>
                    <pic:cNvPicPr/>
                  </pic:nvPicPr>
                  <pic:blipFill>
                    <a:blip r:embed="rId425">
                      <a:extLst>
                        <a:ext uri="{28A0092B-C50C-407E-A947-70E740481C1C}">
                          <a14:useLocalDpi xmlns:a14="http://schemas.microsoft.com/office/drawing/2010/main" val="0"/>
                        </a:ext>
                      </a:extLst>
                    </a:blip>
                    <a:srcRect l="809" r="809"/>
                    <a:stretch>
                      <a:fillRect/>
                    </a:stretch>
                  </pic:blipFill>
                  <pic:spPr bwMode="auto">
                    <a:xfrm>
                      <a:off x="0" y="0"/>
                      <a:ext cx="4978844" cy="3373836"/>
                    </a:xfrm>
                    <a:prstGeom prst="rect">
                      <a:avLst/>
                    </a:prstGeom>
                    <a:ln>
                      <a:noFill/>
                    </a:ln>
                    <a:extLst>
                      <a:ext uri="{53640926-AAD7-44D8-BBD7-CCE9431645EC}">
                        <a14:shadowObscured xmlns:a14="http://schemas.microsoft.com/office/drawing/2010/main"/>
                      </a:ext>
                    </a:extLst>
                  </pic:spPr>
                </pic:pic>
              </a:graphicData>
            </a:graphic>
          </wp:inline>
        </w:drawing>
      </w:r>
    </w:p>
    <w:p w14:paraId="0D2563CD" w14:textId="3344D654" w:rsidR="00121FFD" w:rsidRPr="00CE4E6D" w:rsidRDefault="006256FC" w:rsidP="00F13F6D">
      <w:pPr>
        <w:pStyle w:val="Caption"/>
      </w:pPr>
      <w:bookmarkStart w:id="281" w:name="_Toc193695205"/>
      <w:r>
        <w:t xml:space="preserve">Figure </w:t>
      </w:r>
      <w:fldSimple w:instr=" STYLEREF 1 \s ">
        <w:r w:rsidR="00971287">
          <w:rPr>
            <w:noProof/>
          </w:rPr>
          <w:t>6</w:t>
        </w:r>
      </w:fldSimple>
      <w:r w:rsidR="00F13F6D">
        <w:t>.</w:t>
      </w:r>
      <w:fldSimple w:instr=" SEQ Figure \* ARABIC \s 1 ">
        <w:r w:rsidR="00971287">
          <w:rPr>
            <w:noProof/>
          </w:rPr>
          <w:t>19</w:t>
        </w:r>
      </w:fldSimple>
      <w:r>
        <w:t xml:space="preserve">. </w:t>
      </w:r>
      <w:r w:rsidRPr="00CE4E6D">
        <w:t>TEM image of akaganéite laths visible with Fh in Fh + lactate treatments following two-week incubations.</w:t>
      </w:r>
      <w:bookmarkEnd w:id="281"/>
    </w:p>
    <w:p w14:paraId="6E725875" w14:textId="5251813F" w:rsidR="00121FFD" w:rsidRPr="00CE4E6D" w:rsidRDefault="00121FFD" w:rsidP="00CE4E6D">
      <w:pPr>
        <w:spacing w:line="480" w:lineRule="auto"/>
        <w:ind w:firstLine="0"/>
        <w:rPr>
          <w:rFonts w:cs="Times New Roman"/>
        </w:rPr>
      </w:pPr>
    </w:p>
    <w:p w14:paraId="2A0F766C" w14:textId="77777777" w:rsidR="006256FC" w:rsidRDefault="00121FFD" w:rsidP="006256FC">
      <w:pPr>
        <w:keepNext/>
        <w:spacing w:line="480" w:lineRule="auto"/>
        <w:ind w:firstLine="0"/>
        <w:jc w:val="center"/>
      </w:pPr>
      <w:r w:rsidRPr="00CE4E6D">
        <w:rPr>
          <w:rFonts w:cs="Times New Roman"/>
          <w:noProof/>
        </w:rPr>
        <w:lastRenderedPageBreak/>
        <w:drawing>
          <wp:inline distT="0" distB="0" distL="0" distR="0" wp14:anchorId="4DCCE63F" wp14:editId="69B4E8EC">
            <wp:extent cx="5350762" cy="4572000"/>
            <wp:effectExtent l="0" t="0" r="2540" b="0"/>
            <wp:docPr id="3290642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064216" name="Picture 15"/>
                    <pic:cNvPicPr>
                      <a:picLocks noChangeAspect="1" noChangeArrowheads="1"/>
                    </pic:cNvPicPr>
                  </pic:nvPicPr>
                  <pic:blipFill rotWithShape="1">
                    <a:blip r:embed="rId426" cstate="print">
                      <a:extLst>
                        <a:ext uri="{28A0092B-C50C-407E-A947-70E740481C1C}">
                          <a14:useLocalDpi xmlns:a14="http://schemas.microsoft.com/office/drawing/2010/main" val="0"/>
                        </a:ext>
                      </a:extLst>
                    </a:blip>
                    <a:srcRect l="2890" r="3286"/>
                    <a:stretch/>
                  </pic:blipFill>
                  <pic:spPr bwMode="auto">
                    <a:xfrm>
                      <a:off x="0" y="0"/>
                      <a:ext cx="5353165" cy="4574053"/>
                    </a:xfrm>
                    <a:prstGeom prst="rect">
                      <a:avLst/>
                    </a:prstGeom>
                    <a:noFill/>
                    <a:ln>
                      <a:noFill/>
                    </a:ln>
                    <a:extLst>
                      <a:ext uri="{53640926-AAD7-44D8-BBD7-CCE9431645EC}">
                        <a14:shadowObscured xmlns:a14="http://schemas.microsoft.com/office/drawing/2010/main"/>
                      </a:ext>
                    </a:extLst>
                  </pic:spPr>
                </pic:pic>
              </a:graphicData>
            </a:graphic>
          </wp:inline>
        </w:drawing>
      </w:r>
    </w:p>
    <w:p w14:paraId="2E3ECD00" w14:textId="7756E32B" w:rsidR="006256FC" w:rsidRPr="00854FA3" w:rsidRDefault="006256FC" w:rsidP="00F13F6D">
      <w:pPr>
        <w:pStyle w:val="Caption"/>
        <w:rPr>
          <w:b w:val="0"/>
          <w:bCs w:val="0"/>
        </w:rPr>
      </w:pPr>
      <w:bookmarkStart w:id="282" w:name="_Toc193695206"/>
      <w:r>
        <w:t xml:space="preserve">Figure </w:t>
      </w:r>
      <w:fldSimple w:instr=" STYLEREF 1 \s ">
        <w:r w:rsidR="00971287">
          <w:rPr>
            <w:noProof/>
          </w:rPr>
          <w:t>6</w:t>
        </w:r>
      </w:fldSimple>
      <w:r w:rsidR="00F13F6D">
        <w:t>.</w:t>
      </w:r>
      <w:fldSimple w:instr=" SEQ Figure \* ARABIC \s 1 ">
        <w:r w:rsidR="00971287">
          <w:rPr>
            <w:noProof/>
          </w:rPr>
          <w:t>20</w:t>
        </w:r>
      </w:fldSimple>
      <w:r>
        <w:t xml:space="preserve">. </w:t>
      </w:r>
      <w:r w:rsidRPr="00CE4E6D">
        <w:t xml:space="preserve">Biosynthesis pathways for DIR-relevant compounds. </w:t>
      </w:r>
      <w:r w:rsidRPr="00854FA3">
        <w:rPr>
          <w:b w:val="0"/>
          <w:bCs w:val="0"/>
        </w:rPr>
        <w:t>Genes in green are transcribed but are not significantly different between treatments. Genes in red are significantly more transcribed in +Fh treatments. (a) Heme biosynthesis pathway from Porphyrin Metabolism (map00860). (b) Riboflavin biosynthesis pathway from Riboflavin Metabolism (map00740).</w:t>
      </w:r>
      <w:bookmarkEnd w:id="282"/>
    </w:p>
    <w:p w14:paraId="447CBC20" w14:textId="7225AA9E" w:rsidR="00121FFD" w:rsidRPr="006256FC" w:rsidRDefault="00121FFD" w:rsidP="006256FC">
      <w:pPr>
        <w:spacing w:line="480" w:lineRule="auto"/>
        <w:ind w:firstLine="0"/>
        <w:jc w:val="center"/>
        <w:rPr>
          <w:rFonts w:cs="Times New Roman"/>
          <w:b/>
          <w:bCs/>
        </w:rPr>
      </w:pPr>
      <w:r w:rsidRPr="00CE4E6D">
        <w:rPr>
          <w:rFonts w:cs="Times New Roman"/>
        </w:rPr>
        <w:br w:type="page"/>
      </w:r>
    </w:p>
    <w:p w14:paraId="4685F936" w14:textId="77777777" w:rsidR="006256FC" w:rsidRDefault="00121FFD" w:rsidP="006256FC">
      <w:pPr>
        <w:keepNext/>
        <w:spacing w:line="480" w:lineRule="auto"/>
        <w:ind w:firstLine="0"/>
        <w:jc w:val="center"/>
      </w:pPr>
      <w:r w:rsidRPr="00CE4E6D">
        <w:rPr>
          <w:rFonts w:cs="Times New Roman"/>
          <w:b/>
          <w:bCs/>
          <w:noProof/>
        </w:rPr>
        <w:lastRenderedPageBreak/>
        <w:drawing>
          <wp:inline distT="0" distB="0" distL="0" distR="0" wp14:anchorId="3802FCB3" wp14:editId="1A23C7CE">
            <wp:extent cx="5343525" cy="3465678"/>
            <wp:effectExtent l="0" t="0" r="0" b="1905"/>
            <wp:docPr id="180473643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736435" name="Picture 18"/>
                    <pic:cNvPicPr>
                      <a:picLocks noChangeAspect="1" noChangeArrowheads="1"/>
                    </pic:cNvPicPr>
                  </pic:nvPicPr>
                  <pic:blipFill>
                    <a:blip r:embed="rId427" cstate="print">
                      <a:extLst>
                        <a:ext uri="{28A0092B-C50C-407E-A947-70E740481C1C}">
                          <a14:useLocalDpi xmlns:a14="http://schemas.microsoft.com/office/drawing/2010/main" val="0"/>
                        </a:ext>
                      </a:extLst>
                    </a:blip>
                    <a:stretch>
                      <a:fillRect/>
                    </a:stretch>
                  </pic:blipFill>
                  <pic:spPr bwMode="auto">
                    <a:xfrm>
                      <a:off x="0" y="0"/>
                      <a:ext cx="5350699" cy="3470331"/>
                    </a:xfrm>
                    <a:prstGeom prst="rect">
                      <a:avLst/>
                    </a:prstGeom>
                    <a:noFill/>
                    <a:ln>
                      <a:noFill/>
                    </a:ln>
                  </pic:spPr>
                </pic:pic>
              </a:graphicData>
            </a:graphic>
          </wp:inline>
        </w:drawing>
      </w:r>
    </w:p>
    <w:p w14:paraId="1CB677C4" w14:textId="1B183A50" w:rsidR="006256FC" w:rsidRPr="00854FA3" w:rsidRDefault="006256FC" w:rsidP="00F13F6D">
      <w:pPr>
        <w:pStyle w:val="Caption"/>
        <w:rPr>
          <w:b w:val="0"/>
          <w:bCs w:val="0"/>
        </w:rPr>
      </w:pPr>
      <w:bookmarkStart w:id="283" w:name="_Toc193695207"/>
      <w:r>
        <w:t xml:space="preserve">Figure </w:t>
      </w:r>
      <w:fldSimple w:instr=" STYLEREF 1 \s ">
        <w:r w:rsidR="00971287">
          <w:rPr>
            <w:noProof/>
          </w:rPr>
          <w:t>6</w:t>
        </w:r>
      </w:fldSimple>
      <w:r w:rsidR="00F13F6D">
        <w:t>.</w:t>
      </w:r>
      <w:fldSimple w:instr=" SEQ Figure \* ARABIC \s 1 ">
        <w:r w:rsidR="00971287">
          <w:rPr>
            <w:noProof/>
          </w:rPr>
          <w:t>21</w:t>
        </w:r>
      </w:fldSimple>
      <w:r>
        <w:t>.</w:t>
      </w:r>
      <w:r w:rsidRPr="00CE4E6D">
        <w:t xml:space="preserve"> Hierarchical clustering analysis of normalized molecular feature abundance. </w:t>
      </w:r>
      <w:r w:rsidRPr="00854FA3">
        <w:rPr>
          <w:b w:val="0"/>
          <w:bCs w:val="0"/>
        </w:rPr>
        <w:t>Supernatant from No Fh treatments cluster separately from both two- and eight-week +Fh supernatants.</w:t>
      </w:r>
      <w:bookmarkEnd w:id="283"/>
    </w:p>
    <w:p w14:paraId="2DFDE835" w14:textId="3E330650" w:rsidR="00121FFD" w:rsidRPr="006256FC" w:rsidRDefault="00121FFD" w:rsidP="006256FC">
      <w:pPr>
        <w:spacing w:line="480" w:lineRule="auto"/>
        <w:ind w:firstLine="0"/>
        <w:jc w:val="center"/>
        <w:rPr>
          <w:rFonts w:cs="Times New Roman"/>
          <w:b/>
          <w:bCs/>
        </w:rPr>
      </w:pPr>
      <w:r w:rsidRPr="00CE4E6D">
        <w:rPr>
          <w:rFonts w:cs="Times New Roman"/>
        </w:rPr>
        <w:br w:type="page"/>
      </w:r>
    </w:p>
    <w:p w14:paraId="00C20D7B" w14:textId="77777777" w:rsidR="00121FFD" w:rsidRPr="00CE4E6D" w:rsidRDefault="00121FFD" w:rsidP="00CE4E6D">
      <w:pPr>
        <w:spacing w:line="480" w:lineRule="auto"/>
        <w:ind w:firstLine="0"/>
        <w:rPr>
          <w:rFonts w:cs="Times New Roman"/>
        </w:rPr>
      </w:pPr>
    </w:p>
    <w:p w14:paraId="22E92FB6" w14:textId="77777777" w:rsidR="006256FC" w:rsidRDefault="00121FFD" w:rsidP="006256FC">
      <w:pPr>
        <w:keepNext/>
        <w:spacing w:line="480" w:lineRule="auto"/>
        <w:ind w:firstLine="0"/>
        <w:jc w:val="center"/>
      </w:pPr>
      <w:r w:rsidRPr="00CE4E6D">
        <w:rPr>
          <w:rFonts w:cs="Times New Roman"/>
          <w:b/>
          <w:bCs/>
          <w:noProof/>
        </w:rPr>
        <w:drawing>
          <wp:inline distT="0" distB="0" distL="0" distR="0" wp14:anchorId="0C082AE8" wp14:editId="16D590E1">
            <wp:extent cx="4112621" cy="3166110"/>
            <wp:effectExtent l="0" t="0" r="2540" b="0"/>
            <wp:docPr id="64759857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598578" name="Picture 20"/>
                    <pic:cNvPicPr>
                      <a:picLocks noChangeAspect="1" noChangeArrowheads="1"/>
                    </pic:cNvPicPr>
                  </pic:nvPicPr>
                  <pic:blipFill>
                    <a:blip r:embed="rId428" cstate="print">
                      <a:extLst>
                        <a:ext uri="{28A0092B-C50C-407E-A947-70E740481C1C}">
                          <a14:useLocalDpi xmlns:a14="http://schemas.microsoft.com/office/drawing/2010/main" val="0"/>
                        </a:ext>
                      </a:extLst>
                    </a:blip>
                    <a:stretch>
                      <a:fillRect/>
                    </a:stretch>
                  </pic:blipFill>
                  <pic:spPr bwMode="auto">
                    <a:xfrm>
                      <a:off x="0" y="0"/>
                      <a:ext cx="4112621" cy="3166110"/>
                    </a:xfrm>
                    <a:prstGeom prst="rect">
                      <a:avLst/>
                    </a:prstGeom>
                    <a:noFill/>
                    <a:ln>
                      <a:noFill/>
                    </a:ln>
                  </pic:spPr>
                </pic:pic>
              </a:graphicData>
            </a:graphic>
          </wp:inline>
        </w:drawing>
      </w:r>
    </w:p>
    <w:p w14:paraId="20BD2417" w14:textId="0F965E39" w:rsidR="00121FFD" w:rsidRPr="006256FC" w:rsidRDefault="006256FC" w:rsidP="00F13F6D">
      <w:pPr>
        <w:pStyle w:val="Caption"/>
      </w:pPr>
      <w:bookmarkStart w:id="284" w:name="_Toc193695208"/>
      <w:r>
        <w:t xml:space="preserve">Figure </w:t>
      </w:r>
      <w:fldSimple w:instr=" STYLEREF 1 \s ">
        <w:r w:rsidR="00971287">
          <w:rPr>
            <w:noProof/>
          </w:rPr>
          <w:t>6</w:t>
        </w:r>
      </w:fldSimple>
      <w:r w:rsidR="00F13F6D">
        <w:t>.</w:t>
      </w:r>
      <w:fldSimple w:instr=" SEQ Figure \* ARABIC \s 1 ">
        <w:r w:rsidR="00971287">
          <w:rPr>
            <w:noProof/>
          </w:rPr>
          <w:t>22</w:t>
        </w:r>
      </w:fldSimple>
      <w:r>
        <w:t xml:space="preserve">. </w:t>
      </w:r>
      <w:r w:rsidRPr="00CE4E6D">
        <w:t>Reduction of D</w:t>
      </w:r>
      <w:r w:rsidRPr="00CE4E6D">
        <w:rPr>
          <w:vertAlign w:val="subscript"/>
        </w:rPr>
        <w:t>6</w:t>
      </w:r>
      <w:r w:rsidRPr="00CE4E6D">
        <w:t>-DMSO by BF02_Schw and production of D</w:t>
      </w:r>
      <w:r w:rsidRPr="00CE4E6D">
        <w:rPr>
          <w:vertAlign w:val="subscript"/>
        </w:rPr>
        <w:t>6</w:t>
      </w:r>
      <w:r w:rsidRPr="00CE4E6D">
        <w:t>-DMS (M + 6) measured by MIMS.</w:t>
      </w:r>
      <w:bookmarkEnd w:id="284"/>
    </w:p>
    <w:p w14:paraId="131E5260" w14:textId="77777777" w:rsidR="00121FFD" w:rsidRPr="00CE4E6D" w:rsidRDefault="00121FFD" w:rsidP="00CE4E6D">
      <w:pPr>
        <w:ind w:firstLine="0"/>
        <w:rPr>
          <w:rFonts w:cs="Times New Roman"/>
        </w:rPr>
      </w:pPr>
      <w:r w:rsidRPr="00CE4E6D">
        <w:rPr>
          <w:rFonts w:cs="Times New Roman"/>
        </w:rPr>
        <w:br w:type="page"/>
      </w:r>
    </w:p>
    <w:p w14:paraId="095FF9D5" w14:textId="77777777" w:rsidR="006256FC" w:rsidRDefault="00121FFD" w:rsidP="006256FC">
      <w:pPr>
        <w:keepNext/>
        <w:spacing w:line="480" w:lineRule="auto"/>
        <w:ind w:firstLine="0"/>
        <w:jc w:val="center"/>
      </w:pPr>
      <w:r w:rsidRPr="00CE4E6D">
        <w:rPr>
          <w:rFonts w:cs="Times New Roman"/>
          <w:noProof/>
        </w:rPr>
        <w:lastRenderedPageBreak/>
        <w:drawing>
          <wp:inline distT="0" distB="0" distL="0" distR="0" wp14:anchorId="54ED8B20" wp14:editId="2B6EE686">
            <wp:extent cx="3503930" cy="4158437"/>
            <wp:effectExtent l="0" t="0" r="1270" b="0"/>
            <wp:docPr id="7522063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206352" name="Picture 3"/>
                    <pic:cNvPicPr>
                      <a:picLocks noChangeAspect="1" noChangeArrowheads="1"/>
                    </pic:cNvPicPr>
                  </pic:nvPicPr>
                  <pic:blipFill>
                    <a:blip r:embed="rId429">
                      <a:extLst>
                        <a:ext uri="{28A0092B-C50C-407E-A947-70E740481C1C}">
                          <a14:useLocalDpi xmlns:a14="http://schemas.microsoft.com/office/drawing/2010/main" val="0"/>
                        </a:ext>
                      </a:extLst>
                    </a:blip>
                    <a:stretch>
                      <a:fillRect/>
                    </a:stretch>
                  </pic:blipFill>
                  <pic:spPr bwMode="auto">
                    <a:xfrm>
                      <a:off x="0" y="0"/>
                      <a:ext cx="3503930" cy="4158437"/>
                    </a:xfrm>
                    <a:prstGeom prst="rect">
                      <a:avLst/>
                    </a:prstGeom>
                    <a:noFill/>
                    <a:ln>
                      <a:noFill/>
                    </a:ln>
                  </pic:spPr>
                </pic:pic>
              </a:graphicData>
            </a:graphic>
          </wp:inline>
        </w:drawing>
      </w:r>
    </w:p>
    <w:p w14:paraId="0D4AD7B3" w14:textId="1D6C1134" w:rsidR="00121FFD" w:rsidRPr="00854FA3" w:rsidRDefault="006256FC" w:rsidP="00F13F6D">
      <w:pPr>
        <w:pStyle w:val="Caption"/>
        <w:rPr>
          <w:b w:val="0"/>
          <w:bCs w:val="0"/>
        </w:rPr>
      </w:pPr>
      <w:bookmarkStart w:id="285" w:name="_Toc193695209"/>
      <w:r>
        <w:t xml:space="preserve">Figure </w:t>
      </w:r>
      <w:fldSimple w:instr=" STYLEREF 1 \s ">
        <w:r w:rsidR="00971287">
          <w:rPr>
            <w:noProof/>
          </w:rPr>
          <w:t>6</w:t>
        </w:r>
      </w:fldSimple>
      <w:r w:rsidR="00F13F6D">
        <w:t>.</w:t>
      </w:r>
      <w:fldSimple w:instr=" SEQ Figure \* ARABIC \s 1 ">
        <w:r w:rsidR="00971287">
          <w:rPr>
            <w:noProof/>
          </w:rPr>
          <w:t>23</w:t>
        </w:r>
      </w:fldSimple>
      <w:r>
        <w:t xml:space="preserve">. </w:t>
      </w:r>
      <w:r w:rsidR="003212B4">
        <w:t>Putative h</w:t>
      </w:r>
      <w:r w:rsidRPr="00CE4E6D">
        <w:t>alogenated compounds</w:t>
      </w:r>
      <w:r w:rsidR="003212B4">
        <w:t>.</w:t>
      </w:r>
      <w:r>
        <w:t xml:space="preserve"> </w:t>
      </w:r>
      <w:r w:rsidRPr="00854FA3">
        <w:rPr>
          <w:b w:val="0"/>
          <w:bCs w:val="0"/>
        </w:rPr>
        <w:t>Raw abundance of putative chloromethane (</w:t>
      </w:r>
      <w:r w:rsidRPr="00854FA3">
        <w:rPr>
          <w:b w:val="0"/>
          <w:bCs w:val="0"/>
          <w:i/>
        </w:rPr>
        <w:t xml:space="preserve">m/z </w:t>
      </w:r>
      <w:r w:rsidRPr="00854FA3">
        <w:rPr>
          <w:b w:val="0"/>
          <w:bCs w:val="0"/>
        </w:rPr>
        <w:t>15.17) and bromomethane (</w:t>
      </w:r>
      <w:r w:rsidRPr="00854FA3">
        <w:rPr>
          <w:b w:val="0"/>
          <w:bCs w:val="0"/>
          <w:i/>
        </w:rPr>
        <w:t xml:space="preserve">m/z </w:t>
      </w:r>
      <w:r w:rsidRPr="00854FA3">
        <w:rPr>
          <w:b w:val="0"/>
          <w:bCs w:val="0"/>
        </w:rPr>
        <w:t>96.13)</w:t>
      </w:r>
      <w:r w:rsidR="00202271" w:rsidRPr="00854FA3">
        <w:rPr>
          <w:b w:val="0"/>
          <w:bCs w:val="0"/>
        </w:rPr>
        <w:t xml:space="preserve"> </w:t>
      </w:r>
      <w:r w:rsidRPr="00854FA3">
        <w:rPr>
          <w:b w:val="0"/>
          <w:bCs w:val="0"/>
        </w:rPr>
        <w:t xml:space="preserve">features in headspace of aerobic incubations. </w:t>
      </w:r>
      <w:r w:rsidRPr="00854FA3">
        <w:rPr>
          <w:b w:val="0"/>
          <w:bCs w:val="0"/>
          <w:i/>
        </w:rPr>
        <w:t>ns – not significant</w:t>
      </w:r>
      <w:r w:rsidRPr="00854FA3">
        <w:rPr>
          <w:b w:val="0"/>
          <w:bCs w:val="0"/>
        </w:rPr>
        <w:t>.</w:t>
      </w:r>
      <w:bookmarkEnd w:id="285"/>
    </w:p>
    <w:p w14:paraId="0B41AD4F" w14:textId="2D45C880" w:rsidR="00121FFD" w:rsidRPr="006256FC" w:rsidRDefault="00121FFD" w:rsidP="00CE4E6D">
      <w:pPr>
        <w:spacing w:line="480" w:lineRule="auto"/>
        <w:ind w:firstLine="0"/>
        <w:rPr>
          <w:rFonts w:cs="Times New Roman"/>
        </w:rPr>
      </w:pPr>
      <w:r w:rsidRPr="006256FC">
        <w:rPr>
          <w:rFonts w:cs="Times New Roman"/>
        </w:rPr>
        <w:br w:type="page"/>
      </w:r>
    </w:p>
    <w:p w14:paraId="603458E8" w14:textId="77777777" w:rsidR="006256FC" w:rsidRDefault="00121FFD" w:rsidP="006256FC">
      <w:pPr>
        <w:keepNext/>
        <w:spacing w:line="480" w:lineRule="auto"/>
        <w:ind w:firstLine="0"/>
        <w:jc w:val="center"/>
      </w:pPr>
      <w:r w:rsidRPr="00CE4E6D">
        <w:rPr>
          <w:rFonts w:cs="Times New Roman"/>
          <w:noProof/>
        </w:rPr>
        <w:lastRenderedPageBreak/>
        <w:drawing>
          <wp:inline distT="0" distB="0" distL="0" distR="0" wp14:anchorId="51B0E034" wp14:editId="02401ECF">
            <wp:extent cx="4852694" cy="6324600"/>
            <wp:effectExtent l="0" t="0" r="5080" b="0"/>
            <wp:docPr id="13717481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748197" name="Picture 16"/>
                    <pic:cNvPicPr>
                      <a:picLocks noChangeAspect="1" noChangeArrowheads="1"/>
                    </pic:cNvPicPr>
                  </pic:nvPicPr>
                  <pic:blipFill>
                    <a:blip r:embed="rId430">
                      <a:extLst>
                        <a:ext uri="{28A0092B-C50C-407E-A947-70E740481C1C}">
                          <a14:useLocalDpi xmlns:a14="http://schemas.microsoft.com/office/drawing/2010/main" val="0"/>
                        </a:ext>
                      </a:extLst>
                    </a:blip>
                    <a:stretch>
                      <a:fillRect/>
                    </a:stretch>
                  </pic:blipFill>
                  <pic:spPr bwMode="auto">
                    <a:xfrm>
                      <a:off x="0" y="0"/>
                      <a:ext cx="4853980" cy="6326276"/>
                    </a:xfrm>
                    <a:prstGeom prst="rect">
                      <a:avLst/>
                    </a:prstGeom>
                    <a:noFill/>
                    <a:ln>
                      <a:noFill/>
                    </a:ln>
                  </pic:spPr>
                </pic:pic>
              </a:graphicData>
            </a:graphic>
          </wp:inline>
        </w:drawing>
      </w:r>
    </w:p>
    <w:p w14:paraId="71A25F2A" w14:textId="23D544FE" w:rsidR="00121FFD" w:rsidRPr="006256FC" w:rsidRDefault="006256FC" w:rsidP="006256FC">
      <w:pPr>
        <w:spacing w:line="240" w:lineRule="auto"/>
        <w:ind w:firstLine="0"/>
        <w:rPr>
          <w:rFonts w:cs="Times New Roman"/>
        </w:rPr>
      </w:pPr>
      <w:bookmarkStart w:id="286" w:name="_Toc193695210"/>
      <w:r w:rsidRPr="006256FC">
        <w:rPr>
          <w:b/>
          <w:bCs/>
        </w:rPr>
        <w:t xml:space="preserve">Figure </w:t>
      </w:r>
      <w:r w:rsidR="00F13F6D">
        <w:rPr>
          <w:b/>
          <w:bCs/>
        </w:rPr>
        <w:fldChar w:fldCharType="begin"/>
      </w:r>
      <w:r w:rsidR="00F13F6D">
        <w:rPr>
          <w:b/>
          <w:bCs/>
        </w:rPr>
        <w:instrText xml:space="preserve"> STYLEREF 1 \s </w:instrText>
      </w:r>
      <w:r w:rsidR="00F13F6D">
        <w:rPr>
          <w:b/>
          <w:bCs/>
        </w:rPr>
        <w:fldChar w:fldCharType="separate"/>
      </w:r>
      <w:r w:rsidR="00971287">
        <w:rPr>
          <w:b/>
          <w:bCs/>
          <w:noProof/>
        </w:rPr>
        <w:t>6</w:t>
      </w:r>
      <w:r w:rsidR="00F13F6D">
        <w:rPr>
          <w:b/>
          <w:bCs/>
        </w:rPr>
        <w:fldChar w:fldCharType="end"/>
      </w:r>
      <w:r w:rsidR="00F13F6D">
        <w:rPr>
          <w:b/>
          <w:bCs/>
        </w:rPr>
        <w:t>.</w:t>
      </w:r>
      <w:r w:rsidR="00F13F6D">
        <w:rPr>
          <w:b/>
          <w:bCs/>
        </w:rPr>
        <w:fldChar w:fldCharType="begin"/>
      </w:r>
      <w:r w:rsidR="00F13F6D">
        <w:rPr>
          <w:b/>
          <w:bCs/>
        </w:rPr>
        <w:instrText xml:space="preserve"> SEQ Figure \* ARABIC \s 1 </w:instrText>
      </w:r>
      <w:r w:rsidR="00F13F6D">
        <w:rPr>
          <w:b/>
          <w:bCs/>
        </w:rPr>
        <w:fldChar w:fldCharType="separate"/>
      </w:r>
      <w:r w:rsidR="00971287">
        <w:rPr>
          <w:b/>
          <w:bCs/>
          <w:noProof/>
        </w:rPr>
        <w:t>24</w:t>
      </w:r>
      <w:r w:rsidR="00F13F6D">
        <w:rPr>
          <w:b/>
          <w:bCs/>
        </w:rPr>
        <w:fldChar w:fldCharType="end"/>
      </w:r>
      <w:r w:rsidRPr="006256FC">
        <w:rPr>
          <w:b/>
          <w:bCs/>
        </w:rPr>
        <w:t xml:space="preserve">. </w:t>
      </w:r>
      <w:r w:rsidRPr="006256FC">
        <w:rPr>
          <w:rFonts w:cs="Times New Roman"/>
          <w:b/>
          <w:bCs/>
        </w:rPr>
        <w:t>Sequence alignment of putative BF02_Schw halogenases against characterized tryptophan halogenases.</w:t>
      </w:r>
      <w:r w:rsidRPr="006256FC">
        <w:rPr>
          <w:rFonts w:cs="Times New Roman"/>
        </w:rPr>
        <w:t xml:space="preserve"> Conserved FAD-binding site and tryptophan residues are annotated in red. </w:t>
      </w:r>
      <w:r w:rsidRPr="006256FC">
        <w:rPr>
          <w:rFonts w:cs="Times New Roman"/>
          <w:i/>
          <w:iCs/>
        </w:rPr>
        <w:t xml:space="preserve">Xanthomonas campestris </w:t>
      </w:r>
      <w:r w:rsidRPr="006256FC">
        <w:rPr>
          <w:rFonts w:cs="Times New Roman"/>
        </w:rPr>
        <w:t xml:space="preserve">strain B100 putative tryptophan halogenase 6Y1W (Xcc4156) sourced from RCSB PDB. Sequences for </w:t>
      </w:r>
      <w:r w:rsidRPr="006256FC">
        <w:rPr>
          <w:rFonts w:cs="Times New Roman"/>
          <w:i/>
          <w:iCs/>
        </w:rPr>
        <w:t xml:space="preserve">Streptomyces rugosporus </w:t>
      </w:r>
      <w:r w:rsidRPr="006256FC">
        <w:rPr>
          <w:rFonts w:cs="Times New Roman"/>
        </w:rPr>
        <w:t>NRRL 21084</w:t>
      </w:r>
      <w:r>
        <w:rPr>
          <w:rFonts w:cs="Times New Roman"/>
        </w:rPr>
        <w:t xml:space="preserve"> </w:t>
      </w:r>
      <w:r w:rsidRPr="006256FC">
        <w:rPr>
          <w:rFonts w:cs="Times New Roman"/>
        </w:rPr>
        <w:t xml:space="preserve">tryptophan 5-halogenase TRP5H_STRRG (A4D0H5), </w:t>
      </w:r>
      <w:r w:rsidRPr="006256FC">
        <w:rPr>
          <w:rFonts w:cs="Times New Roman"/>
          <w:i/>
          <w:iCs/>
        </w:rPr>
        <w:t xml:space="preserve">S. toxytricini </w:t>
      </w:r>
      <w:r w:rsidRPr="006256FC">
        <w:rPr>
          <w:rFonts w:cs="Times New Roman"/>
        </w:rPr>
        <w:t xml:space="preserve">NRRL 15443 tryptophan 6-halogenase TRP6H_STRT5 (E9P162), and </w:t>
      </w:r>
      <w:r w:rsidRPr="006256FC">
        <w:rPr>
          <w:rFonts w:cs="Times New Roman"/>
          <w:i/>
          <w:iCs/>
        </w:rPr>
        <w:t xml:space="preserve">Pseudomonas fluorescens </w:t>
      </w:r>
      <w:r w:rsidRPr="006256FC">
        <w:rPr>
          <w:rFonts w:cs="Times New Roman"/>
        </w:rPr>
        <w:t>Bl915 tryptophan 7-halogenase TRP7H_PSEFL (P95480) were sourced from UniProt.</w:t>
      </w:r>
      <w:bookmarkEnd w:id="286"/>
    </w:p>
    <w:p w14:paraId="6F4C14A4" w14:textId="70EAA2CB" w:rsidR="00854FA3" w:rsidRDefault="00854FA3">
      <w:pPr>
        <w:spacing w:line="240" w:lineRule="auto"/>
        <w:ind w:firstLine="0"/>
      </w:pPr>
    </w:p>
    <w:p w14:paraId="59764854" w14:textId="3A8A8639" w:rsidR="006256FC" w:rsidRDefault="00121FFD" w:rsidP="006256FC">
      <w:pPr>
        <w:keepNext/>
        <w:spacing w:line="480" w:lineRule="auto"/>
        <w:ind w:firstLine="0"/>
        <w:jc w:val="center"/>
      </w:pPr>
      <w:r w:rsidRPr="00CE4E6D">
        <w:rPr>
          <w:rFonts w:cs="Times New Roman"/>
          <w:b/>
          <w:bCs/>
          <w:noProof/>
        </w:rPr>
        <w:drawing>
          <wp:inline distT="0" distB="0" distL="0" distR="0" wp14:anchorId="5D82119C" wp14:editId="703AB242">
            <wp:extent cx="2737658" cy="3926378"/>
            <wp:effectExtent l="0" t="0" r="5715" b="0"/>
            <wp:docPr id="189796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967968" name="Picture 1"/>
                    <pic:cNvPicPr/>
                  </pic:nvPicPr>
                  <pic:blipFill>
                    <a:blip r:embed="rId431" cstate="print">
                      <a:extLst>
                        <a:ext uri="{28A0092B-C50C-407E-A947-70E740481C1C}">
                          <a14:useLocalDpi xmlns:a14="http://schemas.microsoft.com/office/drawing/2010/main" val="0"/>
                        </a:ext>
                      </a:extLst>
                    </a:blip>
                    <a:stretch>
                      <a:fillRect/>
                    </a:stretch>
                  </pic:blipFill>
                  <pic:spPr>
                    <a:xfrm>
                      <a:off x="0" y="0"/>
                      <a:ext cx="2737658" cy="3926378"/>
                    </a:xfrm>
                    <a:prstGeom prst="rect">
                      <a:avLst/>
                    </a:prstGeom>
                  </pic:spPr>
                </pic:pic>
              </a:graphicData>
            </a:graphic>
          </wp:inline>
        </w:drawing>
      </w:r>
    </w:p>
    <w:p w14:paraId="71BD002F" w14:textId="7C3DDCE4" w:rsidR="006256FC" w:rsidRPr="00CE4E6D" w:rsidRDefault="006256FC" w:rsidP="006256FC">
      <w:pPr>
        <w:tabs>
          <w:tab w:val="left" w:pos="3642"/>
        </w:tabs>
        <w:spacing w:line="240" w:lineRule="auto"/>
        <w:ind w:firstLine="0"/>
        <w:rPr>
          <w:rFonts w:cs="Times New Roman"/>
        </w:rPr>
      </w:pPr>
      <w:bookmarkStart w:id="287" w:name="_Toc193695211"/>
      <w:r w:rsidRPr="006256FC">
        <w:rPr>
          <w:b/>
          <w:bCs/>
        </w:rPr>
        <w:t xml:space="preserve">Figure </w:t>
      </w:r>
      <w:r w:rsidR="00F13F6D">
        <w:rPr>
          <w:b/>
          <w:bCs/>
        </w:rPr>
        <w:fldChar w:fldCharType="begin"/>
      </w:r>
      <w:r w:rsidR="00F13F6D">
        <w:rPr>
          <w:b/>
          <w:bCs/>
        </w:rPr>
        <w:instrText xml:space="preserve"> STYLEREF 1 \s </w:instrText>
      </w:r>
      <w:r w:rsidR="00F13F6D">
        <w:rPr>
          <w:b/>
          <w:bCs/>
        </w:rPr>
        <w:fldChar w:fldCharType="separate"/>
      </w:r>
      <w:r w:rsidR="00971287">
        <w:rPr>
          <w:b/>
          <w:bCs/>
          <w:noProof/>
        </w:rPr>
        <w:t>6</w:t>
      </w:r>
      <w:r w:rsidR="00F13F6D">
        <w:rPr>
          <w:b/>
          <w:bCs/>
        </w:rPr>
        <w:fldChar w:fldCharType="end"/>
      </w:r>
      <w:r w:rsidR="00F13F6D">
        <w:rPr>
          <w:b/>
          <w:bCs/>
        </w:rPr>
        <w:t>.</w:t>
      </w:r>
      <w:r w:rsidR="00F13F6D">
        <w:rPr>
          <w:b/>
          <w:bCs/>
        </w:rPr>
        <w:fldChar w:fldCharType="begin"/>
      </w:r>
      <w:r w:rsidR="00F13F6D">
        <w:rPr>
          <w:b/>
          <w:bCs/>
        </w:rPr>
        <w:instrText xml:space="preserve"> SEQ Figure \* ARABIC \s 1 </w:instrText>
      </w:r>
      <w:r w:rsidR="00F13F6D">
        <w:rPr>
          <w:b/>
          <w:bCs/>
        </w:rPr>
        <w:fldChar w:fldCharType="separate"/>
      </w:r>
      <w:r w:rsidR="00971287">
        <w:rPr>
          <w:b/>
          <w:bCs/>
          <w:noProof/>
        </w:rPr>
        <w:t>25</w:t>
      </w:r>
      <w:r w:rsidR="00F13F6D">
        <w:rPr>
          <w:b/>
          <w:bCs/>
        </w:rPr>
        <w:fldChar w:fldCharType="end"/>
      </w:r>
      <w:r w:rsidRPr="006256FC">
        <w:rPr>
          <w:b/>
          <w:bCs/>
        </w:rPr>
        <w:t xml:space="preserve">. </w:t>
      </w:r>
      <w:r w:rsidRPr="006256FC">
        <w:rPr>
          <w:rFonts w:cs="Times New Roman"/>
          <w:b/>
          <w:bCs/>
        </w:rPr>
        <w:t xml:space="preserve">Predicted structure of BF02_Schw PrnA aligned with flavin-dependent halogenase from </w:t>
      </w:r>
      <w:r w:rsidRPr="006256FC">
        <w:rPr>
          <w:rFonts w:cs="Times New Roman"/>
          <w:b/>
          <w:bCs/>
          <w:i/>
          <w:iCs/>
        </w:rPr>
        <w:t>Xanthomonas campestris</w:t>
      </w:r>
      <w:r w:rsidRPr="006256FC">
        <w:rPr>
          <w:rFonts w:cs="Times New Roman"/>
          <w:b/>
          <w:bCs/>
        </w:rPr>
        <w:t xml:space="preserve"> (PDB Chain 6Y1W-B; orange).</w:t>
      </w:r>
      <w:r w:rsidRPr="00CE4E6D">
        <w:rPr>
          <w:rFonts w:cs="Times New Roman"/>
        </w:rPr>
        <w:t xml:space="preserve"> Coloration of PrnA is based on structural conservation, ranging from blue (high) to red (low).</w:t>
      </w:r>
      <w:bookmarkEnd w:id="287"/>
    </w:p>
    <w:p w14:paraId="6558AE52" w14:textId="7ABD025B" w:rsidR="00121FFD" w:rsidRPr="006256FC" w:rsidRDefault="00121FFD" w:rsidP="00F13F6D">
      <w:pPr>
        <w:pStyle w:val="Caption"/>
      </w:pPr>
    </w:p>
    <w:p w14:paraId="27C20DBD" w14:textId="7F8F3C19" w:rsidR="00121FFD" w:rsidRPr="00CE4E6D" w:rsidRDefault="008C5889" w:rsidP="00121FFD">
      <w:pPr>
        <w:spacing w:line="240" w:lineRule="auto"/>
        <w:ind w:firstLine="0"/>
        <w:rPr>
          <w:rFonts w:cs="Times New Roman"/>
          <w:b/>
          <w:bCs/>
        </w:rPr>
      </w:pPr>
      <w:r w:rsidRPr="00CE4E6D">
        <w:rPr>
          <w:rFonts w:cs="Times New Roman"/>
        </w:rPr>
        <w:br w:type="page"/>
      </w:r>
    </w:p>
    <w:p w14:paraId="24F2DDF1" w14:textId="5C285152" w:rsidR="00191DD7" w:rsidRPr="00BB6824" w:rsidRDefault="001D6E31" w:rsidP="008420A0">
      <w:pPr>
        <w:pStyle w:val="AltHeading1"/>
      </w:pPr>
      <w:bookmarkStart w:id="288" w:name="_Toc196256956"/>
      <w:r w:rsidRPr="00BB6824">
        <w:lastRenderedPageBreak/>
        <w:t>VITA</w:t>
      </w:r>
      <w:bookmarkEnd w:id="136"/>
      <w:bookmarkEnd w:id="137"/>
      <w:bookmarkEnd w:id="138"/>
      <w:bookmarkEnd w:id="288"/>
    </w:p>
    <w:p w14:paraId="14392711" w14:textId="345E73C7" w:rsidR="00AE125E" w:rsidRPr="0055025E" w:rsidRDefault="00290849" w:rsidP="00B72BE1">
      <w:r>
        <w:t>Jacob Shaffer spent most of his early life running around the woods and scabland of eastern Washington, constantly asking questions like “why?” and “how come</w:t>
      </w:r>
      <w:r w:rsidR="00236184">
        <w:t xml:space="preserve">?” when looking at the world around him. </w:t>
      </w:r>
      <w:r w:rsidR="0055025E">
        <w:t>Thanks to his father, an amateur astronomer, these questions soon began to be directed towards scientists, engineers, and educators across a variety of</w:t>
      </w:r>
      <w:r w:rsidR="00F725E2">
        <w:t xml:space="preserve"> fields</w:t>
      </w:r>
      <w:r w:rsidR="0055025E">
        <w:t xml:space="preserve"> (but mostly space). While the </w:t>
      </w:r>
      <w:r w:rsidR="00F725E2">
        <w:t>topic</w:t>
      </w:r>
      <w:r w:rsidR="0055025E">
        <w:t xml:space="preserve"> of interest changed over the years (astronomy to geology to entomology to pathology), the curiosity and questioning never really stopped. Thanks to Spokane Public Schools, Jacob took two introductory biology classes in high school that inspired enough of an interest to pursue a bachelor's degree in it over the Cascades at the University of Puget Sound. Thanks to a tardigrade-patterned phone case and a connection through the UPS School of Music, he learned that the Biology Department had research labs, and thus the “whys?” and “how comes?” were directed towards microorganisms. After some adventures with tardigrades, nematodes, and hydrogen sulfide, Jacob decided to ask such questions professionally, and discovered that they really, </w:t>
      </w:r>
      <w:r w:rsidR="0055025E">
        <w:rPr>
          <w:i/>
          <w:iCs/>
        </w:rPr>
        <w:t>really</w:t>
      </w:r>
      <w:r w:rsidR="0055025E">
        <w:t xml:space="preserve"> like inspiring students to ask “why?” and “how come?” in </w:t>
      </w:r>
      <w:r w:rsidR="00C91980">
        <w:t>both the classroom and the laboratory. So again, Jacob moved back over the Cascades, over the Rockies, and down to the Smokies to earn a PhD in the University of Tennessee Department of Microbiology, where, despite (or maybe because of?) the heat, they fell in love with the cold.</w:t>
      </w:r>
    </w:p>
    <w:sectPr w:rsidR="00AE125E" w:rsidRPr="0055025E" w:rsidSect="00A23FDC">
      <w:footerReference w:type="default" r:id="rId432"/>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2BA13" w14:textId="77777777" w:rsidR="00C22403" w:rsidRDefault="00C22403">
      <w:r>
        <w:separator/>
      </w:r>
    </w:p>
  </w:endnote>
  <w:endnote w:type="continuationSeparator" w:id="0">
    <w:p w14:paraId="08F2EC48" w14:textId="77777777" w:rsidR="00C22403" w:rsidRDefault="00C22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291986760"/>
      <w:docPartObj>
        <w:docPartGallery w:val="Page Numbers (Bottom of Page)"/>
        <w:docPartUnique/>
      </w:docPartObj>
    </w:sdtPr>
    <w:sdtEndPr>
      <w:rPr>
        <w:noProof/>
      </w:rPr>
    </w:sdtEndPr>
    <w:sdtContent>
      <w:p w14:paraId="1EEE0051" w14:textId="77777777" w:rsidR="00D83B30" w:rsidRPr="009D2AA9" w:rsidRDefault="00D83B30" w:rsidP="000B3E3E">
        <w:pPr>
          <w:pStyle w:val="Footer"/>
          <w:ind w:firstLine="0"/>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sidR="007F7A99">
          <w:rPr>
            <w:rFonts w:cs="Times New Roman"/>
            <w:noProof/>
          </w:rPr>
          <w:t>14</w:t>
        </w:r>
        <w:r w:rsidRPr="009D2AA9">
          <w:rPr>
            <w:rFonts w:cs="Times New Roman"/>
            <w:noProof/>
          </w:rPr>
          <w:fldChar w:fldCharType="end"/>
        </w:r>
      </w:p>
    </w:sdtContent>
  </w:sdt>
  <w:p w14:paraId="2B8EF267" w14:textId="77777777" w:rsidR="00683F5B" w:rsidRDefault="00683F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922847"/>
      <w:docPartObj>
        <w:docPartGallery w:val="Page Numbers (Bottom of Page)"/>
        <w:docPartUnique/>
      </w:docPartObj>
    </w:sdtPr>
    <w:sdtEndPr>
      <w:rPr>
        <w:noProof/>
      </w:rPr>
    </w:sdtEndPr>
    <w:sdtContent>
      <w:p w14:paraId="46937365" w14:textId="77777777" w:rsidR="00A46B68" w:rsidRDefault="00A46B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BEC1CF" w14:textId="77777777" w:rsidR="00A46B68" w:rsidRDefault="00A46B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329F5" w14:textId="77777777" w:rsidR="009C7D45" w:rsidRDefault="009C7D45">
    <w:pPr>
      <w:jc w:val="center"/>
      <w:rPr>
        <w:rFonts w:cs="Times New Roman"/>
      </w:rPr>
    </w:pPr>
    <w:r>
      <w:rPr>
        <w:rFonts w:cs="Times New Roman"/>
      </w:rPr>
      <w:fldChar w:fldCharType="begin"/>
    </w:r>
    <w:r>
      <w:rPr>
        <w:rFonts w:cs="Times New Roman"/>
      </w:rPr>
      <w:instrText>PAGE</w:instrText>
    </w:r>
    <w:r>
      <w:rPr>
        <w:rFonts w:cs="Times New Roman"/>
      </w:rPr>
      <w:fldChar w:fldCharType="separate"/>
    </w:r>
    <w:r>
      <w:rPr>
        <w:rFonts w:cs="Times New Roman"/>
        <w:noProof/>
      </w:rPr>
      <w:t>1</w:t>
    </w:r>
    <w:r>
      <w:rPr>
        <w:rFonts w:cs="Times New Roman"/>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53FA8" w14:textId="77777777" w:rsidR="00121FFD" w:rsidRDefault="00121FFD" w:rsidP="001D6E31">
    <w:pPr>
      <w:ind w:firstLine="0"/>
      <w:jc w:val="center"/>
      <w:rPr>
        <w:rFonts w:cs="Times New Roman"/>
      </w:rPr>
    </w:pPr>
    <w:r>
      <w:rPr>
        <w:rFonts w:cs="Times New Roman"/>
      </w:rPr>
      <w:fldChar w:fldCharType="begin"/>
    </w:r>
    <w:r>
      <w:rPr>
        <w:rFonts w:cs="Times New Roman"/>
      </w:rPr>
      <w:instrText>PAGE</w:instrText>
    </w:r>
    <w:r>
      <w:rPr>
        <w:rFonts w:cs="Times New Roman"/>
      </w:rPr>
      <w:fldChar w:fldCharType="separate"/>
    </w:r>
    <w:r>
      <w:rPr>
        <w:rFonts w:cs="Times New Roman"/>
        <w:noProof/>
      </w:rPr>
      <w:t>1</w:t>
    </w:r>
    <w:r>
      <w:rPr>
        <w:rFonts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FA8B7" w14:textId="77777777" w:rsidR="00C22403" w:rsidRDefault="00C22403">
      <w:r>
        <w:separator/>
      </w:r>
    </w:p>
  </w:footnote>
  <w:footnote w:type="continuationSeparator" w:id="0">
    <w:p w14:paraId="6DD01747" w14:textId="77777777" w:rsidR="00C22403" w:rsidRDefault="00C22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3F9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4308" w14:textId="77777777" w:rsidR="00683F5B" w:rsidRDefault="00683F5B">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481D4" w14:textId="77777777" w:rsidR="00A46B68" w:rsidRDefault="00A46B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6EE5154"/>
    <w:multiLevelType w:val="hybridMultilevel"/>
    <w:tmpl w:val="E408B760"/>
    <w:lvl w:ilvl="0" w:tplc="04090011">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17E73504"/>
    <w:multiLevelType w:val="multilevel"/>
    <w:tmpl w:val="13786A52"/>
    <w:lvl w:ilvl="0">
      <w:start w:val="1"/>
      <w:numFmt w:val="none"/>
      <w:suff w:val="space"/>
      <w:lvlText w:val="Chapter One"/>
      <w:lvlJc w:val="left"/>
      <w:pPr>
        <w:ind w:left="0" w:firstLine="0"/>
      </w:pPr>
      <w:rPr>
        <w:rFonts w:hint="default"/>
      </w:rPr>
    </w:lvl>
    <w:lvl w:ilvl="1">
      <w:start w:val="1"/>
      <w:numFmt w:val="none"/>
      <w:pStyle w:val="ListParagraph"/>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0440B3E"/>
    <w:multiLevelType w:val="multilevel"/>
    <w:tmpl w:val="E3D04324"/>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21027F21"/>
    <w:multiLevelType w:val="hybridMultilevel"/>
    <w:tmpl w:val="0A885D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E3BB4"/>
    <w:multiLevelType w:val="hybridMultilevel"/>
    <w:tmpl w:val="AB6CED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58080F"/>
    <w:multiLevelType w:val="multilevel"/>
    <w:tmpl w:val="E82EE8B2"/>
    <w:lvl w:ilvl="0">
      <w:start w:val="1"/>
      <w:numFmt w:val="none"/>
      <w:suff w:val="space"/>
      <w:lvlText w:val="Chapter One"/>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351B1856"/>
    <w:multiLevelType w:val="multilevel"/>
    <w:tmpl w:val="23C21618"/>
    <w:lvl w:ilvl="0">
      <w:start w:val="1"/>
      <w:numFmt w:val="none"/>
      <w:suff w:val="space"/>
      <w:lvlText w:val="Chapter One"/>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BCD41A3"/>
    <w:multiLevelType w:val="multilevel"/>
    <w:tmpl w:val="8780D5BE"/>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527D425E"/>
    <w:multiLevelType w:val="multilevel"/>
    <w:tmpl w:val="C9463E6A"/>
    <w:lvl w:ilvl="0">
      <w:start w:val="1"/>
      <w:numFmt w:val="none"/>
      <w:suff w:val="space"/>
      <w:lvlText w:val="Chapter One"/>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6F025EA3"/>
    <w:multiLevelType w:val="multilevel"/>
    <w:tmpl w:val="C9463E6A"/>
    <w:lvl w:ilvl="0">
      <w:start w:val="1"/>
      <w:numFmt w:val="none"/>
      <w:suff w:val="space"/>
      <w:lvlText w:val="Chapter One"/>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70460CB7"/>
    <w:multiLevelType w:val="multilevel"/>
    <w:tmpl w:val="3A309BCA"/>
    <w:lvl w:ilvl="0">
      <w:start w:val="1"/>
      <w:numFmt w:val="cardinalText"/>
      <w:suff w:val="space"/>
      <w:lvlText w:val="Chapter %1:"/>
      <w:lvlJc w:val="left"/>
      <w:pPr>
        <w:ind w:left="2070" w:firstLine="0"/>
      </w:pPr>
      <w:rPr>
        <w:rFonts w:hint="default"/>
        <w:caps/>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7C8E2455"/>
    <w:multiLevelType w:val="hybridMultilevel"/>
    <w:tmpl w:val="3428376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5220887">
    <w:abstractNumId w:val="0"/>
  </w:num>
  <w:num w:numId="2" w16cid:durableId="997458764">
    <w:abstractNumId w:val="9"/>
  </w:num>
  <w:num w:numId="3" w16cid:durableId="1876238217">
    <w:abstractNumId w:val="3"/>
  </w:num>
  <w:num w:numId="4" w16cid:durableId="164785261">
    <w:abstractNumId w:val="19"/>
  </w:num>
  <w:num w:numId="5" w16cid:durableId="1414358103">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22588458">
    <w:abstractNumId w:val="13"/>
  </w:num>
  <w:num w:numId="7" w16cid:durableId="14188042">
    <w:abstractNumId w:val="12"/>
  </w:num>
  <w:num w:numId="8" w16cid:durableId="1626690435">
    <w:abstractNumId w:val="7"/>
  </w:num>
  <w:num w:numId="9" w16cid:durableId="1945335942">
    <w:abstractNumId w:val="26"/>
  </w:num>
  <w:num w:numId="10" w16cid:durableId="76945109">
    <w:abstractNumId w:val="14"/>
  </w:num>
  <w:num w:numId="11" w16cid:durableId="1360666777">
    <w:abstractNumId w:val="20"/>
  </w:num>
  <w:num w:numId="12" w16cid:durableId="1385565045">
    <w:abstractNumId w:val="17"/>
  </w:num>
  <w:num w:numId="13" w16cid:durableId="1888391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500390">
    <w:abstractNumId w:val="27"/>
  </w:num>
  <w:num w:numId="15" w16cid:durableId="40716382">
    <w:abstractNumId w:val="27"/>
  </w:num>
  <w:num w:numId="16" w16cid:durableId="171376933">
    <w:abstractNumId w:val="10"/>
  </w:num>
  <w:num w:numId="17" w16cid:durableId="1586840449">
    <w:abstractNumId w:val="6"/>
  </w:num>
  <w:num w:numId="18" w16cid:durableId="2016689683">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559F"/>
    <w:rsid w:val="000123D9"/>
    <w:rsid w:val="00014A3E"/>
    <w:rsid w:val="00016683"/>
    <w:rsid w:val="000166A9"/>
    <w:rsid w:val="0002037F"/>
    <w:rsid w:val="0002566F"/>
    <w:rsid w:val="00032057"/>
    <w:rsid w:val="00057004"/>
    <w:rsid w:val="00064B77"/>
    <w:rsid w:val="0006529B"/>
    <w:rsid w:val="000708DA"/>
    <w:rsid w:val="00071FB8"/>
    <w:rsid w:val="00076A95"/>
    <w:rsid w:val="000957C1"/>
    <w:rsid w:val="00096B68"/>
    <w:rsid w:val="000B0A40"/>
    <w:rsid w:val="000B3E3E"/>
    <w:rsid w:val="000B5C42"/>
    <w:rsid w:val="000D5C16"/>
    <w:rsid w:val="000D7565"/>
    <w:rsid w:val="000F1652"/>
    <w:rsid w:val="0010217F"/>
    <w:rsid w:val="00103139"/>
    <w:rsid w:val="00106927"/>
    <w:rsid w:val="00112877"/>
    <w:rsid w:val="00112F00"/>
    <w:rsid w:val="00114FBE"/>
    <w:rsid w:val="00121FFD"/>
    <w:rsid w:val="0015605F"/>
    <w:rsid w:val="00157546"/>
    <w:rsid w:val="001620AC"/>
    <w:rsid w:val="00163DBE"/>
    <w:rsid w:val="001669A7"/>
    <w:rsid w:val="00166F81"/>
    <w:rsid w:val="0017008D"/>
    <w:rsid w:val="00173169"/>
    <w:rsid w:val="00173751"/>
    <w:rsid w:val="00177D09"/>
    <w:rsid w:val="00184064"/>
    <w:rsid w:val="001854FB"/>
    <w:rsid w:val="001858C1"/>
    <w:rsid w:val="00191DD7"/>
    <w:rsid w:val="00191E56"/>
    <w:rsid w:val="00193642"/>
    <w:rsid w:val="00196ABD"/>
    <w:rsid w:val="001A0D20"/>
    <w:rsid w:val="001A14AF"/>
    <w:rsid w:val="001B6131"/>
    <w:rsid w:val="001B71A2"/>
    <w:rsid w:val="001C39F6"/>
    <w:rsid w:val="001C3C64"/>
    <w:rsid w:val="001C66FE"/>
    <w:rsid w:val="001D24F9"/>
    <w:rsid w:val="001D3683"/>
    <w:rsid w:val="001D37B2"/>
    <w:rsid w:val="001D3AC3"/>
    <w:rsid w:val="001D4908"/>
    <w:rsid w:val="001D6904"/>
    <w:rsid w:val="001D6E31"/>
    <w:rsid w:val="001F17B6"/>
    <w:rsid w:val="001F522F"/>
    <w:rsid w:val="002013D3"/>
    <w:rsid w:val="00202271"/>
    <w:rsid w:val="00204A05"/>
    <w:rsid w:val="00205444"/>
    <w:rsid w:val="00206090"/>
    <w:rsid w:val="00207219"/>
    <w:rsid w:val="00210E35"/>
    <w:rsid w:val="002120D8"/>
    <w:rsid w:val="00212387"/>
    <w:rsid w:val="00215CDD"/>
    <w:rsid w:val="002206E5"/>
    <w:rsid w:val="00221913"/>
    <w:rsid w:val="002241D4"/>
    <w:rsid w:val="00236184"/>
    <w:rsid w:val="00236E6D"/>
    <w:rsid w:val="002429E5"/>
    <w:rsid w:val="0025018F"/>
    <w:rsid w:val="002631CA"/>
    <w:rsid w:val="00266870"/>
    <w:rsid w:val="00273892"/>
    <w:rsid w:val="0027481A"/>
    <w:rsid w:val="00280CEF"/>
    <w:rsid w:val="00281F45"/>
    <w:rsid w:val="00284FAE"/>
    <w:rsid w:val="002853E7"/>
    <w:rsid w:val="0028661C"/>
    <w:rsid w:val="0028757A"/>
    <w:rsid w:val="00290849"/>
    <w:rsid w:val="002B217F"/>
    <w:rsid w:val="002B34CF"/>
    <w:rsid w:val="002B41C0"/>
    <w:rsid w:val="002C76E7"/>
    <w:rsid w:val="002D12B0"/>
    <w:rsid w:val="002D1FE4"/>
    <w:rsid w:val="002D470F"/>
    <w:rsid w:val="002E0582"/>
    <w:rsid w:val="002E2492"/>
    <w:rsid w:val="002E2E9A"/>
    <w:rsid w:val="002E3F44"/>
    <w:rsid w:val="002F07BA"/>
    <w:rsid w:val="002F15D8"/>
    <w:rsid w:val="002F2720"/>
    <w:rsid w:val="003012DB"/>
    <w:rsid w:val="00304BD0"/>
    <w:rsid w:val="00306BE7"/>
    <w:rsid w:val="00307D77"/>
    <w:rsid w:val="00311F1A"/>
    <w:rsid w:val="00312CA9"/>
    <w:rsid w:val="00313E9E"/>
    <w:rsid w:val="00314228"/>
    <w:rsid w:val="003150D5"/>
    <w:rsid w:val="00320F78"/>
    <w:rsid w:val="003212B4"/>
    <w:rsid w:val="00321636"/>
    <w:rsid w:val="00324C59"/>
    <w:rsid w:val="00344EF3"/>
    <w:rsid w:val="0035155B"/>
    <w:rsid w:val="00354147"/>
    <w:rsid w:val="003555C0"/>
    <w:rsid w:val="0035669B"/>
    <w:rsid w:val="0035736F"/>
    <w:rsid w:val="0035768F"/>
    <w:rsid w:val="00360CC8"/>
    <w:rsid w:val="00373157"/>
    <w:rsid w:val="00376565"/>
    <w:rsid w:val="0038177C"/>
    <w:rsid w:val="003836EB"/>
    <w:rsid w:val="00387024"/>
    <w:rsid w:val="00387589"/>
    <w:rsid w:val="0039365D"/>
    <w:rsid w:val="003963D3"/>
    <w:rsid w:val="003A582F"/>
    <w:rsid w:val="003A5A06"/>
    <w:rsid w:val="003B64E4"/>
    <w:rsid w:val="003C1575"/>
    <w:rsid w:val="003C1B83"/>
    <w:rsid w:val="003C7718"/>
    <w:rsid w:val="003D07F7"/>
    <w:rsid w:val="003D0E97"/>
    <w:rsid w:val="003D5275"/>
    <w:rsid w:val="003D63DF"/>
    <w:rsid w:val="003D737F"/>
    <w:rsid w:val="003E2944"/>
    <w:rsid w:val="003E5EA7"/>
    <w:rsid w:val="003F3885"/>
    <w:rsid w:val="003F7474"/>
    <w:rsid w:val="003F7FED"/>
    <w:rsid w:val="00402987"/>
    <w:rsid w:val="00404616"/>
    <w:rsid w:val="00407B6A"/>
    <w:rsid w:val="00414400"/>
    <w:rsid w:val="00420910"/>
    <w:rsid w:val="00421CD4"/>
    <w:rsid w:val="004235CC"/>
    <w:rsid w:val="00425F72"/>
    <w:rsid w:val="00426553"/>
    <w:rsid w:val="00427833"/>
    <w:rsid w:val="004336B0"/>
    <w:rsid w:val="0043666D"/>
    <w:rsid w:val="0044196E"/>
    <w:rsid w:val="00441DFB"/>
    <w:rsid w:val="00445596"/>
    <w:rsid w:val="0046578E"/>
    <w:rsid w:val="00466EC9"/>
    <w:rsid w:val="00474210"/>
    <w:rsid w:val="00480B96"/>
    <w:rsid w:val="0048303E"/>
    <w:rsid w:val="00490714"/>
    <w:rsid w:val="004917B6"/>
    <w:rsid w:val="004920F6"/>
    <w:rsid w:val="004A1B3F"/>
    <w:rsid w:val="004A477E"/>
    <w:rsid w:val="004A6214"/>
    <w:rsid w:val="004A67E8"/>
    <w:rsid w:val="004C1A5E"/>
    <w:rsid w:val="004C3D65"/>
    <w:rsid w:val="004C434D"/>
    <w:rsid w:val="004C48A6"/>
    <w:rsid w:val="004D05F5"/>
    <w:rsid w:val="004D6472"/>
    <w:rsid w:val="004D6A00"/>
    <w:rsid w:val="004D7405"/>
    <w:rsid w:val="004E0C52"/>
    <w:rsid w:val="004F08CE"/>
    <w:rsid w:val="004F0929"/>
    <w:rsid w:val="004F0C8A"/>
    <w:rsid w:val="004F2777"/>
    <w:rsid w:val="004F7D48"/>
    <w:rsid w:val="00513BB6"/>
    <w:rsid w:val="00513CDC"/>
    <w:rsid w:val="005148C3"/>
    <w:rsid w:val="005205E3"/>
    <w:rsid w:val="005262C6"/>
    <w:rsid w:val="0053677E"/>
    <w:rsid w:val="00544AE2"/>
    <w:rsid w:val="0055025E"/>
    <w:rsid w:val="00550D71"/>
    <w:rsid w:val="0055306B"/>
    <w:rsid w:val="00553962"/>
    <w:rsid w:val="00560FAB"/>
    <w:rsid w:val="00562BA2"/>
    <w:rsid w:val="00562EB1"/>
    <w:rsid w:val="005825D9"/>
    <w:rsid w:val="00586891"/>
    <w:rsid w:val="00593CBB"/>
    <w:rsid w:val="00595F84"/>
    <w:rsid w:val="00596514"/>
    <w:rsid w:val="00597D3F"/>
    <w:rsid w:val="005A0EB0"/>
    <w:rsid w:val="005B79E9"/>
    <w:rsid w:val="005C3881"/>
    <w:rsid w:val="005C41C9"/>
    <w:rsid w:val="005E4912"/>
    <w:rsid w:val="005E6F1F"/>
    <w:rsid w:val="005F2B0B"/>
    <w:rsid w:val="005F3360"/>
    <w:rsid w:val="005F44D1"/>
    <w:rsid w:val="005F62EA"/>
    <w:rsid w:val="00600809"/>
    <w:rsid w:val="006028D6"/>
    <w:rsid w:val="00605316"/>
    <w:rsid w:val="00605623"/>
    <w:rsid w:val="00605828"/>
    <w:rsid w:val="00612813"/>
    <w:rsid w:val="00621129"/>
    <w:rsid w:val="00623EDB"/>
    <w:rsid w:val="006256FC"/>
    <w:rsid w:val="0063011A"/>
    <w:rsid w:val="00633916"/>
    <w:rsid w:val="0064147A"/>
    <w:rsid w:val="00641D2B"/>
    <w:rsid w:val="0064320A"/>
    <w:rsid w:val="00646BA6"/>
    <w:rsid w:val="00646C9A"/>
    <w:rsid w:val="0065123B"/>
    <w:rsid w:val="00653F87"/>
    <w:rsid w:val="00662D3E"/>
    <w:rsid w:val="00665C7E"/>
    <w:rsid w:val="00672DDD"/>
    <w:rsid w:val="00676C91"/>
    <w:rsid w:val="00682ED9"/>
    <w:rsid w:val="00683F5B"/>
    <w:rsid w:val="00690171"/>
    <w:rsid w:val="00690B77"/>
    <w:rsid w:val="00693334"/>
    <w:rsid w:val="006B2695"/>
    <w:rsid w:val="006B35F7"/>
    <w:rsid w:val="006B580B"/>
    <w:rsid w:val="006B621E"/>
    <w:rsid w:val="006C049E"/>
    <w:rsid w:val="006C3F0E"/>
    <w:rsid w:val="006C4000"/>
    <w:rsid w:val="006D171F"/>
    <w:rsid w:val="006D40FC"/>
    <w:rsid w:val="006D474B"/>
    <w:rsid w:val="006D4FC1"/>
    <w:rsid w:val="006E17C3"/>
    <w:rsid w:val="006E1E6D"/>
    <w:rsid w:val="006E4BDD"/>
    <w:rsid w:val="006E56E8"/>
    <w:rsid w:val="006F7CED"/>
    <w:rsid w:val="00711200"/>
    <w:rsid w:val="00711275"/>
    <w:rsid w:val="007122C3"/>
    <w:rsid w:val="0072397F"/>
    <w:rsid w:val="00724E7D"/>
    <w:rsid w:val="00724FF6"/>
    <w:rsid w:val="00731922"/>
    <w:rsid w:val="00731ACB"/>
    <w:rsid w:val="007354D2"/>
    <w:rsid w:val="007368AD"/>
    <w:rsid w:val="00737F54"/>
    <w:rsid w:val="0074133D"/>
    <w:rsid w:val="0074293C"/>
    <w:rsid w:val="00743645"/>
    <w:rsid w:val="0075196D"/>
    <w:rsid w:val="00753EAD"/>
    <w:rsid w:val="0075558C"/>
    <w:rsid w:val="00761EFA"/>
    <w:rsid w:val="007645DA"/>
    <w:rsid w:val="00764873"/>
    <w:rsid w:val="00776A21"/>
    <w:rsid w:val="007778DD"/>
    <w:rsid w:val="00777B0F"/>
    <w:rsid w:val="00790B6C"/>
    <w:rsid w:val="00792A6E"/>
    <w:rsid w:val="00793B0A"/>
    <w:rsid w:val="00794A4D"/>
    <w:rsid w:val="00795CEB"/>
    <w:rsid w:val="00795D03"/>
    <w:rsid w:val="00796693"/>
    <w:rsid w:val="007A1F52"/>
    <w:rsid w:val="007A6E0A"/>
    <w:rsid w:val="007B1304"/>
    <w:rsid w:val="007B1490"/>
    <w:rsid w:val="007C1751"/>
    <w:rsid w:val="007C7591"/>
    <w:rsid w:val="007D538B"/>
    <w:rsid w:val="007D5CD5"/>
    <w:rsid w:val="007D6D04"/>
    <w:rsid w:val="007E30F3"/>
    <w:rsid w:val="007F20A0"/>
    <w:rsid w:val="007F6AE9"/>
    <w:rsid w:val="007F7A99"/>
    <w:rsid w:val="00804B86"/>
    <w:rsid w:val="0081164B"/>
    <w:rsid w:val="00826D54"/>
    <w:rsid w:val="008349B3"/>
    <w:rsid w:val="00834CBF"/>
    <w:rsid w:val="00836F89"/>
    <w:rsid w:val="00840586"/>
    <w:rsid w:val="008420A0"/>
    <w:rsid w:val="00843561"/>
    <w:rsid w:val="00846459"/>
    <w:rsid w:val="008502AA"/>
    <w:rsid w:val="00852266"/>
    <w:rsid w:val="00854FA3"/>
    <w:rsid w:val="008568C2"/>
    <w:rsid w:val="00861CAB"/>
    <w:rsid w:val="00863435"/>
    <w:rsid w:val="00872827"/>
    <w:rsid w:val="0087349A"/>
    <w:rsid w:val="00877C14"/>
    <w:rsid w:val="008813DF"/>
    <w:rsid w:val="008865B6"/>
    <w:rsid w:val="008949A8"/>
    <w:rsid w:val="00895DF4"/>
    <w:rsid w:val="008A4E30"/>
    <w:rsid w:val="008A533C"/>
    <w:rsid w:val="008B1A4D"/>
    <w:rsid w:val="008B5218"/>
    <w:rsid w:val="008C5889"/>
    <w:rsid w:val="008D589C"/>
    <w:rsid w:val="008E6BF0"/>
    <w:rsid w:val="008E7085"/>
    <w:rsid w:val="008F2A6C"/>
    <w:rsid w:val="008F60C3"/>
    <w:rsid w:val="00911133"/>
    <w:rsid w:val="009174C0"/>
    <w:rsid w:val="009254D6"/>
    <w:rsid w:val="0092669B"/>
    <w:rsid w:val="0093163E"/>
    <w:rsid w:val="00934E3D"/>
    <w:rsid w:val="00936436"/>
    <w:rsid w:val="009444BB"/>
    <w:rsid w:val="0094721A"/>
    <w:rsid w:val="00947388"/>
    <w:rsid w:val="00950B13"/>
    <w:rsid w:val="009512C0"/>
    <w:rsid w:val="00953C9A"/>
    <w:rsid w:val="00954AAF"/>
    <w:rsid w:val="00965FBD"/>
    <w:rsid w:val="00966BAC"/>
    <w:rsid w:val="0097024A"/>
    <w:rsid w:val="00971287"/>
    <w:rsid w:val="00987B9D"/>
    <w:rsid w:val="00992EBD"/>
    <w:rsid w:val="009A2ABE"/>
    <w:rsid w:val="009A3323"/>
    <w:rsid w:val="009A6A2F"/>
    <w:rsid w:val="009A7606"/>
    <w:rsid w:val="009B445E"/>
    <w:rsid w:val="009C328D"/>
    <w:rsid w:val="009C68E9"/>
    <w:rsid w:val="009C755C"/>
    <w:rsid w:val="009C780F"/>
    <w:rsid w:val="009C7D45"/>
    <w:rsid w:val="009D052B"/>
    <w:rsid w:val="009D2408"/>
    <w:rsid w:val="009D2AA9"/>
    <w:rsid w:val="009E4F4C"/>
    <w:rsid w:val="009E55EE"/>
    <w:rsid w:val="009F6B5B"/>
    <w:rsid w:val="009F6FB9"/>
    <w:rsid w:val="00A02E21"/>
    <w:rsid w:val="00A03FFA"/>
    <w:rsid w:val="00A153D2"/>
    <w:rsid w:val="00A16CD3"/>
    <w:rsid w:val="00A171BF"/>
    <w:rsid w:val="00A1792D"/>
    <w:rsid w:val="00A23FDC"/>
    <w:rsid w:val="00A25353"/>
    <w:rsid w:val="00A34ABE"/>
    <w:rsid w:val="00A34F5F"/>
    <w:rsid w:val="00A36D35"/>
    <w:rsid w:val="00A37246"/>
    <w:rsid w:val="00A46A68"/>
    <w:rsid w:val="00A46B68"/>
    <w:rsid w:val="00A506B5"/>
    <w:rsid w:val="00A50EE9"/>
    <w:rsid w:val="00A5188E"/>
    <w:rsid w:val="00A55099"/>
    <w:rsid w:val="00A56B44"/>
    <w:rsid w:val="00A578C7"/>
    <w:rsid w:val="00A647E2"/>
    <w:rsid w:val="00A7788C"/>
    <w:rsid w:val="00A86F48"/>
    <w:rsid w:val="00AA62A1"/>
    <w:rsid w:val="00AB0D75"/>
    <w:rsid w:val="00AC6DA6"/>
    <w:rsid w:val="00AD0A33"/>
    <w:rsid w:val="00AD3FB8"/>
    <w:rsid w:val="00AD4D5A"/>
    <w:rsid w:val="00AD71BB"/>
    <w:rsid w:val="00AE0982"/>
    <w:rsid w:val="00AE125E"/>
    <w:rsid w:val="00AE6AEC"/>
    <w:rsid w:val="00AF0273"/>
    <w:rsid w:val="00AF0417"/>
    <w:rsid w:val="00B07524"/>
    <w:rsid w:val="00B113E7"/>
    <w:rsid w:val="00B16451"/>
    <w:rsid w:val="00B16BED"/>
    <w:rsid w:val="00B20E80"/>
    <w:rsid w:val="00B20FB6"/>
    <w:rsid w:val="00B31D9B"/>
    <w:rsid w:val="00B3272F"/>
    <w:rsid w:val="00B35B7C"/>
    <w:rsid w:val="00B368DA"/>
    <w:rsid w:val="00B42F87"/>
    <w:rsid w:val="00B4348B"/>
    <w:rsid w:val="00B43EBA"/>
    <w:rsid w:val="00B53C15"/>
    <w:rsid w:val="00B53F25"/>
    <w:rsid w:val="00B60F6E"/>
    <w:rsid w:val="00B62014"/>
    <w:rsid w:val="00B642EC"/>
    <w:rsid w:val="00B655AE"/>
    <w:rsid w:val="00B72BE1"/>
    <w:rsid w:val="00B76E7C"/>
    <w:rsid w:val="00B8170A"/>
    <w:rsid w:val="00B82C17"/>
    <w:rsid w:val="00B90095"/>
    <w:rsid w:val="00B955BD"/>
    <w:rsid w:val="00BA45A7"/>
    <w:rsid w:val="00BB0840"/>
    <w:rsid w:val="00BB3219"/>
    <w:rsid w:val="00BB6824"/>
    <w:rsid w:val="00BC6377"/>
    <w:rsid w:val="00BD13E5"/>
    <w:rsid w:val="00BD3522"/>
    <w:rsid w:val="00BD43E6"/>
    <w:rsid w:val="00C00E04"/>
    <w:rsid w:val="00C03031"/>
    <w:rsid w:val="00C03275"/>
    <w:rsid w:val="00C067FC"/>
    <w:rsid w:val="00C0799A"/>
    <w:rsid w:val="00C1071B"/>
    <w:rsid w:val="00C11D0D"/>
    <w:rsid w:val="00C162A0"/>
    <w:rsid w:val="00C20B57"/>
    <w:rsid w:val="00C21825"/>
    <w:rsid w:val="00C21EC0"/>
    <w:rsid w:val="00C22403"/>
    <w:rsid w:val="00C317E9"/>
    <w:rsid w:val="00C376AE"/>
    <w:rsid w:val="00C40934"/>
    <w:rsid w:val="00C427A7"/>
    <w:rsid w:val="00C473F3"/>
    <w:rsid w:val="00C509C3"/>
    <w:rsid w:val="00C50A17"/>
    <w:rsid w:val="00C5242E"/>
    <w:rsid w:val="00C52F8C"/>
    <w:rsid w:val="00C53499"/>
    <w:rsid w:val="00C65186"/>
    <w:rsid w:val="00C671A0"/>
    <w:rsid w:val="00C70EAE"/>
    <w:rsid w:val="00C72D98"/>
    <w:rsid w:val="00C83B65"/>
    <w:rsid w:val="00C91980"/>
    <w:rsid w:val="00C91B83"/>
    <w:rsid w:val="00C95581"/>
    <w:rsid w:val="00CA5EBF"/>
    <w:rsid w:val="00CB0C90"/>
    <w:rsid w:val="00CB2D3C"/>
    <w:rsid w:val="00CB47F8"/>
    <w:rsid w:val="00CB77EA"/>
    <w:rsid w:val="00CD4EB3"/>
    <w:rsid w:val="00CD50B5"/>
    <w:rsid w:val="00CD73A9"/>
    <w:rsid w:val="00CE4E6D"/>
    <w:rsid w:val="00CE6276"/>
    <w:rsid w:val="00CE71EF"/>
    <w:rsid w:val="00CF16BC"/>
    <w:rsid w:val="00CF2E70"/>
    <w:rsid w:val="00D01EC2"/>
    <w:rsid w:val="00D06F12"/>
    <w:rsid w:val="00D1024D"/>
    <w:rsid w:val="00D21EF3"/>
    <w:rsid w:val="00D30F3C"/>
    <w:rsid w:val="00D32B9D"/>
    <w:rsid w:val="00D32C62"/>
    <w:rsid w:val="00D3646B"/>
    <w:rsid w:val="00D36762"/>
    <w:rsid w:val="00D440DB"/>
    <w:rsid w:val="00D46790"/>
    <w:rsid w:val="00D529E6"/>
    <w:rsid w:val="00D53F60"/>
    <w:rsid w:val="00D5525D"/>
    <w:rsid w:val="00D5678A"/>
    <w:rsid w:val="00D637AC"/>
    <w:rsid w:val="00D66887"/>
    <w:rsid w:val="00D7121D"/>
    <w:rsid w:val="00D74519"/>
    <w:rsid w:val="00D81B0C"/>
    <w:rsid w:val="00D83B30"/>
    <w:rsid w:val="00D85D66"/>
    <w:rsid w:val="00D916FA"/>
    <w:rsid w:val="00D91C27"/>
    <w:rsid w:val="00DA61D8"/>
    <w:rsid w:val="00DB04D2"/>
    <w:rsid w:val="00DB3CF8"/>
    <w:rsid w:val="00DB713F"/>
    <w:rsid w:val="00DB79B6"/>
    <w:rsid w:val="00DC5925"/>
    <w:rsid w:val="00DC60FA"/>
    <w:rsid w:val="00DD3E32"/>
    <w:rsid w:val="00DE23AF"/>
    <w:rsid w:val="00DE5031"/>
    <w:rsid w:val="00DE67A9"/>
    <w:rsid w:val="00DE7CA9"/>
    <w:rsid w:val="00DF3B9A"/>
    <w:rsid w:val="00DF4F95"/>
    <w:rsid w:val="00DF6B2C"/>
    <w:rsid w:val="00E00E8A"/>
    <w:rsid w:val="00E0562D"/>
    <w:rsid w:val="00E06075"/>
    <w:rsid w:val="00E11089"/>
    <w:rsid w:val="00E113BE"/>
    <w:rsid w:val="00E153A7"/>
    <w:rsid w:val="00E17598"/>
    <w:rsid w:val="00E2534C"/>
    <w:rsid w:val="00E30D02"/>
    <w:rsid w:val="00E37A1C"/>
    <w:rsid w:val="00E42A55"/>
    <w:rsid w:val="00E567D0"/>
    <w:rsid w:val="00E56A62"/>
    <w:rsid w:val="00E711C3"/>
    <w:rsid w:val="00E71DBD"/>
    <w:rsid w:val="00E745EC"/>
    <w:rsid w:val="00E815DF"/>
    <w:rsid w:val="00E82F70"/>
    <w:rsid w:val="00E91931"/>
    <w:rsid w:val="00E97FDB"/>
    <w:rsid w:val="00EA483D"/>
    <w:rsid w:val="00EA5199"/>
    <w:rsid w:val="00EA5479"/>
    <w:rsid w:val="00EB1136"/>
    <w:rsid w:val="00EB60B0"/>
    <w:rsid w:val="00EC2291"/>
    <w:rsid w:val="00EC45B2"/>
    <w:rsid w:val="00EC52D2"/>
    <w:rsid w:val="00ED18E0"/>
    <w:rsid w:val="00ED1D13"/>
    <w:rsid w:val="00ED338D"/>
    <w:rsid w:val="00ED7A05"/>
    <w:rsid w:val="00EE0200"/>
    <w:rsid w:val="00EE0215"/>
    <w:rsid w:val="00EE334C"/>
    <w:rsid w:val="00EE397A"/>
    <w:rsid w:val="00EE6B8F"/>
    <w:rsid w:val="00EF11A4"/>
    <w:rsid w:val="00F012CE"/>
    <w:rsid w:val="00F02153"/>
    <w:rsid w:val="00F02D0D"/>
    <w:rsid w:val="00F04978"/>
    <w:rsid w:val="00F058DF"/>
    <w:rsid w:val="00F07AE3"/>
    <w:rsid w:val="00F13F6D"/>
    <w:rsid w:val="00F15675"/>
    <w:rsid w:val="00F1781C"/>
    <w:rsid w:val="00F20D50"/>
    <w:rsid w:val="00F21250"/>
    <w:rsid w:val="00F2398D"/>
    <w:rsid w:val="00F420B3"/>
    <w:rsid w:val="00F51F9F"/>
    <w:rsid w:val="00F55DC1"/>
    <w:rsid w:val="00F579EF"/>
    <w:rsid w:val="00F6144E"/>
    <w:rsid w:val="00F634A3"/>
    <w:rsid w:val="00F64629"/>
    <w:rsid w:val="00F710F9"/>
    <w:rsid w:val="00F72232"/>
    <w:rsid w:val="00F725E2"/>
    <w:rsid w:val="00F727C5"/>
    <w:rsid w:val="00F7427F"/>
    <w:rsid w:val="00F7620F"/>
    <w:rsid w:val="00F80ED8"/>
    <w:rsid w:val="00F830A8"/>
    <w:rsid w:val="00F83A5F"/>
    <w:rsid w:val="00F8462C"/>
    <w:rsid w:val="00F86765"/>
    <w:rsid w:val="00F86EDC"/>
    <w:rsid w:val="00F87F40"/>
    <w:rsid w:val="00F926EC"/>
    <w:rsid w:val="00F928F8"/>
    <w:rsid w:val="00F974DD"/>
    <w:rsid w:val="00FA0ACD"/>
    <w:rsid w:val="00FA0AE4"/>
    <w:rsid w:val="00FA0F40"/>
    <w:rsid w:val="00FB2172"/>
    <w:rsid w:val="00FB36E6"/>
    <w:rsid w:val="00FB3EF0"/>
    <w:rsid w:val="00FB4DBA"/>
    <w:rsid w:val="00FB667E"/>
    <w:rsid w:val="00FB680B"/>
    <w:rsid w:val="00FC293F"/>
    <w:rsid w:val="00FC2C5E"/>
    <w:rsid w:val="00FD479A"/>
    <w:rsid w:val="00FE037E"/>
    <w:rsid w:val="00FE552D"/>
    <w:rsid w:val="00FF0518"/>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46E96"/>
  <w15:docId w15:val="{56F4D691-95B5-42BB-8660-D4E6511D6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C5889"/>
    <w:pPr>
      <w:spacing w:line="360" w:lineRule="auto"/>
      <w:ind w:firstLine="720"/>
    </w:pPr>
  </w:style>
  <w:style w:type="paragraph" w:styleId="Heading1">
    <w:name w:val="heading 1"/>
    <w:basedOn w:val="Normal"/>
    <w:next w:val="Normal"/>
    <w:link w:val="Heading1Char"/>
    <w:autoRedefine/>
    <w:uiPriority w:val="9"/>
    <w:qFormat/>
    <w:rsid w:val="008420A0"/>
    <w:pPr>
      <w:autoSpaceDE w:val="0"/>
      <w:autoSpaceDN w:val="0"/>
      <w:adjustRightInd w:val="0"/>
      <w:ind w:firstLine="0"/>
      <w:jc w:val="center"/>
      <w:outlineLvl w:val="0"/>
    </w:pPr>
    <w:rPr>
      <w:rFonts w:cs="Times New Roman"/>
      <w:b/>
      <w:bCs/>
      <w:caps/>
      <w:color w:val="000000" w:themeColor="text1"/>
    </w:rPr>
  </w:style>
  <w:style w:type="paragraph" w:styleId="Heading2">
    <w:name w:val="heading 2"/>
    <w:basedOn w:val="Normal"/>
    <w:next w:val="Normal"/>
    <w:link w:val="Heading2Char"/>
    <w:autoRedefine/>
    <w:uiPriority w:val="9"/>
    <w:qFormat/>
    <w:rsid w:val="001D6E31"/>
    <w:pPr>
      <w:keepNext/>
      <w:spacing w:before="240" w:after="60"/>
      <w:ind w:firstLine="0"/>
      <w:jc w:val="center"/>
      <w:outlineLvl w:val="1"/>
    </w:pPr>
    <w:rPr>
      <w:b/>
      <w:bCs/>
      <w:iCs/>
      <w:szCs w:val="28"/>
    </w:rPr>
  </w:style>
  <w:style w:type="paragraph" w:styleId="Heading3">
    <w:name w:val="heading 3"/>
    <w:basedOn w:val="Normal"/>
    <w:next w:val="Normal"/>
    <w:link w:val="Heading3Char"/>
    <w:autoRedefine/>
    <w:uiPriority w:val="9"/>
    <w:qFormat/>
    <w:rsid w:val="00C427A7"/>
    <w:pPr>
      <w:keepNext/>
      <w:spacing w:before="240" w:after="60"/>
      <w:ind w:firstLine="0"/>
      <w:outlineLvl w:val="2"/>
    </w:pPr>
    <w:rPr>
      <w:rFonts w:cs="Times New Roman"/>
      <w:b/>
      <w:bCs/>
      <w:i/>
    </w:rPr>
  </w:style>
  <w:style w:type="paragraph" w:styleId="Heading4">
    <w:name w:val="heading 4"/>
    <w:basedOn w:val="Normal"/>
    <w:next w:val="Normal"/>
    <w:link w:val="Heading4Char"/>
    <w:uiPriority w:val="9"/>
    <w:semiHidden/>
    <w:unhideWhenUsed/>
    <w:qFormat/>
    <w:rsid w:val="00C067FC"/>
    <w:pPr>
      <w:keepNext/>
      <w:keepLines/>
      <w:spacing w:before="40"/>
      <w:ind w:firstLine="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spacing w:before="40"/>
      <w:ind w:firstLine="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spacing w:before="40"/>
      <w:ind w:firstLine="0"/>
      <w:outlineLvl w:val="5"/>
    </w:pPr>
    <w:rPr>
      <w:rFonts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C067FC"/>
    <w:pPr>
      <w:keepNext/>
      <w:keepLines/>
      <w:spacing w:before="40"/>
      <w:ind w:firstLine="0"/>
      <w:outlineLvl w:val="6"/>
    </w:pPr>
    <w:rPr>
      <w:rFonts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C067FC"/>
    <w:pPr>
      <w:keepNext/>
      <w:keepLines/>
      <w:spacing w:before="40"/>
      <w:ind w:firstLine="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067FC"/>
    <w:pPr>
      <w:keepNext/>
      <w:keepLines/>
      <w:spacing w:before="40"/>
      <w:ind w:firstLine="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uiPriority w:val="10"/>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autoRedefine/>
    <w:uiPriority w:val="11"/>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link w:val="BodyTex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firstLine="720"/>
    </w:pPr>
    <w:rPr>
      <w:noProof/>
    </w:rPr>
  </w:style>
  <w:style w:type="paragraph" w:styleId="BodyTextIndent2">
    <w:name w:val="Body Text Indent 2"/>
    <w:basedOn w:val="Normal"/>
    <w:link w:val="BodyTextIndent2Char"/>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firstLine="720"/>
    </w:pPr>
    <w:rPr>
      <w:sz w:val="17"/>
      <w:szCs w:val="17"/>
    </w:rPr>
  </w:style>
  <w:style w:type="paragraph" w:styleId="BodyTextIndent3">
    <w:name w:val="Body Text Indent 3"/>
    <w:basedOn w:val="Normal"/>
    <w:link w:val="BodyTextIndent3Char"/>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firstLine="72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D53F60"/>
    <w:pPr>
      <w:tabs>
        <w:tab w:val="right" w:leader="dot" w:pos="8630"/>
      </w:tabs>
      <w:ind w:firstLine="0"/>
    </w:pPr>
    <w:rPr>
      <w:rFonts w:cs="Times New Roman"/>
      <w:noProof/>
    </w:rPr>
  </w:style>
  <w:style w:type="paragraph" w:styleId="TOC2">
    <w:name w:val="toc 2"/>
    <w:basedOn w:val="Normal"/>
    <w:next w:val="Normal"/>
    <w:autoRedefine/>
    <w:uiPriority w:val="39"/>
    <w:rsid w:val="00544AE2"/>
    <w:pPr>
      <w:tabs>
        <w:tab w:val="right" w:leader="dot" w:pos="8630"/>
      </w:tabs>
      <w:ind w:left="432" w:firstLine="0"/>
    </w:pPr>
  </w:style>
  <w:style w:type="paragraph" w:styleId="TOC3">
    <w:name w:val="toc 3"/>
    <w:basedOn w:val="Normal"/>
    <w:next w:val="Normal"/>
    <w:autoRedefine/>
    <w:uiPriority w:val="39"/>
    <w:rsid w:val="00544AE2"/>
    <w:pPr>
      <w:tabs>
        <w:tab w:val="right" w:leader="dot" w:pos="8630"/>
      </w:tabs>
    </w:pPr>
  </w:style>
  <w:style w:type="paragraph" w:styleId="TOC4">
    <w:name w:val="toc 4"/>
    <w:basedOn w:val="Normal"/>
    <w:next w:val="Normal"/>
    <w:autoRedefine/>
    <w:uiPriority w:val="39"/>
    <w:rsid w:val="00665C7E"/>
    <w:pPr>
      <w:ind w:left="720"/>
    </w:pPr>
  </w:style>
  <w:style w:type="paragraph" w:styleId="TOC5">
    <w:name w:val="toc 5"/>
    <w:basedOn w:val="Normal"/>
    <w:next w:val="Normal"/>
    <w:autoRedefine/>
    <w:uiPriority w:val="39"/>
    <w:rsid w:val="00665C7E"/>
    <w:pPr>
      <w:ind w:left="960"/>
    </w:pPr>
  </w:style>
  <w:style w:type="paragraph" w:styleId="TOC6">
    <w:name w:val="toc 6"/>
    <w:basedOn w:val="Normal"/>
    <w:next w:val="Normal"/>
    <w:autoRedefine/>
    <w:uiPriority w:val="39"/>
    <w:rsid w:val="00665C7E"/>
    <w:pPr>
      <w:ind w:left="1200"/>
    </w:pPr>
  </w:style>
  <w:style w:type="paragraph" w:styleId="TOC7">
    <w:name w:val="toc 7"/>
    <w:basedOn w:val="Normal"/>
    <w:next w:val="Normal"/>
    <w:autoRedefine/>
    <w:uiPriority w:val="39"/>
    <w:rsid w:val="00665C7E"/>
    <w:pPr>
      <w:ind w:left="1440"/>
    </w:pPr>
  </w:style>
  <w:style w:type="paragraph" w:styleId="TOC8">
    <w:name w:val="toc 8"/>
    <w:basedOn w:val="Normal"/>
    <w:next w:val="Normal"/>
    <w:autoRedefine/>
    <w:uiPriority w:val="39"/>
    <w:rsid w:val="00665C7E"/>
    <w:pPr>
      <w:ind w:left="1680"/>
    </w:pPr>
  </w:style>
  <w:style w:type="paragraph" w:styleId="TOC9">
    <w:name w:val="toc 9"/>
    <w:basedOn w:val="Normal"/>
    <w:next w:val="Normal"/>
    <w:autoRedefine/>
    <w:uiPriority w:val="39"/>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8420A0"/>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C5242E"/>
    <w:pPr>
      <w:numPr>
        <w:ilvl w:val="1"/>
        <w:numId w:val="8"/>
      </w:numPr>
      <w:ind w:firstLine="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iPriority w:val="35"/>
    <w:unhideWhenUsed/>
    <w:qFormat/>
    <w:rsid w:val="00F13F6D"/>
    <w:pPr>
      <w:keepNext/>
      <w:spacing w:line="240" w:lineRule="auto"/>
      <w:ind w:firstLine="0"/>
    </w:pPr>
    <w:rPr>
      <w:b/>
      <w:bCs/>
      <w:iCs/>
      <w:color w:val="000000" w:themeColor="text1"/>
      <w:szCs w:val="22"/>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8"/>
      </w:numPr>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paragraph" w:customStyle="1" w:styleId="Rerences">
    <w:name w:val="Rerences"/>
    <w:basedOn w:val="Normal"/>
    <w:link w:val="RerencesChar"/>
    <w:qFormat/>
    <w:rsid w:val="00A16CD3"/>
    <w:pPr>
      <w:ind w:left="720" w:hanging="720"/>
    </w:pPr>
    <w:rPr>
      <w:rFonts w:cs="Times New Roman"/>
    </w:rPr>
  </w:style>
  <w:style w:type="character" w:customStyle="1" w:styleId="RerencesChar">
    <w:name w:val="Rerences Char"/>
    <w:basedOn w:val="DefaultParagraphFont"/>
    <w:link w:val="Rerences"/>
    <w:rsid w:val="00A16CD3"/>
    <w:rPr>
      <w:rFonts w:cs="Times New Roman"/>
    </w:rPr>
  </w:style>
  <w:style w:type="paragraph" w:styleId="Bibliography">
    <w:name w:val="Bibliography"/>
    <w:basedOn w:val="Normal"/>
    <w:next w:val="Normal"/>
    <w:uiPriority w:val="37"/>
    <w:unhideWhenUsed/>
    <w:rsid w:val="00196ABD"/>
    <w:pPr>
      <w:spacing w:after="240" w:line="240" w:lineRule="auto"/>
      <w:ind w:firstLine="0"/>
      <w:jc w:val="both"/>
    </w:pPr>
    <w:rPr>
      <w:rFonts w:eastAsiaTheme="minorHAnsi" w:cs="Times New Roman"/>
      <w:sz w:val="22"/>
      <w:szCs w:val="22"/>
    </w:rPr>
  </w:style>
  <w:style w:type="character" w:customStyle="1" w:styleId="Heading2Char">
    <w:name w:val="Heading 2 Char"/>
    <w:basedOn w:val="DefaultParagraphFont"/>
    <w:link w:val="Heading2"/>
    <w:uiPriority w:val="9"/>
    <w:rsid w:val="001D6E31"/>
    <w:rPr>
      <w:b/>
      <w:bCs/>
      <w:iCs/>
      <w:szCs w:val="28"/>
    </w:rPr>
  </w:style>
  <w:style w:type="character" w:customStyle="1" w:styleId="Heading3Char">
    <w:name w:val="Heading 3 Char"/>
    <w:basedOn w:val="DefaultParagraphFont"/>
    <w:link w:val="Heading3"/>
    <w:uiPriority w:val="9"/>
    <w:rsid w:val="00743645"/>
    <w:rPr>
      <w:rFonts w:cs="Times New Roman"/>
      <w:b/>
      <w:bCs/>
      <w:i/>
    </w:rPr>
  </w:style>
  <w:style w:type="character" w:customStyle="1" w:styleId="TitleChar">
    <w:name w:val="Title Char"/>
    <w:basedOn w:val="DefaultParagraphFont"/>
    <w:link w:val="Title"/>
    <w:uiPriority w:val="10"/>
    <w:rsid w:val="00743645"/>
    <w:rPr>
      <w:sz w:val="28"/>
      <w:szCs w:val="28"/>
    </w:rPr>
  </w:style>
  <w:style w:type="character" w:customStyle="1" w:styleId="SubtitleChar">
    <w:name w:val="Subtitle Char"/>
    <w:basedOn w:val="DefaultParagraphFont"/>
    <w:link w:val="Subtitle"/>
    <w:uiPriority w:val="11"/>
    <w:rsid w:val="00743645"/>
    <w:rPr>
      <w:b/>
      <w:bCs/>
    </w:rPr>
  </w:style>
  <w:style w:type="paragraph" w:styleId="CommentText">
    <w:name w:val="annotation text"/>
    <w:basedOn w:val="Normal"/>
    <w:link w:val="CommentTextChar"/>
    <w:uiPriority w:val="99"/>
    <w:unhideWhenUsed/>
    <w:rsid w:val="00743645"/>
    <w:pPr>
      <w:spacing w:line="240" w:lineRule="auto"/>
      <w:ind w:firstLine="0"/>
    </w:pPr>
    <w:rPr>
      <w:rFonts w:ascii="Arial" w:eastAsia="Arial" w:hAnsi="Arial"/>
      <w:sz w:val="20"/>
      <w:szCs w:val="20"/>
      <w:lang w:val="en"/>
    </w:rPr>
  </w:style>
  <w:style w:type="character" w:customStyle="1" w:styleId="CommentTextChar">
    <w:name w:val="Comment Text Char"/>
    <w:basedOn w:val="DefaultParagraphFont"/>
    <w:link w:val="CommentText"/>
    <w:uiPriority w:val="99"/>
    <w:rsid w:val="00743645"/>
    <w:rPr>
      <w:rFonts w:ascii="Arial" w:eastAsia="Arial" w:hAnsi="Arial"/>
      <w:sz w:val="20"/>
      <w:szCs w:val="20"/>
      <w:lang w:val="en"/>
    </w:rPr>
  </w:style>
  <w:style w:type="character" w:styleId="CommentReference">
    <w:name w:val="annotation reference"/>
    <w:basedOn w:val="DefaultParagraphFont"/>
    <w:uiPriority w:val="99"/>
    <w:semiHidden/>
    <w:unhideWhenUsed/>
    <w:rsid w:val="00743645"/>
    <w:rPr>
      <w:sz w:val="16"/>
      <w:szCs w:val="16"/>
    </w:rPr>
  </w:style>
  <w:style w:type="character" w:styleId="LineNumber">
    <w:name w:val="line number"/>
    <w:basedOn w:val="DefaultParagraphFont"/>
    <w:uiPriority w:val="99"/>
    <w:unhideWhenUsed/>
    <w:rsid w:val="00743645"/>
    <w:rPr>
      <w:rFonts w:asciiTheme="majorHAnsi" w:hAnsiTheme="majorHAnsi"/>
    </w:rPr>
  </w:style>
  <w:style w:type="character" w:styleId="PlaceholderText">
    <w:name w:val="Placeholder Text"/>
    <w:basedOn w:val="DefaultParagraphFont"/>
    <w:uiPriority w:val="99"/>
    <w:semiHidden/>
    <w:rsid w:val="00743645"/>
    <w:rPr>
      <w:color w:val="666666"/>
    </w:rPr>
  </w:style>
  <w:style w:type="table" w:styleId="PlainTable4">
    <w:name w:val="Plain Table 4"/>
    <w:basedOn w:val="TableNormal"/>
    <w:uiPriority w:val="44"/>
    <w:rsid w:val="00743645"/>
    <w:pPr>
      <w:jc w:val="both"/>
    </w:pPr>
    <w:rPr>
      <w:rFonts w:eastAsiaTheme="minorHAnsi" w:cs="Times New Roman"/>
      <w:kern w:val="2"/>
      <w:sz w:val="22"/>
      <w:szCs w:val="2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sonormal0">
    <w:name w:val="msonormal"/>
    <w:basedOn w:val="Normal"/>
    <w:rsid w:val="00743645"/>
    <w:pPr>
      <w:spacing w:before="100" w:beforeAutospacing="1" w:after="100" w:afterAutospacing="1" w:line="240" w:lineRule="auto"/>
      <w:ind w:firstLine="0"/>
    </w:pPr>
    <w:rPr>
      <w:rFonts w:cs="Times New Roman"/>
    </w:rPr>
  </w:style>
  <w:style w:type="paragraph" w:customStyle="1" w:styleId="xl64">
    <w:name w:val="xl64"/>
    <w:basedOn w:val="Normal"/>
    <w:rsid w:val="00743645"/>
    <w:pPr>
      <w:spacing w:before="100" w:beforeAutospacing="1" w:after="100" w:afterAutospacing="1" w:line="240" w:lineRule="auto"/>
      <w:ind w:firstLine="0"/>
    </w:pPr>
    <w:rPr>
      <w:rFonts w:cs="Times New Roman"/>
      <w:b/>
      <w:bCs/>
    </w:rPr>
  </w:style>
  <w:style w:type="table" w:styleId="PlainTable3">
    <w:name w:val="Plain Table 3"/>
    <w:basedOn w:val="TableNormal"/>
    <w:uiPriority w:val="43"/>
    <w:rsid w:val="00743645"/>
    <w:rPr>
      <w:rFonts w:ascii="Arial" w:eastAsia="Arial" w:hAnsi="Arial"/>
      <w:sz w:val="22"/>
      <w:szCs w:val="22"/>
      <w:lang w:val="e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erChar">
    <w:name w:val="Header Char"/>
    <w:basedOn w:val="DefaultParagraphFont"/>
    <w:link w:val="Header"/>
    <w:uiPriority w:val="99"/>
    <w:rsid w:val="00743645"/>
  </w:style>
  <w:style w:type="paragraph" w:styleId="CommentSubject">
    <w:name w:val="annotation subject"/>
    <w:basedOn w:val="CommentText"/>
    <w:next w:val="CommentText"/>
    <w:link w:val="CommentSubjectChar"/>
    <w:uiPriority w:val="99"/>
    <w:semiHidden/>
    <w:unhideWhenUsed/>
    <w:rsid w:val="00743645"/>
    <w:rPr>
      <w:b/>
      <w:bCs/>
    </w:rPr>
  </w:style>
  <w:style w:type="character" w:customStyle="1" w:styleId="CommentSubjectChar">
    <w:name w:val="Comment Subject Char"/>
    <w:basedOn w:val="CommentTextChar"/>
    <w:link w:val="CommentSubject"/>
    <w:uiPriority w:val="99"/>
    <w:semiHidden/>
    <w:rsid w:val="00743645"/>
    <w:rPr>
      <w:rFonts w:ascii="Arial" w:eastAsia="Arial" w:hAnsi="Arial"/>
      <w:b/>
      <w:bCs/>
      <w:sz w:val="20"/>
      <w:szCs w:val="20"/>
      <w:lang w:val="en"/>
    </w:rPr>
  </w:style>
  <w:style w:type="paragraph" w:styleId="NormalWeb">
    <w:name w:val="Normal (Web)"/>
    <w:basedOn w:val="Normal"/>
    <w:uiPriority w:val="99"/>
    <w:semiHidden/>
    <w:unhideWhenUsed/>
    <w:rsid w:val="00743645"/>
    <w:pPr>
      <w:spacing w:line="276" w:lineRule="auto"/>
      <w:ind w:firstLine="0"/>
    </w:pPr>
    <w:rPr>
      <w:rFonts w:eastAsia="Arial" w:cs="Times New Roman"/>
      <w:lang w:val="en"/>
    </w:rPr>
  </w:style>
  <w:style w:type="paragraph" w:styleId="Revision">
    <w:name w:val="Revision"/>
    <w:hidden/>
    <w:uiPriority w:val="99"/>
    <w:semiHidden/>
    <w:rsid w:val="00743645"/>
    <w:rPr>
      <w:rFonts w:ascii="Arial" w:eastAsia="Arial" w:hAnsi="Arial"/>
      <w:sz w:val="22"/>
      <w:szCs w:val="22"/>
      <w:lang w:val="en"/>
    </w:rPr>
  </w:style>
  <w:style w:type="table" w:styleId="GridTable1Light">
    <w:name w:val="Grid Table 1 Light"/>
    <w:basedOn w:val="TableNormal"/>
    <w:uiPriority w:val="46"/>
    <w:rsid w:val="00743645"/>
    <w:rPr>
      <w:rFonts w:ascii="Arial" w:eastAsia="Arial" w:hAnsi="Arial"/>
      <w:sz w:val="22"/>
      <w:szCs w:val="22"/>
      <w:lang w:val="e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1Light">
    <w:name w:val="List Table 1 Light"/>
    <w:basedOn w:val="TableNormal"/>
    <w:uiPriority w:val="46"/>
    <w:rsid w:val="00743645"/>
    <w:rPr>
      <w:rFonts w:ascii="Arial" w:eastAsia="Arial" w:hAnsi="Arial"/>
      <w:sz w:val="22"/>
      <w:szCs w:val="22"/>
      <w:lang w:val="en"/>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743645"/>
    <w:rPr>
      <w:rFonts w:ascii="Arial" w:eastAsia="Arial" w:hAnsi="Arial"/>
      <w:color w:val="000000" w:themeColor="text1"/>
      <w:sz w:val="22"/>
      <w:szCs w:val="22"/>
      <w:lang w:val="en"/>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odyText2Char">
    <w:name w:val="Body Text 2 Char"/>
    <w:basedOn w:val="DefaultParagraphFont"/>
    <w:link w:val="BodyText2"/>
    <w:rsid w:val="001F17B6"/>
    <w:rPr>
      <w:noProof/>
    </w:rPr>
  </w:style>
  <w:style w:type="character" w:customStyle="1" w:styleId="BodyTextIndent2Char">
    <w:name w:val="Body Text Indent 2 Char"/>
    <w:basedOn w:val="DefaultParagraphFont"/>
    <w:link w:val="BodyTextIndent2"/>
    <w:rsid w:val="001F17B6"/>
    <w:rPr>
      <w:sz w:val="17"/>
      <w:szCs w:val="17"/>
    </w:rPr>
  </w:style>
  <w:style w:type="character" w:customStyle="1" w:styleId="BodyTextIndent3Char">
    <w:name w:val="Body Text Indent 3 Char"/>
    <w:basedOn w:val="DefaultParagraphFont"/>
    <w:link w:val="BodyTextIndent3"/>
    <w:rsid w:val="001F17B6"/>
    <w:rPr>
      <w:sz w:val="20"/>
    </w:rPr>
  </w:style>
  <w:style w:type="paragraph" w:styleId="HTMLPreformatted">
    <w:name w:val="HTML Preformatted"/>
    <w:basedOn w:val="Normal"/>
    <w:link w:val="HTMLPreformattedChar"/>
    <w:uiPriority w:val="99"/>
    <w:semiHidden/>
    <w:unhideWhenUsed/>
    <w:rsid w:val="00A46B68"/>
    <w:pPr>
      <w:spacing w:line="240" w:lineRule="auto"/>
      <w:ind w:firstLine="0"/>
      <w:jc w:val="both"/>
    </w:pPr>
    <w:rPr>
      <w:rFonts w:ascii="Consolas" w:eastAsiaTheme="minorHAnsi" w:hAnsi="Consolas" w:cs="Times New Roman"/>
      <w:sz w:val="20"/>
      <w:szCs w:val="20"/>
    </w:rPr>
  </w:style>
  <w:style w:type="character" w:customStyle="1" w:styleId="HTMLPreformattedChar">
    <w:name w:val="HTML Preformatted Char"/>
    <w:basedOn w:val="DefaultParagraphFont"/>
    <w:link w:val="HTMLPreformatted"/>
    <w:uiPriority w:val="99"/>
    <w:semiHidden/>
    <w:rsid w:val="00A46B68"/>
    <w:rPr>
      <w:rFonts w:ascii="Consolas" w:eastAsiaTheme="minorHAnsi" w:hAnsi="Consolas" w:cs="Times New Roman"/>
      <w:sz w:val="20"/>
      <w:szCs w:val="20"/>
    </w:rPr>
  </w:style>
  <w:style w:type="paragraph" w:customStyle="1" w:styleId="chapter-para">
    <w:name w:val="chapter-para"/>
    <w:basedOn w:val="Normal"/>
    <w:rsid w:val="00A46B68"/>
    <w:pPr>
      <w:spacing w:before="100" w:beforeAutospacing="1" w:after="100" w:afterAutospacing="1" w:line="240" w:lineRule="auto"/>
      <w:ind w:firstLine="0"/>
    </w:pPr>
    <w:rPr>
      <w:rFonts w:cs="Times New Roman"/>
    </w:rPr>
  </w:style>
  <w:style w:type="character" w:customStyle="1" w:styleId="content-section">
    <w:name w:val="content-section"/>
    <w:basedOn w:val="DefaultParagraphFont"/>
    <w:rsid w:val="00A46B68"/>
  </w:style>
  <w:style w:type="character" w:customStyle="1" w:styleId="cite-bracket">
    <w:name w:val="cite-bracket"/>
    <w:basedOn w:val="DefaultParagraphFont"/>
    <w:rsid w:val="00A46B68"/>
  </w:style>
  <w:style w:type="character" w:customStyle="1" w:styleId="html-italic">
    <w:name w:val="html-italic"/>
    <w:basedOn w:val="DefaultParagraphFont"/>
    <w:rsid w:val="00A46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87696">
      <w:bodyDiv w:val="1"/>
      <w:marLeft w:val="0"/>
      <w:marRight w:val="0"/>
      <w:marTop w:val="0"/>
      <w:marBottom w:val="0"/>
      <w:divBdr>
        <w:top w:val="none" w:sz="0" w:space="0" w:color="auto"/>
        <w:left w:val="none" w:sz="0" w:space="0" w:color="auto"/>
        <w:bottom w:val="none" w:sz="0" w:space="0" w:color="auto"/>
        <w:right w:val="none" w:sz="0" w:space="0" w:color="auto"/>
      </w:divBdr>
      <w:divsChild>
        <w:div w:id="771171020">
          <w:marLeft w:val="480"/>
          <w:marRight w:val="0"/>
          <w:marTop w:val="0"/>
          <w:marBottom w:val="0"/>
          <w:divBdr>
            <w:top w:val="none" w:sz="0" w:space="0" w:color="auto"/>
            <w:left w:val="none" w:sz="0" w:space="0" w:color="auto"/>
            <w:bottom w:val="none" w:sz="0" w:space="0" w:color="auto"/>
            <w:right w:val="none" w:sz="0" w:space="0" w:color="auto"/>
          </w:divBdr>
          <w:divsChild>
            <w:div w:id="147872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0770">
      <w:bodyDiv w:val="1"/>
      <w:marLeft w:val="0"/>
      <w:marRight w:val="0"/>
      <w:marTop w:val="0"/>
      <w:marBottom w:val="0"/>
      <w:divBdr>
        <w:top w:val="none" w:sz="0" w:space="0" w:color="auto"/>
        <w:left w:val="none" w:sz="0" w:space="0" w:color="auto"/>
        <w:bottom w:val="none" w:sz="0" w:space="0" w:color="auto"/>
        <w:right w:val="none" w:sz="0" w:space="0" w:color="auto"/>
      </w:divBdr>
    </w:div>
    <w:div w:id="191768016">
      <w:bodyDiv w:val="1"/>
      <w:marLeft w:val="0"/>
      <w:marRight w:val="0"/>
      <w:marTop w:val="0"/>
      <w:marBottom w:val="0"/>
      <w:divBdr>
        <w:top w:val="none" w:sz="0" w:space="0" w:color="auto"/>
        <w:left w:val="none" w:sz="0" w:space="0" w:color="auto"/>
        <w:bottom w:val="none" w:sz="0" w:space="0" w:color="auto"/>
        <w:right w:val="none" w:sz="0" w:space="0" w:color="auto"/>
      </w:divBdr>
    </w:div>
    <w:div w:id="413938152">
      <w:bodyDiv w:val="1"/>
      <w:marLeft w:val="0"/>
      <w:marRight w:val="0"/>
      <w:marTop w:val="0"/>
      <w:marBottom w:val="0"/>
      <w:divBdr>
        <w:top w:val="none" w:sz="0" w:space="0" w:color="auto"/>
        <w:left w:val="none" w:sz="0" w:space="0" w:color="auto"/>
        <w:bottom w:val="none" w:sz="0" w:space="0" w:color="auto"/>
        <w:right w:val="none" w:sz="0" w:space="0" w:color="auto"/>
      </w:divBdr>
    </w:div>
    <w:div w:id="434977840">
      <w:bodyDiv w:val="1"/>
      <w:marLeft w:val="0"/>
      <w:marRight w:val="0"/>
      <w:marTop w:val="0"/>
      <w:marBottom w:val="0"/>
      <w:divBdr>
        <w:top w:val="none" w:sz="0" w:space="0" w:color="auto"/>
        <w:left w:val="none" w:sz="0" w:space="0" w:color="auto"/>
        <w:bottom w:val="none" w:sz="0" w:space="0" w:color="auto"/>
        <w:right w:val="none" w:sz="0" w:space="0" w:color="auto"/>
      </w:divBdr>
    </w:div>
    <w:div w:id="447703489">
      <w:bodyDiv w:val="1"/>
      <w:marLeft w:val="0"/>
      <w:marRight w:val="0"/>
      <w:marTop w:val="0"/>
      <w:marBottom w:val="0"/>
      <w:divBdr>
        <w:top w:val="none" w:sz="0" w:space="0" w:color="auto"/>
        <w:left w:val="none" w:sz="0" w:space="0" w:color="auto"/>
        <w:bottom w:val="none" w:sz="0" w:space="0" w:color="auto"/>
        <w:right w:val="none" w:sz="0" w:space="0" w:color="auto"/>
      </w:divBdr>
    </w:div>
    <w:div w:id="481316507">
      <w:bodyDiv w:val="1"/>
      <w:marLeft w:val="0"/>
      <w:marRight w:val="0"/>
      <w:marTop w:val="0"/>
      <w:marBottom w:val="0"/>
      <w:divBdr>
        <w:top w:val="none" w:sz="0" w:space="0" w:color="auto"/>
        <w:left w:val="none" w:sz="0" w:space="0" w:color="auto"/>
        <w:bottom w:val="none" w:sz="0" w:space="0" w:color="auto"/>
        <w:right w:val="none" w:sz="0" w:space="0" w:color="auto"/>
      </w:divBdr>
    </w:div>
    <w:div w:id="524515070">
      <w:bodyDiv w:val="1"/>
      <w:marLeft w:val="0"/>
      <w:marRight w:val="0"/>
      <w:marTop w:val="0"/>
      <w:marBottom w:val="0"/>
      <w:divBdr>
        <w:top w:val="none" w:sz="0" w:space="0" w:color="auto"/>
        <w:left w:val="none" w:sz="0" w:space="0" w:color="auto"/>
        <w:bottom w:val="none" w:sz="0" w:space="0" w:color="auto"/>
        <w:right w:val="none" w:sz="0" w:space="0" w:color="auto"/>
      </w:divBdr>
      <w:divsChild>
        <w:div w:id="569274503">
          <w:marLeft w:val="480"/>
          <w:marRight w:val="0"/>
          <w:marTop w:val="0"/>
          <w:marBottom w:val="0"/>
          <w:divBdr>
            <w:top w:val="none" w:sz="0" w:space="0" w:color="auto"/>
            <w:left w:val="none" w:sz="0" w:space="0" w:color="auto"/>
            <w:bottom w:val="none" w:sz="0" w:space="0" w:color="auto"/>
            <w:right w:val="none" w:sz="0" w:space="0" w:color="auto"/>
          </w:divBdr>
          <w:divsChild>
            <w:div w:id="20183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967828">
      <w:bodyDiv w:val="1"/>
      <w:marLeft w:val="0"/>
      <w:marRight w:val="0"/>
      <w:marTop w:val="0"/>
      <w:marBottom w:val="0"/>
      <w:divBdr>
        <w:top w:val="none" w:sz="0" w:space="0" w:color="auto"/>
        <w:left w:val="none" w:sz="0" w:space="0" w:color="auto"/>
        <w:bottom w:val="none" w:sz="0" w:space="0" w:color="auto"/>
        <w:right w:val="none" w:sz="0" w:space="0" w:color="auto"/>
      </w:divBdr>
    </w:div>
    <w:div w:id="61678999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44450670">
      <w:bodyDiv w:val="1"/>
      <w:marLeft w:val="0"/>
      <w:marRight w:val="0"/>
      <w:marTop w:val="0"/>
      <w:marBottom w:val="0"/>
      <w:divBdr>
        <w:top w:val="none" w:sz="0" w:space="0" w:color="auto"/>
        <w:left w:val="none" w:sz="0" w:space="0" w:color="auto"/>
        <w:bottom w:val="none" w:sz="0" w:space="0" w:color="auto"/>
        <w:right w:val="none" w:sz="0" w:space="0" w:color="auto"/>
      </w:divBdr>
    </w:div>
    <w:div w:id="792092626">
      <w:bodyDiv w:val="1"/>
      <w:marLeft w:val="0"/>
      <w:marRight w:val="0"/>
      <w:marTop w:val="0"/>
      <w:marBottom w:val="0"/>
      <w:divBdr>
        <w:top w:val="none" w:sz="0" w:space="0" w:color="auto"/>
        <w:left w:val="none" w:sz="0" w:space="0" w:color="auto"/>
        <w:bottom w:val="none" w:sz="0" w:space="0" w:color="auto"/>
        <w:right w:val="none" w:sz="0" w:space="0" w:color="auto"/>
      </w:divBdr>
    </w:div>
    <w:div w:id="811099115">
      <w:bodyDiv w:val="1"/>
      <w:marLeft w:val="0"/>
      <w:marRight w:val="0"/>
      <w:marTop w:val="0"/>
      <w:marBottom w:val="0"/>
      <w:divBdr>
        <w:top w:val="none" w:sz="0" w:space="0" w:color="auto"/>
        <w:left w:val="none" w:sz="0" w:space="0" w:color="auto"/>
        <w:bottom w:val="none" w:sz="0" w:space="0" w:color="auto"/>
        <w:right w:val="none" w:sz="0" w:space="0" w:color="auto"/>
      </w:divBdr>
      <w:divsChild>
        <w:div w:id="30226947">
          <w:marLeft w:val="480"/>
          <w:marRight w:val="0"/>
          <w:marTop w:val="0"/>
          <w:marBottom w:val="0"/>
          <w:divBdr>
            <w:top w:val="none" w:sz="0" w:space="0" w:color="auto"/>
            <w:left w:val="none" w:sz="0" w:space="0" w:color="auto"/>
            <w:bottom w:val="none" w:sz="0" w:space="0" w:color="auto"/>
            <w:right w:val="none" w:sz="0" w:space="0" w:color="auto"/>
          </w:divBdr>
          <w:divsChild>
            <w:div w:id="17589321">
              <w:marLeft w:val="0"/>
              <w:marRight w:val="0"/>
              <w:marTop w:val="0"/>
              <w:marBottom w:val="240"/>
              <w:divBdr>
                <w:top w:val="none" w:sz="0" w:space="0" w:color="auto"/>
                <w:left w:val="none" w:sz="0" w:space="0" w:color="auto"/>
                <w:bottom w:val="none" w:sz="0" w:space="0" w:color="auto"/>
                <w:right w:val="none" w:sz="0" w:space="0" w:color="auto"/>
              </w:divBdr>
            </w:div>
            <w:div w:id="17855523">
              <w:marLeft w:val="0"/>
              <w:marRight w:val="0"/>
              <w:marTop w:val="0"/>
              <w:marBottom w:val="240"/>
              <w:divBdr>
                <w:top w:val="none" w:sz="0" w:space="0" w:color="auto"/>
                <w:left w:val="none" w:sz="0" w:space="0" w:color="auto"/>
                <w:bottom w:val="none" w:sz="0" w:space="0" w:color="auto"/>
                <w:right w:val="none" w:sz="0" w:space="0" w:color="auto"/>
              </w:divBdr>
            </w:div>
            <w:div w:id="32771365">
              <w:marLeft w:val="0"/>
              <w:marRight w:val="0"/>
              <w:marTop w:val="0"/>
              <w:marBottom w:val="240"/>
              <w:divBdr>
                <w:top w:val="none" w:sz="0" w:space="0" w:color="auto"/>
                <w:left w:val="none" w:sz="0" w:space="0" w:color="auto"/>
                <w:bottom w:val="none" w:sz="0" w:space="0" w:color="auto"/>
                <w:right w:val="none" w:sz="0" w:space="0" w:color="auto"/>
              </w:divBdr>
            </w:div>
            <w:div w:id="47923474">
              <w:marLeft w:val="0"/>
              <w:marRight w:val="0"/>
              <w:marTop w:val="0"/>
              <w:marBottom w:val="240"/>
              <w:divBdr>
                <w:top w:val="none" w:sz="0" w:space="0" w:color="auto"/>
                <w:left w:val="none" w:sz="0" w:space="0" w:color="auto"/>
                <w:bottom w:val="none" w:sz="0" w:space="0" w:color="auto"/>
                <w:right w:val="none" w:sz="0" w:space="0" w:color="auto"/>
              </w:divBdr>
            </w:div>
            <w:div w:id="57872445">
              <w:marLeft w:val="0"/>
              <w:marRight w:val="0"/>
              <w:marTop w:val="0"/>
              <w:marBottom w:val="240"/>
              <w:divBdr>
                <w:top w:val="none" w:sz="0" w:space="0" w:color="auto"/>
                <w:left w:val="none" w:sz="0" w:space="0" w:color="auto"/>
                <w:bottom w:val="none" w:sz="0" w:space="0" w:color="auto"/>
                <w:right w:val="none" w:sz="0" w:space="0" w:color="auto"/>
              </w:divBdr>
            </w:div>
            <w:div w:id="80761715">
              <w:marLeft w:val="0"/>
              <w:marRight w:val="0"/>
              <w:marTop w:val="0"/>
              <w:marBottom w:val="240"/>
              <w:divBdr>
                <w:top w:val="none" w:sz="0" w:space="0" w:color="auto"/>
                <w:left w:val="none" w:sz="0" w:space="0" w:color="auto"/>
                <w:bottom w:val="none" w:sz="0" w:space="0" w:color="auto"/>
                <w:right w:val="none" w:sz="0" w:space="0" w:color="auto"/>
              </w:divBdr>
            </w:div>
            <w:div w:id="99960369">
              <w:marLeft w:val="0"/>
              <w:marRight w:val="0"/>
              <w:marTop w:val="0"/>
              <w:marBottom w:val="240"/>
              <w:divBdr>
                <w:top w:val="none" w:sz="0" w:space="0" w:color="auto"/>
                <w:left w:val="none" w:sz="0" w:space="0" w:color="auto"/>
                <w:bottom w:val="none" w:sz="0" w:space="0" w:color="auto"/>
                <w:right w:val="none" w:sz="0" w:space="0" w:color="auto"/>
              </w:divBdr>
            </w:div>
            <w:div w:id="106317563">
              <w:marLeft w:val="0"/>
              <w:marRight w:val="0"/>
              <w:marTop w:val="0"/>
              <w:marBottom w:val="240"/>
              <w:divBdr>
                <w:top w:val="none" w:sz="0" w:space="0" w:color="auto"/>
                <w:left w:val="none" w:sz="0" w:space="0" w:color="auto"/>
                <w:bottom w:val="none" w:sz="0" w:space="0" w:color="auto"/>
                <w:right w:val="none" w:sz="0" w:space="0" w:color="auto"/>
              </w:divBdr>
            </w:div>
            <w:div w:id="109279298">
              <w:marLeft w:val="0"/>
              <w:marRight w:val="0"/>
              <w:marTop w:val="0"/>
              <w:marBottom w:val="240"/>
              <w:divBdr>
                <w:top w:val="none" w:sz="0" w:space="0" w:color="auto"/>
                <w:left w:val="none" w:sz="0" w:space="0" w:color="auto"/>
                <w:bottom w:val="none" w:sz="0" w:space="0" w:color="auto"/>
                <w:right w:val="none" w:sz="0" w:space="0" w:color="auto"/>
              </w:divBdr>
            </w:div>
            <w:div w:id="113447187">
              <w:marLeft w:val="0"/>
              <w:marRight w:val="0"/>
              <w:marTop w:val="0"/>
              <w:marBottom w:val="240"/>
              <w:divBdr>
                <w:top w:val="none" w:sz="0" w:space="0" w:color="auto"/>
                <w:left w:val="none" w:sz="0" w:space="0" w:color="auto"/>
                <w:bottom w:val="none" w:sz="0" w:space="0" w:color="auto"/>
                <w:right w:val="none" w:sz="0" w:space="0" w:color="auto"/>
              </w:divBdr>
            </w:div>
            <w:div w:id="118958976">
              <w:marLeft w:val="0"/>
              <w:marRight w:val="0"/>
              <w:marTop w:val="0"/>
              <w:marBottom w:val="240"/>
              <w:divBdr>
                <w:top w:val="none" w:sz="0" w:space="0" w:color="auto"/>
                <w:left w:val="none" w:sz="0" w:space="0" w:color="auto"/>
                <w:bottom w:val="none" w:sz="0" w:space="0" w:color="auto"/>
                <w:right w:val="none" w:sz="0" w:space="0" w:color="auto"/>
              </w:divBdr>
            </w:div>
            <w:div w:id="144905267">
              <w:marLeft w:val="0"/>
              <w:marRight w:val="0"/>
              <w:marTop w:val="0"/>
              <w:marBottom w:val="240"/>
              <w:divBdr>
                <w:top w:val="none" w:sz="0" w:space="0" w:color="auto"/>
                <w:left w:val="none" w:sz="0" w:space="0" w:color="auto"/>
                <w:bottom w:val="none" w:sz="0" w:space="0" w:color="auto"/>
                <w:right w:val="none" w:sz="0" w:space="0" w:color="auto"/>
              </w:divBdr>
            </w:div>
            <w:div w:id="161968858">
              <w:marLeft w:val="0"/>
              <w:marRight w:val="0"/>
              <w:marTop w:val="0"/>
              <w:marBottom w:val="240"/>
              <w:divBdr>
                <w:top w:val="none" w:sz="0" w:space="0" w:color="auto"/>
                <w:left w:val="none" w:sz="0" w:space="0" w:color="auto"/>
                <w:bottom w:val="none" w:sz="0" w:space="0" w:color="auto"/>
                <w:right w:val="none" w:sz="0" w:space="0" w:color="auto"/>
              </w:divBdr>
            </w:div>
            <w:div w:id="219637670">
              <w:marLeft w:val="0"/>
              <w:marRight w:val="0"/>
              <w:marTop w:val="0"/>
              <w:marBottom w:val="240"/>
              <w:divBdr>
                <w:top w:val="none" w:sz="0" w:space="0" w:color="auto"/>
                <w:left w:val="none" w:sz="0" w:space="0" w:color="auto"/>
                <w:bottom w:val="none" w:sz="0" w:space="0" w:color="auto"/>
                <w:right w:val="none" w:sz="0" w:space="0" w:color="auto"/>
              </w:divBdr>
            </w:div>
            <w:div w:id="236014097">
              <w:marLeft w:val="0"/>
              <w:marRight w:val="0"/>
              <w:marTop w:val="0"/>
              <w:marBottom w:val="240"/>
              <w:divBdr>
                <w:top w:val="none" w:sz="0" w:space="0" w:color="auto"/>
                <w:left w:val="none" w:sz="0" w:space="0" w:color="auto"/>
                <w:bottom w:val="none" w:sz="0" w:space="0" w:color="auto"/>
                <w:right w:val="none" w:sz="0" w:space="0" w:color="auto"/>
              </w:divBdr>
            </w:div>
            <w:div w:id="236593709">
              <w:marLeft w:val="0"/>
              <w:marRight w:val="0"/>
              <w:marTop w:val="0"/>
              <w:marBottom w:val="240"/>
              <w:divBdr>
                <w:top w:val="none" w:sz="0" w:space="0" w:color="auto"/>
                <w:left w:val="none" w:sz="0" w:space="0" w:color="auto"/>
                <w:bottom w:val="none" w:sz="0" w:space="0" w:color="auto"/>
                <w:right w:val="none" w:sz="0" w:space="0" w:color="auto"/>
              </w:divBdr>
            </w:div>
            <w:div w:id="249238003">
              <w:marLeft w:val="0"/>
              <w:marRight w:val="0"/>
              <w:marTop w:val="0"/>
              <w:marBottom w:val="240"/>
              <w:divBdr>
                <w:top w:val="none" w:sz="0" w:space="0" w:color="auto"/>
                <w:left w:val="none" w:sz="0" w:space="0" w:color="auto"/>
                <w:bottom w:val="none" w:sz="0" w:space="0" w:color="auto"/>
                <w:right w:val="none" w:sz="0" w:space="0" w:color="auto"/>
              </w:divBdr>
            </w:div>
            <w:div w:id="272132208">
              <w:marLeft w:val="0"/>
              <w:marRight w:val="0"/>
              <w:marTop w:val="0"/>
              <w:marBottom w:val="240"/>
              <w:divBdr>
                <w:top w:val="none" w:sz="0" w:space="0" w:color="auto"/>
                <w:left w:val="none" w:sz="0" w:space="0" w:color="auto"/>
                <w:bottom w:val="none" w:sz="0" w:space="0" w:color="auto"/>
                <w:right w:val="none" w:sz="0" w:space="0" w:color="auto"/>
              </w:divBdr>
            </w:div>
            <w:div w:id="274753243">
              <w:marLeft w:val="0"/>
              <w:marRight w:val="0"/>
              <w:marTop w:val="0"/>
              <w:marBottom w:val="240"/>
              <w:divBdr>
                <w:top w:val="none" w:sz="0" w:space="0" w:color="auto"/>
                <w:left w:val="none" w:sz="0" w:space="0" w:color="auto"/>
                <w:bottom w:val="none" w:sz="0" w:space="0" w:color="auto"/>
                <w:right w:val="none" w:sz="0" w:space="0" w:color="auto"/>
              </w:divBdr>
            </w:div>
            <w:div w:id="300774467">
              <w:marLeft w:val="0"/>
              <w:marRight w:val="0"/>
              <w:marTop w:val="0"/>
              <w:marBottom w:val="240"/>
              <w:divBdr>
                <w:top w:val="none" w:sz="0" w:space="0" w:color="auto"/>
                <w:left w:val="none" w:sz="0" w:space="0" w:color="auto"/>
                <w:bottom w:val="none" w:sz="0" w:space="0" w:color="auto"/>
                <w:right w:val="none" w:sz="0" w:space="0" w:color="auto"/>
              </w:divBdr>
            </w:div>
            <w:div w:id="309209176">
              <w:marLeft w:val="0"/>
              <w:marRight w:val="0"/>
              <w:marTop w:val="0"/>
              <w:marBottom w:val="240"/>
              <w:divBdr>
                <w:top w:val="none" w:sz="0" w:space="0" w:color="auto"/>
                <w:left w:val="none" w:sz="0" w:space="0" w:color="auto"/>
                <w:bottom w:val="none" w:sz="0" w:space="0" w:color="auto"/>
                <w:right w:val="none" w:sz="0" w:space="0" w:color="auto"/>
              </w:divBdr>
            </w:div>
            <w:div w:id="334111526">
              <w:marLeft w:val="0"/>
              <w:marRight w:val="0"/>
              <w:marTop w:val="0"/>
              <w:marBottom w:val="240"/>
              <w:divBdr>
                <w:top w:val="none" w:sz="0" w:space="0" w:color="auto"/>
                <w:left w:val="none" w:sz="0" w:space="0" w:color="auto"/>
                <w:bottom w:val="none" w:sz="0" w:space="0" w:color="auto"/>
                <w:right w:val="none" w:sz="0" w:space="0" w:color="auto"/>
              </w:divBdr>
            </w:div>
            <w:div w:id="347298050">
              <w:marLeft w:val="0"/>
              <w:marRight w:val="0"/>
              <w:marTop w:val="0"/>
              <w:marBottom w:val="240"/>
              <w:divBdr>
                <w:top w:val="none" w:sz="0" w:space="0" w:color="auto"/>
                <w:left w:val="none" w:sz="0" w:space="0" w:color="auto"/>
                <w:bottom w:val="none" w:sz="0" w:space="0" w:color="auto"/>
                <w:right w:val="none" w:sz="0" w:space="0" w:color="auto"/>
              </w:divBdr>
            </w:div>
            <w:div w:id="358548846">
              <w:marLeft w:val="0"/>
              <w:marRight w:val="0"/>
              <w:marTop w:val="0"/>
              <w:marBottom w:val="240"/>
              <w:divBdr>
                <w:top w:val="none" w:sz="0" w:space="0" w:color="auto"/>
                <w:left w:val="none" w:sz="0" w:space="0" w:color="auto"/>
                <w:bottom w:val="none" w:sz="0" w:space="0" w:color="auto"/>
                <w:right w:val="none" w:sz="0" w:space="0" w:color="auto"/>
              </w:divBdr>
            </w:div>
            <w:div w:id="358747783">
              <w:marLeft w:val="0"/>
              <w:marRight w:val="0"/>
              <w:marTop w:val="0"/>
              <w:marBottom w:val="240"/>
              <w:divBdr>
                <w:top w:val="none" w:sz="0" w:space="0" w:color="auto"/>
                <w:left w:val="none" w:sz="0" w:space="0" w:color="auto"/>
                <w:bottom w:val="none" w:sz="0" w:space="0" w:color="auto"/>
                <w:right w:val="none" w:sz="0" w:space="0" w:color="auto"/>
              </w:divBdr>
            </w:div>
            <w:div w:id="361128025">
              <w:marLeft w:val="0"/>
              <w:marRight w:val="0"/>
              <w:marTop w:val="0"/>
              <w:marBottom w:val="240"/>
              <w:divBdr>
                <w:top w:val="none" w:sz="0" w:space="0" w:color="auto"/>
                <w:left w:val="none" w:sz="0" w:space="0" w:color="auto"/>
                <w:bottom w:val="none" w:sz="0" w:space="0" w:color="auto"/>
                <w:right w:val="none" w:sz="0" w:space="0" w:color="auto"/>
              </w:divBdr>
            </w:div>
            <w:div w:id="379131568">
              <w:marLeft w:val="0"/>
              <w:marRight w:val="0"/>
              <w:marTop w:val="0"/>
              <w:marBottom w:val="240"/>
              <w:divBdr>
                <w:top w:val="none" w:sz="0" w:space="0" w:color="auto"/>
                <w:left w:val="none" w:sz="0" w:space="0" w:color="auto"/>
                <w:bottom w:val="none" w:sz="0" w:space="0" w:color="auto"/>
                <w:right w:val="none" w:sz="0" w:space="0" w:color="auto"/>
              </w:divBdr>
            </w:div>
            <w:div w:id="380640390">
              <w:marLeft w:val="0"/>
              <w:marRight w:val="0"/>
              <w:marTop w:val="0"/>
              <w:marBottom w:val="240"/>
              <w:divBdr>
                <w:top w:val="none" w:sz="0" w:space="0" w:color="auto"/>
                <w:left w:val="none" w:sz="0" w:space="0" w:color="auto"/>
                <w:bottom w:val="none" w:sz="0" w:space="0" w:color="auto"/>
                <w:right w:val="none" w:sz="0" w:space="0" w:color="auto"/>
              </w:divBdr>
            </w:div>
            <w:div w:id="383607404">
              <w:marLeft w:val="0"/>
              <w:marRight w:val="0"/>
              <w:marTop w:val="0"/>
              <w:marBottom w:val="240"/>
              <w:divBdr>
                <w:top w:val="none" w:sz="0" w:space="0" w:color="auto"/>
                <w:left w:val="none" w:sz="0" w:space="0" w:color="auto"/>
                <w:bottom w:val="none" w:sz="0" w:space="0" w:color="auto"/>
                <w:right w:val="none" w:sz="0" w:space="0" w:color="auto"/>
              </w:divBdr>
            </w:div>
            <w:div w:id="386497093">
              <w:marLeft w:val="0"/>
              <w:marRight w:val="0"/>
              <w:marTop w:val="0"/>
              <w:marBottom w:val="240"/>
              <w:divBdr>
                <w:top w:val="none" w:sz="0" w:space="0" w:color="auto"/>
                <w:left w:val="none" w:sz="0" w:space="0" w:color="auto"/>
                <w:bottom w:val="none" w:sz="0" w:space="0" w:color="auto"/>
                <w:right w:val="none" w:sz="0" w:space="0" w:color="auto"/>
              </w:divBdr>
            </w:div>
            <w:div w:id="401412443">
              <w:marLeft w:val="0"/>
              <w:marRight w:val="0"/>
              <w:marTop w:val="0"/>
              <w:marBottom w:val="240"/>
              <w:divBdr>
                <w:top w:val="none" w:sz="0" w:space="0" w:color="auto"/>
                <w:left w:val="none" w:sz="0" w:space="0" w:color="auto"/>
                <w:bottom w:val="none" w:sz="0" w:space="0" w:color="auto"/>
                <w:right w:val="none" w:sz="0" w:space="0" w:color="auto"/>
              </w:divBdr>
            </w:div>
            <w:div w:id="414205234">
              <w:marLeft w:val="0"/>
              <w:marRight w:val="0"/>
              <w:marTop w:val="0"/>
              <w:marBottom w:val="240"/>
              <w:divBdr>
                <w:top w:val="none" w:sz="0" w:space="0" w:color="auto"/>
                <w:left w:val="none" w:sz="0" w:space="0" w:color="auto"/>
                <w:bottom w:val="none" w:sz="0" w:space="0" w:color="auto"/>
                <w:right w:val="none" w:sz="0" w:space="0" w:color="auto"/>
              </w:divBdr>
            </w:div>
            <w:div w:id="426078989">
              <w:marLeft w:val="0"/>
              <w:marRight w:val="0"/>
              <w:marTop w:val="0"/>
              <w:marBottom w:val="240"/>
              <w:divBdr>
                <w:top w:val="none" w:sz="0" w:space="0" w:color="auto"/>
                <w:left w:val="none" w:sz="0" w:space="0" w:color="auto"/>
                <w:bottom w:val="none" w:sz="0" w:space="0" w:color="auto"/>
                <w:right w:val="none" w:sz="0" w:space="0" w:color="auto"/>
              </w:divBdr>
            </w:div>
            <w:div w:id="452673454">
              <w:marLeft w:val="0"/>
              <w:marRight w:val="0"/>
              <w:marTop w:val="0"/>
              <w:marBottom w:val="240"/>
              <w:divBdr>
                <w:top w:val="none" w:sz="0" w:space="0" w:color="auto"/>
                <w:left w:val="none" w:sz="0" w:space="0" w:color="auto"/>
                <w:bottom w:val="none" w:sz="0" w:space="0" w:color="auto"/>
                <w:right w:val="none" w:sz="0" w:space="0" w:color="auto"/>
              </w:divBdr>
            </w:div>
            <w:div w:id="469632379">
              <w:marLeft w:val="0"/>
              <w:marRight w:val="0"/>
              <w:marTop w:val="0"/>
              <w:marBottom w:val="240"/>
              <w:divBdr>
                <w:top w:val="none" w:sz="0" w:space="0" w:color="auto"/>
                <w:left w:val="none" w:sz="0" w:space="0" w:color="auto"/>
                <w:bottom w:val="none" w:sz="0" w:space="0" w:color="auto"/>
                <w:right w:val="none" w:sz="0" w:space="0" w:color="auto"/>
              </w:divBdr>
            </w:div>
            <w:div w:id="475345197">
              <w:marLeft w:val="0"/>
              <w:marRight w:val="0"/>
              <w:marTop w:val="0"/>
              <w:marBottom w:val="240"/>
              <w:divBdr>
                <w:top w:val="none" w:sz="0" w:space="0" w:color="auto"/>
                <w:left w:val="none" w:sz="0" w:space="0" w:color="auto"/>
                <w:bottom w:val="none" w:sz="0" w:space="0" w:color="auto"/>
                <w:right w:val="none" w:sz="0" w:space="0" w:color="auto"/>
              </w:divBdr>
            </w:div>
            <w:div w:id="478691435">
              <w:marLeft w:val="0"/>
              <w:marRight w:val="0"/>
              <w:marTop w:val="0"/>
              <w:marBottom w:val="240"/>
              <w:divBdr>
                <w:top w:val="none" w:sz="0" w:space="0" w:color="auto"/>
                <w:left w:val="none" w:sz="0" w:space="0" w:color="auto"/>
                <w:bottom w:val="none" w:sz="0" w:space="0" w:color="auto"/>
                <w:right w:val="none" w:sz="0" w:space="0" w:color="auto"/>
              </w:divBdr>
            </w:div>
            <w:div w:id="501046566">
              <w:marLeft w:val="0"/>
              <w:marRight w:val="0"/>
              <w:marTop w:val="0"/>
              <w:marBottom w:val="240"/>
              <w:divBdr>
                <w:top w:val="none" w:sz="0" w:space="0" w:color="auto"/>
                <w:left w:val="none" w:sz="0" w:space="0" w:color="auto"/>
                <w:bottom w:val="none" w:sz="0" w:space="0" w:color="auto"/>
                <w:right w:val="none" w:sz="0" w:space="0" w:color="auto"/>
              </w:divBdr>
            </w:div>
            <w:div w:id="509679868">
              <w:marLeft w:val="0"/>
              <w:marRight w:val="0"/>
              <w:marTop w:val="0"/>
              <w:marBottom w:val="240"/>
              <w:divBdr>
                <w:top w:val="none" w:sz="0" w:space="0" w:color="auto"/>
                <w:left w:val="none" w:sz="0" w:space="0" w:color="auto"/>
                <w:bottom w:val="none" w:sz="0" w:space="0" w:color="auto"/>
                <w:right w:val="none" w:sz="0" w:space="0" w:color="auto"/>
              </w:divBdr>
            </w:div>
            <w:div w:id="525097172">
              <w:marLeft w:val="0"/>
              <w:marRight w:val="0"/>
              <w:marTop w:val="0"/>
              <w:marBottom w:val="240"/>
              <w:divBdr>
                <w:top w:val="none" w:sz="0" w:space="0" w:color="auto"/>
                <w:left w:val="none" w:sz="0" w:space="0" w:color="auto"/>
                <w:bottom w:val="none" w:sz="0" w:space="0" w:color="auto"/>
                <w:right w:val="none" w:sz="0" w:space="0" w:color="auto"/>
              </w:divBdr>
            </w:div>
            <w:div w:id="543059404">
              <w:marLeft w:val="0"/>
              <w:marRight w:val="0"/>
              <w:marTop w:val="0"/>
              <w:marBottom w:val="240"/>
              <w:divBdr>
                <w:top w:val="none" w:sz="0" w:space="0" w:color="auto"/>
                <w:left w:val="none" w:sz="0" w:space="0" w:color="auto"/>
                <w:bottom w:val="none" w:sz="0" w:space="0" w:color="auto"/>
                <w:right w:val="none" w:sz="0" w:space="0" w:color="auto"/>
              </w:divBdr>
            </w:div>
            <w:div w:id="546995296">
              <w:marLeft w:val="0"/>
              <w:marRight w:val="0"/>
              <w:marTop w:val="0"/>
              <w:marBottom w:val="240"/>
              <w:divBdr>
                <w:top w:val="none" w:sz="0" w:space="0" w:color="auto"/>
                <w:left w:val="none" w:sz="0" w:space="0" w:color="auto"/>
                <w:bottom w:val="none" w:sz="0" w:space="0" w:color="auto"/>
                <w:right w:val="none" w:sz="0" w:space="0" w:color="auto"/>
              </w:divBdr>
            </w:div>
            <w:div w:id="558902366">
              <w:marLeft w:val="0"/>
              <w:marRight w:val="0"/>
              <w:marTop w:val="0"/>
              <w:marBottom w:val="240"/>
              <w:divBdr>
                <w:top w:val="none" w:sz="0" w:space="0" w:color="auto"/>
                <w:left w:val="none" w:sz="0" w:space="0" w:color="auto"/>
                <w:bottom w:val="none" w:sz="0" w:space="0" w:color="auto"/>
                <w:right w:val="none" w:sz="0" w:space="0" w:color="auto"/>
              </w:divBdr>
            </w:div>
            <w:div w:id="559557462">
              <w:marLeft w:val="0"/>
              <w:marRight w:val="0"/>
              <w:marTop w:val="0"/>
              <w:marBottom w:val="240"/>
              <w:divBdr>
                <w:top w:val="none" w:sz="0" w:space="0" w:color="auto"/>
                <w:left w:val="none" w:sz="0" w:space="0" w:color="auto"/>
                <w:bottom w:val="none" w:sz="0" w:space="0" w:color="auto"/>
                <w:right w:val="none" w:sz="0" w:space="0" w:color="auto"/>
              </w:divBdr>
            </w:div>
            <w:div w:id="586497614">
              <w:marLeft w:val="0"/>
              <w:marRight w:val="0"/>
              <w:marTop w:val="0"/>
              <w:marBottom w:val="240"/>
              <w:divBdr>
                <w:top w:val="none" w:sz="0" w:space="0" w:color="auto"/>
                <w:left w:val="none" w:sz="0" w:space="0" w:color="auto"/>
                <w:bottom w:val="none" w:sz="0" w:space="0" w:color="auto"/>
                <w:right w:val="none" w:sz="0" w:space="0" w:color="auto"/>
              </w:divBdr>
            </w:div>
            <w:div w:id="601036679">
              <w:marLeft w:val="0"/>
              <w:marRight w:val="0"/>
              <w:marTop w:val="0"/>
              <w:marBottom w:val="240"/>
              <w:divBdr>
                <w:top w:val="none" w:sz="0" w:space="0" w:color="auto"/>
                <w:left w:val="none" w:sz="0" w:space="0" w:color="auto"/>
                <w:bottom w:val="none" w:sz="0" w:space="0" w:color="auto"/>
                <w:right w:val="none" w:sz="0" w:space="0" w:color="auto"/>
              </w:divBdr>
            </w:div>
            <w:div w:id="606815259">
              <w:marLeft w:val="0"/>
              <w:marRight w:val="0"/>
              <w:marTop w:val="0"/>
              <w:marBottom w:val="240"/>
              <w:divBdr>
                <w:top w:val="none" w:sz="0" w:space="0" w:color="auto"/>
                <w:left w:val="none" w:sz="0" w:space="0" w:color="auto"/>
                <w:bottom w:val="none" w:sz="0" w:space="0" w:color="auto"/>
                <w:right w:val="none" w:sz="0" w:space="0" w:color="auto"/>
              </w:divBdr>
            </w:div>
            <w:div w:id="626932447">
              <w:marLeft w:val="0"/>
              <w:marRight w:val="0"/>
              <w:marTop w:val="0"/>
              <w:marBottom w:val="240"/>
              <w:divBdr>
                <w:top w:val="none" w:sz="0" w:space="0" w:color="auto"/>
                <w:left w:val="none" w:sz="0" w:space="0" w:color="auto"/>
                <w:bottom w:val="none" w:sz="0" w:space="0" w:color="auto"/>
                <w:right w:val="none" w:sz="0" w:space="0" w:color="auto"/>
              </w:divBdr>
            </w:div>
            <w:div w:id="634722225">
              <w:marLeft w:val="0"/>
              <w:marRight w:val="0"/>
              <w:marTop w:val="0"/>
              <w:marBottom w:val="0"/>
              <w:divBdr>
                <w:top w:val="none" w:sz="0" w:space="0" w:color="auto"/>
                <w:left w:val="none" w:sz="0" w:space="0" w:color="auto"/>
                <w:bottom w:val="none" w:sz="0" w:space="0" w:color="auto"/>
                <w:right w:val="none" w:sz="0" w:space="0" w:color="auto"/>
              </w:divBdr>
            </w:div>
            <w:div w:id="635257818">
              <w:marLeft w:val="0"/>
              <w:marRight w:val="0"/>
              <w:marTop w:val="0"/>
              <w:marBottom w:val="240"/>
              <w:divBdr>
                <w:top w:val="none" w:sz="0" w:space="0" w:color="auto"/>
                <w:left w:val="none" w:sz="0" w:space="0" w:color="auto"/>
                <w:bottom w:val="none" w:sz="0" w:space="0" w:color="auto"/>
                <w:right w:val="none" w:sz="0" w:space="0" w:color="auto"/>
              </w:divBdr>
            </w:div>
            <w:div w:id="660277912">
              <w:marLeft w:val="0"/>
              <w:marRight w:val="0"/>
              <w:marTop w:val="0"/>
              <w:marBottom w:val="240"/>
              <w:divBdr>
                <w:top w:val="none" w:sz="0" w:space="0" w:color="auto"/>
                <w:left w:val="none" w:sz="0" w:space="0" w:color="auto"/>
                <w:bottom w:val="none" w:sz="0" w:space="0" w:color="auto"/>
                <w:right w:val="none" w:sz="0" w:space="0" w:color="auto"/>
              </w:divBdr>
            </w:div>
            <w:div w:id="666589779">
              <w:marLeft w:val="0"/>
              <w:marRight w:val="0"/>
              <w:marTop w:val="0"/>
              <w:marBottom w:val="240"/>
              <w:divBdr>
                <w:top w:val="none" w:sz="0" w:space="0" w:color="auto"/>
                <w:left w:val="none" w:sz="0" w:space="0" w:color="auto"/>
                <w:bottom w:val="none" w:sz="0" w:space="0" w:color="auto"/>
                <w:right w:val="none" w:sz="0" w:space="0" w:color="auto"/>
              </w:divBdr>
            </w:div>
            <w:div w:id="673728391">
              <w:marLeft w:val="0"/>
              <w:marRight w:val="0"/>
              <w:marTop w:val="0"/>
              <w:marBottom w:val="240"/>
              <w:divBdr>
                <w:top w:val="none" w:sz="0" w:space="0" w:color="auto"/>
                <w:left w:val="none" w:sz="0" w:space="0" w:color="auto"/>
                <w:bottom w:val="none" w:sz="0" w:space="0" w:color="auto"/>
                <w:right w:val="none" w:sz="0" w:space="0" w:color="auto"/>
              </w:divBdr>
            </w:div>
            <w:div w:id="678628408">
              <w:marLeft w:val="0"/>
              <w:marRight w:val="0"/>
              <w:marTop w:val="0"/>
              <w:marBottom w:val="240"/>
              <w:divBdr>
                <w:top w:val="none" w:sz="0" w:space="0" w:color="auto"/>
                <w:left w:val="none" w:sz="0" w:space="0" w:color="auto"/>
                <w:bottom w:val="none" w:sz="0" w:space="0" w:color="auto"/>
                <w:right w:val="none" w:sz="0" w:space="0" w:color="auto"/>
              </w:divBdr>
            </w:div>
            <w:div w:id="695690177">
              <w:marLeft w:val="0"/>
              <w:marRight w:val="0"/>
              <w:marTop w:val="0"/>
              <w:marBottom w:val="240"/>
              <w:divBdr>
                <w:top w:val="none" w:sz="0" w:space="0" w:color="auto"/>
                <w:left w:val="none" w:sz="0" w:space="0" w:color="auto"/>
                <w:bottom w:val="none" w:sz="0" w:space="0" w:color="auto"/>
                <w:right w:val="none" w:sz="0" w:space="0" w:color="auto"/>
              </w:divBdr>
            </w:div>
            <w:div w:id="702245223">
              <w:marLeft w:val="0"/>
              <w:marRight w:val="0"/>
              <w:marTop w:val="0"/>
              <w:marBottom w:val="240"/>
              <w:divBdr>
                <w:top w:val="none" w:sz="0" w:space="0" w:color="auto"/>
                <w:left w:val="none" w:sz="0" w:space="0" w:color="auto"/>
                <w:bottom w:val="none" w:sz="0" w:space="0" w:color="auto"/>
                <w:right w:val="none" w:sz="0" w:space="0" w:color="auto"/>
              </w:divBdr>
            </w:div>
            <w:div w:id="704405938">
              <w:marLeft w:val="0"/>
              <w:marRight w:val="0"/>
              <w:marTop w:val="0"/>
              <w:marBottom w:val="240"/>
              <w:divBdr>
                <w:top w:val="none" w:sz="0" w:space="0" w:color="auto"/>
                <w:left w:val="none" w:sz="0" w:space="0" w:color="auto"/>
                <w:bottom w:val="none" w:sz="0" w:space="0" w:color="auto"/>
                <w:right w:val="none" w:sz="0" w:space="0" w:color="auto"/>
              </w:divBdr>
            </w:div>
            <w:div w:id="716050898">
              <w:marLeft w:val="0"/>
              <w:marRight w:val="0"/>
              <w:marTop w:val="0"/>
              <w:marBottom w:val="240"/>
              <w:divBdr>
                <w:top w:val="none" w:sz="0" w:space="0" w:color="auto"/>
                <w:left w:val="none" w:sz="0" w:space="0" w:color="auto"/>
                <w:bottom w:val="none" w:sz="0" w:space="0" w:color="auto"/>
                <w:right w:val="none" w:sz="0" w:space="0" w:color="auto"/>
              </w:divBdr>
            </w:div>
            <w:div w:id="719790693">
              <w:marLeft w:val="0"/>
              <w:marRight w:val="0"/>
              <w:marTop w:val="0"/>
              <w:marBottom w:val="240"/>
              <w:divBdr>
                <w:top w:val="none" w:sz="0" w:space="0" w:color="auto"/>
                <w:left w:val="none" w:sz="0" w:space="0" w:color="auto"/>
                <w:bottom w:val="none" w:sz="0" w:space="0" w:color="auto"/>
                <w:right w:val="none" w:sz="0" w:space="0" w:color="auto"/>
              </w:divBdr>
            </w:div>
            <w:div w:id="729961676">
              <w:marLeft w:val="0"/>
              <w:marRight w:val="0"/>
              <w:marTop w:val="0"/>
              <w:marBottom w:val="240"/>
              <w:divBdr>
                <w:top w:val="none" w:sz="0" w:space="0" w:color="auto"/>
                <w:left w:val="none" w:sz="0" w:space="0" w:color="auto"/>
                <w:bottom w:val="none" w:sz="0" w:space="0" w:color="auto"/>
                <w:right w:val="none" w:sz="0" w:space="0" w:color="auto"/>
              </w:divBdr>
            </w:div>
            <w:div w:id="739909882">
              <w:marLeft w:val="0"/>
              <w:marRight w:val="0"/>
              <w:marTop w:val="0"/>
              <w:marBottom w:val="240"/>
              <w:divBdr>
                <w:top w:val="none" w:sz="0" w:space="0" w:color="auto"/>
                <w:left w:val="none" w:sz="0" w:space="0" w:color="auto"/>
                <w:bottom w:val="none" w:sz="0" w:space="0" w:color="auto"/>
                <w:right w:val="none" w:sz="0" w:space="0" w:color="auto"/>
              </w:divBdr>
            </w:div>
            <w:div w:id="754089926">
              <w:marLeft w:val="0"/>
              <w:marRight w:val="0"/>
              <w:marTop w:val="0"/>
              <w:marBottom w:val="240"/>
              <w:divBdr>
                <w:top w:val="none" w:sz="0" w:space="0" w:color="auto"/>
                <w:left w:val="none" w:sz="0" w:space="0" w:color="auto"/>
                <w:bottom w:val="none" w:sz="0" w:space="0" w:color="auto"/>
                <w:right w:val="none" w:sz="0" w:space="0" w:color="auto"/>
              </w:divBdr>
            </w:div>
            <w:div w:id="778911543">
              <w:marLeft w:val="0"/>
              <w:marRight w:val="0"/>
              <w:marTop w:val="0"/>
              <w:marBottom w:val="240"/>
              <w:divBdr>
                <w:top w:val="none" w:sz="0" w:space="0" w:color="auto"/>
                <w:left w:val="none" w:sz="0" w:space="0" w:color="auto"/>
                <w:bottom w:val="none" w:sz="0" w:space="0" w:color="auto"/>
                <w:right w:val="none" w:sz="0" w:space="0" w:color="auto"/>
              </w:divBdr>
            </w:div>
            <w:div w:id="796141063">
              <w:marLeft w:val="0"/>
              <w:marRight w:val="0"/>
              <w:marTop w:val="0"/>
              <w:marBottom w:val="240"/>
              <w:divBdr>
                <w:top w:val="none" w:sz="0" w:space="0" w:color="auto"/>
                <w:left w:val="none" w:sz="0" w:space="0" w:color="auto"/>
                <w:bottom w:val="none" w:sz="0" w:space="0" w:color="auto"/>
                <w:right w:val="none" w:sz="0" w:space="0" w:color="auto"/>
              </w:divBdr>
            </w:div>
            <w:div w:id="820662144">
              <w:marLeft w:val="0"/>
              <w:marRight w:val="0"/>
              <w:marTop w:val="0"/>
              <w:marBottom w:val="240"/>
              <w:divBdr>
                <w:top w:val="none" w:sz="0" w:space="0" w:color="auto"/>
                <w:left w:val="none" w:sz="0" w:space="0" w:color="auto"/>
                <w:bottom w:val="none" w:sz="0" w:space="0" w:color="auto"/>
                <w:right w:val="none" w:sz="0" w:space="0" w:color="auto"/>
              </w:divBdr>
            </w:div>
            <w:div w:id="824006403">
              <w:marLeft w:val="0"/>
              <w:marRight w:val="0"/>
              <w:marTop w:val="0"/>
              <w:marBottom w:val="240"/>
              <w:divBdr>
                <w:top w:val="none" w:sz="0" w:space="0" w:color="auto"/>
                <w:left w:val="none" w:sz="0" w:space="0" w:color="auto"/>
                <w:bottom w:val="none" w:sz="0" w:space="0" w:color="auto"/>
                <w:right w:val="none" w:sz="0" w:space="0" w:color="auto"/>
              </w:divBdr>
            </w:div>
            <w:div w:id="830676974">
              <w:marLeft w:val="0"/>
              <w:marRight w:val="0"/>
              <w:marTop w:val="0"/>
              <w:marBottom w:val="240"/>
              <w:divBdr>
                <w:top w:val="none" w:sz="0" w:space="0" w:color="auto"/>
                <w:left w:val="none" w:sz="0" w:space="0" w:color="auto"/>
                <w:bottom w:val="none" w:sz="0" w:space="0" w:color="auto"/>
                <w:right w:val="none" w:sz="0" w:space="0" w:color="auto"/>
              </w:divBdr>
            </w:div>
            <w:div w:id="852956213">
              <w:marLeft w:val="0"/>
              <w:marRight w:val="0"/>
              <w:marTop w:val="0"/>
              <w:marBottom w:val="240"/>
              <w:divBdr>
                <w:top w:val="none" w:sz="0" w:space="0" w:color="auto"/>
                <w:left w:val="none" w:sz="0" w:space="0" w:color="auto"/>
                <w:bottom w:val="none" w:sz="0" w:space="0" w:color="auto"/>
                <w:right w:val="none" w:sz="0" w:space="0" w:color="auto"/>
              </w:divBdr>
            </w:div>
            <w:div w:id="886720686">
              <w:marLeft w:val="0"/>
              <w:marRight w:val="0"/>
              <w:marTop w:val="0"/>
              <w:marBottom w:val="240"/>
              <w:divBdr>
                <w:top w:val="none" w:sz="0" w:space="0" w:color="auto"/>
                <w:left w:val="none" w:sz="0" w:space="0" w:color="auto"/>
                <w:bottom w:val="none" w:sz="0" w:space="0" w:color="auto"/>
                <w:right w:val="none" w:sz="0" w:space="0" w:color="auto"/>
              </w:divBdr>
            </w:div>
            <w:div w:id="887304653">
              <w:marLeft w:val="0"/>
              <w:marRight w:val="0"/>
              <w:marTop w:val="0"/>
              <w:marBottom w:val="240"/>
              <w:divBdr>
                <w:top w:val="none" w:sz="0" w:space="0" w:color="auto"/>
                <w:left w:val="none" w:sz="0" w:space="0" w:color="auto"/>
                <w:bottom w:val="none" w:sz="0" w:space="0" w:color="auto"/>
                <w:right w:val="none" w:sz="0" w:space="0" w:color="auto"/>
              </w:divBdr>
            </w:div>
            <w:div w:id="894972386">
              <w:marLeft w:val="0"/>
              <w:marRight w:val="0"/>
              <w:marTop w:val="0"/>
              <w:marBottom w:val="240"/>
              <w:divBdr>
                <w:top w:val="none" w:sz="0" w:space="0" w:color="auto"/>
                <w:left w:val="none" w:sz="0" w:space="0" w:color="auto"/>
                <w:bottom w:val="none" w:sz="0" w:space="0" w:color="auto"/>
                <w:right w:val="none" w:sz="0" w:space="0" w:color="auto"/>
              </w:divBdr>
            </w:div>
            <w:div w:id="900749289">
              <w:marLeft w:val="0"/>
              <w:marRight w:val="0"/>
              <w:marTop w:val="0"/>
              <w:marBottom w:val="240"/>
              <w:divBdr>
                <w:top w:val="none" w:sz="0" w:space="0" w:color="auto"/>
                <w:left w:val="none" w:sz="0" w:space="0" w:color="auto"/>
                <w:bottom w:val="none" w:sz="0" w:space="0" w:color="auto"/>
                <w:right w:val="none" w:sz="0" w:space="0" w:color="auto"/>
              </w:divBdr>
            </w:div>
            <w:div w:id="922371855">
              <w:marLeft w:val="0"/>
              <w:marRight w:val="0"/>
              <w:marTop w:val="0"/>
              <w:marBottom w:val="240"/>
              <w:divBdr>
                <w:top w:val="none" w:sz="0" w:space="0" w:color="auto"/>
                <w:left w:val="none" w:sz="0" w:space="0" w:color="auto"/>
                <w:bottom w:val="none" w:sz="0" w:space="0" w:color="auto"/>
                <w:right w:val="none" w:sz="0" w:space="0" w:color="auto"/>
              </w:divBdr>
            </w:div>
            <w:div w:id="986973470">
              <w:marLeft w:val="0"/>
              <w:marRight w:val="0"/>
              <w:marTop w:val="0"/>
              <w:marBottom w:val="240"/>
              <w:divBdr>
                <w:top w:val="none" w:sz="0" w:space="0" w:color="auto"/>
                <w:left w:val="none" w:sz="0" w:space="0" w:color="auto"/>
                <w:bottom w:val="none" w:sz="0" w:space="0" w:color="auto"/>
                <w:right w:val="none" w:sz="0" w:space="0" w:color="auto"/>
              </w:divBdr>
            </w:div>
            <w:div w:id="987368154">
              <w:marLeft w:val="0"/>
              <w:marRight w:val="0"/>
              <w:marTop w:val="0"/>
              <w:marBottom w:val="240"/>
              <w:divBdr>
                <w:top w:val="none" w:sz="0" w:space="0" w:color="auto"/>
                <w:left w:val="none" w:sz="0" w:space="0" w:color="auto"/>
                <w:bottom w:val="none" w:sz="0" w:space="0" w:color="auto"/>
                <w:right w:val="none" w:sz="0" w:space="0" w:color="auto"/>
              </w:divBdr>
            </w:div>
            <w:div w:id="1009136502">
              <w:marLeft w:val="0"/>
              <w:marRight w:val="0"/>
              <w:marTop w:val="0"/>
              <w:marBottom w:val="240"/>
              <w:divBdr>
                <w:top w:val="none" w:sz="0" w:space="0" w:color="auto"/>
                <w:left w:val="none" w:sz="0" w:space="0" w:color="auto"/>
                <w:bottom w:val="none" w:sz="0" w:space="0" w:color="auto"/>
                <w:right w:val="none" w:sz="0" w:space="0" w:color="auto"/>
              </w:divBdr>
            </w:div>
            <w:div w:id="1065029853">
              <w:marLeft w:val="0"/>
              <w:marRight w:val="0"/>
              <w:marTop w:val="0"/>
              <w:marBottom w:val="240"/>
              <w:divBdr>
                <w:top w:val="none" w:sz="0" w:space="0" w:color="auto"/>
                <w:left w:val="none" w:sz="0" w:space="0" w:color="auto"/>
                <w:bottom w:val="none" w:sz="0" w:space="0" w:color="auto"/>
                <w:right w:val="none" w:sz="0" w:space="0" w:color="auto"/>
              </w:divBdr>
            </w:div>
            <w:div w:id="1081677779">
              <w:marLeft w:val="0"/>
              <w:marRight w:val="0"/>
              <w:marTop w:val="0"/>
              <w:marBottom w:val="240"/>
              <w:divBdr>
                <w:top w:val="none" w:sz="0" w:space="0" w:color="auto"/>
                <w:left w:val="none" w:sz="0" w:space="0" w:color="auto"/>
                <w:bottom w:val="none" w:sz="0" w:space="0" w:color="auto"/>
                <w:right w:val="none" w:sz="0" w:space="0" w:color="auto"/>
              </w:divBdr>
            </w:div>
            <w:div w:id="1108618846">
              <w:marLeft w:val="0"/>
              <w:marRight w:val="0"/>
              <w:marTop w:val="0"/>
              <w:marBottom w:val="240"/>
              <w:divBdr>
                <w:top w:val="none" w:sz="0" w:space="0" w:color="auto"/>
                <w:left w:val="none" w:sz="0" w:space="0" w:color="auto"/>
                <w:bottom w:val="none" w:sz="0" w:space="0" w:color="auto"/>
                <w:right w:val="none" w:sz="0" w:space="0" w:color="auto"/>
              </w:divBdr>
            </w:div>
            <w:div w:id="1113475226">
              <w:marLeft w:val="0"/>
              <w:marRight w:val="0"/>
              <w:marTop w:val="0"/>
              <w:marBottom w:val="240"/>
              <w:divBdr>
                <w:top w:val="none" w:sz="0" w:space="0" w:color="auto"/>
                <w:left w:val="none" w:sz="0" w:space="0" w:color="auto"/>
                <w:bottom w:val="none" w:sz="0" w:space="0" w:color="auto"/>
                <w:right w:val="none" w:sz="0" w:space="0" w:color="auto"/>
              </w:divBdr>
            </w:div>
            <w:div w:id="1124276438">
              <w:marLeft w:val="0"/>
              <w:marRight w:val="0"/>
              <w:marTop w:val="0"/>
              <w:marBottom w:val="240"/>
              <w:divBdr>
                <w:top w:val="none" w:sz="0" w:space="0" w:color="auto"/>
                <w:left w:val="none" w:sz="0" w:space="0" w:color="auto"/>
                <w:bottom w:val="none" w:sz="0" w:space="0" w:color="auto"/>
                <w:right w:val="none" w:sz="0" w:space="0" w:color="auto"/>
              </w:divBdr>
            </w:div>
            <w:div w:id="1150829133">
              <w:marLeft w:val="0"/>
              <w:marRight w:val="0"/>
              <w:marTop w:val="0"/>
              <w:marBottom w:val="240"/>
              <w:divBdr>
                <w:top w:val="none" w:sz="0" w:space="0" w:color="auto"/>
                <w:left w:val="none" w:sz="0" w:space="0" w:color="auto"/>
                <w:bottom w:val="none" w:sz="0" w:space="0" w:color="auto"/>
                <w:right w:val="none" w:sz="0" w:space="0" w:color="auto"/>
              </w:divBdr>
            </w:div>
            <w:div w:id="1157769075">
              <w:marLeft w:val="0"/>
              <w:marRight w:val="0"/>
              <w:marTop w:val="0"/>
              <w:marBottom w:val="240"/>
              <w:divBdr>
                <w:top w:val="none" w:sz="0" w:space="0" w:color="auto"/>
                <w:left w:val="none" w:sz="0" w:space="0" w:color="auto"/>
                <w:bottom w:val="none" w:sz="0" w:space="0" w:color="auto"/>
                <w:right w:val="none" w:sz="0" w:space="0" w:color="auto"/>
              </w:divBdr>
            </w:div>
            <w:div w:id="1160775073">
              <w:marLeft w:val="0"/>
              <w:marRight w:val="0"/>
              <w:marTop w:val="0"/>
              <w:marBottom w:val="240"/>
              <w:divBdr>
                <w:top w:val="none" w:sz="0" w:space="0" w:color="auto"/>
                <w:left w:val="none" w:sz="0" w:space="0" w:color="auto"/>
                <w:bottom w:val="none" w:sz="0" w:space="0" w:color="auto"/>
                <w:right w:val="none" w:sz="0" w:space="0" w:color="auto"/>
              </w:divBdr>
            </w:div>
            <w:div w:id="1177386821">
              <w:marLeft w:val="0"/>
              <w:marRight w:val="0"/>
              <w:marTop w:val="0"/>
              <w:marBottom w:val="240"/>
              <w:divBdr>
                <w:top w:val="none" w:sz="0" w:space="0" w:color="auto"/>
                <w:left w:val="none" w:sz="0" w:space="0" w:color="auto"/>
                <w:bottom w:val="none" w:sz="0" w:space="0" w:color="auto"/>
                <w:right w:val="none" w:sz="0" w:space="0" w:color="auto"/>
              </w:divBdr>
            </w:div>
            <w:div w:id="1179079107">
              <w:marLeft w:val="0"/>
              <w:marRight w:val="0"/>
              <w:marTop w:val="0"/>
              <w:marBottom w:val="240"/>
              <w:divBdr>
                <w:top w:val="none" w:sz="0" w:space="0" w:color="auto"/>
                <w:left w:val="none" w:sz="0" w:space="0" w:color="auto"/>
                <w:bottom w:val="none" w:sz="0" w:space="0" w:color="auto"/>
                <w:right w:val="none" w:sz="0" w:space="0" w:color="auto"/>
              </w:divBdr>
            </w:div>
            <w:div w:id="1179344393">
              <w:marLeft w:val="0"/>
              <w:marRight w:val="0"/>
              <w:marTop w:val="0"/>
              <w:marBottom w:val="240"/>
              <w:divBdr>
                <w:top w:val="none" w:sz="0" w:space="0" w:color="auto"/>
                <w:left w:val="none" w:sz="0" w:space="0" w:color="auto"/>
                <w:bottom w:val="none" w:sz="0" w:space="0" w:color="auto"/>
                <w:right w:val="none" w:sz="0" w:space="0" w:color="auto"/>
              </w:divBdr>
            </w:div>
            <w:div w:id="1223102046">
              <w:marLeft w:val="0"/>
              <w:marRight w:val="0"/>
              <w:marTop w:val="0"/>
              <w:marBottom w:val="240"/>
              <w:divBdr>
                <w:top w:val="none" w:sz="0" w:space="0" w:color="auto"/>
                <w:left w:val="none" w:sz="0" w:space="0" w:color="auto"/>
                <w:bottom w:val="none" w:sz="0" w:space="0" w:color="auto"/>
                <w:right w:val="none" w:sz="0" w:space="0" w:color="auto"/>
              </w:divBdr>
            </w:div>
            <w:div w:id="1226454434">
              <w:marLeft w:val="0"/>
              <w:marRight w:val="0"/>
              <w:marTop w:val="0"/>
              <w:marBottom w:val="240"/>
              <w:divBdr>
                <w:top w:val="none" w:sz="0" w:space="0" w:color="auto"/>
                <w:left w:val="none" w:sz="0" w:space="0" w:color="auto"/>
                <w:bottom w:val="none" w:sz="0" w:space="0" w:color="auto"/>
                <w:right w:val="none" w:sz="0" w:space="0" w:color="auto"/>
              </w:divBdr>
            </w:div>
            <w:div w:id="1279291296">
              <w:marLeft w:val="0"/>
              <w:marRight w:val="0"/>
              <w:marTop w:val="0"/>
              <w:marBottom w:val="240"/>
              <w:divBdr>
                <w:top w:val="none" w:sz="0" w:space="0" w:color="auto"/>
                <w:left w:val="none" w:sz="0" w:space="0" w:color="auto"/>
                <w:bottom w:val="none" w:sz="0" w:space="0" w:color="auto"/>
                <w:right w:val="none" w:sz="0" w:space="0" w:color="auto"/>
              </w:divBdr>
            </w:div>
            <w:div w:id="1289429632">
              <w:marLeft w:val="0"/>
              <w:marRight w:val="0"/>
              <w:marTop w:val="0"/>
              <w:marBottom w:val="240"/>
              <w:divBdr>
                <w:top w:val="none" w:sz="0" w:space="0" w:color="auto"/>
                <w:left w:val="none" w:sz="0" w:space="0" w:color="auto"/>
                <w:bottom w:val="none" w:sz="0" w:space="0" w:color="auto"/>
                <w:right w:val="none" w:sz="0" w:space="0" w:color="auto"/>
              </w:divBdr>
            </w:div>
            <w:div w:id="1290164093">
              <w:marLeft w:val="0"/>
              <w:marRight w:val="0"/>
              <w:marTop w:val="0"/>
              <w:marBottom w:val="240"/>
              <w:divBdr>
                <w:top w:val="none" w:sz="0" w:space="0" w:color="auto"/>
                <w:left w:val="none" w:sz="0" w:space="0" w:color="auto"/>
                <w:bottom w:val="none" w:sz="0" w:space="0" w:color="auto"/>
                <w:right w:val="none" w:sz="0" w:space="0" w:color="auto"/>
              </w:divBdr>
            </w:div>
            <w:div w:id="1291588887">
              <w:marLeft w:val="0"/>
              <w:marRight w:val="0"/>
              <w:marTop w:val="0"/>
              <w:marBottom w:val="240"/>
              <w:divBdr>
                <w:top w:val="none" w:sz="0" w:space="0" w:color="auto"/>
                <w:left w:val="none" w:sz="0" w:space="0" w:color="auto"/>
                <w:bottom w:val="none" w:sz="0" w:space="0" w:color="auto"/>
                <w:right w:val="none" w:sz="0" w:space="0" w:color="auto"/>
              </w:divBdr>
            </w:div>
            <w:div w:id="1329333395">
              <w:marLeft w:val="0"/>
              <w:marRight w:val="0"/>
              <w:marTop w:val="0"/>
              <w:marBottom w:val="240"/>
              <w:divBdr>
                <w:top w:val="none" w:sz="0" w:space="0" w:color="auto"/>
                <w:left w:val="none" w:sz="0" w:space="0" w:color="auto"/>
                <w:bottom w:val="none" w:sz="0" w:space="0" w:color="auto"/>
                <w:right w:val="none" w:sz="0" w:space="0" w:color="auto"/>
              </w:divBdr>
            </w:div>
            <w:div w:id="1352417774">
              <w:marLeft w:val="0"/>
              <w:marRight w:val="0"/>
              <w:marTop w:val="0"/>
              <w:marBottom w:val="240"/>
              <w:divBdr>
                <w:top w:val="none" w:sz="0" w:space="0" w:color="auto"/>
                <w:left w:val="none" w:sz="0" w:space="0" w:color="auto"/>
                <w:bottom w:val="none" w:sz="0" w:space="0" w:color="auto"/>
                <w:right w:val="none" w:sz="0" w:space="0" w:color="auto"/>
              </w:divBdr>
            </w:div>
            <w:div w:id="1361128772">
              <w:marLeft w:val="0"/>
              <w:marRight w:val="0"/>
              <w:marTop w:val="0"/>
              <w:marBottom w:val="240"/>
              <w:divBdr>
                <w:top w:val="none" w:sz="0" w:space="0" w:color="auto"/>
                <w:left w:val="none" w:sz="0" w:space="0" w:color="auto"/>
                <w:bottom w:val="none" w:sz="0" w:space="0" w:color="auto"/>
                <w:right w:val="none" w:sz="0" w:space="0" w:color="auto"/>
              </w:divBdr>
            </w:div>
            <w:div w:id="1365596436">
              <w:marLeft w:val="0"/>
              <w:marRight w:val="0"/>
              <w:marTop w:val="0"/>
              <w:marBottom w:val="240"/>
              <w:divBdr>
                <w:top w:val="none" w:sz="0" w:space="0" w:color="auto"/>
                <w:left w:val="none" w:sz="0" w:space="0" w:color="auto"/>
                <w:bottom w:val="none" w:sz="0" w:space="0" w:color="auto"/>
                <w:right w:val="none" w:sz="0" w:space="0" w:color="auto"/>
              </w:divBdr>
            </w:div>
            <w:div w:id="1378309830">
              <w:marLeft w:val="0"/>
              <w:marRight w:val="0"/>
              <w:marTop w:val="0"/>
              <w:marBottom w:val="240"/>
              <w:divBdr>
                <w:top w:val="none" w:sz="0" w:space="0" w:color="auto"/>
                <w:left w:val="none" w:sz="0" w:space="0" w:color="auto"/>
                <w:bottom w:val="none" w:sz="0" w:space="0" w:color="auto"/>
                <w:right w:val="none" w:sz="0" w:space="0" w:color="auto"/>
              </w:divBdr>
            </w:div>
            <w:div w:id="1382250559">
              <w:marLeft w:val="0"/>
              <w:marRight w:val="0"/>
              <w:marTop w:val="0"/>
              <w:marBottom w:val="240"/>
              <w:divBdr>
                <w:top w:val="none" w:sz="0" w:space="0" w:color="auto"/>
                <w:left w:val="none" w:sz="0" w:space="0" w:color="auto"/>
                <w:bottom w:val="none" w:sz="0" w:space="0" w:color="auto"/>
                <w:right w:val="none" w:sz="0" w:space="0" w:color="auto"/>
              </w:divBdr>
            </w:div>
            <w:div w:id="1389648320">
              <w:marLeft w:val="0"/>
              <w:marRight w:val="0"/>
              <w:marTop w:val="0"/>
              <w:marBottom w:val="240"/>
              <w:divBdr>
                <w:top w:val="none" w:sz="0" w:space="0" w:color="auto"/>
                <w:left w:val="none" w:sz="0" w:space="0" w:color="auto"/>
                <w:bottom w:val="none" w:sz="0" w:space="0" w:color="auto"/>
                <w:right w:val="none" w:sz="0" w:space="0" w:color="auto"/>
              </w:divBdr>
            </w:div>
            <w:div w:id="1394696107">
              <w:marLeft w:val="0"/>
              <w:marRight w:val="0"/>
              <w:marTop w:val="0"/>
              <w:marBottom w:val="240"/>
              <w:divBdr>
                <w:top w:val="none" w:sz="0" w:space="0" w:color="auto"/>
                <w:left w:val="none" w:sz="0" w:space="0" w:color="auto"/>
                <w:bottom w:val="none" w:sz="0" w:space="0" w:color="auto"/>
                <w:right w:val="none" w:sz="0" w:space="0" w:color="auto"/>
              </w:divBdr>
            </w:div>
            <w:div w:id="1427310970">
              <w:marLeft w:val="0"/>
              <w:marRight w:val="0"/>
              <w:marTop w:val="0"/>
              <w:marBottom w:val="240"/>
              <w:divBdr>
                <w:top w:val="none" w:sz="0" w:space="0" w:color="auto"/>
                <w:left w:val="none" w:sz="0" w:space="0" w:color="auto"/>
                <w:bottom w:val="none" w:sz="0" w:space="0" w:color="auto"/>
                <w:right w:val="none" w:sz="0" w:space="0" w:color="auto"/>
              </w:divBdr>
            </w:div>
            <w:div w:id="1433010854">
              <w:marLeft w:val="0"/>
              <w:marRight w:val="0"/>
              <w:marTop w:val="0"/>
              <w:marBottom w:val="240"/>
              <w:divBdr>
                <w:top w:val="none" w:sz="0" w:space="0" w:color="auto"/>
                <w:left w:val="none" w:sz="0" w:space="0" w:color="auto"/>
                <w:bottom w:val="none" w:sz="0" w:space="0" w:color="auto"/>
                <w:right w:val="none" w:sz="0" w:space="0" w:color="auto"/>
              </w:divBdr>
            </w:div>
            <w:div w:id="1433091938">
              <w:marLeft w:val="0"/>
              <w:marRight w:val="0"/>
              <w:marTop w:val="0"/>
              <w:marBottom w:val="240"/>
              <w:divBdr>
                <w:top w:val="none" w:sz="0" w:space="0" w:color="auto"/>
                <w:left w:val="none" w:sz="0" w:space="0" w:color="auto"/>
                <w:bottom w:val="none" w:sz="0" w:space="0" w:color="auto"/>
                <w:right w:val="none" w:sz="0" w:space="0" w:color="auto"/>
              </w:divBdr>
            </w:div>
            <w:div w:id="1481385517">
              <w:marLeft w:val="0"/>
              <w:marRight w:val="0"/>
              <w:marTop w:val="0"/>
              <w:marBottom w:val="240"/>
              <w:divBdr>
                <w:top w:val="none" w:sz="0" w:space="0" w:color="auto"/>
                <w:left w:val="none" w:sz="0" w:space="0" w:color="auto"/>
                <w:bottom w:val="none" w:sz="0" w:space="0" w:color="auto"/>
                <w:right w:val="none" w:sz="0" w:space="0" w:color="auto"/>
              </w:divBdr>
            </w:div>
            <w:div w:id="1513766434">
              <w:marLeft w:val="0"/>
              <w:marRight w:val="0"/>
              <w:marTop w:val="0"/>
              <w:marBottom w:val="240"/>
              <w:divBdr>
                <w:top w:val="none" w:sz="0" w:space="0" w:color="auto"/>
                <w:left w:val="none" w:sz="0" w:space="0" w:color="auto"/>
                <w:bottom w:val="none" w:sz="0" w:space="0" w:color="auto"/>
                <w:right w:val="none" w:sz="0" w:space="0" w:color="auto"/>
              </w:divBdr>
            </w:div>
            <w:div w:id="1524779744">
              <w:marLeft w:val="0"/>
              <w:marRight w:val="0"/>
              <w:marTop w:val="0"/>
              <w:marBottom w:val="240"/>
              <w:divBdr>
                <w:top w:val="none" w:sz="0" w:space="0" w:color="auto"/>
                <w:left w:val="none" w:sz="0" w:space="0" w:color="auto"/>
                <w:bottom w:val="none" w:sz="0" w:space="0" w:color="auto"/>
                <w:right w:val="none" w:sz="0" w:space="0" w:color="auto"/>
              </w:divBdr>
            </w:div>
            <w:div w:id="1531576548">
              <w:marLeft w:val="0"/>
              <w:marRight w:val="0"/>
              <w:marTop w:val="0"/>
              <w:marBottom w:val="240"/>
              <w:divBdr>
                <w:top w:val="none" w:sz="0" w:space="0" w:color="auto"/>
                <w:left w:val="none" w:sz="0" w:space="0" w:color="auto"/>
                <w:bottom w:val="none" w:sz="0" w:space="0" w:color="auto"/>
                <w:right w:val="none" w:sz="0" w:space="0" w:color="auto"/>
              </w:divBdr>
            </w:div>
            <w:div w:id="1567953999">
              <w:marLeft w:val="0"/>
              <w:marRight w:val="0"/>
              <w:marTop w:val="0"/>
              <w:marBottom w:val="240"/>
              <w:divBdr>
                <w:top w:val="none" w:sz="0" w:space="0" w:color="auto"/>
                <w:left w:val="none" w:sz="0" w:space="0" w:color="auto"/>
                <w:bottom w:val="none" w:sz="0" w:space="0" w:color="auto"/>
                <w:right w:val="none" w:sz="0" w:space="0" w:color="auto"/>
              </w:divBdr>
            </w:div>
            <w:div w:id="1569264995">
              <w:marLeft w:val="0"/>
              <w:marRight w:val="0"/>
              <w:marTop w:val="0"/>
              <w:marBottom w:val="240"/>
              <w:divBdr>
                <w:top w:val="none" w:sz="0" w:space="0" w:color="auto"/>
                <w:left w:val="none" w:sz="0" w:space="0" w:color="auto"/>
                <w:bottom w:val="none" w:sz="0" w:space="0" w:color="auto"/>
                <w:right w:val="none" w:sz="0" w:space="0" w:color="auto"/>
              </w:divBdr>
            </w:div>
            <w:div w:id="1577933820">
              <w:marLeft w:val="0"/>
              <w:marRight w:val="0"/>
              <w:marTop w:val="0"/>
              <w:marBottom w:val="240"/>
              <w:divBdr>
                <w:top w:val="none" w:sz="0" w:space="0" w:color="auto"/>
                <w:left w:val="none" w:sz="0" w:space="0" w:color="auto"/>
                <w:bottom w:val="none" w:sz="0" w:space="0" w:color="auto"/>
                <w:right w:val="none" w:sz="0" w:space="0" w:color="auto"/>
              </w:divBdr>
            </w:div>
            <w:div w:id="1605185991">
              <w:marLeft w:val="0"/>
              <w:marRight w:val="0"/>
              <w:marTop w:val="0"/>
              <w:marBottom w:val="240"/>
              <w:divBdr>
                <w:top w:val="none" w:sz="0" w:space="0" w:color="auto"/>
                <w:left w:val="none" w:sz="0" w:space="0" w:color="auto"/>
                <w:bottom w:val="none" w:sz="0" w:space="0" w:color="auto"/>
                <w:right w:val="none" w:sz="0" w:space="0" w:color="auto"/>
              </w:divBdr>
            </w:div>
            <w:div w:id="1606157904">
              <w:marLeft w:val="0"/>
              <w:marRight w:val="0"/>
              <w:marTop w:val="0"/>
              <w:marBottom w:val="240"/>
              <w:divBdr>
                <w:top w:val="none" w:sz="0" w:space="0" w:color="auto"/>
                <w:left w:val="none" w:sz="0" w:space="0" w:color="auto"/>
                <w:bottom w:val="none" w:sz="0" w:space="0" w:color="auto"/>
                <w:right w:val="none" w:sz="0" w:space="0" w:color="auto"/>
              </w:divBdr>
            </w:div>
            <w:div w:id="1627855492">
              <w:marLeft w:val="0"/>
              <w:marRight w:val="0"/>
              <w:marTop w:val="0"/>
              <w:marBottom w:val="240"/>
              <w:divBdr>
                <w:top w:val="none" w:sz="0" w:space="0" w:color="auto"/>
                <w:left w:val="none" w:sz="0" w:space="0" w:color="auto"/>
                <w:bottom w:val="none" w:sz="0" w:space="0" w:color="auto"/>
                <w:right w:val="none" w:sz="0" w:space="0" w:color="auto"/>
              </w:divBdr>
            </w:div>
            <w:div w:id="1637947931">
              <w:marLeft w:val="0"/>
              <w:marRight w:val="0"/>
              <w:marTop w:val="0"/>
              <w:marBottom w:val="240"/>
              <w:divBdr>
                <w:top w:val="none" w:sz="0" w:space="0" w:color="auto"/>
                <w:left w:val="none" w:sz="0" w:space="0" w:color="auto"/>
                <w:bottom w:val="none" w:sz="0" w:space="0" w:color="auto"/>
                <w:right w:val="none" w:sz="0" w:space="0" w:color="auto"/>
              </w:divBdr>
            </w:div>
            <w:div w:id="1672370678">
              <w:marLeft w:val="0"/>
              <w:marRight w:val="0"/>
              <w:marTop w:val="0"/>
              <w:marBottom w:val="240"/>
              <w:divBdr>
                <w:top w:val="none" w:sz="0" w:space="0" w:color="auto"/>
                <w:left w:val="none" w:sz="0" w:space="0" w:color="auto"/>
                <w:bottom w:val="none" w:sz="0" w:space="0" w:color="auto"/>
                <w:right w:val="none" w:sz="0" w:space="0" w:color="auto"/>
              </w:divBdr>
            </w:div>
            <w:div w:id="1674183349">
              <w:marLeft w:val="0"/>
              <w:marRight w:val="0"/>
              <w:marTop w:val="0"/>
              <w:marBottom w:val="240"/>
              <w:divBdr>
                <w:top w:val="none" w:sz="0" w:space="0" w:color="auto"/>
                <w:left w:val="none" w:sz="0" w:space="0" w:color="auto"/>
                <w:bottom w:val="none" w:sz="0" w:space="0" w:color="auto"/>
                <w:right w:val="none" w:sz="0" w:space="0" w:color="auto"/>
              </w:divBdr>
            </w:div>
            <w:div w:id="1679388475">
              <w:marLeft w:val="0"/>
              <w:marRight w:val="0"/>
              <w:marTop w:val="0"/>
              <w:marBottom w:val="240"/>
              <w:divBdr>
                <w:top w:val="none" w:sz="0" w:space="0" w:color="auto"/>
                <w:left w:val="none" w:sz="0" w:space="0" w:color="auto"/>
                <w:bottom w:val="none" w:sz="0" w:space="0" w:color="auto"/>
                <w:right w:val="none" w:sz="0" w:space="0" w:color="auto"/>
              </w:divBdr>
            </w:div>
            <w:div w:id="1711303686">
              <w:marLeft w:val="0"/>
              <w:marRight w:val="0"/>
              <w:marTop w:val="0"/>
              <w:marBottom w:val="240"/>
              <w:divBdr>
                <w:top w:val="none" w:sz="0" w:space="0" w:color="auto"/>
                <w:left w:val="none" w:sz="0" w:space="0" w:color="auto"/>
                <w:bottom w:val="none" w:sz="0" w:space="0" w:color="auto"/>
                <w:right w:val="none" w:sz="0" w:space="0" w:color="auto"/>
              </w:divBdr>
            </w:div>
            <w:div w:id="1718045842">
              <w:marLeft w:val="0"/>
              <w:marRight w:val="0"/>
              <w:marTop w:val="0"/>
              <w:marBottom w:val="240"/>
              <w:divBdr>
                <w:top w:val="none" w:sz="0" w:space="0" w:color="auto"/>
                <w:left w:val="none" w:sz="0" w:space="0" w:color="auto"/>
                <w:bottom w:val="none" w:sz="0" w:space="0" w:color="auto"/>
                <w:right w:val="none" w:sz="0" w:space="0" w:color="auto"/>
              </w:divBdr>
            </w:div>
            <w:div w:id="1750543971">
              <w:marLeft w:val="0"/>
              <w:marRight w:val="0"/>
              <w:marTop w:val="0"/>
              <w:marBottom w:val="240"/>
              <w:divBdr>
                <w:top w:val="none" w:sz="0" w:space="0" w:color="auto"/>
                <w:left w:val="none" w:sz="0" w:space="0" w:color="auto"/>
                <w:bottom w:val="none" w:sz="0" w:space="0" w:color="auto"/>
                <w:right w:val="none" w:sz="0" w:space="0" w:color="auto"/>
              </w:divBdr>
            </w:div>
            <w:div w:id="1768959484">
              <w:marLeft w:val="0"/>
              <w:marRight w:val="0"/>
              <w:marTop w:val="0"/>
              <w:marBottom w:val="240"/>
              <w:divBdr>
                <w:top w:val="none" w:sz="0" w:space="0" w:color="auto"/>
                <w:left w:val="none" w:sz="0" w:space="0" w:color="auto"/>
                <w:bottom w:val="none" w:sz="0" w:space="0" w:color="auto"/>
                <w:right w:val="none" w:sz="0" w:space="0" w:color="auto"/>
              </w:divBdr>
            </w:div>
            <w:div w:id="1780441974">
              <w:marLeft w:val="0"/>
              <w:marRight w:val="0"/>
              <w:marTop w:val="0"/>
              <w:marBottom w:val="240"/>
              <w:divBdr>
                <w:top w:val="none" w:sz="0" w:space="0" w:color="auto"/>
                <w:left w:val="none" w:sz="0" w:space="0" w:color="auto"/>
                <w:bottom w:val="none" w:sz="0" w:space="0" w:color="auto"/>
                <w:right w:val="none" w:sz="0" w:space="0" w:color="auto"/>
              </w:divBdr>
            </w:div>
            <w:div w:id="1781029238">
              <w:marLeft w:val="0"/>
              <w:marRight w:val="0"/>
              <w:marTop w:val="0"/>
              <w:marBottom w:val="240"/>
              <w:divBdr>
                <w:top w:val="none" w:sz="0" w:space="0" w:color="auto"/>
                <w:left w:val="none" w:sz="0" w:space="0" w:color="auto"/>
                <w:bottom w:val="none" w:sz="0" w:space="0" w:color="auto"/>
                <w:right w:val="none" w:sz="0" w:space="0" w:color="auto"/>
              </w:divBdr>
            </w:div>
            <w:div w:id="1841045342">
              <w:marLeft w:val="0"/>
              <w:marRight w:val="0"/>
              <w:marTop w:val="0"/>
              <w:marBottom w:val="240"/>
              <w:divBdr>
                <w:top w:val="none" w:sz="0" w:space="0" w:color="auto"/>
                <w:left w:val="none" w:sz="0" w:space="0" w:color="auto"/>
                <w:bottom w:val="none" w:sz="0" w:space="0" w:color="auto"/>
                <w:right w:val="none" w:sz="0" w:space="0" w:color="auto"/>
              </w:divBdr>
            </w:div>
            <w:div w:id="1852865497">
              <w:marLeft w:val="0"/>
              <w:marRight w:val="0"/>
              <w:marTop w:val="0"/>
              <w:marBottom w:val="240"/>
              <w:divBdr>
                <w:top w:val="none" w:sz="0" w:space="0" w:color="auto"/>
                <w:left w:val="none" w:sz="0" w:space="0" w:color="auto"/>
                <w:bottom w:val="none" w:sz="0" w:space="0" w:color="auto"/>
                <w:right w:val="none" w:sz="0" w:space="0" w:color="auto"/>
              </w:divBdr>
            </w:div>
            <w:div w:id="1861970190">
              <w:marLeft w:val="0"/>
              <w:marRight w:val="0"/>
              <w:marTop w:val="0"/>
              <w:marBottom w:val="240"/>
              <w:divBdr>
                <w:top w:val="none" w:sz="0" w:space="0" w:color="auto"/>
                <w:left w:val="none" w:sz="0" w:space="0" w:color="auto"/>
                <w:bottom w:val="none" w:sz="0" w:space="0" w:color="auto"/>
                <w:right w:val="none" w:sz="0" w:space="0" w:color="auto"/>
              </w:divBdr>
            </w:div>
            <w:div w:id="1862666748">
              <w:marLeft w:val="0"/>
              <w:marRight w:val="0"/>
              <w:marTop w:val="0"/>
              <w:marBottom w:val="240"/>
              <w:divBdr>
                <w:top w:val="none" w:sz="0" w:space="0" w:color="auto"/>
                <w:left w:val="none" w:sz="0" w:space="0" w:color="auto"/>
                <w:bottom w:val="none" w:sz="0" w:space="0" w:color="auto"/>
                <w:right w:val="none" w:sz="0" w:space="0" w:color="auto"/>
              </w:divBdr>
            </w:div>
            <w:div w:id="1889947175">
              <w:marLeft w:val="0"/>
              <w:marRight w:val="0"/>
              <w:marTop w:val="0"/>
              <w:marBottom w:val="240"/>
              <w:divBdr>
                <w:top w:val="none" w:sz="0" w:space="0" w:color="auto"/>
                <w:left w:val="none" w:sz="0" w:space="0" w:color="auto"/>
                <w:bottom w:val="none" w:sz="0" w:space="0" w:color="auto"/>
                <w:right w:val="none" w:sz="0" w:space="0" w:color="auto"/>
              </w:divBdr>
            </w:div>
            <w:div w:id="1890650322">
              <w:marLeft w:val="0"/>
              <w:marRight w:val="0"/>
              <w:marTop w:val="0"/>
              <w:marBottom w:val="240"/>
              <w:divBdr>
                <w:top w:val="none" w:sz="0" w:space="0" w:color="auto"/>
                <w:left w:val="none" w:sz="0" w:space="0" w:color="auto"/>
                <w:bottom w:val="none" w:sz="0" w:space="0" w:color="auto"/>
                <w:right w:val="none" w:sz="0" w:space="0" w:color="auto"/>
              </w:divBdr>
            </w:div>
            <w:div w:id="1892156617">
              <w:marLeft w:val="0"/>
              <w:marRight w:val="0"/>
              <w:marTop w:val="0"/>
              <w:marBottom w:val="240"/>
              <w:divBdr>
                <w:top w:val="none" w:sz="0" w:space="0" w:color="auto"/>
                <w:left w:val="none" w:sz="0" w:space="0" w:color="auto"/>
                <w:bottom w:val="none" w:sz="0" w:space="0" w:color="auto"/>
                <w:right w:val="none" w:sz="0" w:space="0" w:color="auto"/>
              </w:divBdr>
            </w:div>
            <w:div w:id="1898011979">
              <w:marLeft w:val="0"/>
              <w:marRight w:val="0"/>
              <w:marTop w:val="0"/>
              <w:marBottom w:val="240"/>
              <w:divBdr>
                <w:top w:val="none" w:sz="0" w:space="0" w:color="auto"/>
                <w:left w:val="none" w:sz="0" w:space="0" w:color="auto"/>
                <w:bottom w:val="none" w:sz="0" w:space="0" w:color="auto"/>
                <w:right w:val="none" w:sz="0" w:space="0" w:color="auto"/>
              </w:divBdr>
            </w:div>
            <w:div w:id="1945110568">
              <w:marLeft w:val="0"/>
              <w:marRight w:val="0"/>
              <w:marTop w:val="0"/>
              <w:marBottom w:val="240"/>
              <w:divBdr>
                <w:top w:val="none" w:sz="0" w:space="0" w:color="auto"/>
                <w:left w:val="none" w:sz="0" w:space="0" w:color="auto"/>
                <w:bottom w:val="none" w:sz="0" w:space="0" w:color="auto"/>
                <w:right w:val="none" w:sz="0" w:space="0" w:color="auto"/>
              </w:divBdr>
            </w:div>
            <w:div w:id="1958247959">
              <w:marLeft w:val="0"/>
              <w:marRight w:val="0"/>
              <w:marTop w:val="0"/>
              <w:marBottom w:val="240"/>
              <w:divBdr>
                <w:top w:val="none" w:sz="0" w:space="0" w:color="auto"/>
                <w:left w:val="none" w:sz="0" w:space="0" w:color="auto"/>
                <w:bottom w:val="none" w:sz="0" w:space="0" w:color="auto"/>
                <w:right w:val="none" w:sz="0" w:space="0" w:color="auto"/>
              </w:divBdr>
            </w:div>
            <w:div w:id="1969586125">
              <w:marLeft w:val="0"/>
              <w:marRight w:val="0"/>
              <w:marTop w:val="0"/>
              <w:marBottom w:val="240"/>
              <w:divBdr>
                <w:top w:val="none" w:sz="0" w:space="0" w:color="auto"/>
                <w:left w:val="none" w:sz="0" w:space="0" w:color="auto"/>
                <w:bottom w:val="none" w:sz="0" w:space="0" w:color="auto"/>
                <w:right w:val="none" w:sz="0" w:space="0" w:color="auto"/>
              </w:divBdr>
            </w:div>
            <w:div w:id="2001810693">
              <w:marLeft w:val="0"/>
              <w:marRight w:val="0"/>
              <w:marTop w:val="0"/>
              <w:marBottom w:val="240"/>
              <w:divBdr>
                <w:top w:val="none" w:sz="0" w:space="0" w:color="auto"/>
                <w:left w:val="none" w:sz="0" w:space="0" w:color="auto"/>
                <w:bottom w:val="none" w:sz="0" w:space="0" w:color="auto"/>
                <w:right w:val="none" w:sz="0" w:space="0" w:color="auto"/>
              </w:divBdr>
            </w:div>
            <w:div w:id="2059209329">
              <w:marLeft w:val="0"/>
              <w:marRight w:val="0"/>
              <w:marTop w:val="0"/>
              <w:marBottom w:val="240"/>
              <w:divBdr>
                <w:top w:val="none" w:sz="0" w:space="0" w:color="auto"/>
                <w:left w:val="none" w:sz="0" w:space="0" w:color="auto"/>
                <w:bottom w:val="none" w:sz="0" w:space="0" w:color="auto"/>
                <w:right w:val="none" w:sz="0" w:space="0" w:color="auto"/>
              </w:divBdr>
            </w:div>
            <w:div w:id="2059426092">
              <w:marLeft w:val="0"/>
              <w:marRight w:val="0"/>
              <w:marTop w:val="0"/>
              <w:marBottom w:val="240"/>
              <w:divBdr>
                <w:top w:val="none" w:sz="0" w:space="0" w:color="auto"/>
                <w:left w:val="none" w:sz="0" w:space="0" w:color="auto"/>
                <w:bottom w:val="none" w:sz="0" w:space="0" w:color="auto"/>
                <w:right w:val="none" w:sz="0" w:space="0" w:color="auto"/>
              </w:divBdr>
            </w:div>
            <w:div w:id="2090272640">
              <w:marLeft w:val="0"/>
              <w:marRight w:val="0"/>
              <w:marTop w:val="0"/>
              <w:marBottom w:val="240"/>
              <w:divBdr>
                <w:top w:val="none" w:sz="0" w:space="0" w:color="auto"/>
                <w:left w:val="none" w:sz="0" w:space="0" w:color="auto"/>
                <w:bottom w:val="none" w:sz="0" w:space="0" w:color="auto"/>
                <w:right w:val="none" w:sz="0" w:space="0" w:color="auto"/>
              </w:divBdr>
            </w:div>
            <w:div w:id="2091804967">
              <w:marLeft w:val="0"/>
              <w:marRight w:val="0"/>
              <w:marTop w:val="0"/>
              <w:marBottom w:val="240"/>
              <w:divBdr>
                <w:top w:val="none" w:sz="0" w:space="0" w:color="auto"/>
                <w:left w:val="none" w:sz="0" w:space="0" w:color="auto"/>
                <w:bottom w:val="none" w:sz="0" w:space="0" w:color="auto"/>
                <w:right w:val="none" w:sz="0" w:space="0" w:color="auto"/>
              </w:divBdr>
            </w:div>
            <w:div w:id="2137720071">
              <w:marLeft w:val="0"/>
              <w:marRight w:val="0"/>
              <w:marTop w:val="0"/>
              <w:marBottom w:val="240"/>
              <w:divBdr>
                <w:top w:val="none" w:sz="0" w:space="0" w:color="auto"/>
                <w:left w:val="none" w:sz="0" w:space="0" w:color="auto"/>
                <w:bottom w:val="none" w:sz="0" w:space="0" w:color="auto"/>
                <w:right w:val="none" w:sz="0" w:space="0" w:color="auto"/>
              </w:divBdr>
            </w:div>
            <w:div w:id="21447326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40974774">
      <w:bodyDiv w:val="1"/>
      <w:marLeft w:val="0"/>
      <w:marRight w:val="0"/>
      <w:marTop w:val="0"/>
      <w:marBottom w:val="0"/>
      <w:divBdr>
        <w:top w:val="none" w:sz="0" w:space="0" w:color="auto"/>
        <w:left w:val="none" w:sz="0" w:space="0" w:color="auto"/>
        <w:bottom w:val="none" w:sz="0" w:space="0" w:color="auto"/>
        <w:right w:val="none" w:sz="0" w:space="0" w:color="auto"/>
      </w:divBdr>
    </w:div>
    <w:div w:id="855774697">
      <w:bodyDiv w:val="1"/>
      <w:marLeft w:val="0"/>
      <w:marRight w:val="0"/>
      <w:marTop w:val="0"/>
      <w:marBottom w:val="0"/>
      <w:divBdr>
        <w:top w:val="none" w:sz="0" w:space="0" w:color="auto"/>
        <w:left w:val="none" w:sz="0" w:space="0" w:color="auto"/>
        <w:bottom w:val="none" w:sz="0" w:space="0" w:color="auto"/>
        <w:right w:val="none" w:sz="0" w:space="0" w:color="auto"/>
      </w:divBdr>
    </w:div>
    <w:div w:id="891036522">
      <w:bodyDiv w:val="1"/>
      <w:marLeft w:val="0"/>
      <w:marRight w:val="0"/>
      <w:marTop w:val="0"/>
      <w:marBottom w:val="0"/>
      <w:divBdr>
        <w:top w:val="none" w:sz="0" w:space="0" w:color="auto"/>
        <w:left w:val="none" w:sz="0" w:space="0" w:color="auto"/>
        <w:bottom w:val="none" w:sz="0" w:space="0" w:color="auto"/>
        <w:right w:val="none" w:sz="0" w:space="0" w:color="auto"/>
      </w:divBdr>
    </w:div>
    <w:div w:id="1001663465">
      <w:bodyDiv w:val="1"/>
      <w:marLeft w:val="0"/>
      <w:marRight w:val="0"/>
      <w:marTop w:val="0"/>
      <w:marBottom w:val="0"/>
      <w:divBdr>
        <w:top w:val="none" w:sz="0" w:space="0" w:color="auto"/>
        <w:left w:val="none" w:sz="0" w:space="0" w:color="auto"/>
        <w:bottom w:val="none" w:sz="0" w:space="0" w:color="auto"/>
        <w:right w:val="none" w:sz="0" w:space="0" w:color="auto"/>
      </w:divBdr>
    </w:div>
    <w:div w:id="1077940346">
      <w:bodyDiv w:val="1"/>
      <w:marLeft w:val="0"/>
      <w:marRight w:val="0"/>
      <w:marTop w:val="0"/>
      <w:marBottom w:val="0"/>
      <w:divBdr>
        <w:top w:val="none" w:sz="0" w:space="0" w:color="auto"/>
        <w:left w:val="none" w:sz="0" w:space="0" w:color="auto"/>
        <w:bottom w:val="none" w:sz="0" w:space="0" w:color="auto"/>
        <w:right w:val="none" w:sz="0" w:space="0" w:color="auto"/>
      </w:divBdr>
    </w:div>
    <w:div w:id="1120878163">
      <w:bodyDiv w:val="1"/>
      <w:marLeft w:val="0"/>
      <w:marRight w:val="0"/>
      <w:marTop w:val="0"/>
      <w:marBottom w:val="0"/>
      <w:divBdr>
        <w:top w:val="none" w:sz="0" w:space="0" w:color="auto"/>
        <w:left w:val="none" w:sz="0" w:space="0" w:color="auto"/>
        <w:bottom w:val="none" w:sz="0" w:space="0" w:color="auto"/>
        <w:right w:val="none" w:sz="0" w:space="0" w:color="auto"/>
      </w:divBdr>
    </w:div>
    <w:div w:id="1140876418">
      <w:bodyDiv w:val="1"/>
      <w:marLeft w:val="0"/>
      <w:marRight w:val="0"/>
      <w:marTop w:val="0"/>
      <w:marBottom w:val="0"/>
      <w:divBdr>
        <w:top w:val="none" w:sz="0" w:space="0" w:color="auto"/>
        <w:left w:val="none" w:sz="0" w:space="0" w:color="auto"/>
        <w:bottom w:val="none" w:sz="0" w:space="0" w:color="auto"/>
        <w:right w:val="none" w:sz="0" w:space="0" w:color="auto"/>
      </w:divBdr>
      <w:divsChild>
        <w:div w:id="1721325539">
          <w:marLeft w:val="480"/>
          <w:marRight w:val="0"/>
          <w:marTop w:val="0"/>
          <w:marBottom w:val="0"/>
          <w:divBdr>
            <w:top w:val="none" w:sz="0" w:space="0" w:color="auto"/>
            <w:left w:val="none" w:sz="0" w:space="0" w:color="auto"/>
            <w:bottom w:val="none" w:sz="0" w:space="0" w:color="auto"/>
            <w:right w:val="none" w:sz="0" w:space="0" w:color="auto"/>
          </w:divBdr>
          <w:divsChild>
            <w:div w:id="6957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08953">
      <w:bodyDiv w:val="1"/>
      <w:marLeft w:val="0"/>
      <w:marRight w:val="0"/>
      <w:marTop w:val="0"/>
      <w:marBottom w:val="0"/>
      <w:divBdr>
        <w:top w:val="none" w:sz="0" w:space="0" w:color="auto"/>
        <w:left w:val="none" w:sz="0" w:space="0" w:color="auto"/>
        <w:bottom w:val="none" w:sz="0" w:space="0" w:color="auto"/>
        <w:right w:val="none" w:sz="0" w:space="0" w:color="auto"/>
      </w:divBdr>
    </w:div>
    <w:div w:id="1179387876">
      <w:bodyDiv w:val="1"/>
      <w:marLeft w:val="0"/>
      <w:marRight w:val="0"/>
      <w:marTop w:val="0"/>
      <w:marBottom w:val="0"/>
      <w:divBdr>
        <w:top w:val="none" w:sz="0" w:space="0" w:color="auto"/>
        <w:left w:val="none" w:sz="0" w:space="0" w:color="auto"/>
        <w:bottom w:val="none" w:sz="0" w:space="0" w:color="auto"/>
        <w:right w:val="none" w:sz="0" w:space="0" w:color="auto"/>
      </w:divBdr>
    </w:div>
    <w:div w:id="1205754163">
      <w:bodyDiv w:val="1"/>
      <w:marLeft w:val="0"/>
      <w:marRight w:val="0"/>
      <w:marTop w:val="0"/>
      <w:marBottom w:val="0"/>
      <w:divBdr>
        <w:top w:val="none" w:sz="0" w:space="0" w:color="auto"/>
        <w:left w:val="none" w:sz="0" w:space="0" w:color="auto"/>
        <w:bottom w:val="none" w:sz="0" w:space="0" w:color="auto"/>
        <w:right w:val="none" w:sz="0" w:space="0" w:color="auto"/>
      </w:divBdr>
    </w:div>
    <w:div w:id="1256866411">
      <w:bodyDiv w:val="1"/>
      <w:marLeft w:val="0"/>
      <w:marRight w:val="0"/>
      <w:marTop w:val="0"/>
      <w:marBottom w:val="0"/>
      <w:divBdr>
        <w:top w:val="none" w:sz="0" w:space="0" w:color="auto"/>
        <w:left w:val="none" w:sz="0" w:space="0" w:color="auto"/>
        <w:bottom w:val="none" w:sz="0" w:space="0" w:color="auto"/>
        <w:right w:val="none" w:sz="0" w:space="0" w:color="auto"/>
      </w:divBdr>
    </w:div>
    <w:div w:id="1327856352">
      <w:bodyDiv w:val="1"/>
      <w:marLeft w:val="0"/>
      <w:marRight w:val="0"/>
      <w:marTop w:val="0"/>
      <w:marBottom w:val="0"/>
      <w:divBdr>
        <w:top w:val="none" w:sz="0" w:space="0" w:color="auto"/>
        <w:left w:val="none" w:sz="0" w:space="0" w:color="auto"/>
        <w:bottom w:val="none" w:sz="0" w:space="0" w:color="auto"/>
        <w:right w:val="none" w:sz="0" w:space="0" w:color="auto"/>
      </w:divBdr>
      <w:divsChild>
        <w:div w:id="371660653">
          <w:marLeft w:val="0"/>
          <w:marRight w:val="0"/>
          <w:marTop w:val="0"/>
          <w:marBottom w:val="0"/>
          <w:divBdr>
            <w:top w:val="none" w:sz="0" w:space="0" w:color="auto"/>
            <w:left w:val="none" w:sz="0" w:space="0" w:color="auto"/>
            <w:bottom w:val="none" w:sz="0" w:space="0" w:color="auto"/>
            <w:right w:val="none" w:sz="0" w:space="0" w:color="auto"/>
          </w:divBdr>
        </w:div>
      </w:divsChild>
    </w:div>
    <w:div w:id="1428959587">
      <w:bodyDiv w:val="1"/>
      <w:marLeft w:val="0"/>
      <w:marRight w:val="0"/>
      <w:marTop w:val="0"/>
      <w:marBottom w:val="0"/>
      <w:divBdr>
        <w:top w:val="none" w:sz="0" w:space="0" w:color="auto"/>
        <w:left w:val="none" w:sz="0" w:space="0" w:color="auto"/>
        <w:bottom w:val="none" w:sz="0" w:space="0" w:color="auto"/>
        <w:right w:val="none" w:sz="0" w:space="0" w:color="auto"/>
      </w:divBdr>
    </w:div>
    <w:div w:id="1653095040">
      <w:bodyDiv w:val="1"/>
      <w:marLeft w:val="0"/>
      <w:marRight w:val="0"/>
      <w:marTop w:val="0"/>
      <w:marBottom w:val="0"/>
      <w:divBdr>
        <w:top w:val="none" w:sz="0" w:space="0" w:color="auto"/>
        <w:left w:val="none" w:sz="0" w:space="0" w:color="auto"/>
        <w:bottom w:val="none" w:sz="0" w:space="0" w:color="auto"/>
        <w:right w:val="none" w:sz="0" w:space="0" w:color="auto"/>
      </w:divBdr>
    </w:div>
    <w:div w:id="1689600525">
      <w:bodyDiv w:val="1"/>
      <w:marLeft w:val="0"/>
      <w:marRight w:val="0"/>
      <w:marTop w:val="0"/>
      <w:marBottom w:val="0"/>
      <w:divBdr>
        <w:top w:val="none" w:sz="0" w:space="0" w:color="auto"/>
        <w:left w:val="none" w:sz="0" w:space="0" w:color="auto"/>
        <w:bottom w:val="none" w:sz="0" w:space="0" w:color="auto"/>
        <w:right w:val="none" w:sz="0" w:space="0" w:color="auto"/>
      </w:divBdr>
    </w:div>
    <w:div w:id="1691881791">
      <w:bodyDiv w:val="1"/>
      <w:marLeft w:val="0"/>
      <w:marRight w:val="0"/>
      <w:marTop w:val="0"/>
      <w:marBottom w:val="0"/>
      <w:divBdr>
        <w:top w:val="none" w:sz="0" w:space="0" w:color="auto"/>
        <w:left w:val="none" w:sz="0" w:space="0" w:color="auto"/>
        <w:bottom w:val="none" w:sz="0" w:space="0" w:color="auto"/>
        <w:right w:val="none" w:sz="0" w:space="0" w:color="auto"/>
      </w:divBdr>
      <w:divsChild>
        <w:div w:id="272707450">
          <w:marLeft w:val="0"/>
          <w:marRight w:val="0"/>
          <w:marTop w:val="0"/>
          <w:marBottom w:val="0"/>
          <w:divBdr>
            <w:top w:val="none" w:sz="0" w:space="0" w:color="auto"/>
            <w:left w:val="none" w:sz="0" w:space="0" w:color="auto"/>
            <w:bottom w:val="none" w:sz="0" w:space="0" w:color="auto"/>
            <w:right w:val="none" w:sz="0" w:space="0" w:color="auto"/>
          </w:divBdr>
        </w:div>
      </w:divsChild>
    </w:div>
    <w:div w:id="1749036756">
      <w:bodyDiv w:val="1"/>
      <w:marLeft w:val="0"/>
      <w:marRight w:val="0"/>
      <w:marTop w:val="0"/>
      <w:marBottom w:val="0"/>
      <w:divBdr>
        <w:top w:val="none" w:sz="0" w:space="0" w:color="auto"/>
        <w:left w:val="none" w:sz="0" w:space="0" w:color="auto"/>
        <w:bottom w:val="none" w:sz="0" w:space="0" w:color="auto"/>
        <w:right w:val="none" w:sz="0" w:space="0" w:color="auto"/>
      </w:divBdr>
    </w:div>
    <w:div w:id="1758553076">
      <w:bodyDiv w:val="1"/>
      <w:marLeft w:val="0"/>
      <w:marRight w:val="0"/>
      <w:marTop w:val="0"/>
      <w:marBottom w:val="0"/>
      <w:divBdr>
        <w:top w:val="none" w:sz="0" w:space="0" w:color="auto"/>
        <w:left w:val="none" w:sz="0" w:space="0" w:color="auto"/>
        <w:bottom w:val="none" w:sz="0" w:space="0" w:color="auto"/>
        <w:right w:val="none" w:sz="0" w:space="0" w:color="auto"/>
      </w:divBdr>
      <w:divsChild>
        <w:div w:id="1973711225">
          <w:marLeft w:val="480"/>
          <w:marRight w:val="0"/>
          <w:marTop w:val="0"/>
          <w:marBottom w:val="0"/>
          <w:divBdr>
            <w:top w:val="none" w:sz="0" w:space="0" w:color="auto"/>
            <w:left w:val="none" w:sz="0" w:space="0" w:color="auto"/>
            <w:bottom w:val="none" w:sz="0" w:space="0" w:color="auto"/>
            <w:right w:val="none" w:sz="0" w:space="0" w:color="auto"/>
          </w:divBdr>
          <w:divsChild>
            <w:div w:id="29426432">
              <w:marLeft w:val="0"/>
              <w:marRight w:val="0"/>
              <w:marTop w:val="0"/>
              <w:marBottom w:val="240"/>
              <w:divBdr>
                <w:top w:val="none" w:sz="0" w:space="0" w:color="auto"/>
                <w:left w:val="none" w:sz="0" w:space="0" w:color="auto"/>
                <w:bottom w:val="none" w:sz="0" w:space="0" w:color="auto"/>
                <w:right w:val="none" w:sz="0" w:space="0" w:color="auto"/>
              </w:divBdr>
            </w:div>
            <w:div w:id="51083959">
              <w:marLeft w:val="0"/>
              <w:marRight w:val="0"/>
              <w:marTop w:val="0"/>
              <w:marBottom w:val="240"/>
              <w:divBdr>
                <w:top w:val="none" w:sz="0" w:space="0" w:color="auto"/>
                <w:left w:val="none" w:sz="0" w:space="0" w:color="auto"/>
                <w:bottom w:val="none" w:sz="0" w:space="0" w:color="auto"/>
                <w:right w:val="none" w:sz="0" w:space="0" w:color="auto"/>
              </w:divBdr>
            </w:div>
            <w:div w:id="56513000">
              <w:marLeft w:val="0"/>
              <w:marRight w:val="0"/>
              <w:marTop w:val="0"/>
              <w:marBottom w:val="240"/>
              <w:divBdr>
                <w:top w:val="none" w:sz="0" w:space="0" w:color="auto"/>
                <w:left w:val="none" w:sz="0" w:space="0" w:color="auto"/>
                <w:bottom w:val="none" w:sz="0" w:space="0" w:color="auto"/>
                <w:right w:val="none" w:sz="0" w:space="0" w:color="auto"/>
              </w:divBdr>
            </w:div>
            <w:div w:id="68618327">
              <w:marLeft w:val="0"/>
              <w:marRight w:val="0"/>
              <w:marTop w:val="0"/>
              <w:marBottom w:val="240"/>
              <w:divBdr>
                <w:top w:val="none" w:sz="0" w:space="0" w:color="auto"/>
                <w:left w:val="none" w:sz="0" w:space="0" w:color="auto"/>
                <w:bottom w:val="none" w:sz="0" w:space="0" w:color="auto"/>
                <w:right w:val="none" w:sz="0" w:space="0" w:color="auto"/>
              </w:divBdr>
            </w:div>
            <w:div w:id="100227613">
              <w:marLeft w:val="0"/>
              <w:marRight w:val="0"/>
              <w:marTop w:val="0"/>
              <w:marBottom w:val="240"/>
              <w:divBdr>
                <w:top w:val="none" w:sz="0" w:space="0" w:color="auto"/>
                <w:left w:val="none" w:sz="0" w:space="0" w:color="auto"/>
                <w:bottom w:val="none" w:sz="0" w:space="0" w:color="auto"/>
                <w:right w:val="none" w:sz="0" w:space="0" w:color="auto"/>
              </w:divBdr>
            </w:div>
            <w:div w:id="102459797">
              <w:marLeft w:val="0"/>
              <w:marRight w:val="0"/>
              <w:marTop w:val="0"/>
              <w:marBottom w:val="240"/>
              <w:divBdr>
                <w:top w:val="none" w:sz="0" w:space="0" w:color="auto"/>
                <w:left w:val="none" w:sz="0" w:space="0" w:color="auto"/>
                <w:bottom w:val="none" w:sz="0" w:space="0" w:color="auto"/>
                <w:right w:val="none" w:sz="0" w:space="0" w:color="auto"/>
              </w:divBdr>
            </w:div>
            <w:div w:id="107627588">
              <w:marLeft w:val="0"/>
              <w:marRight w:val="0"/>
              <w:marTop w:val="0"/>
              <w:marBottom w:val="240"/>
              <w:divBdr>
                <w:top w:val="none" w:sz="0" w:space="0" w:color="auto"/>
                <w:left w:val="none" w:sz="0" w:space="0" w:color="auto"/>
                <w:bottom w:val="none" w:sz="0" w:space="0" w:color="auto"/>
                <w:right w:val="none" w:sz="0" w:space="0" w:color="auto"/>
              </w:divBdr>
            </w:div>
            <w:div w:id="127821105">
              <w:marLeft w:val="0"/>
              <w:marRight w:val="0"/>
              <w:marTop w:val="0"/>
              <w:marBottom w:val="240"/>
              <w:divBdr>
                <w:top w:val="none" w:sz="0" w:space="0" w:color="auto"/>
                <w:left w:val="none" w:sz="0" w:space="0" w:color="auto"/>
                <w:bottom w:val="none" w:sz="0" w:space="0" w:color="auto"/>
                <w:right w:val="none" w:sz="0" w:space="0" w:color="auto"/>
              </w:divBdr>
            </w:div>
            <w:div w:id="135921776">
              <w:marLeft w:val="0"/>
              <w:marRight w:val="0"/>
              <w:marTop w:val="0"/>
              <w:marBottom w:val="240"/>
              <w:divBdr>
                <w:top w:val="none" w:sz="0" w:space="0" w:color="auto"/>
                <w:left w:val="none" w:sz="0" w:space="0" w:color="auto"/>
                <w:bottom w:val="none" w:sz="0" w:space="0" w:color="auto"/>
                <w:right w:val="none" w:sz="0" w:space="0" w:color="auto"/>
              </w:divBdr>
            </w:div>
            <w:div w:id="162281108">
              <w:marLeft w:val="0"/>
              <w:marRight w:val="0"/>
              <w:marTop w:val="0"/>
              <w:marBottom w:val="240"/>
              <w:divBdr>
                <w:top w:val="none" w:sz="0" w:space="0" w:color="auto"/>
                <w:left w:val="none" w:sz="0" w:space="0" w:color="auto"/>
                <w:bottom w:val="none" w:sz="0" w:space="0" w:color="auto"/>
                <w:right w:val="none" w:sz="0" w:space="0" w:color="auto"/>
              </w:divBdr>
            </w:div>
            <w:div w:id="174736136">
              <w:marLeft w:val="0"/>
              <w:marRight w:val="0"/>
              <w:marTop w:val="0"/>
              <w:marBottom w:val="240"/>
              <w:divBdr>
                <w:top w:val="none" w:sz="0" w:space="0" w:color="auto"/>
                <w:left w:val="none" w:sz="0" w:space="0" w:color="auto"/>
                <w:bottom w:val="none" w:sz="0" w:space="0" w:color="auto"/>
                <w:right w:val="none" w:sz="0" w:space="0" w:color="auto"/>
              </w:divBdr>
            </w:div>
            <w:div w:id="191041690">
              <w:marLeft w:val="0"/>
              <w:marRight w:val="0"/>
              <w:marTop w:val="0"/>
              <w:marBottom w:val="240"/>
              <w:divBdr>
                <w:top w:val="none" w:sz="0" w:space="0" w:color="auto"/>
                <w:left w:val="none" w:sz="0" w:space="0" w:color="auto"/>
                <w:bottom w:val="none" w:sz="0" w:space="0" w:color="auto"/>
                <w:right w:val="none" w:sz="0" w:space="0" w:color="auto"/>
              </w:divBdr>
            </w:div>
            <w:div w:id="207768171">
              <w:marLeft w:val="0"/>
              <w:marRight w:val="0"/>
              <w:marTop w:val="0"/>
              <w:marBottom w:val="240"/>
              <w:divBdr>
                <w:top w:val="none" w:sz="0" w:space="0" w:color="auto"/>
                <w:left w:val="none" w:sz="0" w:space="0" w:color="auto"/>
                <w:bottom w:val="none" w:sz="0" w:space="0" w:color="auto"/>
                <w:right w:val="none" w:sz="0" w:space="0" w:color="auto"/>
              </w:divBdr>
            </w:div>
            <w:div w:id="209541276">
              <w:marLeft w:val="0"/>
              <w:marRight w:val="0"/>
              <w:marTop w:val="0"/>
              <w:marBottom w:val="240"/>
              <w:divBdr>
                <w:top w:val="none" w:sz="0" w:space="0" w:color="auto"/>
                <w:left w:val="none" w:sz="0" w:space="0" w:color="auto"/>
                <w:bottom w:val="none" w:sz="0" w:space="0" w:color="auto"/>
                <w:right w:val="none" w:sz="0" w:space="0" w:color="auto"/>
              </w:divBdr>
            </w:div>
            <w:div w:id="227114234">
              <w:marLeft w:val="0"/>
              <w:marRight w:val="0"/>
              <w:marTop w:val="0"/>
              <w:marBottom w:val="240"/>
              <w:divBdr>
                <w:top w:val="none" w:sz="0" w:space="0" w:color="auto"/>
                <w:left w:val="none" w:sz="0" w:space="0" w:color="auto"/>
                <w:bottom w:val="none" w:sz="0" w:space="0" w:color="auto"/>
                <w:right w:val="none" w:sz="0" w:space="0" w:color="auto"/>
              </w:divBdr>
            </w:div>
            <w:div w:id="227618926">
              <w:marLeft w:val="0"/>
              <w:marRight w:val="0"/>
              <w:marTop w:val="0"/>
              <w:marBottom w:val="240"/>
              <w:divBdr>
                <w:top w:val="none" w:sz="0" w:space="0" w:color="auto"/>
                <w:left w:val="none" w:sz="0" w:space="0" w:color="auto"/>
                <w:bottom w:val="none" w:sz="0" w:space="0" w:color="auto"/>
                <w:right w:val="none" w:sz="0" w:space="0" w:color="auto"/>
              </w:divBdr>
            </w:div>
            <w:div w:id="233517120">
              <w:marLeft w:val="0"/>
              <w:marRight w:val="0"/>
              <w:marTop w:val="0"/>
              <w:marBottom w:val="240"/>
              <w:divBdr>
                <w:top w:val="none" w:sz="0" w:space="0" w:color="auto"/>
                <w:left w:val="none" w:sz="0" w:space="0" w:color="auto"/>
                <w:bottom w:val="none" w:sz="0" w:space="0" w:color="auto"/>
                <w:right w:val="none" w:sz="0" w:space="0" w:color="auto"/>
              </w:divBdr>
            </w:div>
            <w:div w:id="251622850">
              <w:marLeft w:val="0"/>
              <w:marRight w:val="0"/>
              <w:marTop w:val="0"/>
              <w:marBottom w:val="240"/>
              <w:divBdr>
                <w:top w:val="none" w:sz="0" w:space="0" w:color="auto"/>
                <w:left w:val="none" w:sz="0" w:space="0" w:color="auto"/>
                <w:bottom w:val="none" w:sz="0" w:space="0" w:color="auto"/>
                <w:right w:val="none" w:sz="0" w:space="0" w:color="auto"/>
              </w:divBdr>
            </w:div>
            <w:div w:id="273247239">
              <w:marLeft w:val="0"/>
              <w:marRight w:val="0"/>
              <w:marTop w:val="0"/>
              <w:marBottom w:val="240"/>
              <w:divBdr>
                <w:top w:val="none" w:sz="0" w:space="0" w:color="auto"/>
                <w:left w:val="none" w:sz="0" w:space="0" w:color="auto"/>
                <w:bottom w:val="none" w:sz="0" w:space="0" w:color="auto"/>
                <w:right w:val="none" w:sz="0" w:space="0" w:color="auto"/>
              </w:divBdr>
            </w:div>
            <w:div w:id="281033542">
              <w:marLeft w:val="0"/>
              <w:marRight w:val="0"/>
              <w:marTop w:val="0"/>
              <w:marBottom w:val="240"/>
              <w:divBdr>
                <w:top w:val="none" w:sz="0" w:space="0" w:color="auto"/>
                <w:left w:val="none" w:sz="0" w:space="0" w:color="auto"/>
                <w:bottom w:val="none" w:sz="0" w:space="0" w:color="auto"/>
                <w:right w:val="none" w:sz="0" w:space="0" w:color="auto"/>
              </w:divBdr>
            </w:div>
            <w:div w:id="295181158">
              <w:marLeft w:val="0"/>
              <w:marRight w:val="0"/>
              <w:marTop w:val="0"/>
              <w:marBottom w:val="240"/>
              <w:divBdr>
                <w:top w:val="none" w:sz="0" w:space="0" w:color="auto"/>
                <w:left w:val="none" w:sz="0" w:space="0" w:color="auto"/>
                <w:bottom w:val="none" w:sz="0" w:space="0" w:color="auto"/>
                <w:right w:val="none" w:sz="0" w:space="0" w:color="auto"/>
              </w:divBdr>
            </w:div>
            <w:div w:id="301886946">
              <w:marLeft w:val="0"/>
              <w:marRight w:val="0"/>
              <w:marTop w:val="0"/>
              <w:marBottom w:val="240"/>
              <w:divBdr>
                <w:top w:val="none" w:sz="0" w:space="0" w:color="auto"/>
                <w:left w:val="none" w:sz="0" w:space="0" w:color="auto"/>
                <w:bottom w:val="none" w:sz="0" w:space="0" w:color="auto"/>
                <w:right w:val="none" w:sz="0" w:space="0" w:color="auto"/>
              </w:divBdr>
            </w:div>
            <w:div w:id="305280645">
              <w:marLeft w:val="0"/>
              <w:marRight w:val="0"/>
              <w:marTop w:val="0"/>
              <w:marBottom w:val="240"/>
              <w:divBdr>
                <w:top w:val="none" w:sz="0" w:space="0" w:color="auto"/>
                <w:left w:val="none" w:sz="0" w:space="0" w:color="auto"/>
                <w:bottom w:val="none" w:sz="0" w:space="0" w:color="auto"/>
                <w:right w:val="none" w:sz="0" w:space="0" w:color="auto"/>
              </w:divBdr>
            </w:div>
            <w:div w:id="313990088">
              <w:marLeft w:val="0"/>
              <w:marRight w:val="0"/>
              <w:marTop w:val="0"/>
              <w:marBottom w:val="240"/>
              <w:divBdr>
                <w:top w:val="none" w:sz="0" w:space="0" w:color="auto"/>
                <w:left w:val="none" w:sz="0" w:space="0" w:color="auto"/>
                <w:bottom w:val="none" w:sz="0" w:space="0" w:color="auto"/>
                <w:right w:val="none" w:sz="0" w:space="0" w:color="auto"/>
              </w:divBdr>
            </w:div>
            <w:div w:id="316806852">
              <w:marLeft w:val="0"/>
              <w:marRight w:val="0"/>
              <w:marTop w:val="0"/>
              <w:marBottom w:val="240"/>
              <w:divBdr>
                <w:top w:val="none" w:sz="0" w:space="0" w:color="auto"/>
                <w:left w:val="none" w:sz="0" w:space="0" w:color="auto"/>
                <w:bottom w:val="none" w:sz="0" w:space="0" w:color="auto"/>
                <w:right w:val="none" w:sz="0" w:space="0" w:color="auto"/>
              </w:divBdr>
            </w:div>
            <w:div w:id="338968476">
              <w:marLeft w:val="0"/>
              <w:marRight w:val="0"/>
              <w:marTop w:val="0"/>
              <w:marBottom w:val="240"/>
              <w:divBdr>
                <w:top w:val="none" w:sz="0" w:space="0" w:color="auto"/>
                <w:left w:val="none" w:sz="0" w:space="0" w:color="auto"/>
                <w:bottom w:val="none" w:sz="0" w:space="0" w:color="auto"/>
                <w:right w:val="none" w:sz="0" w:space="0" w:color="auto"/>
              </w:divBdr>
            </w:div>
            <w:div w:id="363361313">
              <w:marLeft w:val="0"/>
              <w:marRight w:val="0"/>
              <w:marTop w:val="0"/>
              <w:marBottom w:val="240"/>
              <w:divBdr>
                <w:top w:val="none" w:sz="0" w:space="0" w:color="auto"/>
                <w:left w:val="none" w:sz="0" w:space="0" w:color="auto"/>
                <w:bottom w:val="none" w:sz="0" w:space="0" w:color="auto"/>
                <w:right w:val="none" w:sz="0" w:space="0" w:color="auto"/>
              </w:divBdr>
            </w:div>
            <w:div w:id="379325926">
              <w:marLeft w:val="0"/>
              <w:marRight w:val="0"/>
              <w:marTop w:val="0"/>
              <w:marBottom w:val="240"/>
              <w:divBdr>
                <w:top w:val="none" w:sz="0" w:space="0" w:color="auto"/>
                <w:left w:val="none" w:sz="0" w:space="0" w:color="auto"/>
                <w:bottom w:val="none" w:sz="0" w:space="0" w:color="auto"/>
                <w:right w:val="none" w:sz="0" w:space="0" w:color="auto"/>
              </w:divBdr>
            </w:div>
            <w:div w:id="404686844">
              <w:marLeft w:val="0"/>
              <w:marRight w:val="0"/>
              <w:marTop w:val="0"/>
              <w:marBottom w:val="240"/>
              <w:divBdr>
                <w:top w:val="none" w:sz="0" w:space="0" w:color="auto"/>
                <w:left w:val="none" w:sz="0" w:space="0" w:color="auto"/>
                <w:bottom w:val="none" w:sz="0" w:space="0" w:color="auto"/>
                <w:right w:val="none" w:sz="0" w:space="0" w:color="auto"/>
              </w:divBdr>
            </w:div>
            <w:div w:id="405491851">
              <w:marLeft w:val="0"/>
              <w:marRight w:val="0"/>
              <w:marTop w:val="0"/>
              <w:marBottom w:val="240"/>
              <w:divBdr>
                <w:top w:val="none" w:sz="0" w:space="0" w:color="auto"/>
                <w:left w:val="none" w:sz="0" w:space="0" w:color="auto"/>
                <w:bottom w:val="none" w:sz="0" w:space="0" w:color="auto"/>
                <w:right w:val="none" w:sz="0" w:space="0" w:color="auto"/>
              </w:divBdr>
            </w:div>
            <w:div w:id="424350672">
              <w:marLeft w:val="0"/>
              <w:marRight w:val="0"/>
              <w:marTop w:val="0"/>
              <w:marBottom w:val="240"/>
              <w:divBdr>
                <w:top w:val="none" w:sz="0" w:space="0" w:color="auto"/>
                <w:left w:val="none" w:sz="0" w:space="0" w:color="auto"/>
                <w:bottom w:val="none" w:sz="0" w:space="0" w:color="auto"/>
                <w:right w:val="none" w:sz="0" w:space="0" w:color="auto"/>
              </w:divBdr>
            </w:div>
            <w:div w:id="427890258">
              <w:marLeft w:val="0"/>
              <w:marRight w:val="0"/>
              <w:marTop w:val="0"/>
              <w:marBottom w:val="240"/>
              <w:divBdr>
                <w:top w:val="none" w:sz="0" w:space="0" w:color="auto"/>
                <w:left w:val="none" w:sz="0" w:space="0" w:color="auto"/>
                <w:bottom w:val="none" w:sz="0" w:space="0" w:color="auto"/>
                <w:right w:val="none" w:sz="0" w:space="0" w:color="auto"/>
              </w:divBdr>
            </w:div>
            <w:div w:id="448822624">
              <w:marLeft w:val="0"/>
              <w:marRight w:val="0"/>
              <w:marTop w:val="0"/>
              <w:marBottom w:val="240"/>
              <w:divBdr>
                <w:top w:val="none" w:sz="0" w:space="0" w:color="auto"/>
                <w:left w:val="none" w:sz="0" w:space="0" w:color="auto"/>
                <w:bottom w:val="none" w:sz="0" w:space="0" w:color="auto"/>
                <w:right w:val="none" w:sz="0" w:space="0" w:color="auto"/>
              </w:divBdr>
            </w:div>
            <w:div w:id="478302489">
              <w:marLeft w:val="0"/>
              <w:marRight w:val="0"/>
              <w:marTop w:val="0"/>
              <w:marBottom w:val="240"/>
              <w:divBdr>
                <w:top w:val="none" w:sz="0" w:space="0" w:color="auto"/>
                <w:left w:val="none" w:sz="0" w:space="0" w:color="auto"/>
                <w:bottom w:val="none" w:sz="0" w:space="0" w:color="auto"/>
                <w:right w:val="none" w:sz="0" w:space="0" w:color="auto"/>
              </w:divBdr>
            </w:div>
            <w:div w:id="513496677">
              <w:marLeft w:val="0"/>
              <w:marRight w:val="0"/>
              <w:marTop w:val="0"/>
              <w:marBottom w:val="240"/>
              <w:divBdr>
                <w:top w:val="none" w:sz="0" w:space="0" w:color="auto"/>
                <w:left w:val="none" w:sz="0" w:space="0" w:color="auto"/>
                <w:bottom w:val="none" w:sz="0" w:space="0" w:color="auto"/>
                <w:right w:val="none" w:sz="0" w:space="0" w:color="auto"/>
              </w:divBdr>
            </w:div>
            <w:div w:id="514080270">
              <w:marLeft w:val="0"/>
              <w:marRight w:val="0"/>
              <w:marTop w:val="0"/>
              <w:marBottom w:val="240"/>
              <w:divBdr>
                <w:top w:val="none" w:sz="0" w:space="0" w:color="auto"/>
                <w:left w:val="none" w:sz="0" w:space="0" w:color="auto"/>
                <w:bottom w:val="none" w:sz="0" w:space="0" w:color="auto"/>
                <w:right w:val="none" w:sz="0" w:space="0" w:color="auto"/>
              </w:divBdr>
            </w:div>
            <w:div w:id="560865486">
              <w:marLeft w:val="0"/>
              <w:marRight w:val="0"/>
              <w:marTop w:val="0"/>
              <w:marBottom w:val="240"/>
              <w:divBdr>
                <w:top w:val="none" w:sz="0" w:space="0" w:color="auto"/>
                <w:left w:val="none" w:sz="0" w:space="0" w:color="auto"/>
                <w:bottom w:val="none" w:sz="0" w:space="0" w:color="auto"/>
                <w:right w:val="none" w:sz="0" w:space="0" w:color="auto"/>
              </w:divBdr>
            </w:div>
            <w:div w:id="561599032">
              <w:marLeft w:val="0"/>
              <w:marRight w:val="0"/>
              <w:marTop w:val="0"/>
              <w:marBottom w:val="240"/>
              <w:divBdr>
                <w:top w:val="none" w:sz="0" w:space="0" w:color="auto"/>
                <w:left w:val="none" w:sz="0" w:space="0" w:color="auto"/>
                <w:bottom w:val="none" w:sz="0" w:space="0" w:color="auto"/>
                <w:right w:val="none" w:sz="0" w:space="0" w:color="auto"/>
              </w:divBdr>
            </w:div>
            <w:div w:id="579411387">
              <w:marLeft w:val="0"/>
              <w:marRight w:val="0"/>
              <w:marTop w:val="0"/>
              <w:marBottom w:val="240"/>
              <w:divBdr>
                <w:top w:val="none" w:sz="0" w:space="0" w:color="auto"/>
                <w:left w:val="none" w:sz="0" w:space="0" w:color="auto"/>
                <w:bottom w:val="none" w:sz="0" w:space="0" w:color="auto"/>
                <w:right w:val="none" w:sz="0" w:space="0" w:color="auto"/>
              </w:divBdr>
            </w:div>
            <w:div w:id="631401793">
              <w:marLeft w:val="0"/>
              <w:marRight w:val="0"/>
              <w:marTop w:val="0"/>
              <w:marBottom w:val="240"/>
              <w:divBdr>
                <w:top w:val="none" w:sz="0" w:space="0" w:color="auto"/>
                <w:left w:val="none" w:sz="0" w:space="0" w:color="auto"/>
                <w:bottom w:val="none" w:sz="0" w:space="0" w:color="auto"/>
                <w:right w:val="none" w:sz="0" w:space="0" w:color="auto"/>
              </w:divBdr>
            </w:div>
            <w:div w:id="654530162">
              <w:marLeft w:val="0"/>
              <w:marRight w:val="0"/>
              <w:marTop w:val="0"/>
              <w:marBottom w:val="240"/>
              <w:divBdr>
                <w:top w:val="none" w:sz="0" w:space="0" w:color="auto"/>
                <w:left w:val="none" w:sz="0" w:space="0" w:color="auto"/>
                <w:bottom w:val="none" w:sz="0" w:space="0" w:color="auto"/>
                <w:right w:val="none" w:sz="0" w:space="0" w:color="auto"/>
              </w:divBdr>
            </w:div>
            <w:div w:id="668993342">
              <w:marLeft w:val="0"/>
              <w:marRight w:val="0"/>
              <w:marTop w:val="0"/>
              <w:marBottom w:val="240"/>
              <w:divBdr>
                <w:top w:val="none" w:sz="0" w:space="0" w:color="auto"/>
                <w:left w:val="none" w:sz="0" w:space="0" w:color="auto"/>
                <w:bottom w:val="none" w:sz="0" w:space="0" w:color="auto"/>
                <w:right w:val="none" w:sz="0" w:space="0" w:color="auto"/>
              </w:divBdr>
            </w:div>
            <w:div w:id="669139452">
              <w:marLeft w:val="0"/>
              <w:marRight w:val="0"/>
              <w:marTop w:val="0"/>
              <w:marBottom w:val="240"/>
              <w:divBdr>
                <w:top w:val="none" w:sz="0" w:space="0" w:color="auto"/>
                <w:left w:val="none" w:sz="0" w:space="0" w:color="auto"/>
                <w:bottom w:val="none" w:sz="0" w:space="0" w:color="auto"/>
                <w:right w:val="none" w:sz="0" w:space="0" w:color="auto"/>
              </w:divBdr>
            </w:div>
            <w:div w:id="672729236">
              <w:marLeft w:val="0"/>
              <w:marRight w:val="0"/>
              <w:marTop w:val="0"/>
              <w:marBottom w:val="240"/>
              <w:divBdr>
                <w:top w:val="none" w:sz="0" w:space="0" w:color="auto"/>
                <w:left w:val="none" w:sz="0" w:space="0" w:color="auto"/>
                <w:bottom w:val="none" w:sz="0" w:space="0" w:color="auto"/>
                <w:right w:val="none" w:sz="0" w:space="0" w:color="auto"/>
              </w:divBdr>
            </w:div>
            <w:div w:id="688870248">
              <w:marLeft w:val="0"/>
              <w:marRight w:val="0"/>
              <w:marTop w:val="0"/>
              <w:marBottom w:val="240"/>
              <w:divBdr>
                <w:top w:val="none" w:sz="0" w:space="0" w:color="auto"/>
                <w:left w:val="none" w:sz="0" w:space="0" w:color="auto"/>
                <w:bottom w:val="none" w:sz="0" w:space="0" w:color="auto"/>
                <w:right w:val="none" w:sz="0" w:space="0" w:color="auto"/>
              </w:divBdr>
            </w:div>
            <w:div w:id="704406416">
              <w:marLeft w:val="0"/>
              <w:marRight w:val="0"/>
              <w:marTop w:val="0"/>
              <w:marBottom w:val="240"/>
              <w:divBdr>
                <w:top w:val="none" w:sz="0" w:space="0" w:color="auto"/>
                <w:left w:val="none" w:sz="0" w:space="0" w:color="auto"/>
                <w:bottom w:val="none" w:sz="0" w:space="0" w:color="auto"/>
                <w:right w:val="none" w:sz="0" w:space="0" w:color="auto"/>
              </w:divBdr>
            </w:div>
            <w:div w:id="705371243">
              <w:marLeft w:val="0"/>
              <w:marRight w:val="0"/>
              <w:marTop w:val="0"/>
              <w:marBottom w:val="240"/>
              <w:divBdr>
                <w:top w:val="none" w:sz="0" w:space="0" w:color="auto"/>
                <w:left w:val="none" w:sz="0" w:space="0" w:color="auto"/>
                <w:bottom w:val="none" w:sz="0" w:space="0" w:color="auto"/>
                <w:right w:val="none" w:sz="0" w:space="0" w:color="auto"/>
              </w:divBdr>
            </w:div>
            <w:div w:id="708258065">
              <w:marLeft w:val="0"/>
              <w:marRight w:val="0"/>
              <w:marTop w:val="0"/>
              <w:marBottom w:val="240"/>
              <w:divBdr>
                <w:top w:val="none" w:sz="0" w:space="0" w:color="auto"/>
                <w:left w:val="none" w:sz="0" w:space="0" w:color="auto"/>
                <w:bottom w:val="none" w:sz="0" w:space="0" w:color="auto"/>
                <w:right w:val="none" w:sz="0" w:space="0" w:color="auto"/>
              </w:divBdr>
            </w:div>
            <w:div w:id="741411084">
              <w:marLeft w:val="0"/>
              <w:marRight w:val="0"/>
              <w:marTop w:val="0"/>
              <w:marBottom w:val="240"/>
              <w:divBdr>
                <w:top w:val="none" w:sz="0" w:space="0" w:color="auto"/>
                <w:left w:val="none" w:sz="0" w:space="0" w:color="auto"/>
                <w:bottom w:val="none" w:sz="0" w:space="0" w:color="auto"/>
                <w:right w:val="none" w:sz="0" w:space="0" w:color="auto"/>
              </w:divBdr>
            </w:div>
            <w:div w:id="746806596">
              <w:marLeft w:val="0"/>
              <w:marRight w:val="0"/>
              <w:marTop w:val="0"/>
              <w:marBottom w:val="240"/>
              <w:divBdr>
                <w:top w:val="none" w:sz="0" w:space="0" w:color="auto"/>
                <w:left w:val="none" w:sz="0" w:space="0" w:color="auto"/>
                <w:bottom w:val="none" w:sz="0" w:space="0" w:color="auto"/>
                <w:right w:val="none" w:sz="0" w:space="0" w:color="auto"/>
              </w:divBdr>
            </w:div>
            <w:div w:id="749350107">
              <w:marLeft w:val="0"/>
              <w:marRight w:val="0"/>
              <w:marTop w:val="0"/>
              <w:marBottom w:val="240"/>
              <w:divBdr>
                <w:top w:val="none" w:sz="0" w:space="0" w:color="auto"/>
                <w:left w:val="none" w:sz="0" w:space="0" w:color="auto"/>
                <w:bottom w:val="none" w:sz="0" w:space="0" w:color="auto"/>
                <w:right w:val="none" w:sz="0" w:space="0" w:color="auto"/>
              </w:divBdr>
            </w:div>
            <w:div w:id="771779724">
              <w:marLeft w:val="0"/>
              <w:marRight w:val="0"/>
              <w:marTop w:val="0"/>
              <w:marBottom w:val="240"/>
              <w:divBdr>
                <w:top w:val="none" w:sz="0" w:space="0" w:color="auto"/>
                <w:left w:val="none" w:sz="0" w:space="0" w:color="auto"/>
                <w:bottom w:val="none" w:sz="0" w:space="0" w:color="auto"/>
                <w:right w:val="none" w:sz="0" w:space="0" w:color="auto"/>
              </w:divBdr>
            </w:div>
            <w:div w:id="811755280">
              <w:marLeft w:val="0"/>
              <w:marRight w:val="0"/>
              <w:marTop w:val="0"/>
              <w:marBottom w:val="240"/>
              <w:divBdr>
                <w:top w:val="none" w:sz="0" w:space="0" w:color="auto"/>
                <w:left w:val="none" w:sz="0" w:space="0" w:color="auto"/>
                <w:bottom w:val="none" w:sz="0" w:space="0" w:color="auto"/>
                <w:right w:val="none" w:sz="0" w:space="0" w:color="auto"/>
              </w:divBdr>
            </w:div>
            <w:div w:id="816728738">
              <w:marLeft w:val="0"/>
              <w:marRight w:val="0"/>
              <w:marTop w:val="0"/>
              <w:marBottom w:val="240"/>
              <w:divBdr>
                <w:top w:val="none" w:sz="0" w:space="0" w:color="auto"/>
                <w:left w:val="none" w:sz="0" w:space="0" w:color="auto"/>
                <w:bottom w:val="none" w:sz="0" w:space="0" w:color="auto"/>
                <w:right w:val="none" w:sz="0" w:space="0" w:color="auto"/>
              </w:divBdr>
            </w:div>
            <w:div w:id="817042103">
              <w:marLeft w:val="0"/>
              <w:marRight w:val="0"/>
              <w:marTop w:val="0"/>
              <w:marBottom w:val="240"/>
              <w:divBdr>
                <w:top w:val="none" w:sz="0" w:space="0" w:color="auto"/>
                <w:left w:val="none" w:sz="0" w:space="0" w:color="auto"/>
                <w:bottom w:val="none" w:sz="0" w:space="0" w:color="auto"/>
                <w:right w:val="none" w:sz="0" w:space="0" w:color="auto"/>
              </w:divBdr>
            </w:div>
            <w:div w:id="841431686">
              <w:marLeft w:val="0"/>
              <w:marRight w:val="0"/>
              <w:marTop w:val="0"/>
              <w:marBottom w:val="240"/>
              <w:divBdr>
                <w:top w:val="none" w:sz="0" w:space="0" w:color="auto"/>
                <w:left w:val="none" w:sz="0" w:space="0" w:color="auto"/>
                <w:bottom w:val="none" w:sz="0" w:space="0" w:color="auto"/>
                <w:right w:val="none" w:sz="0" w:space="0" w:color="auto"/>
              </w:divBdr>
            </w:div>
            <w:div w:id="854853411">
              <w:marLeft w:val="0"/>
              <w:marRight w:val="0"/>
              <w:marTop w:val="0"/>
              <w:marBottom w:val="240"/>
              <w:divBdr>
                <w:top w:val="none" w:sz="0" w:space="0" w:color="auto"/>
                <w:left w:val="none" w:sz="0" w:space="0" w:color="auto"/>
                <w:bottom w:val="none" w:sz="0" w:space="0" w:color="auto"/>
                <w:right w:val="none" w:sz="0" w:space="0" w:color="auto"/>
              </w:divBdr>
            </w:div>
            <w:div w:id="879784918">
              <w:marLeft w:val="0"/>
              <w:marRight w:val="0"/>
              <w:marTop w:val="0"/>
              <w:marBottom w:val="240"/>
              <w:divBdr>
                <w:top w:val="none" w:sz="0" w:space="0" w:color="auto"/>
                <w:left w:val="none" w:sz="0" w:space="0" w:color="auto"/>
                <w:bottom w:val="none" w:sz="0" w:space="0" w:color="auto"/>
                <w:right w:val="none" w:sz="0" w:space="0" w:color="auto"/>
              </w:divBdr>
            </w:div>
            <w:div w:id="900991118">
              <w:marLeft w:val="0"/>
              <w:marRight w:val="0"/>
              <w:marTop w:val="0"/>
              <w:marBottom w:val="240"/>
              <w:divBdr>
                <w:top w:val="none" w:sz="0" w:space="0" w:color="auto"/>
                <w:left w:val="none" w:sz="0" w:space="0" w:color="auto"/>
                <w:bottom w:val="none" w:sz="0" w:space="0" w:color="auto"/>
                <w:right w:val="none" w:sz="0" w:space="0" w:color="auto"/>
              </w:divBdr>
            </w:div>
            <w:div w:id="906111855">
              <w:marLeft w:val="0"/>
              <w:marRight w:val="0"/>
              <w:marTop w:val="0"/>
              <w:marBottom w:val="240"/>
              <w:divBdr>
                <w:top w:val="none" w:sz="0" w:space="0" w:color="auto"/>
                <w:left w:val="none" w:sz="0" w:space="0" w:color="auto"/>
                <w:bottom w:val="none" w:sz="0" w:space="0" w:color="auto"/>
                <w:right w:val="none" w:sz="0" w:space="0" w:color="auto"/>
              </w:divBdr>
            </w:div>
            <w:div w:id="925306317">
              <w:marLeft w:val="0"/>
              <w:marRight w:val="0"/>
              <w:marTop w:val="0"/>
              <w:marBottom w:val="240"/>
              <w:divBdr>
                <w:top w:val="none" w:sz="0" w:space="0" w:color="auto"/>
                <w:left w:val="none" w:sz="0" w:space="0" w:color="auto"/>
                <w:bottom w:val="none" w:sz="0" w:space="0" w:color="auto"/>
                <w:right w:val="none" w:sz="0" w:space="0" w:color="auto"/>
              </w:divBdr>
            </w:div>
            <w:div w:id="959802721">
              <w:marLeft w:val="0"/>
              <w:marRight w:val="0"/>
              <w:marTop w:val="0"/>
              <w:marBottom w:val="240"/>
              <w:divBdr>
                <w:top w:val="none" w:sz="0" w:space="0" w:color="auto"/>
                <w:left w:val="none" w:sz="0" w:space="0" w:color="auto"/>
                <w:bottom w:val="none" w:sz="0" w:space="0" w:color="auto"/>
                <w:right w:val="none" w:sz="0" w:space="0" w:color="auto"/>
              </w:divBdr>
            </w:div>
            <w:div w:id="961880273">
              <w:marLeft w:val="0"/>
              <w:marRight w:val="0"/>
              <w:marTop w:val="0"/>
              <w:marBottom w:val="240"/>
              <w:divBdr>
                <w:top w:val="none" w:sz="0" w:space="0" w:color="auto"/>
                <w:left w:val="none" w:sz="0" w:space="0" w:color="auto"/>
                <w:bottom w:val="none" w:sz="0" w:space="0" w:color="auto"/>
                <w:right w:val="none" w:sz="0" w:space="0" w:color="auto"/>
              </w:divBdr>
            </w:div>
            <w:div w:id="975912098">
              <w:marLeft w:val="0"/>
              <w:marRight w:val="0"/>
              <w:marTop w:val="0"/>
              <w:marBottom w:val="240"/>
              <w:divBdr>
                <w:top w:val="none" w:sz="0" w:space="0" w:color="auto"/>
                <w:left w:val="none" w:sz="0" w:space="0" w:color="auto"/>
                <w:bottom w:val="none" w:sz="0" w:space="0" w:color="auto"/>
                <w:right w:val="none" w:sz="0" w:space="0" w:color="auto"/>
              </w:divBdr>
            </w:div>
            <w:div w:id="979771349">
              <w:marLeft w:val="0"/>
              <w:marRight w:val="0"/>
              <w:marTop w:val="0"/>
              <w:marBottom w:val="240"/>
              <w:divBdr>
                <w:top w:val="none" w:sz="0" w:space="0" w:color="auto"/>
                <w:left w:val="none" w:sz="0" w:space="0" w:color="auto"/>
                <w:bottom w:val="none" w:sz="0" w:space="0" w:color="auto"/>
                <w:right w:val="none" w:sz="0" w:space="0" w:color="auto"/>
              </w:divBdr>
            </w:div>
            <w:div w:id="1006320595">
              <w:marLeft w:val="0"/>
              <w:marRight w:val="0"/>
              <w:marTop w:val="0"/>
              <w:marBottom w:val="240"/>
              <w:divBdr>
                <w:top w:val="none" w:sz="0" w:space="0" w:color="auto"/>
                <w:left w:val="none" w:sz="0" w:space="0" w:color="auto"/>
                <w:bottom w:val="none" w:sz="0" w:space="0" w:color="auto"/>
                <w:right w:val="none" w:sz="0" w:space="0" w:color="auto"/>
              </w:divBdr>
            </w:div>
            <w:div w:id="1020660798">
              <w:marLeft w:val="0"/>
              <w:marRight w:val="0"/>
              <w:marTop w:val="0"/>
              <w:marBottom w:val="240"/>
              <w:divBdr>
                <w:top w:val="none" w:sz="0" w:space="0" w:color="auto"/>
                <w:left w:val="none" w:sz="0" w:space="0" w:color="auto"/>
                <w:bottom w:val="none" w:sz="0" w:space="0" w:color="auto"/>
                <w:right w:val="none" w:sz="0" w:space="0" w:color="auto"/>
              </w:divBdr>
            </w:div>
            <w:div w:id="1024743336">
              <w:marLeft w:val="0"/>
              <w:marRight w:val="0"/>
              <w:marTop w:val="0"/>
              <w:marBottom w:val="240"/>
              <w:divBdr>
                <w:top w:val="none" w:sz="0" w:space="0" w:color="auto"/>
                <w:left w:val="none" w:sz="0" w:space="0" w:color="auto"/>
                <w:bottom w:val="none" w:sz="0" w:space="0" w:color="auto"/>
                <w:right w:val="none" w:sz="0" w:space="0" w:color="auto"/>
              </w:divBdr>
            </w:div>
            <w:div w:id="1041631744">
              <w:marLeft w:val="0"/>
              <w:marRight w:val="0"/>
              <w:marTop w:val="0"/>
              <w:marBottom w:val="240"/>
              <w:divBdr>
                <w:top w:val="none" w:sz="0" w:space="0" w:color="auto"/>
                <w:left w:val="none" w:sz="0" w:space="0" w:color="auto"/>
                <w:bottom w:val="none" w:sz="0" w:space="0" w:color="auto"/>
                <w:right w:val="none" w:sz="0" w:space="0" w:color="auto"/>
              </w:divBdr>
            </w:div>
            <w:div w:id="1051265406">
              <w:marLeft w:val="0"/>
              <w:marRight w:val="0"/>
              <w:marTop w:val="0"/>
              <w:marBottom w:val="240"/>
              <w:divBdr>
                <w:top w:val="none" w:sz="0" w:space="0" w:color="auto"/>
                <w:left w:val="none" w:sz="0" w:space="0" w:color="auto"/>
                <w:bottom w:val="none" w:sz="0" w:space="0" w:color="auto"/>
                <w:right w:val="none" w:sz="0" w:space="0" w:color="auto"/>
              </w:divBdr>
            </w:div>
            <w:div w:id="1055353292">
              <w:marLeft w:val="0"/>
              <w:marRight w:val="0"/>
              <w:marTop w:val="0"/>
              <w:marBottom w:val="240"/>
              <w:divBdr>
                <w:top w:val="none" w:sz="0" w:space="0" w:color="auto"/>
                <w:left w:val="none" w:sz="0" w:space="0" w:color="auto"/>
                <w:bottom w:val="none" w:sz="0" w:space="0" w:color="auto"/>
                <w:right w:val="none" w:sz="0" w:space="0" w:color="auto"/>
              </w:divBdr>
            </w:div>
            <w:div w:id="1065222455">
              <w:marLeft w:val="0"/>
              <w:marRight w:val="0"/>
              <w:marTop w:val="0"/>
              <w:marBottom w:val="240"/>
              <w:divBdr>
                <w:top w:val="none" w:sz="0" w:space="0" w:color="auto"/>
                <w:left w:val="none" w:sz="0" w:space="0" w:color="auto"/>
                <w:bottom w:val="none" w:sz="0" w:space="0" w:color="auto"/>
                <w:right w:val="none" w:sz="0" w:space="0" w:color="auto"/>
              </w:divBdr>
            </w:div>
            <w:div w:id="1075518914">
              <w:marLeft w:val="0"/>
              <w:marRight w:val="0"/>
              <w:marTop w:val="0"/>
              <w:marBottom w:val="240"/>
              <w:divBdr>
                <w:top w:val="none" w:sz="0" w:space="0" w:color="auto"/>
                <w:left w:val="none" w:sz="0" w:space="0" w:color="auto"/>
                <w:bottom w:val="none" w:sz="0" w:space="0" w:color="auto"/>
                <w:right w:val="none" w:sz="0" w:space="0" w:color="auto"/>
              </w:divBdr>
            </w:div>
            <w:div w:id="1081676759">
              <w:marLeft w:val="0"/>
              <w:marRight w:val="0"/>
              <w:marTop w:val="0"/>
              <w:marBottom w:val="240"/>
              <w:divBdr>
                <w:top w:val="none" w:sz="0" w:space="0" w:color="auto"/>
                <w:left w:val="none" w:sz="0" w:space="0" w:color="auto"/>
                <w:bottom w:val="none" w:sz="0" w:space="0" w:color="auto"/>
                <w:right w:val="none" w:sz="0" w:space="0" w:color="auto"/>
              </w:divBdr>
            </w:div>
            <w:div w:id="1112819419">
              <w:marLeft w:val="0"/>
              <w:marRight w:val="0"/>
              <w:marTop w:val="0"/>
              <w:marBottom w:val="240"/>
              <w:divBdr>
                <w:top w:val="none" w:sz="0" w:space="0" w:color="auto"/>
                <w:left w:val="none" w:sz="0" w:space="0" w:color="auto"/>
                <w:bottom w:val="none" w:sz="0" w:space="0" w:color="auto"/>
                <w:right w:val="none" w:sz="0" w:space="0" w:color="auto"/>
              </w:divBdr>
            </w:div>
            <w:div w:id="1123963764">
              <w:marLeft w:val="0"/>
              <w:marRight w:val="0"/>
              <w:marTop w:val="0"/>
              <w:marBottom w:val="240"/>
              <w:divBdr>
                <w:top w:val="none" w:sz="0" w:space="0" w:color="auto"/>
                <w:left w:val="none" w:sz="0" w:space="0" w:color="auto"/>
                <w:bottom w:val="none" w:sz="0" w:space="0" w:color="auto"/>
                <w:right w:val="none" w:sz="0" w:space="0" w:color="auto"/>
              </w:divBdr>
            </w:div>
            <w:div w:id="1135098038">
              <w:marLeft w:val="0"/>
              <w:marRight w:val="0"/>
              <w:marTop w:val="0"/>
              <w:marBottom w:val="240"/>
              <w:divBdr>
                <w:top w:val="none" w:sz="0" w:space="0" w:color="auto"/>
                <w:left w:val="none" w:sz="0" w:space="0" w:color="auto"/>
                <w:bottom w:val="none" w:sz="0" w:space="0" w:color="auto"/>
                <w:right w:val="none" w:sz="0" w:space="0" w:color="auto"/>
              </w:divBdr>
            </w:div>
            <w:div w:id="1142120910">
              <w:marLeft w:val="0"/>
              <w:marRight w:val="0"/>
              <w:marTop w:val="0"/>
              <w:marBottom w:val="240"/>
              <w:divBdr>
                <w:top w:val="none" w:sz="0" w:space="0" w:color="auto"/>
                <w:left w:val="none" w:sz="0" w:space="0" w:color="auto"/>
                <w:bottom w:val="none" w:sz="0" w:space="0" w:color="auto"/>
                <w:right w:val="none" w:sz="0" w:space="0" w:color="auto"/>
              </w:divBdr>
            </w:div>
            <w:div w:id="1145004752">
              <w:marLeft w:val="0"/>
              <w:marRight w:val="0"/>
              <w:marTop w:val="0"/>
              <w:marBottom w:val="240"/>
              <w:divBdr>
                <w:top w:val="none" w:sz="0" w:space="0" w:color="auto"/>
                <w:left w:val="none" w:sz="0" w:space="0" w:color="auto"/>
                <w:bottom w:val="none" w:sz="0" w:space="0" w:color="auto"/>
                <w:right w:val="none" w:sz="0" w:space="0" w:color="auto"/>
              </w:divBdr>
            </w:div>
            <w:div w:id="1190487976">
              <w:marLeft w:val="0"/>
              <w:marRight w:val="0"/>
              <w:marTop w:val="0"/>
              <w:marBottom w:val="240"/>
              <w:divBdr>
                <w:top w:val="none" w:sz="0" w:space="0" w:color="auto"/>
                <w:left w:val="none" w:sz="0" w:space="0" w:color="auto"/>
                <w:bottom w:val="none" w:sz="0" w:space="0" w:color="auto"/>
                <w:right w:val="none" w:sz="0" w:space="0" w:color="auto"/>
              </w:divBdr>
            </w:div>
            <w:div w:id="1195801573">
              <w:marLeft w:val="0"/>
              <w:marRight w:val="0"/>
              <w:marTop w:val="0"/>
              <w:marBottom w:val="240"/>
              <w:divBdr>
                <w:top w:val="none" w:sz="0" w:space="0" w:color="auto"/>
                <w:left w:val="none" w:sz="0" w:space="0" w:color="auto"/>
                <w:bottom w:val="none" w:sz="0" w:space="0" w:color="auto"/>
                <w:right w:val="none" w:sz="0" w:space="0" w:color="auto"/>
              </w:divBdr>
            </w:div>
            <w:div w:id="1214927054">
              <w:marLeft w:val="0"/>
              <w:marRight w:val="0"/>
              <w:marTop w:val="0"/>
              <w:marBottom w:val="240"/>
              <w:divBdr>
                <w:top w:val="none" w:sz="0" w:space="0" w:color="auto"/>
                <w:left w:val="none" w:sz="0" w:space="0" w:color="auto"/>
                <w:bottom w:val="none" w:sz="0" w:space="0" w:color="auto"/>
                <w:right w:val="none" w:sz="0" w:space="0" w:color="auto"/>
              </w:divBdr>
            </w:div>
            <w:div w:id="1232303722">
              <w:marLeft w:val="0"/>
              <w:marRight w:val="0"/>
              <w:marTop w:val="0"/>
              <w:marBottom w:val="240"/>
              <w:divBdr>
                <w:top w:val="none" w:sz="0" w:space="0" w:color="auto"/>
                <w:left w:val="none" w:sz="0" w:space="0" w:color="auto"/>
                <w:bottom w:val="none" w:sz="0" w:space="0" w:color="auto"/>
                <w:right w:val="none" w:sz="0" w:space="0" w:color="auto"/>
              </w:divBdr>
            </w:div>
            <w:div w:id="1280339517">
              <w:marLeft w:val="0"/>
              <w:marRight w:val="0"/>
              <w:marTop w:val="0"/>
              <w:marBottom w:val="240"/>
              <w:divBdr>
                <w:top w:val="none" w:sz="0" w:space="0" w:color="auto"/>
                <w:left w:val="none" w:sz="0" w:space="0" w:color="auto"/>
                <w:bottom w:val="none" w:sz="0" w:space="0" w:color="auto"/>
                <w:right w:val="none" w:sz="0" w:space="0" w:color="auto"/>
              </w:divBdr>
            </w:div>
            <w:div w:id="1286159224">
              <w:marLeft w:val="0"/>
              <w:marRight w:val="0"/>
              <w:marTop w:val="0"/>
              <w:marBottom w:val="0"/>
              <w:divBdr>
                <w:top w:val="none" w:sz="0" w:space="0" w:color="auto"/>
                <w:left w:val="none" w:sz="0" w:space="0" w:color="auto"/>
                <w:bottom w:val="none" w:sz="0" w:space="0" w:color="auto"/>
                <w:right w:val="none" w:sz="0" w:space="0" w:color="auto"/>
              </w:divBdr>
            </w:div>
            <w:div w:id="1292521061">
              <w:marLeft w:val="0"/>
              <w:marRight w:val="0"/>
              <w:marTop w:val="0"/>
              <w:marBottom w:val="240"/>
              <w:divBdr>
                <w:top w:val="none" w:sz="0" w:space="0" w:color="auto"/>
                <w:left w:val="none" w:sz="0" w:space="0" w:color="auto"/>
                <w:bottom w:val="none" w:sz="0" w:space="0" w:color="auto"/>
                <w:right w:val="none" w:sz="0" w:space="0" w:color="auto"/>
              </w:divBdr>
            </w:div>
            <w:div w:id="1323899015">
              <w:marLeft w:val="0"/>
              <w:marRight w:val="0"/>
              <w:marTop w:val="0"/>
              <w:marBottom w:val="240"/>
              <w:divBdr>
                <w:top w:val="none" w:sz="0" w:space="0" w:color="auto"/>
                <w:left w:val="none" w:sz="0" w:space="0" w:color="auto"/>
                <w:bottom w:val="none" w:sz="0" w:space="0" w:color="auto"/>
                <w:right w:val="none" w:sz="0" w:space="0" w:color="auto"/>
              </w:divBdr>
            </w:div>
            <w:div w:id="1346588569">
              <w:marLeft w:val="0"/>
              <w:marRight w:val="0"/>
              <w:marTop w:val="0"/>
              <w:marBottom w:val="240"/>
              <w:divBdr>
                <w:top w:val="none" w:sz="0" w:space="0" w:color="auto"/>
                <w:left w:val="none" w:sz="0" w:space="0" w:color="auto"/>
                <w:bottom w:val="none" w:sz="0" w:space="0" w:color="auto"/>
                <w:right w:val="none" w:sz="0" w:space="0" w:color="auto"/>
              </w:divBdr>
            </w:div>
            <w:div w:id="1376781408">
              <w:marLeft w:val="0"/>
              <w:marRight w:val="0"/>
              <w:marTop w:val="0"/>
              <w:marBottom w:val="240"/>
              <w:divBdr>
                <w:top w:val="none" w:sz="0" w:space="0" w:color="auto"/>
                <w:left w:val="none" w:sz="0" w:space="0" w:color="auto"/>
                <w:bottom w:val="none" w:sz="0" w:space="0" w:color="auto"/>
                <w:right w:val="none" w:sz="0" w:space="0" w:color="auto"/>
              </w:divBdr>
            </w:div>
            <w:div w:id="1377701143">
              <w:marLeft w:val="0"/>
              <w:marRight w:val="0"/>
              <w:marTop w:val="0"/>
              <w:marBottom w:val="240"/>
              <w:divBdr>
                <w:top w:val="none" w:sz="0" w:space="0" w:color="auto"/>
                <w:left w:val="none" w:sz="0" w:space="0" w:color="auto"/>
                <w:bottom w:val="none" w:sz="0" w:space="0" w:color="auto"/>
                <w:right w:val="none" w:sz="0" w:space="0" w:color="auto"/>
              </w:divBdr>
            </w:div>
            <w:div w:id="1380940102">
              <w:marLeft w:val="0"/>
              <w:marRight w:val="0"/>
              <w:marTop w:val="0"/>
              <w:marBottom w:val="240"/>
              <w:divBdr>
                <w:top w:val="none" w:sz="0" w:space="0" w:color="auto"/>
                <w:left w:val="none" w:sz="0" w:space="0" w:color="auto"/>
                <w:bottom w:val="none" w:sz="0" w:space="0" w:color="auto"/>
                <w:right w:val="none" w:sz="0" w:space="0" w:color="auto"/>
              </w:divBdr>
            </w:div>
            <w:div w:id="1388526626">
              <w:marLeft w:val="0"/>
              <w:marRight w:val="0"/>
              <w:marTop w:val="0"/>
              <w:marBottom w:val="240"/>
              <w:divBdr>
                <w:top w:val="none" w:sz="0" w:space="0" w:color="auto"/>
                <w:left w:val="none" w:sz="0" w:space="0" w:color="auto"/>
                <w:bottom w:val="none" w:sz="0" w:space="0" w:color="auto"/>
                <w:right w:val="none" w:sz="0" w:space="0" w:color="auto"/>
              </w:divBdr>
            </w:div>
            <w:div w:id="1422143878">
              <w:marLeft w:val="0"/>
              <w:marRight w:val="0"/>
              <w:marTop w:val="0"/>
              <w:marBottom w:val="240"/>
              <w:divBdr>
                <w:top w:val="none" w:sz="0" w:space="0" w:color="auto"/>
                <w:left w:val="none" w:sz="0" w:space="0" w:color="auto"/>
                <w:bottom w:val="none" w:sz="0" w:space="0" w:color="auto"/>
                <w:right w:val="none" w:sz="0" w:space="0" w:color="auto"/>
              </w:divBdr>
            </w:div>
            <w:div w:id="1440759099">
              <w:marLeft w:val="0"/>
              <w:marRight w:val="0"/>
              <w:marTop w:val="0"/>
              <w:marBottom w:val="240"/>
              <w:divBdr>
                <w:top w:val="none" w:sz="0" w:space="0" w:color="auto"/>
                <w:left w:val="none" w:sz="0" w:space="0" w:color="auto"/>
                <w:bottom w:val="none" w:sz="0" w:space="0" w:color="auto"/>
                <w:right w:val="none" w:sz="0" w:space="0" w:color="auto"/>
              </w:divBdr>
            </w:div>
            <w:div w:id="1441027660">
              <w:marLeft w:val="0"/>
              <w:marRight w:val="0"/>
              <w:marTop w:val="0"/>
              <w:marBottom w:val="240"/>
              <w:divBdr>
                <w:top w:val="none" w:sz="0" w:space="0" w:color="auto"/>
                <w:left w:val="none" w:sz="0" w:space="0" w:color="auto"/>
                <w:bottom w:val="none" w:sz="0" w:space="0" w:color="auto"/>
                <w:right w:val="none" w:sz="0" w:space="0" w:color="auto"/>
              </w:divBdr>
            </w:div>
            <w:div w:id="1443259065">
              <w:marLeft w:val="0"/>
              <w:marRight w:val="0"/>
              <w:marTop w:val="0"/>
              <w:marBottom w:val="240"/>
              <w:divBdr>
                <w:top w:val="none" w:sz="0" w:space="0" w:color="auto"/>
                <w:left w:val="none" w:sz="0" w:space="0" w:color="auto"/>
                <w:bottom w:val="none" w:sz="0" w:space="0" w:color="auto"/>
                <w:right w:val="none" w:sz="0" w:space="0" w:color="auto"/>
              </w:divBdr>
            </w:div>
            <w:div w:id="1470635940">
              <w:marLeft w:val="0"/>
              <w:marRight w:val="0"/>
              <w:marTop w:val="0"/>
              <w:marBottom w:val="240"/>
              <w:divBdr>
                <w:top w:val="none" w:sz="0" w:space="0" w:color="auto"/>
                <w:left w:val="none" w:sz="0" w:space="0" w:color="auto"/>
                <w:bottom w:val="none" w:sz="0" w:space="0" w:color="auto"/>
                <w:right w:val="none" w:sz="0" w:space="0" w:color="auto"/>
              </w:divBdr>
            </w:div>
            <w:div w:id="1472475117">
              <w:marLeft w:val="0"/>
              <w:marRight w:val="0"/>
              <w:marTop w:val="0"/>
              <w:marBottom w:val="240"/>
              <w:divBdr>
                <w:top w:val="none" w:sz="0" w:space="0" w:color="auto"/>
                <w:left w:val="none" w:sz="0" w:space="0" w:color="auto"/>
                <w:bottom w:val="none" w:sz="0" w:space="0" w:color="auto"/>
                <w:right w:val="none" w:sz="0" w:space="0" w:color="auto"/>
              </w:divBdr>
            </w:div>
            <w:div w:id="1473402985">
              <w:marLeft w:val="0"/>
              <w:marRight w:val="0"/>
              <w:marTop w:val="0"/>
              <w:marBottom w:val="240"/>
              <w:divBdr>
                <w:top w:val="none" w:sz="0" w:space="0" w:color="auto"/>
                <w:left w:val="none" w:sz="0" w:space="0" w:color="auto"/>
                <w:bottom w:val="none" w:sz="0" w:space="0" w:color="auto"/>
                <w:right w:val="none" w:sz="0" w:space="0" w:color="auto"/>
              </w:divBdr>
            </w:div>
            <w:div w:id="1539468418">
              <w:marLeft w:val="0"/>
              <w:marRight w:val="0"/>
              <w:marTop w:val="0"/>
              <w:marBottom w:val="240"/>
              <w:divBdr>
                <w:top w:val="none" w:sz="0" w:space="0" w:color="auto"/>
                <w:left w:val="none" w:sz="0" w:space="0" w:color="auto"/>
                <w:bottom w:val="none" w:sz="0" w:space="0" w:color="auto"/>
                <w:right w:val="none" w:sz="0" w:space="0" w:color="auto"/>
              </w:divBdr>
            </w:div>
            <w:div w:id="1547371785">
              <w:marLeft w:val="0"/>
              <w:marRight w:val="0"/>
              <w:marTop w:val="0"/>
              <w:marBottom w:val="240"/>
              <w:divBdr>
                <w:top w:val="none" w:sz="0" w:space="0" w:color="auto"/>
                <w:left w:val="none" w:sz="0" w:space="0" w:color="auto"/>
                <w:bottom w:val="none" w:sz="0" w:space="0" w:color="auto"/>
                <w:right w:val="none" w:sz="0" w:space="0" w:color="auto"/>
              </w:divBdr>
            </w:div>
            <w:div w:id="1569344980">
              <w:marLeft w:val="0"/>
              <w:marRight w:val="0"/>
              <w:marTop w:val="0"/>
              <w:marBottom w:val="240"/>
              <w:divBdr>
                <w:top w:val="none" w:sz="0" w:space="0" w:color="auto"/>
                <w:left w:val="none" w:sz="0" w:space="0" w:color="auto"/>
                <w:bottom w:val="none" w:sz="0" w:space="0" w:color="auto"/>
                <w:right w:val="none" w:sz="0" w:space="0" w:color="auto"/>
              </w:divBdr>
            </w:div>
            <w:div w:id="1589003818">
              <w:marLeft w:val="0"/>
              <w:marRight w:val="0"/>
              <w:marTop w:val="0"/>
              <w:marBottom w:val="240"/>
              <w:divBdr>
                <w:top w:val="none" w:sz="0" w:space="0" w:color="auto"/>
                <w:left w:val="none" w:sz="0" w:space="0" w:color="auto"/>
                <w:bottom w:val="none" w:sz="0" w:space="0" w:color="auto"/>
                <w:right w:val="none" w:sz="0" w:space="0" w:color="auto"/>
              </w:divBdr>
            </w:div>
            <w:div w:id="1617180479">
              <w:marLeft w:val="0"/>
              <w:marRight w:val="0"/>
              <w:marTop w:val="0"/>
              <w:marBottom w:val="240"/>
              <w:divBdr>
                <w:top w:val="none" w:sz="0" w:space="0" w:color="auto"/>
                <w:left w:val="none" w:sz="0" w:space="0" w:color="auto"/>
                <w:bottom w:val="none" w:sz="0" w:space="0" w:color="auto"/>
                <w:right w:val="none" w:sz="0" w:space="0" w:color="auto"/>
              </w:divBdr>
            </w:div>
            <w:div w:id="1652521477">
              <w:marLeft w:val="0"/>
              <w:marRight w:val="0"/>
              <w:marTop w:val="0"/>
              <w:marBottom w:val="240"/>
              <w:divBdr>
                <w:top w:val="none" w:sz="0" w:space="0" w:color="auto"/>
                <w:left w:val="none" w:sz="0" w:space="0" w:color="auto"/>
                <w:bottom w:val="none" w:sz="0" w:space="0" w:color="auto"/>
                <w:right w:val="none" w:sz="0" w:space="0" w:color="auto"/>
              </w:divBdr>
            </w:div>
            <w:div w:id="1665276618">
              <w:marLeft w:val="0"/>
              <w:marRight w:val="0"/>
              <w:marTop w:val="0"/>
              <w:marBottom w:val="240"/>
              <w:divBdr>
                <w:top w:val="none" w:sz="0" w:space="0" w:color="auto"/>
                <w:left w:val="none" w:sz="0" w:space="0" w:color="auto"/>
                <w:bottom w:val="none" w:sz="0" w:space="0" w:color="auto"/>
                <w:right w:val="none" w:sz="0" w:space="0" w:color="auto"/>
              </w:divBdr>
            </w:div>
            <w:div w:id="1666208286">
              <w:marLeft w:val="0"/>
              <w:marRight w:val="0"/>
              <w:marTop w:val="0"/>
              <w:marBottom w:val="240"/>
              <w:divBdr>
                <w:top w:val="none" w:sz="0" w:space="0" w:color="auto"/>
                <w:left w:val="none" w:sz="0" w:space="0" w:color="auto"/>
                <w:bottom w:val="none" w:sz="0" w:space="0" w:color="auto"/>
                <w:right w:val="none" w:sz="0" w:space="0" w:color="auto"/>
              </w:divBdr>
            </w:div>
            <w:div w:id="1681270331">
              <w:marLeft w:val="0"/>
              <w:marRight w:val="0"/>
              <w:marTop w:val="0"/>
              <w:marBottom w:val="240"/>
              <w:divBdr>
                <w:top w:val="none" w:sz="0" w:space="0" w:color="auto"/>
                <w:left w:val="none" w:sz="0" w:space="0" w:color="auto"/>
                <w:bottom w:val="none" w:sz="0" w:space="0" w:color="auto"/>
                <w:right w:val="none" w:sz="0" w:space="0" w:color="auto"/>
              </w:divBdr>
            </w:div>
            <w:div w:id="1686902739">
              <w:marLeft w:val="0"/>
              <w:marRight w:val="0"/>
              <w:marTop w:val="0"/>
              <w:marBottom w:val="240"/>
              <w:divBdr>
                <w:top w:val="none" w:sz="0" w:space="0" w:color="auto"/>
                <w:left w:val="none" w:sz="0" w:space="0" w:color="auto"/>
                <w:bottom w:val="none" w:sz="0" w:space="0" w:color="auto"/>
                <w:right w:val="none" w:sz="0" w:space="0" w:color="auto"/>
              </w:divBdr>
            </w:div>
            <w:div w:id="1688217772">
              <w:marLeft w:val="0"/>
              <w:marRight w:val="0"/>
              <w:marTop w:val="0"/>
              <w:marBottom w:val="240"/>
              <w:divBdr>
                <w:top w:val="none" w:sz="0" w:space="0" w:color="auto"/>
                <w:left w:val="none" w:sz="0" w:space="0" w:color="auto"/>
                <w:bottom w:val="none" w:sz="0" w:space="0" w:color="auto"/>
                <w:right w:val="none" w:sz="0" w:space="0" w:color="auto"/>
              </w:divBdr>
            </w:div>
            <w:div w:id="1694917949">
              <w:marLeft w:val="0"/>
              <w:marRight w:val="0"/>
              <w:marTop w:val="0"/>
              <w:marBottom w:val="240"/>
              <w:divBdr>
                <w:top w:val="none" w:sz="0" w:space="0" w:color="auto"/>
                <w:left w:val="none" w:sz="0" w:space="0" w:color="auto"/>
                <w:bottom w:val="none" w:sz="0" w:space="0" w:color="auto"/>
                <w:right w:val="none" w:sz="0" w:space="0" w:color="auto"/>
              </w:divBdr>
            </w:div>
            <w:div w:id="1712684985">
              <w:marLeft w:val="0"/>
              <w:marRight w:val="0"/>
              <w:marTop w:val="0"/>
              <w:marBottom w:val="240"/>
              <w:divBdr>
                <w:top w:val="none" w:sz="0" w:space="0" w:color="auto"/>
                <w:left w:val="none" w:sz="0" w:space="0" w:color="auto"/>
                <w:bottom w:val="none" w:sz="0" w:space="0" w:color="auto"/>
                <w:right w:val="none" w:sz="0" w:space="0" w:color="auto"/>
              </w:divBdr>
            </w:div>
            <w:div w:id="1718895066">
              <w:marLeft w:val="0"/>
              <w:marRight w:val="0"/>
              <w:marTop w:val="0"/>
              <w:marBottom w:val="240"/>
              <w:divBdr>
                <w:top w:val="none" w:sz="0" w:space="0" w:color="auto"/>
                <w:left w:val="none" w:sz="0" w:space="0" w:color="auto"/>
                <w:bottom w:val="none" w:sz="0" w:space="0" w:color="auto"/>
                <w:right w:val="none" w:sz="0" w:space="0" w:color="auto"/>
              </w:divBdr>
            </w:div>
            <w:div w:id="1729718219">
              <w:marLeft w:val="0"/>
              <w:marRight w:val="0"/>
              <w:marTop w:val="0"/>
              <w:marBottom w:val="240"/>
              <w:divBdr>
                <w:top w:val="none" w:sz="0" w:space="0" w:color="auto"/>
                <w:left w:val="none" w:sz="0" w:space="0" w:color="auto"/>
                <w:bottom w:val="none" w:sz="0" w:space="0" w:color="auto"/>
                <w:right w:val="none" w:sz="0" w:space="0" w:color="auto"/>
              </w:divBdr>
            </w:div>
            <w:div w:id="1740980129">
              <w:marLeft w:val="0"/>
              <w:marRight w:val="0"/>
              <w:marTop w:val="0"/>
              <w:marBottom w:val="240"/>
              <w:divBdr>
                <w:top w:val="none" w:sz="0" w:space="0" w:color="auto"/>
                <w:left w:val="none" w:sz="0" w:space="0" w:color="auto"/>
                <w:bottom w:val="none" w:sz="0" w:space="0" w:color="auto"/>
                <w:right w:val="none" w:sz="0" w:space="0" w:color="auto"/>
              </w:divBdr>
            </w:div>
            <w:div w:id="1744064414">
              <w:marLeft w:val="0"/>
              <w:marRight w:val="0"/>
              <w:marTop w:val="0"/>
              <w:marBottom w:val="240"/>
              <w:divBdr>
                <w:top w:val="none" w:sz="0" w:space="0" w:color="auto"/>
                <w:left w:val="none" w:sz="0" w:space="0" w:color="auto"/>
                <w:bottom w:val="none" w:sz="0" w:space="0" w:color="auto"/>
                <w:right w:val="none" w:sz="0" w:space="0" w:color="auto"/>
              </w:divBdr>
            </w:div>
            <w:div w:id="1744372985">
              <w:marLeft w:val="0"/>
              <w:marRight w:val="0"/>
              <w:marTop w:val="0"/>
              <w:marBottom w:val="240"/>
              <w:divBdr>
                <w:top w:val="none" w:sz="0" w:space="0" w:color="auto"/>
                <w:left w:val="none" w:sz="0" w:space="0" w:color="auto"/>
                <w:bottom w:val="none" w:sz="0" w:space="0" w:color="auto"/>
                <w:right w:val="none" w:sz="0" w:space="0" w:color="auto"/>
              </w:divBdr>
            </w:div>
            <w:div w:id="1752040824">
              <w:marLeft w:val="0"/>
              <w:marRight w:val="0"/>
              <w:marTop w:val="0"/>
              <w:marBottom w:val="240"/>
              <w:divBdr>
                <w:top w:val="none" w:sz="0" w:space="0" w:color="auto"/>
                <w:left w:val="none" w:sz="0" w:space="0" w:color="auto"/>
                <w:bottom w:val="none" w:sz="0" w:space="0" w:color="auto"/>
                <w:right w:val="none" w:sz="0" w:space="0" w:color="auto"/>
              </w:divBdr>
            </w:div>
            <w:div w:id="1810854223">
              <w:marLeft w:val="0"/>
              <w:marRight w:val="0"/>
              <w:marTop w:val="0"/>
              <w:marBottom w:val="240"/>
              <w:divBdr>
                <w:top w:val="none" w:sz="0" w:space="0" w:color="auto"/>
                <w:left w:val="none" w:sz="0" w:space="0" w:color="auto"/>
                <w:bottom w:val="none" w:sz="0" w:space="0" w:color="auto"/>
                <w:right w:val="none" w:sz="0" w:space="0" w:color="auto"/>
              </w:divBdr>
            </w:div>
            <w:div w:id="1876962569">
              <w:marLeft w:val="0"/>
              <w:marRight w:val="0"/>
              <w:marTop w:val="0"/>
              <w:marBottom w:val="240"/>
              <w:divBdr>
                <w:top w:val="none" w:sz="0" w:space="0" w:color="auto"/>
                <w:left w:val="none" w:sz="0" w:space="0" w:color="auto"/>
                <w:bottom w:val="none" w:sz="0" w:space="0" w:color="auto"/>
                <w:right w:val="none" w:sz="0" w:space="0" w:color="auto"/>
              </w:divBdr>
            </w:div>
            <w:div w:id="1900969087">
              <w:marLeft w:val="0"/>
              <w:marRight w:val="0"/>
              <w:marTop w:val="0"/>
              <w:marBottom w:val="240"/>
              <w:divBdr>
                <w:top w:val="none" w:sz="0" w:space="0" w:color="auto"/>
                <w:left w:val="none" w:sz="0" w:space="0" w:color="auto"/>
                <w:bottom w:val="none" w:sz="0" w:space="0" w:color="auto"/>
                <w:right w:val="none" w:sz="0" w:space="0" w:color="auto"/>
              </w:divBdr>
            </w:div>
            <w:div w:id="1910650534">
              <w:marLeft w:val="0"/>
              <w:marRight w:val="0"/>
              <w:marTop w:val="0"/>
              <w:marBottom w:val="240"/>
              <w:divBdr>
                <w:top w:val="none" w:sz="0" w:space="0" w:color="auto"/>
                <w:left w:val="none" w:sz="0" w:space="0" w:color="auto"/>
                <w:bottom w:val="none" w:sz="0" w:space="0" w:color="auto"/>
                <w:right w:val="none" w:sz="0" w:space="0" w:color="auto"/>
              </w:divBdr>
            </w:div>
            <w:div w:id="1932162039">
              <w:marLeft w:val="0"/>
              <w:marRight w:val="0"/>
              <w:marTop w:val="0"/>
              <w:marBottom w:val="240"/>
              <w:divBdr>
                <w:top w:val="none" w:sz="0" w:space="0" w:color="auto"/>
                <w:left w:val="none" w:sz="0" w:space="0" w:color="auto"/>
                <w:bottom w:val="none" w:sz="0" w:space="0" w:color="auto"/>
                <w:right w:val="none" w:sz="0" w:space="0" w:color="auto"/>
              </w:divBdr>
            </w:div>
            <w:div w:id="1986349614">
              <w:marLeft w:val="0"/>
              <w:marRight w:val="0"/>
              <w:marTop w:val="0"/>
              <w:marBottom w:val="240"/>
              <w:divBdr>
                <w:top w:val="none" w:sz="0" w:space="0" w:color="auto"/>
                <w:left w:val="none" w:sz="0" w:space="0" w:color="auto"/>
                <w:bottom w:val="none" w:sz="0" w:space="0" w:color="auto"/>
                <w:right w:val="none" w:sz="0" w:space="0" w:color="auto"/>
              </w:divBdr>
            </w:div>
            <w:div w:id="1996838677">
              <w:marLeft w:val="0"/>
              <w:marRight w:val="0"/>
              <w:marTop w:val="0"/>
              <w:marBottom w:val="240"/>
              <w:divBdr>
                <w:top w:val="none" w:sz="0" w:space="0" w:color="auto"/>
                <w:left w:val="none" w:sz="0" w:space="0" w:color="auto"/>
                <w:bottom w:val="none" w:sz="0" w:space="0" w:color="auto"/>
                <w:right w:val="none" w:sz="0" w:space="0" w:color="auto"/>
              </w:divBdr>
            </w:div>
            <w:div w:id="1999111948">
              <w:marLeft w:val="0"/>
              <w:marRight w:val="0"/>
              <w:marTop w:val="0"/>
              <w:marBottom w:val="240"/>
              <w:divBdr>
                <w:top w:val="none" w:sz="0" w:space="0" w:color="auto"/>
                <w:left w:val="none" w:sz="0" w:space="0" w:color="auto"/>
                <w:bottom w:val="none" w:sz="0" w:space="0" w:color="auto"/>
                <w:right w:val="none" w:sz="0" w:space="0" w:color="auto"/>
              </w:divBdr>
            </w:div>
            <w:div w:id="2011911080">
              <w:marLeft w:val="0"/>
              <w:marRight w:val="0"/>
              <w:marTop w:val="0"/>
              <w:marBottom w:val="240"/>
              <w:divBdr>
                <w:top w:val="none" w:sz="0" w:space="0" w:color="auto"/>
                <w:left w:val="none" w:sz="0" w:space="0" w:color="auto"/>
                <w:bottom w:val="none" w:sz="0" w:space="0" w:color="auto"/>
                <w:right w:val="none" w:sz="0" w:space="0" w:color="auto"/>
              </w:divBdr>
            </w:div>
            <w:div w:id="2012835087">
              <w:marLeft w:val="0"/>
              <w:marRight w:val="0"/>
              <w:marTop w:val="0"/>
              <w:marBottom w:val="240"/>
              <w:divBdr>
                <w:top w:val="none" w:sz="0" w:space="0" w:color="auto"/>
                <w:left w:val="none" w:sz="0" w:space="0" w:color="auto"/>
                <w:bottom w:val="none" w:sz="0" w:space="0" w:color="auto"/>
                <w:right w:val="none" w:sz="0" w:space="0" w:color="auto"/>
              </w:divBdr>
            </w:div>
            <w:div w:id="2022511504">
              <w:marLeft w:val="0"/>
              <w:marRight w:val="0"/>
              <w:marTop w:val="0"/>
              <w:marBottom w:val="240"/>
              <w:divBdr>
                <w:top w:val="none" w:sz="0" w:space="0" w:color="auto"/>
                <w:left w:val="none" w:sz="0" w:space="0" w:color="auto"/>
                <w:bottom w:val="none" w:sz="0" w:space="0" w:color="auto"/>
                <w:right w:val="none" w:sz="0" w:space="0" w:color="auto"/>
              </w:divBdr>
            </w:div>
            <w:div w:id="2026705392">
              <w:marLeft w:val="0"/>
              <w:marRight w:val="0"/>
              <w:marTop w:val="0"/>
              <w:marBottom w:val="240"/>
              <w:divBdr>
                <w:top w:val="none" w:sz="0" w:space="0" w:color="auto"/>
                <w:left w:val="none" w:sz="0" w:space="0" w:color="auto"/>
                <w:bottom w:val="none" w:sz="0" w:space="0" w:color="auto"/>
                <w:right w:val="none" w:sz="0" w:space="0" w:color="auto"/>
              </w:divBdr>
            </w:div>
            <w:div w:id="2039088971">
              <w:marLeft w:val="0"/>
              <w:marRight w:val="0"/>
              <w:marTop w:val="0"/>
              <w:marBottom w:val="240"/>
              <w:divBdr>
                <w:top w:val="none" w:sz="0" w:space="0" w:color="auto"/>
                <w:left w:val="none" w:sz="0" w:space="0" w:color="auto"/>
                <w:bottom w:val="none" w:sz="0" w:space="0" w:color="auto"/>
                <w:right w:val="none" w:sz="0" w:space="0" w:color="auto"/>
              </w:divBdr>
            </w:div>
            <w:div w:id="2049597083">
              <w:marLeft w:val="0"/>
              <w:marRight w:val="0"/>
              <w:marTop w:val="0"/>
              <w:marBottom w:val="240"/>
              <w:divBdr>
                <w:top w:val="none" w:sz="0" w:space="0" w:color="auto"/>
                <w:left w:val="none" w:sz="0" w:space="0" w:color="auto"/>
                <w:bottom w:val="none" w:sz="0" w:space="0" w:color="auto"/>
                <w:right w:val="none" w:sz="0" w:space="0" w:color="auto"/>
              </w:divBdr>
            </w:div>
            <w:div w:id="2053648417">
              <w:marLeft w:val="0"/>
              <w:marRight w:val="0"/>
              <w:marTop w:val="0"/>
              <w:marBottom w:val="240"/>
              <w:divBdr>
                <w:top w:val="none" w:sz="0" w:space="0" w:color="auto"/>
                <w:left w:val="none" w:sz="0" w:space="0" w:color="auto"/>
                <w:bottom w:val="none" w:sz="0" w:space="0" w:color="auto"/>
                <w:right w:val="none" w:sz="0" w:space="0" w:color="auto"/>
              </w:divBdr>
            </w:div>
            <w:div w:id="2061048115">
              <w:marLeft w:val="0"/>
              <w:marRight w:val="0"/>
              <w:marTop w:val="0"/>
              <w:marBottom w:val="240"/>
              <w:divBdr>
                <w:top w:val="none" w:sz="0" w:space="0" w:color="auto"/>
                <w:left w:val="none" w:sz="0" w:space="0" w:color="auto"/>
                <w:bottom w:val="none" w:sz="0" w:space="0" w:color="auto"/>
                <w:right w:val="none" w:sz="0" w:space="0" w:color="auto"/>
              </w:divBdr>
            </w:div>
            <w:div w:id="2074352651">
              <w:marLeft w:val="0"/>
              <w:marRight w:val="0"/>
              <w:marTop w:val="0"/>
              <w:marBottom w:val="240"/>
              <w:divBdr>
                <w:top w:val="none" w:sz="0" w:space="0" w:color="auto"/>
                <w:left w:val="none" w:sz="0" w:space="0" w:color="auto"/>
                <w:bottom w:val="none" w:sz="0" w:space="0" w:color="auto"/>
                <w:right w:val="none" w:sz="0" w:space="0" w:color="auto"/>
              </w:divBdr>
            </w:div>
            <w:div w:id="2090038910">
              <w:marLeft w:val="0"/>
              <w:marRight w:val="0"/>
              <w:marTop w:val="0"/>
              <w:marBottom w:val="240"/>
              <w:divBdr>
                <w:top w:val="none" w:sz="0" w:space="0" w:color="auto"/>
                <w:left w:val="none" w:sz="0" w:space="0" w:color="auto"/>
                <w:bottom w:val="none" w:sz="0" w:space="0" w:color="auto"/>
                <w:right w:val="none" w:sz="0" w:space="0" w:color="auto"/>
              </w:divBdr>
            </w:div>
            <w:div w:id="2093163569">
              <w:marLeft w:val="0"/>
              <w:marRight w:val="0"/>
              <w:marTop w:val="0"/>
              <w:marBottom w:val="240"/>
              <w:divBdr>
                <w:top w:val="none" w:sz="0" w:space="0" w:color="auto"/>
                <w:left w:val="none" w:sz="0" w:space="0" w:color="auto"/>
                <w:bottom w:val="none" w:sz="0" w:space="0" w:color="auto"/>
                <w:right w:val="none" w:sz="0" w:space="0" w:color="auto"/>
              </w:divBdr>
            </w:div>
            <w:div w:id="2113353645">
              <w:marLeft w:val="0"/>
              <w:marRight w:val="0"/>
              <w:marTop w:val="0"/>
              <w:marBottom w:val="240"/>
              <w:divBdr>
                <w:top w:val="none" w:sz="0" w:space="0" w:color="auto"/>
                <w:left w:val="none" w:sz="0" w:space="0" w:color="auto"/>
                <w:bottom w:val="none" w:sz="0" w:space="0" w:color="auto"/>
                <w:right w:val="none" w:sz="0" w:space="0" w:color="auto"/>
              </w:divBdr>
            </w:div>
            <w:div w:id="2113813725">
              <w:marLeft w:val="0"/>
              <w:marRight w:val="0"/>
              <w:marTop w:val="0"/>
              <w:marBottom w:val="240"/>
              <w:divBdr>
                <w:top w:val="none" w:sz="0" w:space="0" w:color="auto"/>
                <w:left w:val="none" w:sz="0" w:space="0" w:color="auto"/>
                <w:bottom w:val="none" w:sz="0" w:space="0" w:color="auto"/>
                <w:right w:val="none" w:sz="0" w:space="0" w:color="auto"/>
              </w:divBdr>
            </w:div>
            <w:div w:id="2125611390">
              <w:marLeft w:val="0"/>
              <w:marRight w:val="0"/>
              <w:marTop w:val="0"/>
              <w:marBottom w:val="240"/>
              <w:divBdr>
                <w:top w:val="none" w:sz="0" w:space="0" w:color="auto"/>
                <w:left w:val="none" w:sz="0" w:space="0" w:color="auto"/>
                <w:bottom w:val="none" w:sz="0" w:space="0" w:color="auto"/>
                <w:right w:val="none" w:sz="0" w:space="0" w:color="auto"/>
              </w:divBdr>
            </w:div>
            <w:div w:id="2141535339">
              <w:marLeft w:val="0"/>
              <w:marRight w:val="0"/>
              <w:marTop w:val="0"/>
              <w:marBottom w:val="240"/>
              <w:divBdr>
                <w:top w:val="none" w:sz="0" w:space="0" w:color="auto"/>
                <w:left w:val="none" w:sz="0" w:space="0" w:color="auto"/>
                <w:bottom w:val="none" w:sz="0" w:space="0" w:color="auto"/>
                <w:right w:val="none" w:sz="0" w:space="0" w:color="auto"/>
              </w:divBdr>
            </w:div>
            <w:div w:id="21468535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94058868">
      <w:bodyDiv w:val="1"/>
      <w:marLeft w:val="0"/>
      <w:marRight w:val="0"/>
      <w:marTop w:val="0"/>
      <w:marBottom w:val="0"/>
      <w:divBdr>
        <w:top w:val="none" w:sz="0" w:space="0" w:color="auto"/>
        <w:left w:val="none" w:sz="0" w:space="0" w:color="auto"/>
        <w:bottom w:val="none" w:sz="0" w:space="0" w:color="auto"/>
        <w:right w:val="none" w:sz="0" w:space="0" w:color="auto"/>
      </w:divBdr>
    </w:div>
    <w:div w:id="1837182752">
      <w:bodyDiv w:val="1"/>
      <w:marLeft w:val="0"/>
      <w:marRight w:val="0"/>
      <w:marTop w:val="0"/>
      <w:marBottom w:val="0"/>
      <w:divBdr>
        <w:top w:val="none" w:sz="0" w:space="0" w:color="auto"/>
        <w:left w:val="none" w:sz="0" w:space="0" w:color="auto"/>
        <w:bottom w:val="none" w:sz="0" w:space="0" w:color="auto"/>
        <w:right w:val="none" w:sz="0" w:space="0" w:color="auto"/>
      </w:divBdr>
    </w:div>
    <w:div w:id="1876649963">
      <w:bodyDiv w:val="1"/>
      <w:marLeft w:val="0"/>
      <w:marRight w:val="0"/>
      <w:marTop w:val="0"/>
      <w:marBottom w:val="0"/>
      <w:divBdr>
        <w:top w:val="none" w:sz="0" w:space="0" w:color="auto"/>
        <w:left w:val="none" w:sz="0" w:space="0" w:color="auto"/>
        <w:bottom w:val="none" w:sz="0" w:space="0" w:color="auto"/>
        <w:right w:val="none" w:sz="0" w:space="0" w:color="auto"/>
      </w:divBdr>
    </w:div>
    <w:div w:id="1923372246">
      <w:bodyDiv w:val="1"/>
      <w:marLeft w:val="0"/>
      <w:marRight w:val="0"/>
      <w:marTop w:val="0"/>
      <w:marBottom w:val="0"/>
      <w:divBdr>
        <w:top w:val="none" w:sz="0" w:space="0" w:color="auto"/>
        <w:left w:val="none" w:sz="0" w:space="0" w:color="auto"/>
        <w:bottom w:val="none" w:sz="0" w:space="0" w:color="auto"/>
        <w:right w:val="none" w:sz="0" w:space="0" w:color="auto"/>
      </w:divBdr>
      <w:divsChild>
        <w:div w:id="340134065">
          <w:marLeft w:val="480"/>
          <w:marRight w:val="0"/>
          <w:marTop w:val="0"/>
          <w:marBottom w:val="0"/>
          <w:divBdr>
            <w:top w:val="none" w:sz="0" w:space="0" w:color="auto"/>
            <w:left w:val="none" w:sz="0" w:space="0" w:color="auto"/>
            <w:bottom w:val="none" w:sz="0" w:space="0" w:color="auto"/>
            <w:right w:val="none" w:sz="0" w:space="0" w:color="auto"/>
          </w:divBdr>
          <w:divsChild>
            <w:div w:id="72110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75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rontiersin.org/journals/microbiology/articles/10.3389/fmicb.2023.1156033/full" TargetMode="External"/><Relationship Id="rId299" Type="http://schemas.openxmlformats.org/officeDocument/2006/relationships/hyperlink" Target="https://doi.org/10.1099/ijs.0.059774-0" TargetMode="External"/><Relationship Id="rId21" Type="http://schemas.openxmlformats.org/officeDocument/2006/relationships/hyperlink" Target="https://www.frontiersin.org/journals/microbiology/articles/10.3389/fmicb.2023.1156033/full" TargetMode="External"/><Relationship Id="rId63" Type="http://schemas.openxmlformats.org/officeDocument/2006/relationships/hyperlink" Target="https://www.frontiersin.org/journals/microbiology/articles/10.3389/fmicb.2023.1156033/full" TargetMode="External"/><Relationship Id="rId159" Type="http://schemas.openxmlformats.org/officeDocument/2006/relationships/hyperlink" Target="https://www.frontiersin.org/journals/microbiology/articles/10.3389/fmicb.2023.1156033/full" TargetMode="External"/><Relationship Id="rId324" Type="http://schemas.openxmlformats.org/officeDocument/2006/relationships/hyperlink" Target="https://doi.org/10.1016/s0092-8674(85)80030-1" TargetMode="External"/><Relationship Id="rId366" Type="http://schemas.openxmlformats.org/officeDocument/2006/relationships/hyperlink" Target="https://doi.org/10.1128/JB.00508-06" TargetMode="External"/><Relationship Id="rId170" Type="http://schemas.openxmlformats.org/officeDocument/2006/relationships/hyperlink" Target="https://www.frontiersin.org/journals/microbiology/articles/10.3389/fmicb.2023.1156033/full" TargetMode="External"/><Relationship Id="rId226" Type="http://schemas.openxmlformats.org/officeDocument/2006/relationships/hyperlink" Target="https://www.frontiersin.org/journals/microbiology/articles/10.3389/fmicb.2023.1156033/full" TargetMode="External"/><Relationship Id="rId433" Type="http://schemas.openxmlformats.org/officeDocument/2006/relationships/fontTable" Target="fontTable.xml"/><Relationship Id="rId268" Type="http://schemas.openxmlformats.org/officeDocument/2006/relationships/hyperlink" Target="https://doi.org/10.1038/s41598-021-86232-z" TargetMode="External"/><Relationship Id="rId32" Type="http://schemas.openxmlformats.org/officeDocument/2006/relationships/hyperlink" Target="https://www.frontiersin.org/journals/microbiology/articles/10.3389/fmicb.2023.1156033/full" TargetMode="External"/><Relationship Id="rId74" Type="http://schemas.openxmlformats.org/officeDocument/2006/relationships/hyperlink" Target="https://www.frontiersin.org/journals/microbiology/articles/10.3389/fmicb.2023.1156033/full" TargetMode="External"/><Relationship Id="rId128" Type="http://schemas.openxmlformats.org/officeDocument/2006/relationships/hyperlink" Target="https://www.frontiersin.org/journals/microbiology/articles/10.3389/fmicb.2023.1156033/full" TargetMode="External"/><Relationship Id="rId335" Type="http://schemas.openxmlformats.org/officeDocument/2006/relationships/hyperlink" Target="https://doi.org/10.1128/JB.00781-06" TargetMode="External"/><Relationship Id="rId377" Type="http://schemas.openxmlformats.org/officeDocument/2006/relationships/image" Target="media/image4.tiff"/><Relationship Id="rId5" Type="http://schemas.openxmlformats.org/officeDocument/2006/relationships/numbering" Target="numbering.xml"/><Relationship Id="rId181" Type="http://schemas.openxmlformats.org/officeDocument/2006/relationships/hyperlink" Target="https://www.frontiersin.org/journals/microbiology/articles/10.3389/fmicb.2023.1156033/full" TargetMode="External"/><Relationship Id="rId237" Type="http://schemas.openxmlformats.org/officeDocument/2006/relationships/hyperlink" Target="https://www.frontiersin.org/journals/microbiology/articles/10.3389/fmicb.2023.1156033/full" TargetMode="External"/><Relationship Id="rId402" Type="http://schemas.openxmlformats.org/officeDocument/2006/relationships/image" Target="media/image27.tif"/><Relationship Id="rId279" Type="http://schemas.openxmlformats.org/officeDocument/2006/relationships/hyperlink" Target="https://doi.org/10.1038/s41396-020-00746-4" TargetMode="External"/><Relationship Id="rId43" Type="http://schemas.openxmlformats.org/officeDocument/2006/relationships/hyperlink" Target="https://www.frontiersin.org/journals/microbiology/articles/10.3389/fmicb.2023.1156033/full" TargetMode="External"/><Relationship Id="rId139" Type="http://schemas.openxmlformats.org/officeDocument/2006/relationships/hyperlink" Target="https://www.frontiersin.org/journals/microbiology/articles/10.3389/fmicb.2023.1156033/full" TargetMode="External"/><Relationship Id="rId290" Type="http://schemas.openxmlformats.org/officeDocument/2006/relationships/hyperlink" Target="https://doi.org/10.1007/s00203-018-1508-0" TargetMode="External"/><Relationship Id="rId304" Type="http://schemas.openxmlformats.org/officeDocument/2006/relationships/hyperlink" Target="https://doi.org/10.1016/j.jmb.2013.10.018" TargetMode="External"/><Relationship Id="rId346" Type="http://schemas.openxmlformats.org/officeDocument/2006/relationships/hyperlink" Target="https://www.frontiersin.org/articles/10.3389/fmicb.2019.00065" TargetMode="External"/><Relationship Id="rId388" Type="http://schemas.openxmlformats.org/officeDocument/2006/relationships/image" Target="media/image13.tiff"/><Relationship Id="rId85" Type="http://schemas.openxmlformats.org/officeDocument/2006/relationships/hyperlink" Target="https://www.frontiersin.org/journals/microbiology/articles/10.3389/fmicb.2023.1156033/full" TargetMode="External"/><Relationship Id="rId150" Type="http://schemas.openxmlformats.org/officeDocument/2006/relationships/hyperlink" Target="https://www.frontiersin.org/journals/microbiology/articles/10.3389/fmicb.2023.1156033/full" TargetMode="External"/><Relationship Id="rId192" Type="http://schemas.openxmlformats.org/officeDocument/2006/relationships/hyperlink" Target="https://www.frontiersin.org/journals/microbiology/articles/10.3389/fmicb.2023.1156033/full" TargetMode="External"/><Relationship Id="rId206" Type="http://schemas.openxmlformats.org/officeDocument/2006/relationships/hyperlink" Target="https://www.frontiersin.org/journals/microbiology/articles/10.3389/fmicb.2023.1156033/full" TargetMode="External"/><Relationship Id="rId413" Type="http://schemas.openxmlformats.org/officeDocument/2006/relationships/image" Target="media/image37.tiff"/><Relationship Id="rId248" Type="http://schemas.openxmlformats.org/officeDocument/2006/relationships/hyperlink" Target="https://doi.org/10.1002/ecy.2090" TargetMode="External"/><Relationship Id="rId12" Type="http://schemas.openxmlformats.org/officeDocument/2006/relationships/header" Target="header2.xml"/><Relationship Id="rId108" Type="http://schemas.openxmlformats.org/officeDocument/2006/relationships/hyperlink" Target="https://www.frontiersin.org/journals/microbiology/articles/10.3389/fmicb.2023.1156033/full" TargetMode="External"/><Relationship Id="rId315" Type="http://schemas.openxmlformats.org/officeDocument/2006/relationships/hyperlink" Target="https://doi.org/10.3390/life3010131" TargetMode="External"/><Relationship Id="rId357" Type="http://schemas.openxmlformats.org/officeDocument/2006/relationships/hyperlink" Target="https://doi.org/10.1007/s00300-004-0698-x" TargetMode="External"/><Relationship Id="rId54" Type="http://schemas.openxmlformats.org/officeDocument/2006/relationships/hyperlink" Target="https://www.frontiersin.org/journals/microbiology/articles/10.3389/fmicb.2023.1156033/full" TargetMode="External"/><Relationship Id="rId96" Type="http://schemas.openxmlformats.org/officeDocument/2006/relationships/hyperlink" Target="https://www.frontiersin.org/journals/microbiology/articles/10.3389/fmicb.2023.1156033/full" TargetMode="External"/><Relationship Id="rId161" Type="http://schemas.openxmlformats.org/officeDocument/2006/relationships/hyperlink" Target="https://www.frontiersin.org/journals/microbiology/articles/10.3389/fmicb.2023.1156033/full" TargetMode="External"/><Relationship Id="rId217" Type="http://schemas.openxmlformats.org/officeDocument/2006/relationships/hyperlink" Target="https://www.frontiersin.org/journals/microbiology/articles/10.3389/fmicb.2023.1156033/full" TargetMode="External"/><Relationship Id="rId399" Type="http://schemas.openxmlformats.org/officeDocument/2006/relationships/image" Target="media/image24.tiff"/><Relationship Id="rId259" Type="http://schemas.openxmlformats.org/officeDocument/2006/relationships/hyperlink" Target="https://doi.org/10.1021/acsinfecdis.8b00245" TargetMode="External"/><Relationship Id="rId424" Type="http://schemas.openxmlformats.org/officeDocument/2006/relationships/image" Target="media/image48.tiff"/><Relationship Id="rId23" Type="http://schemas.openxmlformats.org/officeDocument/2006/relationships/hyperlink" Target="https://www.frontiersin.org/journals/microbiology/articles/10.3389/fmicb.2023.1156033/full" TargetMode="External"/><Relationship Id="rId119" Type="http://schemas.openxmlformats.org/officeDocument/2006/relationships/hyperlink" Target="https://www.frontiersin.org/journals/microbiology/articles/10.3389/fmicb.2023.1156033/full" TargetMode="External"/><Relationship Id="rId270" Type="http://schemas.openxmlformats.org/officeDocument/2006/relationships/hyperlink" Target="https://doi.org/10.1371/journal.pone.0162412" TargetMode="External"/><Relationship Id="rId326" Type="http://schemas.openxmlformats.org/officeDocument/2006/relationships/hyperlink" Target="https://doi.org/10.1111/j.1365-2958.2004.04360.x" TargetMode="External"/><Relationship Id="rId65" Type="http://schemas.openxmlformats.org/officeDocument/2006/relationships/hyperlink" Target="https://www.frontiersin.org/journals/microbiology/articles/10.3389/fmicb.2023.1156033/full" TargetMode="External"/><Relationship Id="rId130" Type="http://schemas.openxmlformats.org/officeDocument/2006/relationships/hyperlink" Target="https://www.frontiersin.org/journals/microbiology/articles/10.3389/fmicb.2023.1156033/full" TargetMode="External"/><Relationship Id="rId368" Type="http://schemas.openxmlformats.org/officeDocument/2006/relationships/hyperlink" Target="https://doi.org/10.1371/journal.pcbi.1005595" TargetMode="External"/><Relationship Id="rId172" Type="http://schemas.openxmlformats.org/officeDocument/2006/relationships/hyperlink" Target="https://www.frontiersin.org/journals/microbiology/articles/10.3389/fmicb.2023.1156033/full" TargetMode="External"/><Relationship Id="rId228" Type="http://schemas.openxmlformats.org/officeDocument/2006/relationships/hyperlink" Target="https://www.frontiersin.org/journals/microbiology/articles/10.3389/fmicb.2023.1156033/full" TargetMode="External"/><Relationship Id="rId281" Type="http://schemas.openxmlformats.org/officeDocument/2006/relationships/hyperlink" Target="https://doi.org/10.1007/978-3-642-78991-5_8" TargetMode="External"/><Relationship Id="rId337" Type="http://schemas.openxmlformats.org/officeDocument/2006/relationships/hyperlink" Target="https://doi.org/10.1128/AEM.02135-19" TargetMode="External"/><Relationship Id="rId34" Type="http://schemas.openxmlformats.org/officeDocument/2006/relationships/hyperlink" Target="https://www.frontiersin.org/journals/microbiology/articles/10.3389/fmicb.2023.1156033/full" TargetMode="External"/><Relationship Id="rId76" Type="http://schemas.openxmlformats.org/officeDocument/2006/relationships/hyperlink" Target="https://www.frontiersin.org/journals/microbiology/articles/10.3389/fmicb.2023.1156033/full" TargetMode="External"/><Relationship Id="rId141" Type="http://schemas.openxmlformats.org/officeDocument/2006/relationships/hyperlink" Target="https://www.frontiersin.org/journals/microbiology/articles/10.3389/fmicb.2023.1156033/full" TargetMode="External"/><Relationship Id="rId379" Type="http://schemas.openxmlformats.org/officeDocument/2006/relationships/image" Target="media/image6.png"/><Relationship Id="rId7" Type="http://schemas.openxmlformats.org/officeDocument/2006/relationships/settings" Target="settings.xml"/><Relationship Id="rId183" Type="http://schemas.openxmlformats.org/officeDocument/2006/relationships/hyperlink" Target="https://www.frontiersin.org/journals/microbiology/articles/10.3389/fmicb.2023.1156033/full" TargetMode="External"/><Relationship Id="rId239" Type="http://schemas.openxmlformats.org/officeDocument/2006/relationships/hyperlink" Target="https://www.frontiersin.org/journals/microbiology/articles/10.3389/fmicb.2023.1156033/full" TargetMode="External"/><Relationship Id="rId390" Type="http://schemas.openxmlformats.org/officeDocument/2006/relationships/image" Target="media/image15.tiff"/><Relationship Id="rId404" Type="http://schemas.openxmlformats.org/officeDocument/2006/relationships/image" Target="media/image29.tiff"/><Relationship Id="rId250" Type="http://schemas.openxmlformats.org/officeDocument/2006/relationships/hyperlink" Target="https://doi.org/10.1039/c2np20085f" TargetMode="External"/><Relationship Id="rId292" Type="http://schemas.openxmlformats.org/officeDocument/2006/relationships/hyperlink" Target="https://doi.org/10.3390/md20040269" TargetMode="External"/><Relationship Id="rId306" Type="http://schemas.openxmlformats.org/officeDocument/2006/relationships/hyperlink" Target="https://doi.org/10.1186/s40793-021-00387-w" TargetMode="External"/><Relationship Id="rId45" Type="http://schemas.openxmlformats.org/officeDocument/2006/relationships/hyperlink" Target="https://www.frontiersin.org/journals/microbiology/articles/10.3389/fmicb.2023.1156033/full" TargetMode="External"/><Relationship Id="rId87" Type="http://schemas.openxmlformats.org/officeDocument/2006/relationships/hyperlink" Target="https://www.frontiersin.org/journals/microbiology/articles/10.3389/fmicb.2023.1156033/full" TargetMode="External"/><Relationship Id="rId110" Type="http://schemas.openxmlformats.org/officeDocument/2006/relationships/hyperlink" Target="https://www.frontiersin.org/journals/microbiology/articles/10.3389/fmicb.2023.1156033/full" TargetMode="External"/><Relationship Id="rId348" Type="http://schemas.openxmlformats.org/officeDocument/2006/relationships/hyperlink" Target="https://doi.org/10.1007/s00253-012-4237-3" TargetMode="External"/><Relationship Id="rId152" Type="http://schemas.openxmlformats.org/officeDocument/2006/relationships/hyperlink" Target="https://www.frontiersin.org/journals/microbiology/articles/10.3389/fmicb.2023.1156033/full" TargetMode="External"/><Relationship Id="rId194" Type="http://schemas.openxmlformats.org/officeDocument/2006/relationships/hyperlink" Target="https://www.frontiersin.org/journals/microbiology/articles/10.3389/fmicb.2023.1156033/full" TargetMode="External"/><Relationship Id="rId208" Type="http://schemas.openxmlformats.org/officeDocument/2006/relationships/hyperlink" Target="https://www.frontiersin.org/journals/microbiology/articles/10.3389/fmicb.2023.1156033/full" TargetMode="External"/><Relationship Id="rId415" Type="http://schemas.openxmlformats.org/officeDocument/2006/relationships/image" Target="media/image39.tif"/><Relationship Id="rId261" Type="http://schemas.openxmlformats.org/officeDocument/2006/relationships/hyperlink" Target="https://doi.org/10.1073/pnas.1000557107" TargetMode="External"/><Relationship Id="rId14" Type="http://schemas.openxmlformats.org/officeDocument/2006/relationships/image" Target="media/image1.png"/><Relationship Id="rId56" Type="http://schemas.openxmlformats.org/officeDocument/2006/relationships/hyperlink" Target="https://www.frontiersin.org/journals/microbiology/articles/10.3389/fmicb.2023.1156033/full" TargetMode="External"/><Relationship Id="rId317" Type="http://schemas.openxmlformats.org/officeDocument/2006/relationships/hyperlink" Target="https://doi.org/10.1002/anie.202005711" TargetMode="External"/><Relationship Id="rId359" Type="http://schemas.openxmlformats.org/officeDocument/2006/relationships/hyperlink" Target="https://doi.org/10.1038/nmeth.3393" TargetMode="External"/><Relationship Id="rId98" Type="http://schemas.openxmlformats.org/officeDocument/2006/relationships/hyperlink" Target="https://www.frontiersin.org/journals/microbiology/articles/10.3389/fmicb.2023.1156033/full" TargetMode="External"/><Relationship Id="rId121" Type="http://schemas.openxmlformats.org/officeDocument/2006/relationships/hyperlink" Target="https://www.frontiersin.org/journals/microbiology/articles/10.3389/fmicb.2023.1156033/full" TargetMode="External"/><Relationship Id="rId163" Type="http://schemas.openxmlformats.org/officeDocument/2006/relationships/hyperlink" Target="https://www.frontiersin.org/journals/microbiology/articles/10.3389/fmicb.2023.1156033/full" TargetMode="External"/><Relationship Id="rId219" Type="http://schemas.openxmlformats.org/officeDocument/2006/relationships/hyperlink" Target="https://www.frontiersin.org/journals/microbiology/articles/10.3389/fmicb.2023.1156033/full" TargetMode="External"/><Relationship Id="rId370" Type="http://schemas.openxmlformats.org/officeDocument/2006/relationships/hyperlink" Target="https://doi.org/10.1099/ijs.0.63407-0" TargetMode="External"/><Relationship Id="rId426" Type="http://schemas.openxmlformats.org/officeDocument/2006/relationships/image" Target="media/image50.tiff"/><Relationship Id="rId230" Type="http://schemas.openxmlformats.org/officeDocument/2006/relationships/hyperlink" Target="https://www.frontiersin.org/journals/microbiology/articles/10.3389/fmicb.2023.1156033/full" TargetMode="External"/><Relationship Id="rId25" Type="http://schemas.openxmlformats.org/officeDocument/2006/relationships/hyperlink" Target="https://www.frontiersin.org/journals/microbiology/articles/10.3389/fmicb.2023.1156033/full" TargetMode="External"/><Relationship Id="rId67" Type="http://schemas.openxmlformats.org/officeDocument/2006/relationships/hyperlink" Target="https://www.frontiersin.org/journals/microbiology/articles/10.3389/fmicb.2023.1156033/full" TargetMode="External"/><Relationship Id="rId272" Type="http://schemas.openxmlformats.org/officeDocument/2006/relationships/hyperlink" Target="https://doi.org/10.1002/embr.201338170" TargetMode="External"/><Relationship Id="rId328" Type="http://schemas.openxmlformats.org/officeDocument/2006/relationships/hyperlink" Target="https://doi.org/10.1007/s00018-006-6192-6" TargetMode="External"/><Relationship Id="rId132" Type="http://schemas.openxmlformats.org/officeDocument/2006/relationships/hyperlink" Target="https://www.frontiersin.org/journals/microbiology/articles/10.3389/fmicb.2023.1156033/full" TargetMode="External"/><Relationship Id="rId174" Type="http://schemas.openxmlformats.org/officeDocument/2006/relationships/hyperlink" Target="https://www.frontiersin.org/journals/microbiology/articles/10.3389/fmicb.2023.1156033/full" TargetMode="External"/><Relationship Id="rId381" Type="http://schemas.openxmlformats.org/officeDocument/2006/relationships/image" Target="media/image8.tiff"/><Relationship Id="rId241" Type="http://schemas.openxmlformats.org/officeDocument/2006/relationships/hyperlink" Target="https://www.frontiersin.org/journals/microbiology/articles/10.3389/fmicb.2023.1156033/full" TargetMode="External"/><Relationship Id="rId36" Type="http://schemas.openxmlformats.org/officeDocument/2006/relationships/hyperlink" Target="https://www.frontiersin.org/journals/microbiology/articles/10.3389/fmicb.2023.1156033/full" TargetMode="External"/><Relationship Id="rId283" Type="http://schemas.openxmlformats.org/officeDocument/2006/relationships/hyperlink" Target="https://doi.org/10.1007/978-3-319-13260-0_1" TargetMode="External"/><Relationship Id="rId339" Type="http://schemas.openxmlformats.org/officeDocument/2006/relationships/hyperlink" Target="https://doi.org/10.1093/bioinformatics/btu153" TargetMode="External"/><Relationship Id="rId78" Type="http://schemas.openxmlformats.org/officeDocument/2006/relationships/hyperlink" Target="https://www.frontiersin.org/journals/microbiology/articles/10.3389/fmicb.2023.1156033/full" TargetMode="External"/><Relationship Id="rId101" Type="http://schemas.openxmlformats.org/officeDocument/2006/relationships/hyperlink" Target="https://www.frontiersin.org/journals/microbiology/articles/10.3389/fmicb.2023.1156033/full" TargetMode="External"/><Relationship Id="rId143" Type="http://schemas.openxmlformats.org/officeDocument/2006/relationships/hyperlink" Target="https://www.frontiersin.org/journals/microbiology/articles/10.3389/fmicb.2023.1156033/full" TargetMode="External"/><Relationship Id="rId185" Type="http://schemas.openxmlformats.org/officeDocument/2006/relationships/hyperlink" Target="https://www.frontiersin.org/journals/microbiology/articles/10.3389/fmicb.2023.1156033/full" TargetMode="External"/><Relationship Id="rId350" Type="http://schemas.openxmlformats.org/officeDocument/2006/relationships/hyperlink" Target="https://doi.org/10.1074/jbc.M112.398628" TargetMode="External"/><Relationship Id="rId406" Type="http://schemas.openxmlformats.org/officeDocument/2006/relationships/footer" Target="footer3.xml"/><Relationship Id="rId9" Type="http://schemas.openxmlformats.org/officeDocument/2006/relationships/footnotes" Target="footnotes.xml"/><Relationship Id="rId210" Type="http://schemas.openxmlformats.org/officeDocument/2006/relationships/hyperlink" Target="https://www.frontiersin.org/journals/microbiology/articles/10.3389/fmicb.2023.1156033/full" TargetMode="External"/><Relationship Id="rId392" Type="http://schemas.openxmlformats.org/officeDocument/2006/relationships/image" Target="media/image17.tiff"/><Relationship Id="rId252" Type="http://schemas.openxmlformats.org/officeDocument/2006/relationships/hyperlink" Target="https://doi.org/10.1021/bi049852s" TargetMode="External"/><Relationship Id="rId294" Type="http://schemas.openxmlformats.org/officeDocument/2006/relationships/hyperlink" Target="https://doi.org/10.1016/j.syapm.2020.126112" TargetMode="External"/><Relationship Id="rId308" Type="http://schemas.openxmlformats.org/officeDocument/2006/relationships/hyperlink" Target="https://doi.org/10.1016/j.molcatb.2008.07.012" TargetMode="External"/><Relationship Id="rId47" Type="http://schemas.openxmlformats.org/officeDocument/2006/relationships/hyperlink" Target="https://www.frontiersin.org/journals/microbiology/articles/10.3389/fmicb.2023.1156033/full" TargetMode="External"/><Relationship Id="rId89" Type="http://schemas.openxmlformats.org/officeDocument/2006/relationships/hyperlink" Target="https://www.frontiersin.org/journals/microbiology/articles/10.3389/fmicb.2023.1156033/full" TargetMode="External"/><Relationship Id="rId112" Type="http://schemas.openxmlformats.org/officeDocument/2006/relationships/hyperlink" Target="https://www.frontiersin.org/journals/microbiology/articles/10.3389/fmicb.2023.1156033/full" TargetMode="External"/><Relationship Id="rId154" Type="http://schemas.openxmlformats.org/officeDocument/2006/relationships/hyperlink" Target="https://www.frontiersin.org/journals/microbiology/articles/10.3389/fmicb.2023.1156033/full" TargetMode="External"/><Relationship Id="rId361" Type="http://schemas.openxmlformats.org/officeDocument/2006/relationships/hyperlink" Target="https://doi.org/10.1128/JCM.00160-11" TargetMode="External"/><Relationship Id="rId196" Type="http://schemas.openxmlformats.org/officeDocument/2006/relationships/hyperlink" Target="https://www.frontiersin.org/journals/microbiology/articles/10.3389/fmicb.2023.1156033/full" TargetMode="External"/><Relationship Id="rId417" Type="http://schemas.openxmlformats.org/officeDocument/2006/relationships/image" Target="media/image41.tiff"/><Relationship Id="rId16" Type="http://schemas.openxmlformats.org/officeDocument/2006/relationships/hyperlink" Target="https://doi.org/10.1007/978-3-319-14836-6" TargetMode="External"/><Relationship Id="rId221" Type="http://schemas.openxmlformats.org/officeDocument/2006/relationships/hyperlink" Target="https://www.frontiersin.org/journals/microbiology/articles/10.3389/fmicb.2023.1156033/full" TargetMode="External"/><Relationship Id="rId263" Type="http://schemas.openxmlformats.org/officeDocument/2006/relationships/hyperlink" Target="https://doi.org/10.1155/2015/465056" TargetMode="External"/><Relationship Id="rId319" Type="http://schemas.openxmlformats.org/officeDocument/2006/relationships/hyperlink" Target="https://doi.org/10.1038/s41598-018-23390-7" TargetMode="External"/><Relationship Id="rId58" Type="http://schemas.openxmlformats.org/officeDocument/2006/relationships/hyperlink" Target="https://www.frontiersin.org/journals/microbiology/articles/10.3389/fmicb.2023.1156033/full" TargetMode="External"/><Relationship Id="rId123" Type="http://schemas.openxmlformats.org/officeDocument/2006/relationships/hyperlink" Target="https://www.frontiersin.org/journals/microbiology/articles/10.3389/fmicb.2023.1156033/full" TargetMode="External"/><Relationship Id="rId330" Type="http://schemas.openxmlformats.org/officeDocument/2006/relationships/hyperlink" Target="https://doi.org/10.7287/peerj.preprints.1900v1" TargetMode="External"/><Relationship Id="rId165" Type="http://schemas.openxmlformats.org/officeDocument/2006/relationships/hyperlink" Target="https://www.frontiersin.org/journals/microbiology/articles/10.3389/fmicb.2023.1156033/full" TargetMode="External"/><Relationship Id="rId372" Type="http://schemas.openxmlformats.org/officeDocument/2006/relationships/hyperlink" Target="https://doi.org/10.1073/pnas.1302377110" TargetMode="External"/><Relationship Id="rId428" Type="http://schemas.openxmlformats.org/officeDocument/2006/relationships/image" Target="media/image52.tiff"/><Relationship Id="rId232" Type="http://schemas.openxmlformats.org/officeDocument/2006/relationships/hyperlink" Target="https://www.frontiersin.org/journals/microbiology/articles/10.3389/fmicb.2023.1156033/full" TargetMode="External"/><Relationship Id="rId274" Type="http://schemas.openxmlformats.org/officeDocument/2006/relationships/hyperlink" Target="https://doi.org/10.1186/s13059-019-1832-y" TargetMode="External"/><Relationship Id="rId27" Type="http://schemas.openxmlformats.org/officeDocument/2006/relationships/hyperlink" Target="https://www.frontiersin.org/journals/microbiology/articles/10.3389/fmicb.2023.1156033/full" TargetMode="External"/><Relationship Id="rId69" Type="http://schemas.openxmlformats.org/officeDocument/2006/relationships/hyperlink" Target="https://www.frontiersin.org/journals/microbiology/articles/10.3389/fmicb.2023.1156033/full" TargetMode="External"/><Relationship Id="rId134" Type="http://schemas.openxmlformats.org/officeDocument/2006/relationships/hyperlink" Target="https://www.frontiersin.org/journals/microbiology/articles/10.3389/fmicb.2023.1156033/full" TargetMode="External"/><Relationship Id="rId80" Type="http://schemas.openxmlformats.org/officeDocument/2006/relationships/hyperlink" Target="https://www.frontiersin.org/journals/microbiology/articles/10.3389/fmicb.2023.1156033/full" TargetMode="External"/><Relationship Id="rId176" Type="http://schemas.openxmlformats.org/officeDocument/2006/relationships/hyperlink" Target="https://www.frontiersin.org/journals/microbiology/articles/10.3389/fmicb.2023.1156033/full" TargetMode="External"/><Relationship Id="rId341" Type="http://schemas.openxmlformats.org/officeDocument/2006/relationships/hyperlink" Target="https://doi.org/10.1099/ijs.0.042101-0" TargetMode="External"/><Relationship Id="rId383" Type="http://schemas.openxmlformats.org/officeDocument/2006/relationships/image" Target="media/image10.tiff"/><Relationship Id="rId201" Type="http://schemas.openxmlformats.org/officeDocument/2006/relationships/hyperlink" Target="https://www.frontiersin.org/journals/microbiology/articles/10.3389/fmicb.2023.1156033/full" TargetMode="External"/><Relationship Id="rId243" Type="http://schemas.openxmlformats.org/officeDocument/2006/relationships/hyperlink" Target="https://www.ncbi.nlm.nih.gov/genbank/" TargetMode="External"/><Relationship Id="rId285" Type="http://schemas.openxmlformats.org/officeDocument/2006/relationships/hyperlink" Target="https://doi.org/10.1099/ijsem.0.002252" TargetMode="External"/><Relationship Id="rId38" Type="http://schemas.openxmlformats.org/officeDocument/2006/relationships/hyperlink" Target="https://lpsn.dsmz.de/genus/massilia" TargetMode="External"/><Relationship Id="rId103" Type="http://schemas.openxmlformats.org/officeDocument/2006/relationships/hyperlink" Target="https://www.frontiersin.org/journals/microbiology/articles/10.3389/fmicb.2023.1156033/full" TargetMode="External"/><Relationship Id="rId310" Type="http://schemas.openxmlformats.org/officeDocument/2006/relationships/hyperlink" Target="https://doi.org/10.1007/s10482-020-01422-5" TargetMode="External"/><Relationship Id="rId91" Type="http://schemas.openxmlformats.org/officeDocument/2006/relationships/hyperlink" Target="https://www.frontiersin.org/journals/microbiology/articles/10.3389/fmicb.2023.1156033/full" TargetMode="External"/><Relationship Id="rId145" Type="http://schemas.openxmlformats.org/officeDocument/2006/relationships/hyperlink" Target="https://www.frontiersin.org/journals/microbiology/articles/10.3389/fmicb.2023.1156033/full" TargetMode="External"/><Relationship Id="rId187" Type="http://schemas.openxmlformats.org/officeDocument/2006/relationships/hyperlink" Target="https://www.frontiersin.org/journals/microbiology/articles/10.3389/fmicb.2023.1156033/full" TargetMode="External"/><Relationship Id="rId352" Type="http://schemas.openxmlformats.org/officeDocument/2006/relationships/hyperlink" Target="https://doi.org/10.1007/s12192-011-0307-1" TargetMode="External"/><Relationship Id="rId394" Type="http://schemas.openxmlformats.org/officeDocument/2006/relationships/image" Target="media/image19.tiff"/><Relationship Id="rId408" Type="http://schemas.openxmlformats.org/officeDocument/2006/relationships/image" Target="media/image32.tiff"/><Relationship Id="rId212" Type="http://schemas.openxmlformats.org/officeDocument/2006/relationships/hyperlink" Target="https://www.frontiersin.org/journals/microbiology/articles/10.3389/fmicb.2023.1156033/full" TargetMode="External"/><Relationship Id="rId254" Type="http://schemas.openxmlformats.org/officeDocument/2006/relationships/hyperlink" Target="https://doi.org/10.1093/bioinformatics/btu170" TargetMode="External"/><Relationship Id="rId28" Type="http://schemas.openxmlformats.org/officeDocument/2006/relationships/hyperlink" Target="https://www.frontiersin.org/journals/microbiology/articles/10.3389/fmicb.2023.1156033/full" TargetMode="External"/><Relationship Id="rId49" Type="http://schemas.openxmlformats.org/officeDocument/2006/relationships/hyperlink" Target="https://www.frontiersin.org/journals/microbiology/articles/10.3389/fmicb.2023.1156033/full" TargetMode="External"/><Relationship Id="rId114" Type="http://schemas.openxmlformats.org/officeDocument/2006/relationships/hyperlink" Target="https://www.frontiersin.org/journals/microbiology/articles/10.3389/fmicb.2023.1156033/full" TargetMode="External"/><Relationship Id="rId275" Type="http://schemas.openxmlformats.org/officeDocument/2006/relationships/hyperlink" Target="https://doi.org/10.1093/nar/gkr1178" TargetMode="External"/><Relationship Id="rId296" Type="http://schemas.openxmlformats.org/officeDocument/2006/relationships/hyperlink" Target="https://doi.org/10.1099/ijs.0.032441-0" TargetMode="External"/><Relationship Id="rId300" Type="http://schemas.openxmlformats.org/officeDocument/2006/relationships/hyperlink" Target="https://doi.org/10.1098/rstb.2006.1920" TargetMode="External"/><Relationship Id="rId60" Type="http://schemas.openxmlformats.org/officeDocument/2006/relationships/hyperlink" Target="https://www.frontiersin.org/journals/microbiology/articles/10.3389/fmicb.2023.1156033/full" TargetMode="External"/><Relationship Id="rId81" Type="http://schemas.openxmlformats.org/officeDocument/2006/relationships/hyperlink" Target="https://www.frontiersin.org/journals/microbiology/articles/10.3389/fmicb.2023.1156033/full" TargetMode="External"/><Relationship Id="rId135" Type="http://schemas.openxmlformats.org/officeDocument/2006/relationships/hyperlink" Target="https://www.frontiersin.org/journals/microbiology/articles/10.3389/fmicb.2023.1156033/full" TargetMode="External"/><Relationship Id="rId156" Type="http://schemas.openxmlformats.org/officeDocument/2006/relationships/hyperlink" Target="https://www.frontiersin.org/journals/microbiology/articles/10.3389/fmicb.2023.1156033/full" TargetMode="External"/><Relationship Id="rId177" Type="http://schemas.openxmlformats.org/officeDocument/2006/relationships/hyperlink" Target="https://www.frontiersin.org/journals/microbiology/articles/10.3389/fmicb.2023.1156033/full" TargetMode="External"/><Relationship Id="rId198" Type="http://schemas.openxmlformats.org/officeDocument/2006/relationships/hyperlink" Target="https://www.frontiersin.org/journals/microbiology/articles/10.3389/fmicb.2023.1156033/full" TargetMode="External"/><Relationship Id="rId321" Type="http://schemas.openxmlformats.org/officeDocument/2006/relationships/hyperlink" Target="https://doi.org/10.1101/gr.186072.114" TargetMode="External"/><Relationship Id="rId342" Type="http://schemas.openxmlformats.org/officeDocument/2006/relationships/hyperlink" Target="https://doi.org/10.1146/annurev-earth-040610-133514" TargetMode="External"/><Relationship Id="rId363" Type="http://schemas.openxmlformats.org/officeDocument/2006/relationships/hyperlink" Target="https://doi.org/10.1128/JB.182.10.2937-2944.2000" TargetMode="External"/><Relationship Id="rId384" Type="http://schemas.openxmlformats.org/officeDocument/2006/relationships/header" Target="header3.xml"/><Relationship Id="rId419" Type="http://schemas.openxmlformats.org/officeDocument/2006/relationships/image" Target="media/image43.tiff"/><Relationship Id="rId202" Type="http://schemas.openxmlformats.org/officeDocument/2006/relationships/hyperlink" Target="https://www.frontiersin.org/journals/microbiology/articles/10.3389/fmicb.2023.1156033/full" TargetMode="External"/><Relationship Id="rId223" Type="http://schemas.openxmlformats.org/officeDocument/2006/relationships/hyperlink" Target="https://www.frontiersin.org/journals/microbiology/articles/10.3389/fmicb.2023.1156033/full" TargetMode="External"/><Relationship Id="rId244" Type="http://schemas.openxmlformats.org/officeDocument/2006/relationships/hyperlink" Target="https://doi.org/10.1271/bbb.100729" TargetMode="External"/><Relationship Id="rId430" Type="http://schemas.openxmlformats.org/officeDocument/2006/relationships/image" Target="media/image54.tif"/><Relationship Id="rId18" Type="http://schemas.openxmlformats.org/officeDocument/2006/relationships/hyperlink" Target="https://www.frontiersin.org/journals/microbiology/articles/10.3389/fmicb.2023.1156033/full" TargetMode="External"/><Relationship Id="rId39" Type="http://schemas.openxmlformats.org/officeDocument/2006/relationships/hyperlink" Target="https://www.frontiersin.org/journals/microbiology/articles/10.3389/fmicb.2023.1156033/full" TargetMode="External"/><Relationship Id="rId265" Type="http://schemas.openxmlformats.org/officeDocument/2006/relationships/hyperlink" Target="https://doi.org/10.1016/B978-0-12-818322-9.00020-4" TargetMode="External"/><Relationship Id="rId286" Type="http://schemas.openxmlformats.org/officeDocument/2006/relationships/hyperlink" Target="https://doi.org/10.1099/ijsem.0.001315" TargetMode="External"/><Relationship Id="rId50" Type="http://schemas.openxmlformats.org/officeDocument/2006/relationships/hyperlink" Target="https://www.frontiersin.org/journals/microbiology/articles/10.3389/fmicb.2023.1156033/full" TargetMode="External"/><Relationship Id="rId104" Type="http://schemas.openxmlformats.org/officeDocument/2006/relationships/hyperlink" Target="https://www.frontiersin.org/journals/microbiology/articles/10.3389/fmicb.2023.1156033/full" TargetMode="External"/><Relationship Id="rId125" Type="http://schemas.openxmlformats.org/officeDocument/2006/relationships/hyperlink" Target="https://www.frontiersin.org/journals/microbiology/articles/10.3389/fmicb.2023.1156033/full" TargetMode="External"/><Relationship Id="rId146" Type="http://schemas.openxmlformats.org/officeDocument/2006/relationships/hyperlink" Target="https://www.frontiersin.org/journals/microbiology/articles/10.3389/fmicb.2023.1156033/full" TargetMode="External"/><Relationship Id="rId167" Type="http://schemas.openxmlformats.org/officeDocument/2006/relationships/hyperlink" Target="https://www.frontiersin.org/journals/microbiology/articles/10.3389/fmicb.2023.1156033/full" TargetMode="External"/><Relationship Id="rId188" Type="http://schemas.openxmlformats.org/officeDocument/2006/relationships/hyperlink" Target="https://www.frontiersin.org/journals/microbiology/articles/10.3389/fmicb.2023.1156033/full" TargetMode="External"/><Relationship Id="rId311" Type="http://schemas.openxmlformats.org/officeDocument/2006/relationships/hyperlink" Target="https://doi.org/10.1038/nrmicro3400" TargetMode="External"/><Relationship Id="rId332" Type="http://schemas.openxmlformats.org/officeDocument/2006/relationships/hyperlink" Target="https://doi.org/10.1021/acs.analchem.2c04632" TargetMode="External"/><Relationship Id="rId353" Type="http://schemas.openxmlformats.org/officeDocument/2006/relationships/hyperlink" Target="https://doi.org/10.1099/ijs.0.016949-0" TargetMode="External"/><Relationship Id="rId374" Type="http://schemas.openxmlformats.org/officeDocument/2006/relationships/hyperlink" Target="https://doi.org/10.1038/s43705-022-00202-8" TargetMode="External"/><Relationship Id="rId395" Type="http://schemas.openxmlformats.org/officeDocument/2006/relationships/image" Target="media/image20.tiff"/><Relationship Id="rId409" Type="http://schemas.openxmlformats.org/officeDocument/2006/relationships/image" Target="media/image33.tiff"/><Relationship Id="rId71" Type="http://schemas.openxmlformats.org/officeDocument/2006/relationships/hyperlink" Target="https://www.frontiersin.org/journals/microbiology/articles/10.3389/fmicb.2023.1156033/full" TargetMode="External"/><Relationship Id="rId92" Type="http://schemas.openxmlformats.org/officeDocument/2006/relationships/hyperlink" Target="https://www.frontiersin.org/journals/microbiology/articles/10.3389/fmicb.2023.1156033/full" TargetMode="External"/><Relationship Id="rId213" Type="http://schemas.openxmlformats.org/officeDocument/2006/relationships/hyperlink" Target="https://www.frontiersin.org/journals/microbiology/articles/10.3389/fmicb.2023.1156033/full" TargetMode="External"/><Relationship Id="rId234" Type="http://schemas.openxmlformats.org/officeDocument/2006/relationships/hyperlink" Target="https://www.frontiersin.org/journals/microbiology/articles/10.3389/fmicb.2023.1156033/full" TargetMode="External"/><Relationship Id="rId420" Type="http://schemas.openxmlformats.org/officeDocument/2006/relationships/image" Target="media/image44.tiff"/><Relationship Id="rId2" Type="http://schemas.openxmlformats.org/officeDocument/2006/relationships/customXml" Target="../customXml/item2.xml"/><Relationship Id="rId29" Type="http://schemas.openxmlformats.org/officeDocument/2006/relationships/hyperlink" Target="https://www.frontiersin.org/journals/microbiology/articles/10.3389/fmicb.2023.1156033/full" TargetMode="External"/><Relationship Id="rId255" Type="http://schemas.openxmlformats.org/officeDocument/2006/relationships/hyperlink" Target="https://doi.org/10.1007/s00248-011-9857-0" TargetMode="External"/><Relationship Id="rId276" Type="http://schemas.openxmlformats.org/officeDocument/2006/relationships/hyperlink" Target="https://doi.org/10.1111/j.1365-2958.1991.tb01968.x" TargetMode="External"/><Relationship Id="rId297" Type="http://schemas.openxmlformats.org/officeDocument/2006/relationships/hyperlink" Target="https://doi.org/10.1016/j.jmb.2015.11.006" TargetMode="External"/><Relationship Id="rId40" Type="http://schemas.openxmlformats.org/officeDocument/2006/relationships/hyperlink" Target="https://www.frontiersin.org/journals/microbiology/articles/10.3389/fmicb.2023.1156033/full" TargetMode="External"/><Relationship Id="rId115" Type="http://schemas.openxmlformats.org/officeDocument/2006/relationships/hyperlink" Target="https://www.frontiersin.org/journals/microbiology/articles/10.3389/fmicb.2023.1156033/full" TargetMode="External"/><Relationship Id="rId136" Type="http://schemas.openxmlformats.org/officeDocument/2006/relationships/hyperlink" Target="https://www.frontiersin.org/journals/microbiology/articles/10.3389/fmicb.2023.1156033/full" TargetMode="External"/><Relationship Id="rId157" Type="http://schemas.openxmlformats.org/officeDocument/2006/relationships/hyperlink" Target="https://www.frontiersin.org/journals/microbiology/articles/10.3389/fmicb.2023.1156033/full" TargetMode="External"/><Relationship Id="rId178" Type="http://schemas.openxmlformats.org/officeDocument/2006/relationships/hyperlink" Target="https://www.frontiersin.org/journals/microbiology/articles/10.3389/fmicb.2023.1156033/full" TargetMode="External"/><Relationship Id="rId301" Type="http://schemas.openxmlformats.org/officeDocument/2006/relationships/hyperlink" Target="https://doi.org/10.1073/pnas.0409727102" TargetMode="External"/><Relationship Id="rId322" Type="http://schemas.openxmlformats.org/officeDocument/2006/relationships/hyperlink" Target="https://doi.org/10.1007/s00300-011-1100-4" TargetMode="External"/><Relationship Id="rId343" Type="http://schemas.openxmlformats.org/officeDocument/2006/relationships/hyperlink" Target="https://doi.org/10.1038/280828a0" TargetMode="External"/><Relationship Id="rId364" Type="http://schemas.openxmlformats.org/officeDocument/2006/relationships/hyperlink" Target="https://doi.org/10.1128/jb.173.2.514-520.1991" TargetMode="External"/><Relationship Id="rId61" Type="http://schemas.openxmlformats.org/officeDocument/2006/relationships/hyperlink" Target="https://www.frontiersin.org/journals/microbiology/articles/10.3389/fmicb.2023.1156033/full" TargetMode="External"/><Relationship Id="rId82" Type="http://schemas.openxmlformats.org/officeDocument/2006/relationships/hyperlink" Target="https://www.frontiersin.org/journals/microbiology/articles/10.3389/fmicb.2023.1156033/full" TargetMode="External"/><Relationship Id="rId199" Type="http://schemas.openxmlformats.org/officeDocument/2006/relationships/hyperlink" Target="https://www.frontiersin.org/journals/microbiology/articles/10.3389/fmicb.2023.1156033/full" TargetMode="External"/><Relationship Id="rId203" Type="http://schemas.openxmlformats.org/officeDocument/2006/relationships/hyperlink" Target="https://www.frontiersin.org/journals/microbiology/articles/10.3389/fmicb.2023.1156033/full" TargetMode="External"/><Relationship Id="rId385" Type="http://schemas.openxmlformats.org/officeDocument/2006/relationships/footer" Target="footer2.xml"/><Relationship Id="rId19" Type="http://schemas.openxmlformats.org/officeDocument/2006/relationships/hyperlink" Target="https://www.frontiersin.org/journals/microbiology/articles/10.3389/fmicb.2023.1156033/full" TargetMode="External"/><Relationship Id="rId224" Type="http://schemas.openxmlformats.org/officeDocument/2006/relationships/hyperlink" Target="https://www.frontiersin.org/journals/microbiology/articles/10.3389/fmicb.2023.1156033/full" TargetMode="External"/><Relationship Id="rId245" Type="http://schemas.openxmlformats.org/officeDocument/2006/relationships/hyperlink" Target="https://doi.org/10.1016/S0022-2836(05)80360-2" TargetMode="External"/><Relationship Id="rId266" Type="http://schemas.openxmlformats.org/officeDocument/2006/relationships/hyperlink" Target="https://doi.org/10.1093/nar/gky425" TargetMode="External"/><Relationship Id="rId287" Type="http://schemas.openxmlformats.org/officeDocument/2006/relationships/hyperlink" Target="https://doi.org/10.1186/s40168-020-00990-y" TargetMode="External"/><Relationship Id="rId410" Type="http://schemas.openxmlformats.org/officeDocument/2006/relationships/image" Target="media/image34.tiff"/><Relationship Id="rId431" Type="http://schemas.openxmlformats.org/officeDocument/2006/relationships/image" Target="media/image55.tiff"/><Relationship Id="rId30" Type="http://schemas.openxmlformats.org/officeDocument/2006/relationships/hyperlink" Target="https://www.frontiersin.org/journals/microbiology/articles/10.3389/fmicb.2023.1156033/full" TargetMode="External"/><Relationship Id="rId105" Type="http://schemas.openxmlformats.org/officeDocument/2006/relationships/hyperlink" Target="https://www.frontiersin.org/journals/microbiology/articles/10.3389/fmicb.2023.1156033/full" TargetMode="External"/><Relationship Id="rId126" Type="http://schemas.openxmlformats.org/officeDocument/2006/relationships/hyperlink" Target="https://www.frontiersin.org/journals/microbiology/articles/10.3389/fmicb.2023.1156033/full" TargetMode="External"/><Relationship Id="rId147" Type="http://schemas.openxmlformats.org/officeDocument/2006/relationships/hyperlink" Target="https://www.frontiersin.org/journals/microbiology/articles/10.3389/fmicb.2023.1156033/full" TargetMode="External"/><Relationship Id="rId168" Type="http://schemas.openxmlformats.org/officeDocument/2006/relationships/hyperlink" Target="https://www.frontiersin.org/journals/microbiology/articles/10.3389/fmicb.2023.1156033/full" TargetMode="External"/><Relationship Id="rId312" Type="http://schemas.openxmlformats.org/officeDocument/2006/relationships/hyperlink" Target="https://doi.org/10.1016/j.geomorph.2006.07.025" TargetMode="External"/><Relationship Id="rId333" Type="http://schemas.openxmlformats.org/officeDocument/2006/relationships/hyperlink" Target="https://doi.org/10.1016/j.micres.2018.01.004" TargetMode="External"/><Relationship Id="rId354" Type="http://schemas.openxmlformats.org/officeDocument/2006/relationships/hyperlink" Target="https://doi.org/10.1038/ismej.2015.41" TargetMode="External"/><Relationship Id="rId51" Type="http://schemas.openxmlformats.org/officeDocument/2006/relationships/hyperlink" Target="https://www.frontiersin.org/journals/microbiology/articles/10.3389/fmicb.2023.1156033/full" TargetMode="External"/><Relationship Id="rId72" Type="http://schemas.openxmlformats.org/officeDocument/2006/relationships/hyperlink" Target="https://www.frontiersin.org/journals/microbiology/articles/10.3389/fmicb.2023.1156033/full" TargetMode="External"/><Relationship Id="rId93" Type="http://schemas.openxmlformats.org/officeDocument/2006/relationships/hyperlink" Target="https://www.frontiersin.org/journals/microbiology/articles/10.3389/fmicb.2023.1156033/full" TargetMode="External"/><Relationship Id="rId189" Type="http://schemas.openxmlformats.org/officeDocument/2006/relationships/hyperlink" Target="https://www.frontiersin.org/journals/microbiology/articles/10.3389/fmicb.2023.1156033/full" TargetMode="External"/><Relationship Id="rId375" Type="http://schemas.openxmlformats.org/officeDocument/2006/relationships/image" Target="media/image2.tiff"/><Relationship Id="rId396" Type="http://schemas.openxmlformats.org/officeDocument/2006/relationships/image" Target="media/image21.tiff"/><Relationship Id="rId3" Type="http://schemas.openxmlformats.org/officeDocument/2006/relationships/customXml" Target="../customXml/item3.xml"/><Relationship Id="rId214" Type="http://schemas.openxmlformats.org/officeDocument/2006/relationships/hyperlink" Target="https://www.frontiersin.org/journals/microbiology/articles/10.3389/fmicb.2023.1156033/full" TargetMode="External"/><Relationship Id="rId235" Type="http://schemas.openxmlformats.org/officeDocument/2006/relationships/hyperlink" Target="https://www.frontiersin.org/journals/microbiology/articles/10.3389/fmicb.2023.1156033/full" TargetMode="External"/><Relationship Id="rId256" Type="http://schemas.openxmlformats.org/officeDocument/2006/relationships/hyperlink" Target="http://researcharchive.vuw.ac.nz/handle/10063/4314" TargetMode="External"/><Relationship Id="rId277" Type="http://schemas.openxmlformats.org/officeDocument/2006/relationships/hyperlink" Target="https://doi.org/10.1016/j.geomorph.2014.03.044" TargetMode="External"/><Relationship Id="rId298" Type="http://schemas.openxmlformats.org/officeDocument/2006/relationships/hyperlink" Target="https://doi.org/10.1093/bioinformatics/bts199" TargetMode="External"/><Relationship Id="rId400" Type="http://schemas.openxmlformats.org/officeDocument/2006/relationships/image" Target="media/image25.tiff"/><Relationship Id="rId421" Type="http://schemas.openxmlformats.org/officeDocument/2006/relationships/image" Target="media/image45.tiff"/><Relationship Id="rId116" Type="http://schemas.openxmlformats.org/officeDocument/2006/relationships/hyperlink" Target="https://www.frontiersin.org/journals/microbiology/articles/10.3389/fmicb.2023.1156033/full" TargetMode="External"/><Relationship Id="rId137" Type="http://schemas.openxmlformats.org/officeDocument/2006/relationships/hyperlink" Target="https://www.frontiersin.org/journals/microbiology/articles/10.3389/fmicb.2023.1156033/full" TargetMode="External"/><Relationship Id="rId158" Type="http://schemas.openxmlformats.org/officeDocument/2006/relationships/hyperlink" Target="https://www.frontiersin.org/journals/microbiology/articles/10.3389/fmicb.2023.1156033/full" TargetMode="External"/><Relationship Id="rId302" Type="http://schemas.openxmlformats.org/officeDocument/2006/relationships/hyperlink" Target="https://doi.org/10.1111/j.1348-0421.2005.tb03662.x" TargetMode="External"/><Relationship Id="rId323" Type="http://schemas.openxmlformats.org/officeDocument/2006/relationships/hyperlink" Target="https://doi.org/10.1063/1.3642957" TargetMode="External"/><Relationship Id="rId344" Type="http://schemas.openxmlformats.org/officeDocument/2006/relationships/hyperlink" Target="https://doi.org/10.1016/0273-1177(83)90171-0" TargetMode="External"/><Relationship Id="rId20" Type="http://schemas.openxmlformats.org/officeDocument/2006/relationships/hyperlink" Target="https://www.frontiersin.org/journals/microbiology/articles/10.3389/fmicb.2023.1156033/full" TargetMode="External"/><Relationship Id="rId41" Type="http://schemas.openxmlformats.org/officeDocument/2006/relationships/hyperlink" Target="https://www.frontiersin.org/journals/microbiology/articles/10.3389/fmicb.2023.1156033/full" TargetMode="External"/><Relationship Id="rId62" Type="http://schemas.openxmlformats.org/officeDocument/2006/relationships/hyperlink" Target="https://www.frontiersin.org/journals/microbiology/articles/10.3389/fmicb.2023.1156033/full" TargetMode="External"/><Relationship Id="rId83" Type="http://schemas.openxmlformats.org/officeDocument/2006/relationships/hyperlink" Target="https://www.frontiersin.org/journals/microbiology/articles/10.3389/fmicb.2023.1156033/full" TargetMode="External"/><Relationship Id="rId179" Type="http://schemas.openxmlformats.org/officeDocument/2006/relationships/hyperlink" Target="https://www.frontiersin.org/journals/microbiology/articles/10.3389/fmicb.2023.1156033/full" TargetMode="External"/><Relationship Id="rId365" Type="http://schemas.openxmlformats.org/officeDocument/2006/relationships/hyperlink" Target="https://doi.org/10.1099/ijsem.0.002826" TargetMode="External"/><Relationship Id="rId386" Type="http://schemas.openxmlformats.org/officeDocument/2006/relationships/image" Target="media/image11.tiff"/><Relationship Id="rId190" Type="http://schemas.openxmlformats.org/officeDocument/2006/relationships/hyperlink" Target="https://www.frontiersin.org/journals/microbiology/articles/10.3389/fmicb.2023.1156033/full" TargetMode="External"/><Relationship Id="rId204" Type="http://schemas.openxmlformats.org/officeDocument/2006/relationships/hyperlink" Target="https://www.frontiersin.org/journals/microbiology/articles/10.3389/fmicb.2023.1156033/full" TargetMode="External"/><Relationship Id="rId225" Type="http://schemas.openxmlformats.org/officeDocument/2006/relationships/hyperlink" Target="https://www.frontiersin.org/journals/microbiology/articles/10.3389/fmicb.2023.1156033/full" TargetMode="External"/><Relationship Id="rId246" Type="http://schemas.openxmlformats.org/officeDocument/2006/relationships/hyperlink" Target="https://doi.org/10.1128/AEM.02193-08" TargetMode="External"/><Relationship Id="rId267" Type="http://schemas.openxmlformats.org/officeDocument/2006/relationships/hyperlink" Target="https://doi.org/10.1007/s10482-021-01600-z" TargetMode="External"/><Relationship Id="rId288" Type="http://schemas.openxmlformats.org/officeDocument/2006/relationships/hyperlink" Target="https://doi.org/10.1093/bioinformatics/btt086" TargetMode="External"/><Relationship Id="rId411" Type="http://schemas.openxmlformats.org/officeDocument/2006/relationships/image" Target="media/image35.tiff"/><Relationship Id="rId432" Type="http://schemas.openxmlformats.org/officeDocument/2006/relationships/footer" Target="footer4.xml"/><Relationship Id="rId106" Type="http://schemas.openxmlformats.org/officeDocument/2006/relationships/hyperlink" Target="https://www.frontiersin.org/journals/microbiology/articles/10.3389/fmicb.2023.1156033/full" TargetMode="External"/><Relationship Id="rId127" Type="http://schemas.openxmlformats.org/officeDocument/2006/relationships/hyperlink" Target="https://www.frontiersin.org/journals/microbiology/articles/10.3389/fmicb.2023.1156033/full" TargetMode="External"/><Relationship Id="rId313" Type="http://schemas.openxmlformats.org/officeDocument/2006/relationships/hyperlink" Target="https://doi.org/10.1093/nar/gkab902" TargetMode="External"/><Relationship Id="rId10" Type="http://schemas.openxmlformats.org/officeDocument/2006/relationships/endnotes" Target="endnotes.xml"/><Relationship Id="rId31" Type="http://schemas.openxmlformats.org/officeDocument/2006/relationships/hyperlink" Target="https://www.frontiersin.org/journals/microbiology/articles/10.3389/fmicb.2023.1156033/full" TargetMode="External"/><Relationship Id="rId52" Type="http://schemas.openxmlformats.org/officeDocument/2006/relationships/hyperlink" Target="https://www.frontiersin.org/journals/microbiology/articles/10.3389/fmicb.2023.1156033/full" TargetMode="External"/><Relationship Id="rId73" Type="http://schemas.openxmlformats.org/officeDocument/2006/relationships/hyperlink" Target="https://www.frontiersin.org/journals/microbiology/articles/10.3389/fmicb.2023.1156033/full" TargetMode="External"/><Relationship Id="rId94" Type="http://schemas.openxmlformats.org/officeDocument/2006/relationships/hyperlink" Target="https://www.frontiersin.org/journals/microbiology/articles/10.3389/fmicb.2023.1156033/full" TargetMode="External"/><Relationship Id="rId148" Type="http://schemas.openxmlformats.org/officeDocument/2006/relationships/hyperlink" Target="https://www.frontiersin.org/journals/microbiology/articles/10.3389/fmicb.2023.1156033/full" TargetMode="External"/><Relationship Id="rId169" Type="http://schemas.openxmlformats.org/officeDocument/2006/relationships/hyperlink" Target="https://www.frontiersin.org/journals/microbiology/articles/10.3389/fmicb.2023.1156033/full" TargetMode="External"/><Relationship Id="rId334" Type="http://schemas.openxmlformats.org/officeDocument/2006/relationships/hyperlink" Target="https://doi.org/10.1186/1746-1448-4-4" TargetMode="External"/><Relationship Id="rId355" Type="http://schemas.openxmlformats.org/officeDocument/2006/relationships/hyperlink" Target="https://doi.org/10.1111/j.1574-695X.2002.tb00569.x" TargetMode="External"/><Relationship Id="rId376" Type="http://schemas.openxmlformats.org/officeDocument/2006/relationships/image" Target="media/image3.tiff"/><Relationship Id="rId397" Type="http://schemas.openxmlformats.org/officeDocument/2006/relationships/image" Target="media/image22.tiff"/><Relationship Id="rId4" Type="http://schemas.openxmlformats.org/officeDocument/2006/relationships/customXml" Target="../customXml/item4.xml"/><Relationship Id="rId180" Type="http://schemas.openxmlformats.org/officeDocument/2006/relationships/hyperlink" Target="https://www.frontiersin.org/journals/microbiology/articles/10.3389/fmicb.2023.1156033/full" TargetMode="External"/><Relationship Id="rId215" Type="http://schemas.openxmlformats.org/officeDocument/2006/relationships/hyperlink" Target="https://www.frontiersin.org/journals/microbiology/articles/10.3389/fmicb.2023.1156033/full" TargetMode="External"/><Relationship Id="rId236" Type="http://schemas.openxmlformats.org/officeDocument/2006/relationships/hyperlink" Target="https://www.frontiersin.org/journals/microbiology/articles/10.3389/fmicb.2023.1156033/full" TargetMode="External"/><Relationship Id="rId257" Type="http://schemas.openxmlformats.org/officeDocument/2006/relationships/hyperlink" Target="https://doi.org/10.1073/pnas.1000080107" TargetMode="External"/><Relationship Id="rId278" Type="http://schemas.openxmlformats.org/officeDocument/2006/relationships/hyperlink" Target="https://doi.org/10.1002/joc.1933" TargetMode="External"/><Relationship Id="rId401" Type="http://schemas.openxmlformats.org/officeDocument/2006/relationships/image" Target="media/image26.tiff"/><Relationship Id="rId422" Type="http://schemas.openxmlformats.org/officeDocument/2006/relationships/image" Target="media/image46.tiff"/><Relationship Id="rId303" Type="http://schemas.openxmlformats.org/officeDocument/2006/relationships/hyperlink" Target="https://doi.org/10.1073/pnas.88.23.10907" TargetMode="External"/><Relationship Id="rId42" Type="http://schemas.openxmlformats.org/officeDocument/2006/relationships/hyperlink" Target="https://www.frontiersin.org/journals/microbiology/articles/10.3389/fmicb.2023.1156033/full" TargetMode="External"/><Relationship Id="rId84" Type="http://schemas.openxmlformats.org/officeDocument/2006/relationships/hyperlink" Target="https://www.frontiersin.org/journals/microbiology/articles/10.3389/fmicb.2023.1156033/full" TargetMode="External"/><Relationship Id="rId138" Type="http://schemas.openxmlformats.org/officeDocument/2006/relationships/hyperlink" Target="https://www.frontiersin.org/journals/microbiology/articles/10.3389/fmicb.2023.1156033/full" TargetMode="External"/><Relationship Id="rId345" Type="http://schemas.openxmlformats.org/officeDocument/2006/relationships/hyperlink" Target="https://doi.org/10.1038/s41467-020-19986-1" TargetMode="External"/><Relationship Id="rId387" Type="http://schemas.openxmlformats.org/officeDocument/2006/relationships/image" Target="media/image12.tiff"/><Relationship Id="rId191" Type="http://schemas.openxmlformats.org/officeDocument/2006/relationships/hyperlink" Target="https://www.frontiersin.org/journals/microbiology/articles/10.3389/fmicb.2023.1156033/full" TargetMode="External"/><Relationship Id="rId205" Type="http://schemas.openxmlformats.org/officeDocument/2006/relationships/hyperlink" Target="https://www.frontiersin.org/journals/microbiology/articles/10.3389/fmicb.2023.1156033/full" TargetMode="External"/><Relationship Id="rId247" Type="http://schemas.openxmlformats.org/officeDocument/2006/relationships/hyperlink" Target="https://doi.org/10.1134/S0026261715010026" TargetMode="External"/><Relationship Id="rId412" Type="http://schemas.openxmlformats.org/officeDocument/2006/relationships/image" Target="media/image36.tiff"/><Relationship Id="rId107" Type="http://schemas.openxmlformats.org/officeDocument/2006/relationships/hyperlink" Target="https://www.frontiersin.org/journals/microbiology/articles/10.3389/fmicb.2023.1156033/full" TargetMode="External"/><Relationship Id="rId289" Type="http://schemas.openxmlformats.org/officeDocument/2006/relationships/hyperlink" Target="https://www.frontiersin.org/articles/10.3389/fpls.2020.579807" TargetMode="External"/><Relationship Id="rId11" Type="http://schemas.openxmlformats.org/officeDocument/2006/relationships/header" Target="header1.xml"/><Relationship Id="rId53" Type="http://schemas.openxmlformats.org/officeDocument/2006/relationships/hyperlink" Target="https://www.frontiersin.org/journals/microbiology/articles/10.3389/fmicb.2023.1156033/full" TargetMode="External"/><Relationship Id="rId149" Type="http://schemas.openxmlformats.org/officeDocument/2006/relationships/hyperlink" Target="https://www.frontiersin.org/journals/microbiology/articles/10.3389/fmicb.2023.1156033/full" TargetMode="External"/><Relationship Id="rId314" Type="http://schemas.openxmlformats.org/officeDocument/2006/relationships/hyperlink" Target="https://doi.org/10.1074/jbc.M209686200" TargetMode="External"/><Relationship Id="rId356" Type="http://schemas.openxmlformats.org/officeDocument/2006/relationships/hyperlink" Target="https://doi.org/10.1016/j.epsl.2017.06.039" TargetMode="External"/><Relationship Id="rId398" Type="http://schemas.openxmlformats.org/officeDocument/2006/relationships/image" Target="media/image23.tiff"/><Relationship Id="rId95" Type="http://schemas.openxmlformats.org/officeDocument/2006/relationships/hyperlink" Target="https://www.frontiersin.org/journals/microbiology/articles/10.3389/fmicb.2023.1156033/full" TargetMode="External"/><Relationship Id="rId160" Type="http://schemas.openxmlformats.org/officeDocument/2006/relationships/hyperlink" Target="https://www.frontiersin.org/journals/microbiology/articles/10.3389/fmicb.2023.1156033/full" TargetMode="External"/><Relationship Id="rId216" Type="http://schemas.openxmlformats.org/officeDocument/2006/relationships/hyperlink" Target="https://www.frontiersin.org/journals/microbiology/articles/10.3389/fmicb.2023.1156033/full" TargetMode="External"/><Relationship Id="rId423" Type="http://schemas.openxmlformats.org/officeDocument/2006/relationships/image" Target="media/image47.tiff"/><Relationship Id="rId258" Type="http://schemas.openxmlformats.org/officeDocument/2006/relationships/hyperlink" Target="https://doi.org/10.1016/j.geodrs.2022.e00497" TargetMode="External"/><Relationship Id="rId22" Type="http://schemas.openxmlformats.org/officeDocument/2006/relationships/hyperlink" Target="https://www.frontiersin.org/journals/microbiology/articles/10.3389/fmicb.2023.1156033/full" TargetMode="External"/><Relationship Id="rId64" Type="http://schemas.openxmlformats.org/officeDocument/2006/relationships/hyperlink" Target="https://www.frontiersin.org/journals/microbiology/articles/10.3389/fmicb.2023.1156033/full" TargetMode="External"/><Relationship Id="rId118" Type="http://schemas.openxmlformats.org/officeDocument/2006/relationships/hyperlink" Target="https://www.frontiersin.org/journals/microbiology/articles/10.3389/fmicb.2023.1156033/full" TargetMode="External"/><Relationship Id="rId325" Type="http://schemas.openxmlformats.org/officeDocument/2006/relationships/hyperlink" Target="https://doi.org/10.1007/s00300-020-02742-y" TargetMode="External"/><Relationship Id="rId367" Type="http://schemas.openxmlformats.org/officeDocument/2006/relationships/hyperlink" Target="https://doi.org/10.1128/jb.173.2.697-703.1991" TargetMode="External"/><Relationship Id="rId171" Type="http://schemas.openxmlformats.org/officeDocument/2006/relationships/hyperlink" Target="https://www.frontiersin.org/journals/microbiology/articles/10.3389/fmicb.2023.1156033/full" TargetMode="External"/><Relationship Id="rId227" Type="http://schemas.openxmlformats.org/officeDocument/2006/relationships/hyperlink" Target="https://www.frontiersin.org/journals/microbiology/articles/10.3389/fmicb.2023.1156033/full" TargetMode="External"/><Relationship Id="rId269" Type="http://schemas.openxmlformats.org/officeDocument/2006/relationships/hyperlink" Target="https://doi.org/10.1029/AR072p0039" TargetMode="External"/><Relationship Id="rId434" Type="http://schemas.openxmlformats.org/officeDocument/2006/relationships/theme" Target="theme/theme1.xml"/><Relationship Id="rId33" Type="http://schemas.openxmlformats.org/officeDocument/2006/relationships/hyperlink" Target="https://www.frontiersin.org/journals/microbiology/articles/10.3389/fmicb.2023.1156033/full" TargetMode="External"/><Relationship Id="rId129" Type="http://schemas.openxmlformats.org/officeDocument/2006/relationships/hyperlink" Target="https://www.frontiersin.org/journals/microbiology/articles/10.3389/fmicb.2023.1156033/full" TargetMode="External"/><Relationship Id="rId280" Type="http://schemas.openxmlformats.org/officeDocument/2006/relationships/hyperlink" Target="https://doi.org/10.1099/ijs.0.64389-0" TargetMode="External"/><Relationship Id="rId336" Type="http://schemas.openxmlformats.org/officeDocument/2006/relationships/hyperlink" Target="https://doi.org/10.1111/jam.14386" TargetMode="External"/><Relationship Id="rId75" Type="http://schemas.openxmlformats.org/officeDocument/2006/relationships/hyperlink" Target="https://www.frontiersin.org/journals/microbiology/articles/10.3389/fmicb.2023.1156033/full" TargetMode="External"/><Relationship Id="rId140" Type="http://schemas.openxmlformats.org/officeDocument/2006/relationships/hyperlink" Target="https://www.frontiersin.org/journals/microbiology/articles/10.3389/fmicb.2023.1156033/full" TargetMode="External"/><Relationship Id="rId182" Type="http://schemas.openxmlformats.org/officeDocument/2006/relationships/hyperlink" Target="https://www.frontiersin.org/journals/microbiology/articles/10.3389/fmicb.2023.1156033/full" TargetMode="External"/><Relationship Id="rId378" Type="http://schemas.openxmlformats.org/officeDocument/2006/relationships/image" Target="media/image5.tiff"/><Relationship Id="rId403" Type="http://schemas.openxmlformats.org/officeDocument/2006/relationships/image" Target="media/image28.tiff"/><Relationship Id="rId6" Type="http://schemas.openxmlformats.org/officeDocument/2006/relationships/styles" Target="styles.xml"/><Relationship Id="rId238" Type="http://schemas.openxmlformats.org/officeDocument/2006/relationships/hyperlink" Target="https://www.frontiersin.org/journals/microbiology/articles/10.3389/fmicb.2023.1156033/full" TargetMode="External"/><Relationship Id="rId291" Type="http://schemas.openxmlformats.org/officeDocument/2006/relationships/hyperlink" Target="https://doi.org/10.1099/mic.0.27222-0" TargetMode="External"/><Relationship Id="rId305" Type="http://schemas.openxmlformats.org/officeDocument/2006/relationships/hyperlink" Target="https://doi.org/10.1017/S0954102012000727" TargetMode="External"/><Relationship Id="rId347" Type="http://schemas.openxmlformats.org/officeDocument/2006/relationships/hyperlink" Target="https://doi.org/10.1007/s00284-021-02379-y" TargetMode="External"/><Relationship Id="rId44" Type="http://schemas.openxmlformats.org/officeDocument/2006/relationships/hyperlink" Target="https://www.frontiersin.org/journals/microbiology/articles/10.3389/fmicb.2023.1156033/full" TargetMode="External"/><Relationship Id="rId86" Type="http://schemas.openxmlformats.org/officeDocument/2006/relationships/hyperlink" Target="https://www.frontiersin.org/journals/microbiology/articles/10.3389/fmicb.2023.1156033/full" TargetMode="External"/><Relationship Id="rId151" Type="http://schemas.openxmlformats.org/officeDocument/2006/relationships/hyperlink" Target="https://www.frontiersin.org/journals/microbiology/articles/10.3389/fmicb.2023.1156033/full" TargetMode="External"/><Relationship Id="rId389" Type="http://schemas.openxmlformats.org/officeDocument/2006/relationships/image" Target="media/image14.tiff"/><Relationship Id="rId193" Type="http://schemas.openxmlformats.org/officeDocument/2006/relationships/hyperlink" Target="https://www.frontiersin.org/journals/microbiology/articles/10.3389/fmicb.2023.1156033/full" TargetMode="External"/><Relationship Id="rId207" Type="http://schemas.openxmlformats.org/officeDocument/2006/relationships/hyperlink" Target="https://www.frontiersin.org/journals/microbiology/articles/10.3389/fmicb.2023.1156033/full" TargetMode="External"/><Relationship Id="rId249" Type="http://schemas.openxmlformats.org/officeDocument/2006/relationships/hyperlink" Target="https://doi.org/10.3354/ame01753" TargetMode="External"/><Relationship Id="rId414" Type="http://schemas.openxmlformats.org/officeDocument/2006/relationships/image" Target="media/image38.tiff"/><Relationship Id="rId13" Type="http://schemas.openxmlformats.org/officeDocument/2006/relationships/footer" Target="footer1.xml"/><Relationship Id="rId109" Type="http://schemas.openxmlformats.org/officeDocument/2006/relationships/hyperlink" Target="https://www.frontiersin.org/journals/microbiology/articles/10.3389/fmicb.2023.1156033/full" TargetMode="External"/><Relationship Id="rId260" Type="http://schemas.openxmlformats.org/officeDocument/2006/relationships/hyperlink" Target="https://doi.org/10.1111/php.13507" TargetMode="External"/><Relationship Id="rId316" Type="http://schemas.openxmlformats.org/officeDocument/2006/relationships/hyperlink" Target="https://doi.org/10.1016/j.jbiotec.2016.02.027" TargetMode="External"/><Relationship Id="rId55" Type="http://schemas.openxmlformats.org/officeDocument/2006/relationships/hyperlink" Target="https://www.frontiersin.org/journals/microbiology/articles/10.3389/fmicb.2023.1156033/full" TargetMode="External"/><Relationship Id="rId97" Type="http://schemas.openxmlformats.org/officeDocument/2006/relationships/hyperlink" Target="https://www.frontiersin.org/journals/microbiology/articles/10.3389/fmicb.2023.1156033/full" TargetMode="External"/><Relationship Id="rId120" Type="http://schemas.openxmlformats.org/officeDocument/2006/relationships/hyperlink" Target="https://www.frontiersin.org/journals/microbiology/articles/10.3389/fmicb.2023.1156033/full" TargetMode="External"/><Relationship Id="rId358" Type="http://schemas.openxmlformats.org/officeDocument/2006/relationships/hyperlink" Target="https://doi.org/10.1017/S1355838201010135" TargetMode="External"/><Relationship Id="rId162" Type="http://schemas.openxmlformats.org/officeDocument/2006/relationships/hyperlink" Target="https://www.frontiersin.org/journals/microbiology/articles/10.3389/fmicb.2023.1156033/full" TargetMode="External"/><Relationship Id="rId218" Type="http://schemas.openxmlformats.org/officeDocument/2006/relationships/hyperlink" Target="https://www.frontiersin.org/journals/microbiology/articles/10.3389/fmicb.2023.1156033/full" TargetMode="External"/><Relationship Id="rId425" Type="http://schemas.openxmlformats.org/officeDocument/2006/relationships/image" Target="media/image49.tif"/><Relationship Id="rId271" Type="http://schemas.openxmlformats.org/officeDocument/2006/relationships/hyperlink" Target="https://doi.org/10.1111/j.0022-3646.1992.00199.x" TargetMode="External"/><Relationship Id="rId24" Type="http://schemas.openxmlformats.org/officeDocument/2006/relationships/hyperlink" Target="https://www.frontiersin.org/journals/microbiology/articles/10.3389/fmicb.2023.1156033/full" TargetMode="External"/><Relationship Id="rId66" Type="http://schemas.openxmlformats.org/officeDocument/2006/relationships/hyperlink" Target="https://www.frontiersin.org/journals/microbiology/articles/10.3389/fmicb.2023.1156033/full" TargetMode="External"/><Relationship Id="rId131" Type="http://schemas.openxmlformats.org/officeDocument/2006/relationships/hyperlink" Target="https://www.frontiersin.org/journals/microbiology/articles/10.3389/fmicb.2023.1156033/full" TargetMode="External"/><Relationship Id="rId327" Type="http://schemas.openxmlformats.org/officeDocument/2006/relationships/hyperlink" Target="https://doi.org/10.3389/fmicb.2017.01346" TargetMode="External"/><Relationship Id="rId369" Type="http://schemas.openxmlformats.org/officeDocument/2006/relationships/hyperlink" Target="https://doi.org/10.1007/s00248-017-1095-7" TargetMode="External"/><Relationship Id="rId173" Type="http://schemas.openxmlformats.org/officeDocument/2006/relationships/hyperlink" Target="https://www.frontiersin.org/journals/microbiology/articles/10.3389/fmicb.2023.1156033/full" TargetMode="External"/><Relationship Id="rId229" Type="http://schemas.openxmlformats.org/officeDocument/2006/relationships/hyperlink" Target="https://www.frontiersin.org/journals/microbiology/articles/10.3389/fmicb.2023.1156033/full" TargetMode="External"/><Relationship Id="rId380" Type="http://schemas.openxmlformats.org/officeDocument/2006/relationships/image" Target="media/image7.svg"/><Relationship Id="rId240" Type="http://schemas.openxmlformats.org/officeDocument/2006/relationships/hyperlink" Target="https://www.frontiersin.org/journals/microbiology/articles/10.3389/fmicb.2023.1156033/full" TargetMode="External"/><Relationship Id="rId35" Type="http://schemas.openxmlformats.org/officeDocument/2006/relationships/hyperlink" Target="https://www.frontiersin.org/journals/microbiology/articles/10.3389/fmicb.2023.1156033/full" TargetMode="External"/><Relationship Id="rId77" Type="http://schemas.openxmlformats.org/officeDocument/2006/relationships/hyperlink" Target="https://www.frontiersin.org/journals/microbiology/articles/10.3389/fmicb.2023.1156033/full" TargetMode="External"/><Relationship Id="rId100" Type="http://schemas.openxmlformats.org/officeDocument/2006/relationships/hyperlink" Target="https://www.frontiersin.org/journals/microbiology/articles/10.3389/fmicb.2023.1156033/full" TargetMode="External"/><Relationship Id="rId282" Type="http://schemas.openxmlformats.org/officeDocument/2006/relationships/hyperlink" Target="https://doi.org/10.1007/978-3-319-14836-6" TargetMode="External"/><Relationship Id="rId338" Type="http://schemas.openxmlformats.org/officeDocument/2006/relationships/hyperlink" Target="https://doi.org/10.3390/microorganisms10040704" TargetMode="External"/><Relationship Id="rId8" Type="http://schemas.openxmlformats.org/officeDocument/2006/relationships/webSettings" Target="webSettings.xml"/><Relationship Id="rId142" Type="http://schemas.openxmlformats.org/officeDocument/2006/relationships/hyperlink" Target="https://www.frontiersin.org/journals/microbiology/articles/10.3389/fmicb.2023.1156033/full" TargetMode="External"/><Relationship Id="rId184" Type="http://schemas.openxmlformats.org/officeDocument/2006/relationships/hyperlink" Target="https://www.frontiersin.org/journals/microbiology/articles/10.3389/fmicb.2023.1156033/full" TargetMode="External"/><Relationship Id="rId391" Type="http://schemas.openxmlformats.org/officeDocument/2006/relationships/image" Target="media/image16.tiff"/><Relationship Id="rId405" Type="http://schemas.openxmlformats.org/officeDocument/2006/relationships/image" Target="media/image30.tiff"/><Relationship Id="rId251" Type="http://schemas.openxmlformats.org/officeDocument/2006/relationships/hyperlink" Target="https://doi.org/10.1016/j.geoderma.2012.06.028" TargetMode="External"/><Relationship Id="rId46" Type="http://schemas.openxmlformats.org/officeDocument/2006/relationships/hyperlink" Target="https://www.frontiersin.org/journals/microbiology/articles/10.3389/fmicb.2023.1156033/full" TargetMode="External"/><Relationship Id="rId293" Type="http://schemas.openxmlformats.org/officeDocument/2006/relationships/hyperlink" Target="https://doi.org/10.1078/0723202042370008" TargetMode="External"/><Relationship Id="rId307" Type="http://schemas.openxmlformats.org/officeDocument/2006/relationships/hyperlink" Target="https://doi.org/10.1021/ja8025278" TargetMode="External"/><Relationship Id="rId349" Type="http://schemas.openxmlformats.org/officeDocument/2006/relationships/hyperlink" Target="https://doi.org/10.1111/ics.12175" TargetMode="External"/><Relationship Id="rId88" Type="http://schemas.openxmlformats.org/officeDocument/2006/relationships/hyperlink" Target="https://www.frontiersin.org/journals/microbiology/articles/10.3389/fmicb.2023.1156033/full" TargetMode="External"/><Relationship Id="rId111" Type="http://schemas.openxmlformats.org/officeDocument/2006/relationships/hyperlink" Target="https://www.frontiersin.org/journals/microbiology/articles/10.3389/fmicb.2023.1156033/full" TargetMode="External"/><Relationship Id="rId153" Type="http://schemas.openxmlformats.org/officeDocument/2006/relationships/hyperlink" Target="https://www.frontiersin.org/journals/microbiology/articles/10.3389/fmicb.2023.1156033/full" TargetMode="External"/><Relationship Id="rId195" Type="http://schemas.openxmlformats.org/officeDocument/2006/relationships/hyperlink" Target="https://www.frontiersin.org/journals/microbiology/articles/10.3389/fmicb.2023.1156033/full" TargetMode="External"/><Relationship Id="rId209" Type="http://schemas.openxmlformats.org/officeDocument/2006/relationships/hyperlink" Target="https://www.frontiersin.org/journals/microbiology/articles/10.3389/fmicb.2023.1156033/full" TargetMode="External"/><Relationship Id="rId360" Type="http://schemas.openxmlformats.org/officeDocument/2006/relationships/hyperlink" Target="https://doi.org/10.1016/S0167-4781(98)00058-X" TargetMode="External"/><Relationship Id="rId416" Type="http://schemas.openxmlformats.org/officeDocument/2006/relationships/image" Target="media/image40.tiff"/><Relationship Id="rId220" Type="http://schemas.openxmlformats.org/officeDocument/2006/relationships/hyperlink" Target="https://www.frontiersin.org/journals/microbiology/articles/10.3389/fmicb.2023.1156033/full" TargetMode="External"/><Relationship Id="rId15" Type="http://schemas.openxmlformats.org/officeDocument/2006/relationships/hyperlink" Target="https://doi.org/10.1525/bisi.1999.49.12.961" TargetMode="External"/><Relationship Id="rId57" Type="http://schemas.openxmlformats.org/officeDocument/2006/relationships/hyperlink" Target="https://www.frontiersin.org/journals/microbiology/articles/10.3389/fmicb.2023.1156033/full" TargetMode="External"/><Relationship Id="rId262" Type="http://schemas.openxmlformats.org/officeDocument/2006/relationships/hyperlink" Target="https://doi.org/10.1016/j.jcrs.2015.07.016" TargetMode="External"/><Relationship Id="rId318" Type="http://schemas.openxmlformats.org/officeDocument/2006/relationships/hyperlink" Target="https://doi.org/10.1029/2019JD032180" TargetMode="External"/><Relationship Id="rId99" Type="http://schemas.openxmlformats.org/officeDocument/2006/relationships/hyperlink" Target="https://www.frontiersin.org/journals/microbiology/articles/10.3389/fmicb.2023.1156033/full" TargetMode="External"/><Relationship Id="rId122" Type="http://schemas.openxmlformats.org/officeDocument/2006/relationships/hyperlink" Target="https://www.frontiersin.org/journals/microbiology/articles/10.3389/fmicb.2023.1156033/full" TargetMode="External"/><Relationship Id="rId164" Type="http://schemas.openxmlformats.org/officeDocument/2006/relationships/hyperlink" Target="https://www.frontiersin.org/journals/microbiology/articles/10.3389/fmicb.2023.1156033/full" TargetMode="External"/><Relationship Id="rId371" Type="http://schemas.openxmlformats.org/officeDocument/2006/relationships/hyperlink" Target="https://doi.org/10.1099/ijsem.0.003449" TargetMode="External"/><Relationship Id="rId427" Type="http://schemas.openxmlformats.org/officeDocument/2006/relationships/image" Target="media/image51.tiff"/><Relationship Id="rId26" Type="http://schemas.openxmlformats.org/officeDocument/2006/relationships/hyperlink" Target="https://www.frontiersin.org/journals/microbiology/articles/10.3389/fmicb.2023.1156033/full" TargetMode="External"/><Relationship Id="rId231" Type="http://schemas.openxmlformats.org/officeDocument/2006/relationships/hyperlink" Target="https://www.frontiersin.org/journals/microbiology/articles/10.3389/fmicb.2023.1156033/full" TargetMode="External"/><Relationship Id="rId273" Type="http://schemas.openxmlformats.org/officeDocument/2006/relationships/hyperlink" Target="https://doi.org/10.1029/2017JF004589" TargetMode="External"/><Relationship Id="rId329" Type="http://schemas.openxmlformats.org/officeDocument/2006/relationships/hyperlink" Target="https://www.R-project.org/" TargetMode="External"/><Relationship Id="rId68" Type="http://schemas.openxmlformats.org/officeDocument/2006/relationships/hyperlink" Target="https://www.frontiersin.org/journals/microbiology/articles/10.3389/fmicb.2023.1156033/full" TargetMode="External"/><Relationship Id="rId133" Type="http://schemas.openxmlformats.org/officeDocument/2006/relationships/hyperlink" Target="https://www.frontiersin.org/journals/microbiology/articles/10.3389/fmicb.2023.1156033/full" TargetMode="External"/><Relationship Id="rId175" Type="http://schemas.openxmlformats.org/officeDocument/2006/relationships/hyperlink" Target="https://www.frontiersin.org/journals/microbiology/articles/10.3389/fmicb.2023.1156033/full" TargetMode="External"/><Relationship Id="rId340" Type="http://schemas.openxmlformats.org/officeDocument/2006/relationships/hyperlink" Target="https://doi.org/10.1099/ijs.0.000229" TargetMode="External"/><Relationship Id="rId200" Type="http://schemas.openxmlformats.org/officeDocument/2006/relationships/hyperlink" Target="https://www.frontiersin.org/journals/microbiology/articles/10.3389/fmicb.2023.1156033/full" TargetMode="External"/><Relationship Id="rId382" Type="http://schemas.openxmlformats.org/officeDocument/2006/relationships/image" Target="media/image9.tif"/><Relationship Id="rId242" Type="http://schemas.openxmlformats.org/officeDocument/2006/relationships/hyperlink" Target="https://www.ncbi.nlm.nih.gov/genbank/" TargetMode="External"/><Relationship Id="rId284" Type="http://schemas.openxmlformats.org/officeDocument/2006/relationships/hyperlink" Target="https://doi.org/10.1007/s00300-015-1672-5" TargetMode="External"/><Relationship Id="rId37" Type="http://schemas.openxmlformats.org/officeDocument/2006/relationships/hyperlink" Target="https://www.frontiersin.org/journals/microbiology/articles/10.3389/fmicb.2023.1156033/full" TargetMode="External"/><Relationship Id="rId79" Type="http://schemas.openxmlformats.org/officeDocument/2006/relationships/hyperlink" Target="https://www.frontiersin.org/journals/microbiology/articles/10.3389/fmicb.2023.1156033/full" TargetMode="External"/><Relationship Id="rId102" Type="http://schemas.openxmlformats.org/officeDocument/2006/relationships/hyperlink" Target="https://www.frontiersin.org/journals/microbiology/articles/10.3389/fmicb.2023.1156033/full" TargetMode="External"/><Relationship Id="rId144" Type="http://schemas.openxmlformats.org/officeDocument/2006/relationships/hyperlink" Target="https://www.frontiersin.org/journals/microbiology/articles/10.3389/fmicb.2023.1156033/full" TargetMode="External"/><Relationship Id="rId90" Type="http://schemas.openxmlformats.org/officeDocument/2006/relationships/hyperlink" Target="https://www.frontiersin.org/journals/microbiology/articles/10.3389/fmicb.2023.1156033/full" TargetMode="External"/><Relationship Id="rId186" Type="http://schemas.openxmlformats.org/officeDocument/2006/relationships/hyperlink" Target="https://www.frontiersin.org/journals/microbiology/articles/10.3389/fmicb.2023.1156033/full" TargetMode="External"/><Relationship Id="rId351" Type="http://schemas.openxmlformats.org/officeDocument/2006/relationships/hyperlink" Target="https://doi.org/10.1093/molbev/msab120" TargetMode="External"/><Relationship Id="rId393" Type="http://schemas.openxmlformats.org/officeDocument/2006/relationships/image" Target="media/image18.tif"/><Relationship Id="rId407" Type="http://schemas.openxmlformats.org/officeDocument/2006/relationships/image" Target="media/image31.tif"/><Relationship Id="rId211" Type="http://schemas.openxmlformats.org/officeDocument/2006/relationships/hyperlink" Target="https://www.frontiersin.org/journals/microbiology/articles/10.3389/fmicb.2023.1156033/full" TargetMode="External"/><Relationship Id="rId253" Type="http://schemas.openxmlformats.org/officeDocument/2006/relationships/hyperlink" Target="https://doi.org/10.1093/nar/gkab335" TargetMode="External"/><Relationship Id="rId295" Type="http://schemas.openxmlformats.org/officeDocument/2006/relationships/hyperlink" Target="https://doi.org/10.1021/ja043808i" TargetMode="External"/><Relationship Id="rId309" Type="http://schemas.openxmlformats.org/officeDocument/2006/relationships/hyperlink" Target="https://doi.org/10.1099/ijsem.0.005407" TargetMode="External"/><Relationship Id="rId48" Type="http://schemas.openxmlformats.org/officeDocument/2006/relationships/hyperlink" Target="https://www.frontiersin.org/journals/microbiology/articles/10.3389/fmicb.2023.1156033/full" TargetMode="External"/><Relationship Id="rId113" Type="http://schemas.openxmlformats.org/officeDocument/2006/relationships/hyperlink" Target="https://www.frontiersin.org/journals/microbiology/articles/10.3389/fmicb.2023.1156033/full" TargetMode="External"/><Relationship Id="rId320" Type="http://schemas.openxmlformats.org/officeDocument/2006/relationships/hyperlink" Target="https://doi.org/10.1093/nar/gkv1189" TargetMode="External"/><Relationship Id="rId155" Type="http://schemas.openxmlformats.org/officeDocument/2006/relationships/hyperlink" Target="https://www.frontiersin.org/journals/microbiology/articles/10.3389/fmicb.2023.1156033/full" TargetMode="External"/><Relationship Id="rId197" Type="http://schemas.openxmlformats.org/officeDocument/2006/relationships/hyperlink" Target="https://www.frontiersin.org/journals/microbiology/articles/10.3389/fmicb.2023.1156033/full" TargetMode="External"/><Relationship Id="rId362" Type="http://schemas.openxmlformats.org/officeDocument/2006/relationships/hyperlink" Target="https://doi.org/10.1093/nar/gkw330" TargetMode="External"/><Relationship Id="rId418" Type="http://schemas.openxmlformats.org/officeDocument/2006/relationships/image" Target="media/image42.tiff"/><Relationship Id="rId222" Type="http://schemas.openxmlformats.org/officeDocument/2006/relationships/hyperlink" Target="https://www.frontiersin.org/journals/microbiology/articles/10.3389/fmicb.2023.1156033/full" TargetMode="External"/><Relationship Id="rId264" Type="http://schemas.openxmlformats.org/officeDocument/2006/relationships/hyperlink" Target="https://doi.org/10.1016/j.cell.2014.06.034" TargetMode="External"/><Relationship Id="rId17" Type="http://schemas.openxmlformats.org/officeDocument/2006/relationships/hyperlink" Target="https://www.frontiersin.org/journals/microbiology/articles/10.3389/fmicb.2023.1156033/full" TargetMode="External"/><Relationship Id="rId59" Type="http://schemas.openxmlformats.org/officeDocument/2006/relationships/hyperlink" Target="https://www.frontiersin.org/journals/microbiology/articles/10.3389/fmicb.2023.1156033/full" TargetMode="External"/><Relationship Id="rId124" Type="http://schemas.openxmlformats.org/officeDocument/2006/relationships/hyperlink" Target="https://www.frontiersin.org/journals/microbiology/articles/10.3389/fmicb.2023.1156033/full" TargetMode="External"/><Relationship Id="rId70" Type="http://schemas.openxmlformats.org/officeDocument/2006/relationships/hyperlink" Target="https://www.frontiersin.org/journals/microbiology/articles/10.3389/fmicb.2023.1156033/full" TargetMode="External"/><Relationship Id="rId166" Type="http://schemas.openxmlformats.org/officeDocument/2006/relationships/hyperlink" Target="https://www.frontiersin.org/journals/microbiology/articles/10.3389/fmicb.2023.1156033/full" TargetMode="External"/><Relationship Id="rId331" Type="http://schemas.openxmlformats.org/officeDocument/2006/relationships/hyperlink" Target="https://doi.org/10.1016/j.syapm.2015.02.001" TargetMode="External"/><Relationship Id="rId373" Type="http://schemas.openxmlformats.org/officeDocument/2006/relationships/hyperlink" Target="https://doi.org/10.1099/ijs.0.64083-0" TargetMode="External"/><Relationship Id="rId429" Type="http://schemas.openxmlformats.org/officeDocument/2006/relationships/image" Target="media/image53.tif"/><Relationship Id="rId1" Type="http://schemas.openxmlformats.org/officeDocument/2006/relationships/customXml" Target="../customXml/item1.xml"/><Relationship Id="rId233" Type="http://schemas.openxmlformats.org/officeDocument/2006/relationships/hyperlink" Target="https://www.frontiersin.org/journals/microbiology/articles/10.3389/fmicb.2023.1156033/fu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A4157-1647-466E-8FD9-307C84FAA777}">
  <ds:schemaRefs>
    <ds:schemaRef ds:uri="http://schemas.microsoft.com/sharepoint/v3/contenttype/forms"/>
  </ds:schemaRefs>
</ds:datastoreItem>
</file>

<file path=customXml/itemProps2.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3.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7176</TotalTime>
  <Pages>266</Pages>
  <Words>62797</Words>
  <Characters>392488</Characters>
  <Application>Microsoft Office Word</Application>
  <DocSecurity>0</DocSecurity>
  <Lines>5164</Lines>
  <Paragraphs>171</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Guide to the Preparation of</vt:lpstr>
      <vt:lpstr>    DEDICATION</vt:lpstr>
      <vt:lpstr>    ACKNOWLEDGEMENTS</vt:lpstr>
      <vt:lpstr>    ABSTRACT</vt:lpstr>
      <vt:lpstr>    &lt;TABLE OF CONTENTS</vt:lpstr>
      <vt:lpstr>    LIST OF TABLES</vt:lpstr>
      <vt:lpstr>    LIST OF FIGURES</vt:lpstr>
      <vt:lpstr>INTRODUCTION</vt:lpstr>
      <vt:lpstr>    The cryosphere and microbial communities</vt:lpstr>
      <vt:lpstr>    The McMurdo Dry Valleys (MDV)</vt:lpstr>
      <vt:lpstr>    Microbial adaptations for survival in the MDV</vt:lpstr>
      <vt:lpstr>    Environmental change in the MDV</vt:lpstr>
      <vt:lpstr>    Terrestrial extremes and the search for life</vt:lpstr>
      <vt:lpstr>    Summary of dissertation</vt:lpstr>
      <vt:lpstr>    References</vt:lpstr>
      <vt:lpstr/>
      <vt:lpstr>GENOMIC AND PHENOTYPIC CHARACTERIZATION OF A RED-PIGMENTED STRAIN OF MASSILIA FR</vt:lpstr>
      <vt:lpstr>    Publication Note</vt:lpstr>
      <vt:lpstr>    Abstract</vt:lpstr>
      <vt:lpstr>    Introduction</vt:lpstr>
      <vt:lpstr>    Materials and Methods</vt:lpstr>
      <vt:lpstr>        Site description and sample collection</vt:lpstr>
      <vt:lpstr>        Isolation and incubation conditions</vt:lpstr>
      <vt:lpstr>        Phylogenetic analysis and whole genome comparison</vt:lpstr>
      <vt:lpstr>        Genome sequencing, assembly, and annotation</vt:lpstr>
      <vt:lpstr>        Biomass irradiation and extraction of pigments produced under UV light</vt:lpstr>
      <vt:lpstr>        LC/MS analyses</vt:lpstr>
    </vt:vector>
  </TitlesOfParts>
  <Company>University of Tennessee</Company>
  <LinksUpToDate>false</LinksUpToDate>
  <CharactersWithSpaces>455114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Sherman, Abby L</dc:creator>
  <cp:keywords/>
  <dc:description/>
  <cp:lastModifiedBy>Sherman, Abby</cp:lastModifiedBy>
  <cp:revision>34</cp:revision>
  <cp:lastPrinted>2025-03-24T12:33:00Z</cp:lastPrinted>
  <dcterms:created xsi:type="dcterms:W3CDTF">2025-02-11T02:53:00Z</dcterms:created>
  <dcterms:modified xsi:type="dcterms:W3CDTF">2025-04-28T17:51:00Z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y fmtid="{D5CDD505-2E9C-101B-9397-08002B2CF9AE}" pid="3" name="ZOTERO_PREF_1">
    <vt:lpwstr>&lt;data data-version="3" zotero-version="6.0.36"&gt;&lt;session id="9aLIDhRx"/&gt;&lt;style id="http://www.zotero.org/styles/frontiers-in-microbiology" hasBibliography="1" bibliographyStyleHasBeenSet="0"/&gt;&lt;prefs&gt;&lt;pref name="fieldType" value="Field"/&gt;&lt;/prefs&gt;&lt;/data&gt;</vt:lpwstr>
  </property>
</Properties>
</file>