
<file path=[Content_Types].xml><?xml version="1.0" encoding="utf-8"?>
<Types xmlns="http://schemas.openxmlformats.org/package/2006/content-types">
  <Default Extension="bin" ContentType="application/vnd.openxmlformats-officedocument.oleObject"/>
  <Default Extension="vsd" ContentType="application/vnd.visio"/>
  <Default Extension="png" ContentType="image/pn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B008B" w14:textId="77777777" w:rsidR="00236E6D" w:rsidRPr="004246E7" w:rsidRDefault="00F82BBE" w:rsidP="005E70BD">
      <w:pPr>
        <w:ind w:firstLine="0"/>
        <w:jc w:val="center"/>
        <w:rPr>
          <w:sz w:val="36"/>
          <w:szCs w:val="36"/>
        </w:rPr>
      </w:pPr>
      <w:r>
        <w:rPr>
          <w:sz w:val="36"/>
          <w:szCs w:val="36"/>
          <w:lang w:val="en-CA"/>
        </w:rPr>
        <w:t>A Study on Wide-area Measurement-based Approaches for</w:t>
      </w:r>
      <w:r w:rsidR="00327697">
        <w:rPr>
          <w:sz w:val="36"/>
          <w:szCs w:val="36"/>
          <w:lang w:val="en-CA"/>
        </w:rPr>
        <w:t xml:space="preserve"> Power System Voltage Stability</w:t>
      </w:r>
    </w:p>
    <w:p w14:paraId="0970B7A1" w14:textId="77777777" w:rsidR="00236E6D" w:rsidRPr="004246E7" w:rsidRDefault="00236E6D" w:rsidP="005E70BD">
      <w:pPr>
        <w:ind w:firstLine="0"/>
        <w:jc w:val="center"/>
        <w:rPr>
          <w:sz w:val="36"/>
          <w:szCs w:val="36"/>
        </w:rPr>
      </w:pPr>
    </w:p>
    <w:p w14:paraId="44415AE1" w14:textId="77777777" w:rsidR="00236E6D" w:rsidRPr="004246E7" w:rsidRDefault="00236E6D" w:rsidP="005E70BD">
      <w:pPr>
        <w:ind w:firstLine="0"/>
        <w:jc w:val="center"/>
        <w:rPr>
          <w:sz w:val="36"/>
          <w:szCs w:val="36"/>
        </w:rPr>
      </w:pPr>
    </w:p>
    <w:p w14:paraId="1A4836D8" w14:textId="77777777" w:rsidR="00236E6D" w:rsidRPr="004246E7" w:rsidRDefault="00236E6D" w:rsidP="005E70BD">
      <w:pPr>
        <w:ind w:firstLine="0"/>
        <w:jc w:val="center"/>
        <w:rPr>
          <w:sz w:val="36"/>
          <w:szCs w:val="36"/>
        </w:rPr>
      </w:pPr>
    </w:p>
    <w:p w14:paraId="5F6CAC6C" w14:textId="77777777" w:rsidR="00B53CF8" w:rsidRPr="004246E7" w:rsidRDefault="00B53CF8" w:rsidP="005E70BD">
      <w:pPr>
        <w:ind w:firstLine="0"/>
        <w:jc w:val="center"/>
        <w:rPr>
          <w:sz w:val="36"/>
          <w:szCs w:val="36"/>
        </w:rPr>
      </w:pPr>
    </w:p>
    <w:p w14:paraId="671F8EAA" w14:textId="77777777" w:rsidR="00EA74E8" w:rsidRPr="004246E7" w:rsidRDefault="00B53CF8" w:rsidP="005E70BD">
      <w:pPr>
        <w:ind w:firstLine="0"/>
        <w:jc w:val="center"/>
        <w:rPr>
          <w:sz w:val="36"/>
          <w:szCs w:val="36"/>
        </w:rPr>
      </w:pPr>
      <w:r w:rsidRPr="004246E7">
        <w:rPr>
          <w:sz w:val="36"/>
          <w:szCs w:val="36"/>
        </w:rPr>
        <w:t>A Dissertation</w:t>
      </w:r>
      <w:r w:rsidR="009C755C" w:rsidRPr="004246E7">
        <w:rPr>
          <w:sz w:val="36"/>
          <w:szCs w:val="36"/>
        </w:rPr>
        <w:t xml:space="preserve"> Presented for</w:t>
      </w:r>
      <w:r w:rsidR="00EA74E8" w:rsidRPr="004246E7">
        <w:rPr>
          <w:sz w:val="36"/>
          <w:szCs w:val="36"/>
        </w:rPr>
        <w:t xml:space="preserve"> the</w:t>
      </w:r>
    </w:p>
    <w:p w14:paraId="40B0EB05" w14:textId="77777777" w:rsidR="009C755C" w:rsidRPr="004246E7" w:rsidRDefault="00470CC4" w:rsidP="005E70BD">
      <w:pPr>
        <w:ind w:firstLine="0"/>
        <w:jc w:val="center"/>
        <w:rPr>
          <w:sz w:val="36"/>
          <w:szCs w:val="36"/>
        </w:rPr>
      </w:pPr>
      <w:r w:rsidRPr="004246E7">
        <w:rPr>
          <w:sz w:val="36"/>
          <w:szCs w:val="36"/>
        </w:rPr>
        <w:t>Doctor of Philosophy</w:t>
      </w:r>
    </w:p>
    <w:p w14:paraId="5E3501CC" w14:textId="77777777" w:rsidR="009C755C" w:rsidRPr="004246E7" w:rsidRDefault="009C755C" w:rsidP="005E70BD">
      <w:pPr>
        <w:ind w:firstLine="0"/>
        <w:jc w:val="center"/>
        <w:rPr>
          <w:sz w:val="36"/>
          <w:szCs w:val="36"/>
        </w:rPr>
      </w:pPr>
      <w:r w:rsidRPr="004246E7">
        <w:rPr>
          <w:sz w:val="36"/>
          <w:szCs w:val="36"/>
        </w:rPr>
        <w:t>Degree</w:t>
      </w:r>
    </w:p>
    <w:p w14:paraId="3292C6ED" w14:textId="77777777" w:rsidR="009C755C" w:rsidRPr="004246E7" w:rsidRDefault="009C755C" w:rsidP="005E70BD">
      <w:pPr>
        <w:ind w:firstLine="0"/>
        <w:jc w:val="center"/>
        <w:rPr>
          <w:sz w:val="36"/>
          <w:szCs w:val="36"/>
        </w:rPr>
      </w:pPr>
      <w:r w:rsidRPr="004246E7">
        <w:rPr>
          <w:sz w:val="36"/>
          <w:szCs w:val="36"/>
        </w:rPr>
        <w:t>The University of Tennessee, Knoxville</w:t>
      </w:r>
    </w:p>
    <w:p w14:paraId="43E64771" w14:textId="77777777" w:rsidR="00236E6D" w:rsidRPr="004246E7" w:rsidRDefault="00236E6D" w:rsidP="005E70BD">
      <w:pPr>
        <w:ind w:firstLine="0"/>
        <w:jc w:val="center"/>
        <w:rPr>
          <w:sz w:val="36"/>
          <w:szCs w:val="36"/>
        </w:rPr>
      </w:pPr>
    </w:p>
    <w:p w14:paraId="744F8F9E" w14:textId="77777777" w:rsidR="00EA74E8" w:rsidRDefault="00EA74E8" w:rsidP="005E70BD">
      <w:pPr>
        <w:ind w:firstLine="0"/>
        <w:jc w:val="center"/>
        <w:rPr>
          <w:sz w:val="36"/>
          <w:szCs w:val="36"/>
        </w:rPr>
      </w:pPr>
    </w:p>
    <w:p w14:paraId="2B458AE0" w14:textId="77777777" w:rsidR="00EA74E8" w:rsidRPr="004246E7" w:rsidRDefault="00EA74E8" w:rsidP="005E70BD">
      <w:pPr>
        <w:ind w:firstLine="0"/>
        <w:jc w:val="center"/>
        <w:rPr>
          <w:sz w:val="36"/>
          <w:szCs w:val="36"/>
        </w:rPr>
      </w:pPr>
    </w:p>
    <w:p w14:paraId="25ED6B33" w14:textId="77777777" w:rsidR="00236E6D" w:rsidRPr="004246E7" w:rsidRDefault="00F82BBE" w:rsidP="005E70BD">
      <w:pPr>
        <w:ind w:firstLine="0"/>
        <w:jc w:val="center"/>
        <w:rPr>
          <w:sz w:val="36"/>
          <w:szCs w:val="36"/>
        </w:rPr>
      </w:pPr>
      <w:r>
        <w:rPr>
          <w:sz w:val="36"/>
          <w:szCs w:val="36"/>
        </w:rPr>
        <w:t>Haoyu Yuan</w:t>
      </w:r>
    </w:p>
    <w:p w14:paraId="2036435E" w14:textId="77777777" w:rsidR="009C755C" w:rsidRPr="004246E7" w:rsidRDefault="001C09CE" w:rsidP="005E70BD">
      <w:pPr>
        <w:ind w:firstLine="0"/>
        <w:jc w:val="center"/>
        <w:rPr>
          <w:sz w:val="36"/>
          <w:szCs w:val="36"/>
        </w:rPr>
      </w:pPr>
      <w:r>
        <w:rPr>
          <w:sz w:val="36"/>
          <w:szCs w:val="36"/>
          <w:lang w:eastAsia="zh-CN"/>
        </w:rPr>
        <w:t>August</w:t>
      </w:r>
      <w:r w:rsidR="009C755C" w:rsidRPr="004246E7">
        <w:rPr>
          <w:sz w:val="36"/>
          <w:szCs w:val="36"/>
        </w:rPr>
        <w:t xml:space="preserve"> </w:t>
      </w:r>
      <w:r w:rsidR="00E603D9" w:rsidRPr="004246E7">
        <w:rPr>
          <w:sz w:val="36"/>
          <w:szCs w:val="36"/>
        </w:rPr>
        <w:t>20</w:t>
      </w:r>
      <w:r w:rsidR="00E91ABD">
        <w:rPr>
          <w:sz w:val="36"/>
          <w:szCs w:val="36"/>
        </w:rPr>
        <w:t>16</w:t>
      </w:r>
    </w:p>
    <w:p w14:paraId="5CC33DB2" w14:textId="77777777" w:rsidR="00236E6D" w:rsidRPr="00EA74E8" w:rsidRDefault="00236E6D" w:rsidP="005E70BD">
      <w:pPr>
        <w:ind w:firstLine="0"/>
        <w:jc w:val="center"/>
      </w:pPr>
    </w:p>
    <w:p w14:paraId="4922B99E" w14:textId="77777777" w:rsidR="00236E6D" w:rsidRPr="00EA74E8" w:rsidRDefault="00236E6D" w:rsidP="005E70BD">
      <w:pPr>
        <w:ind w:firstLine="0"/>
        <w:jc w:val="center"/>
      </w:pPr>
    </w:p>
    <w:p w14:paraId="5437C813" w14:textId="77777777" w:rsidR="00236E6D" w:rsidRPr="00EA74E8" w:rsidRDefault="00236E6D" w:rsidP="005E70BD">
      <w:pPr>
        <w:ind w:firstLine="0"/>
        <w:jc w:val="center"/>
      </w:pPr>
    </w:p>
    <w:p w14:paraId="7B036D65" w14:textId="77777777" w:rsidR="00236E6D" w:rsidRDefault="00236E6D" w:rsidP="005E70BD">
      <w:pPr>
        <w:ind w:firstLine="0"/>
        <w:jc w:val="center"/>
      </w:pPr>
    </w:p>
    <w:p w14:paraId="4D88BC7E" w14:textId="77777777" w:rsidR="00EA74E8" w:rsidRDefault="00EA74E8" w:rsidP="005E70BD">
      <w:pPr>
        <w:ind w:firstLine="0"/>
        <w:jc w:val="center"/>
      </w:pPr>
    </w:p>
    <w:p w14:paraId="11B410E8" w14:textId="77777777" w:rsidR="00B53CF8" w:rsidRDefault="00B53CF8" w:rsidP="005E70BD">
      <w:pPr>
        <w:ind w:firstLine="0"/>
        <w:jc w:val="center"/>
      </w:pPr>
    </w:p>
    <w:p w14:paraId="43F953AC" w14:textId="77777777" w:rsidR="00EA74E8" w:rsidRDefault="00EA74E8" w:rsidP="005E70BD">
      <w:pPr>
        <w:ind w:firstLine="0"/>
        <w:jc w:val="center"/>
      </w:pPr>
    </w:p>
    <w:p w14:paraId="4F0BBA96" w14:textId="77777777" w:rsidR="00EA74E8" w:rsidRPr="00EA74E8" w:rsidRDefault="00EA74E8" w:rsidP="005E70BD">
      <w:pPr>
        <w:ind w:firstLine="0"/>
        <w:jc w:val="center"/>
      </w:pPr>
    </w:p>
    <w:p w14:paraId="1001E2D0" w14:textId="77777777" w:rsidR="00236E6D" w:rsidRPr="00F920F6" w:rsidRDefault="00D91C27" w:rsidP="005E70BD">
      <w:pPr>
        <w:ind w:firstLine="0"/>
        <w:jc w:val="center"/>
      </w:pPr>
      <w:r w:rsidRPr="00F920F6">
        <w:t>Copyright © 20</w:t>
      </w:r>
      <w:r w:rsidR="00832193">
        <w:t>1</w:t>
      </w:r>
      <w:r w:rsidR="00E91ABD">
        <w:t>6</w:t>
      </w:r>
      <w:r w:rsidR="00236E6D" w:rsidRPr="00F920F6">
        <w:t xml:space="preserve"> by </w:t>
      </w:r>
      <w:r w:rsidR="00F82BBE">
        <w:t>Haoyu Yuan</w:t>
      </w:r>
    </w:p>
    <w:p w14:paraId="336702A1" w14:textId="77777777" w:rsidR="00236E6D" w:rsidRPr="00F920F6" w:rsidRDefault="00236E6D" w:rsidP="005E70BD">
      <w:pPr>
        <w:ind w:firstLine="0"/>
        <w:jc w:val="center"/>
      </w:pPr>
      <w:r w:rsidRPr="00F920F6">
        <w:t>All rights reserved.</w:t>
      </w:r>
    </w:p>
    <w:p w14:paraId="11DCB5C1" w14:textId="77777777" w:rsidR="00236E6D" w:rsidRPr="00F920F6" w:rsidRDefault="00236E6D" w:rsidP="005E70BD">
      <w:pPr>
        <w:ind w:firstLine="0"/>
        <w:jc w:val="center"/>
      </w:pPr>
    </w:p>
    <w:p w14:paraId="5B3569BB" w14:textId="77777777" w:rsidR="00236E6D" w:rsidRPr="00F920F6" w:rsidRDefault="00236E6D" w:rsidP="005E70BD">
      <w:pPr>
        <w:ind w:firstLine="0"/>
        <w:jc w:val="center"/>
      </w:pPr>
    </w:p>
    <w:p w14:paraId="2B2602C0" w14:textId="77777777" w:rsidR="00236E6D" w:rsidRPr="00F920F6" w:rsidRDefault="00236E6D" w:rsidP="005E70BD">
      <w:pPr>
        <w:ind w:firstLine="0"/>
        <w:jc w:val="center"/>
      </w:pPr>
    </w:p>
    <w:p w14:paraId="6C445517" w14:textId="77777777" w:rsidR="00236E6D" w:rsidRPr="00F920F6" w:rsidRDefault="00236E6D" w:rsidP="005E70BD">
      <w:pPr>
        <w:ind w:firstLine="0"/>
        <w:jc w:val="center"/>
      </w:pPr>
    </w:p>
    <w:p w14:paraId="14814F4A" w14:textId="77777777" w:rsidR="00236E6D" w:rsidRPr="00F920F6" w:rsidRDefault="00236E6D" w:rsidP="005E70BD">
      <w:pPr>
        <w:ind w:firstLine="0"/>
        <w:jc w:val="center"/>
      </w:pPr>
    </w:p>
    <w:p w14:paraId="3FCB8E25" w14:textId="77777777" w:rsidR="00236E6D" w:rsidRPr="00F920F6" w:rsidRDefault="00236E6D" w:rsidP="005E70BD">
      <w:pPr>
        <w:ind w:firstLine="0"/>
        <w:jc w:val="center"/>
      </w:pPr>
    </w:p>
    <w:p w14:paraId="7F18E71F" w14:textId="77777777" w:rsidR="00236E6D" w:rsidRPr="00F920F6" w:rsidRDefault="00236E6D" w:rsidP="005E70BD">
      <w:pPr>
        <w:ind w:firstLine="0"/>
        <w:jc w:val="center"/>
      </w:pPr>
    </w:p>
    <w:p w14:paraId="79678D9D" w14:textId="77777777" w:rsidR="00236E6D" w:rsidRPr="00F920F6" w:rsidRDefault="00236E6D" w:rsidP="005E70BD">
      <w:pPr>
        <w:ind w:firstLine="0"/>
        <w:jc w:val="center"/>
      </w:pPr>
    </w:p>
    <w:p w14:paraId="14B0BBE5" w14:textId="77777777" w:rsidR="00236E6D" w:rsidRPr="00F920F6" w:rsidRDefault="00236E6D" w:rsidP="005E70BD">
      <w:pPr>
        <w:ind w:firstLine="0"/>
        <w:jc w:val="center"/>
      </w:pPr>
    </w:p>
    <w:p w14:paraId="5B24FD68" w14:textId="77777777" w:rsidR="00236E6D" w:rsidRPr="00F920F6" w:rsidRDefault="00236E6D" w:rsidP="005E70BD">
      <w:pPr>
        <w:ind w:firstLine="0"/>
        <w:jc w:val="center"/>
      </w:pPr>
    </w:p>
    <w:p w14:paraId="351A67FB" w14:textId="77777777" w:rsidR="00236E6D" w:rsidRPr="00F920F6" w:rsidRDefault="00236E6D" w:rsidP="005E70BD">
      <w:pPr>
        <w:ind w:firstLine="0"/>
        <w:jc w:val="center"/>
      </w:pPr>
    </w:p>
    <w:p w14:paraId="5113E2EC" w14:textId="77777777" w:rsidR="00470CC4" w:rsidRDefault="00470CC4" w:rsidP="00FB3551">
      <w:pPr>
        <w:ind w:firstLine="0"/>
      </w:pPr>
      <w:r>
        <w:br w:type="page"/>
      </w:r>
    </w:p>
    <w:p w14:paraId="02F5504E" w14:textId="77777777" w:rsidR="00470CC4" w:rsidRPr="00C5385F" w:rsidRDefault="00470CC4" w:rsidP="00373BD2">
      <w:pPr>
        <w:spacing w:line="360" w:lineRule="auto"/>
        <w:ind w:firstLine="0"/>
        <w:jc w:val="center"/>
        <w:rPr>
          <w:b/>
        </w:rPr>
      </w:pPr>
      <w:r w:rsidRPr="00C5385F">
        <w:rPr>
          <w:b/>
        </w:rPr>
        <w:lastRenderedPageBreak/>
        <w:t>ACKNOWLEDGEMENTS</w:t>
      </w:r>
    </w:p>
    <w:p w14:paraId="18166847" w14:textId="77777777" w:rsidR="00470CC4" w:rsidRDefault="00B84E5B" w:rsidP="00C5385F">
      <w:r>
        <w:t xml:space="preserve">First and </w:t>
      </w:r>
      <w:r w:rsidR="00470CC4" w:rsidRPr="00470CC4">
        <w:t>foremost, I would like to express my deepest gratitude to my advisor, Dr.</w:t>
      </w:r>
      <w:r w:rsidR="00470CC4">
        <w:t xml:space="preserve"> </w:t>
      </w:r>
      <w:r w:rsidR="00D77FB0">
        <w:t xml:space="preserve">Fangxing </w:t>
      </w:r>
      <w:r w:rsidR="00470CC4" w:rsidRPr="00470CC4">
        <w:t>Li for his continuous guidance and persis</w:t>
      </w:r>
      <w:r w:rsidR="00470CC4">
        <w:t xml:space="preserve">tent help for this dissertation </w:t>
      </w:r>
      <w:r w:rsidR="00470CC4" w:rsidRPr="00470CC4">
        <w:t>and all other research during my Ph</w:t>
      </w:r>
      <w:r w:rsidR="00D77FB0">
        <w:rPr>
          <w:rFonts w:hint="eastAsia"/>
          <w:lang w:eastAsia="zh-CN"/>
        </w:rPr>
        <w:t>.</w:t>
      </w:r>
      <w:r w:rsidR="00D77FB0">
        <w:rPr>
          <w:lang w:eastAsia="zh-CN"/>
        </w:rPr>
        <w:t>D.</w:t>
      </w:r>
      <w:r w:rsidR="00470CC4" w:rsidRPr="00470CC4">
        <w:t xml:space="preserve"> study at the University of Tennessee</w:t>
      </w:r>
      <w:r w:rsidR="00D77FB0">
        <w:t xml:space="preserve"> </w:t>
      </w:r>
      <w:r w:rsidR="007D38B0">
        <w:t xml:space="preserve">at </w:t>
      </w:r>
      <w:r w:rsidR="00D77FB0">
        <w:t>Knoxville</w:t>
      </w:r>
      <w:r w:rsidR="00C46D36">
        <w:t xml:space="preserve"> (UTK)</w:t>
      </w:r>
      <w:r w:rsidR="00470CC4" w:rsidRPr="00470CC4">
        <w:t>.</w:t>
      </w:r>
    </w:p>
    <w:p w14:paraId="2EAB1827" w14:textId="69B7127C" w:rsidR="00470CC4" w:rsidRDefault="00470CC4" w:rsidP="00C5385F">
      <w:r w:rsidRPr="00470CC4">
        <w:t xml:space="preserve">I am very thankful to </w:t>
      </w:r>
      <w:r w:rsidR="004F0434">
        <w:t xml:space="preserve">my dissertation committee members, </w:t>
      </w:r>
      <w:r w:rsidRPr="00470CC4">
        <w:t xml:space="preserve">Dr. </w:t>
      </w:r>
      <w:r w:rsidR="00F82BBE">
        <w:t>Yilu Liu, Dr. Kai Sun</w:t>
      </w:r>
      <w:r w:rsidRPr="00470CC4">
        <w:t>,</w:t>
      </w:r>
      <w:r w:rsidR="00F82BBE">
        <w:t xml:space="preserve"> and </w:t>
      </w:r>
      <w:r w:rsidR="00D77FB0">
        <w:t xml:space="preserve">Dr. </w:t>
      </w:r>
      <w:r w:rsidR="00F82BBE">
        <w:t>Mingzhou Jin</w:t>
      </w:r>
      <w:r w:rsidR="004F0434">
        <w:t>,</w:t>
      </w:r>
      <w:r>
        <w:t xml:space="preserve"> for their time and </w:t>
      </w:r>
      <w:r w:rsidR="004F0434">
        <w:t>valuable comments</w:t>
      </w:r>
      <w:r w:rsidRPr="00470CC4">
        <w:t>.</w:t>
      </w:r>
    </w:p>
    <w:p w14:paraId="74CA6F06" w14:textId="77777777" w:rsidR="00470CC4" w:rsidRDefault="00470CC4" w:rsidP="00C5385F">
      <w:r w:rsidRPr="00470CC4">
        <w:t xml:space="preserve">Moreover, I would like to express my </w:t>
      </w:r>
      <w:r w:rsidR="00D77FB0">
        <w:t xml:space="preserve">special </w:t>
      </w:r>
      <w:r w:rsidRPr="00470CC4">
        <w:t>thanks to</w:t>
      </w:r>
      <w:r>
        <w:t xml:space="preserve"> </w:t>
      </w:r>
      <w:r w:rsidR="00D77FB0">
        <w:t xml:space="preserve">Dr. </w:t>
      </w:r>
      <w:r w:rsidR="00F82BBE">
        <w:t>Tao Jiang</w:t>
      </w:r>
      <w:r w:rsidR="00A83B73">
        <w:t xml:space="preserve"> and</w:t>
      </w:r>
      <w:r w:rsidRPr="00470CC4">
        <w:t xml:space="preserve"> </w:t>
      </w:r>
      <w:r w:rsidR="00D77FB0">
        <w:t>Dr. Yanli Wei</w:t>
      </w:r>
      <w:r w:rsidR="00A83B73">
        <w:t xml:space="preserve"> </w:t>
      </w:r>
      <w:r w:rsidRPr="00470CC4">
        <w:t xml:space="preserve">for being </w:t>
      </w:r>
      <w:r w:rsidR="00A83B73">
        <w:t xml:space="preserve">my mentors in the area of power system stability and power </w:t>
      </w:r>
      <w:r w:rsidR="0038490A">
        <w:t xml:space="preserve">system </w:t>
      </w:r>
      <w:r w:rsidR="00A83B73">
        <w:t>economics</w:t>
      </w:r>
      <w:r w:rsidR="000C4EAA">
        <w:t>,</w:t>
      </w:r>
      <w:r w:rsidR="00A83B73">
        <w:t xml:space="preserve"> respectively</w:t>
      </w:r>
      <w:r w:rsidRPr="00470CC4">
        <w:t>. Also, I would like to thank all</w:t>
      </w:r>
      <w:r w:rsidR="00FB3551">
        <w:t xml:space="preserve"> the members at my research group for always </w:t>
      </w:r>
      <w:r w:rsidR="000C4EAA">
        <w:t xml:space="preserve">being </w:t>
      </w:r>
      <w:r w:rsidR="00FB3551">
        <w:t>supportive</w:t>
      </w:r>
      <w:r w:rsidR="00327697">
        <w:t xml:space="preserve"> and</w:t>
      </w:r>
      <w:r w:rsidR="00FB3551">
        <w:t xml:space="preserve"> to thank the</w:t>
      </w:r>
      <w:r w:rsidR="00AF2EE2">
        <w:t xml:space="preserve"> friends and </w:t>
      </w:r>
      <w:r w:rsidRPr="00470CC4">
        <w:t>professors</w:t>
      </w:r>
      <w:r>
        <w:t xml:space="preserve"> </w:t>
      </w:r>
      <w:r w:rsidRPr="00470CC4">
        <w:t xml:space="preserve">in </w:t>
      </w:r>
      <w:r w:rsidR="00D77FB0">
        <w:t xml:space="preserve">the </w:t>
      </w:r>
      <w:r w:rsidRPr="00470CC4">
        <w:t>Center for Ultra-Wide-Area Resilient Electric Energy Transmission</w:t>
      </w:r>
      <w:r>
        <w:t xml:space="preserve"> </w:t>
      </w:r>
      <w:r w:rsidRPr="00470CC4">
        <w:t xml:space="preserve">(CURENT) </w:t>
      </w:r>
      <w:r w:rsidR="00327697">
        <w:t>for creating</w:t>
      </w:r>
      <w:r w:rsidRPr="00470CC4">
        <w:t xml:space="preserve"> a loving and friendly atmosphere for conducting research.</w:t>
      </w:r>
    </w:p>
    <w:p w14:paraId="151237BD" w14:textId="77777777" w:rsidR="00FB3551" w:rsidRDefault="00FB3551" w:rsidP="00FB3551">
      <w:r>
        <w:t>Last but not the least I am</w:t>
      </w:r>
      <w:r w:rsidR="00327697">
        <w:t xml:space="preserve"> greatly indebted to my parents and my wife</w:t>
      </w:r>
      <w:r>
        <w:t xml:space="preserve"> for their unconditional love and support, </w:t>
      </w:r>
      <w:r w:rsidR="00327697">
        <w:t>without whom it is impossible for me to</w:t>
      </w:r>
      <w:r>
        <w:t xml:space="preserve"> finish this work.</w:t>
      </w:r>
    </w:p>
    <w:p w14:paraId="76F0F931" w14:textId="77777777" w:rsidR="00FB3551" w:rsidRDefault="00FB3551" w:rsidP="00C5385F"/>
    <w:p w14:paraId="1594BB19" w14:textId="77777777" w:rsidR="00C5385F" w:rsidRDefault="00C5385F">
      <w:pPr>
        <w:spacing w:line="240" w:lineRule="auto"/>
        <w:ind w:firstLine="0"/>
        <w:jc w:val="left"/>
      </w:pPr>
      <w:r>
        <w:br w:type="page"/>
      </w:r>
    </w:p>
    <w:p w14:paraId="05DA6FF3" w14:textId="77777777" w:rsidR="00236E6D" w:rsidRPr="00D77FB0" w:rsidRDefault="00D067C3" w:rsidP="00D77FB0">
      <w:pPr>
        <w:ind w:hanging="90"/>
        <w:jc w:val="center"/>
        <w:rPr>
          <w:b/>
          <w:sz w:val="28"/>
          <w:szCs w:val="28"/>
        </w:rPr>
      </w:pPr>
      <w:r w:rsidRPr="00C5385F">
        <w:rPr>
          <w:b/>
        </w:rPr>
        <w:lastRenderedPageBreak/>
        <w:t>A</w:t>
      </w:r>
      <w:r w:rsidR="00C5385F">
        <w:rPr>
          <w:b/>
        </w:rPr>
        <w:t>BSTRACT</w:t>
      </w:r>
    </w:p>
    <w:p w14:paraId="280563CB" w14:textId="77777777" w:rsidR="00C44B9A" w:rsidRPr="00C44B9A" w:rsidRDefault="00C44B9A" w:rsidP="00C44B9A">
      <w:pPr>
        <w:ind w:firstLine="630"/>
      </w:pPr>
      <w:r w:rsidRPr="00C44B9A">
        <w:t>With the development of wide-area monitoring system (WAMS) enabled by the synchrophasor technology, measurement-based approaches for power system voltage stability and control have been widely discussed in recent years. Based on high-frequency synchronized measurement signals collected from phasor measurement units (PMUs), these approaches have great potentials to significantly improve the situational awareness and to effectively guide the controls of interconnected modern power systems.</w:t>
      </w:r>
    </w:p>
    <w:p w14:paraId="71D22428" w14:textId="77777777" w:rsidR="00C44B9A" w:rsidRPr="00C44B9A" w:rsidRDefault="00C44B9A" w:rsidP="00C44B9A">
      <w:pPr>
        <w:ind w:firstLine="630"/>
      </w:pPr>
      <w:r w:rsidRPr="00C44B9A">
        <w:t>If compared with conventional model-based voltage stability assessment (VSA) and control methods, the measurement-based methods are relatively new. Although their simplicity and independence of system models make them suitable for online deployment, the applications of these measurement-based methods are not as well explored as their model-based counterparts, which have been improved and matured over several decades. Therefore, the motivation of this dissertation is to explore new applications of measurement-based voltage stability assessment and control.</w:t>
      </w:r>
    </w:p>
    <w:p w14:paraId="25C20254" w14:textId="77777777" w:rsidR="00C44B9A" w:rsidRPr="00C44B9A" w:rsidRDefault="00C44B9A" w:rsidP="00C44B9A">
      <w:pPr>
        <w:ind w:firstLine="630"/>
      </w:pPr>
      <w:r w:rsidRPr="00C44B9A">
        <w:t xml:space="preserve">In this dissertation, first, a comparative study on existing measurement-based approaches is provided; second, a hybrid VSA approach for N-1 contingency is proposed; third, measurement-based wide-area loading margin sensitivity suitable for voltage stability control is presented with a sample control study; fourth, mitigation approaches for overestimation of voltage stability margin when using coupled single-port circuit are proposed; and fifth, </w:t>
      </w:r>
      <w:r w:rsidR="00EB5590">
        <w:t>voltage dependent load model</w:t>
      </w:r>
      <w:r w:rsidRPr="00C44B9A">
        <w:t xml:space="preserve"> is integrated into measurement-based voltage stability analysis</w:t>
      </w:r>
      <w:r w:rsidR="00FD5896">
        <w:t xml:space="preserve"> to provide a practical and accurate assessment of voltage stability margin</w:t>
      </w:r>
      <w:r w:rsidRPr="00C44B9A">
        <w:t>.</w:t>
      </w:r>
      <w:r w:rsidR="004F0434">
        <w:t xml:space="preserve"> </w:t>
      </w:r>
    </w:p>
    <w:p w14:paraId="1EE0044B" w14:textId="77777777" w:rsidR="00993B39" w:rsidRPr="00EA7CE6" w:rsidRDefault="00993B39" w:rsidP="004668D1">
      <w:pPr>
        <w:ind w:firstLine="630"/>
      </w:pPr>
      <w:r w:rsidRPr="00993B39">
        <w:rPr>
          <w:b/>
        </w:rPr>
        <w:lastRenderedPageBreak/>
        <w:t xml:space="preserve">Keywords: </w:t>
      </w:r>
      <w:r w:rsidR="00C44B9A" w:rsidRPr="00C44B9A">
        <w:t xml:space="preserve">Measurement-based approach, voltage stability, voltage stability control, wide-area measurement systems (WAMS), phasor measurement unit (PMU), Thevenin equivalent, </w:t>
      </w:r>
      <w:r w:rsidR="00C44B9A">
        <w:t>coupled single-port circuit, voltage dependent load, and ZIP load</w:t>
      </w:r>
      <w:r w:rsidR="007D38B0">
        <w:t>.</w:t>
      </w:r>
    </w:p>
    <w:p w14:paraId="1311786E" w14:textId="77777777" w:rsidR="00236E6D" w:rsidRDefault="00236E6D" w:rsidP="004668D1">
      <w:pPr>
        <w:ind w:firstLine="0"/>
        <w:jc w:val="center"/>
        <w:rPr>
          <w:b/>
          <w:bCs/>
          <w:sz w:val="28"/>
          <w:szCs w:val="28"/>
        </w:rPr>
      </w:pPr>
      <w:r w:rsidRPr="00F920F6">
        <w:br w:type="page"/>
      </w:r>
      <w:r w:rsidR="00D067C3" w:rsidRPr="00D77FB0">
        <w:rPr>
          <w:b/>
          <w:bCs/>
          <w:sz w:val="28"/>
          <w:szCs w:val="28"/>
        </w:rPr>
        <w:lastRenderedPageBreak/>
        <w:t>T</w:t>
      </w:r>
      <w:r w:rsidR="000842FB">
        <w:rPr>
          <w:b/>
          <w:bCs/>
          <w:sz w:val="28"/>
          <w:szCs w:val="28"/>
        </w:rPr>
        <w:t>ABLE OF CONTENTS</w:t>
      </w:r>
    </w:p>
    <w:p w14:paraId="2045DCDE" w14:textId="77777777" w:rsidR="000842FB" w:rsidRPr="00D77FB0" w:rsidRDefault="000842FB" w:rsidP="004668D1">
      <w:pPr>
        <w:ind w:firstLine="0"/>
        <w:jc w:val="center"/>
        <w:rPr>
          <w:b/>
          <w:bCs/>
          <w:sz w:val="28"/>
          <w:szCs w:val="28"/>
        </w:rPr>
      </w:pPr>
    </w:p>
    <w:p w14:paraId="3EF8B694" w14:textId="77777777" w:rsidR="00BE6EF0" w:rsidRDefault="00236E6D">
      <w:pPr>
        <w:pStyle w:val="TOC1"/>
        <w:rPr>
          <w:rFonts w:asciiTheme="minorHAnsi" w:eastAsiaTheme="minorEastAsia" w:hAnsiTheme="minorHAnsi" w:cstheme="minorBidi"/>
          <w:noProof/>
          <w:sz w:val="22"/>
          <w:szCs w:val="22"/>
          <w:lang w:eastAsia="zh-CN"/>
        </w:rPr>
      </w:pPr>
      <w:r w:rsidRPr="00F920F6">
        <w:fldChar w:fldCharType="begin"/>
      </w:r>
      <w:r w:rsidRPr="00F920F6">
        <w:instrText xml:space="preserve"> TOC \o "1-3" \h \z </w:instrText>
      </w:r>
      <w:r w:rsidRPr="00F920F6">
        <w:fldChar w:fldCharType="separate"/>
      </w:r>
      <w:hyperlink w:anchor="_Toc459076525" w:history="1">
        <w:r w:rsidR="00BE6EF0" w:rsidRPr="009137BE">
          <w:rPr>
            <w:rStyle w:val="Hyperlink"/>
            <w:noProof/>
          </w:rPr>
          <w:t>CHAPTER 1 INTRODUCTION AND GENERAL INFORMATION</w:t>
        </w:r>
        <w:r w:rsidR="00BE6EF0">
          <w:rPr>
            <w:noProof/>
            <w:webHidden/>
          </w:rPr>
          <w:tab/>
        </w:r>
        <w:r w:rsidR="00BE6EF0">
          <w:rPr>
            <w:noProof/>
            <w:webHidden/>
          </w:rPr>
          <w:fldChar w:fldCharType="begin"/>
        </w:r>
        <w:r w:rsidR="00BE6EF0">
          <w:rPr>
            <w:noProof/>
            <w:webHidden/>
          </w:rPr>
          <w:instrText xml:space="preserve"> PAGEREF _Toc459076525 \h </w:instrText>
        </w:r>
        <w:r w:rsidR="00BE6EF0">
          <w:rPr>
            <w:noProof/>
            <w:webHidden/>
          </w:rPr>
        </w:r>
        <w:r w:rsidR="00BE6EF0">
          <w:rPr>
            <w:noProof/>
            <w:webHidden/>
          </w:rPr>
          <w:fldChar w:fldCharType="separate"/>
        </w:r>
        <w:r w:rsidR="00BE6EF0">
          <w:rPr>
            <w:noProof/>
            <w:webHidden/>
          </w:rPr>
          <w:t>1</w:t>
        </w:r>
        <w:r w:rsidR="00BE6EF0">
          <w:rPr>
            <w:noProof/>
            <w:webHidden/>
          </w:rPr>
          <w:fldChar w:fldCharType="end"/>
        </w:r>
      </w:hyperlink>
    </w:p>
    <w:p w14:paraId="66812F91" w14:textId="77777777" w:rsidR="00BE6EF0" w:rsidRDefault="00BE6EF0">
      <w:pPr>
        <w:pStyle w:val="TOC2"/>
        <w:rPr>
          <w:rFonts w:asciiTheme="minorHAnsi" w:eastAsiaTheme="minorEastAsia" w:hAnsiTheme="minorHAnsi" w:cstheme="minorBidi"/>
          <w:noProof/>
          <w:sz w:val="22"/>
          <w:szCs w:val="22"/>
          <w:lang w:eastAsia="zh-CN"/>
        </w:rPr>
      </w:pPr>
      <w:hyperlink w:anchor="_Toc459076526" w:history="1">
        <w:r w:rsidRPr="009137BE">
          <w:rPr>
            <w:rStyle w:val="Hyperlink"/>
            <w:noProof/>
            <w:lang w:eastAsia="zh-CN"/>
          </w:rPr>
          <w:t>1.1 Measurement-Based Voltage Stability Assessment</w:t>
        </w:r>
        <w:r>
          <w:rPr>
            <w:noProof/>
            <w:webHidden/>
          </w:rPr>
          <w:tab/>
        </w:r>
        <w:r>
          <w:rPr>
            <w:noProof/>
            <w:webHidden/>
          </w:rPr>
          <w:fldChar w:fldCharType="begin"/>
        </w:r>
        <w:r>
          <w:rPr>
            <w:noProof/>
            <w:webHidden/>
          </w:rPr>
          <w:instrText xml:space="preserve"> PAGEREF _Toc459076526 \h </w:instrText>
        </w:r>
        <w:r>
          <w:rPr>
            <w:noProof/>
            <w:webHidden/>
          </w:rPr>
        </w:r>
        <w:r>
          <w:rPr>
            <w:noProof/>
            <w:webHidden/>
          </w:rPr>
          <w:fldChar w:fldCharType="separate"/>
        </w:r>
        <w:r>
          <w:rPr>
            <w:noProof/>
            <w:webHidden/>
          </w:rPr>
          <w:t>1</w:t>
        </w:r>
        <w:r>
          <w:rPr>
            <w:noProof/>
            <w:webHidden/>
          </w:rPr>
          <w:fldChar w:fldCharType="end"/>
        </w:r>
      </w:hyperlink>
    </w:p>
    <w:p w14:paraId="050ACBC9" w14:textId="77777777" w:rsidR="00BE6EF0" w:rsidRDefault="00BE6EF0">
      <w:pPr>
        <w:pStyle w:val="TOC3"/>
        <w:rPr>
          <w:rFonts w:asciiTheme="minorHAnsi" w:eastAsiaTheme="minorEastAsia" w:hAnsiTheme="minorHAnsi" w:cstheme="minorBidi"/>
          <w:noProof/>
          <w:sz w:val="22"/>
          <w:szCs w:val="22"/>
          <w:lang w:eastAsia="zh-CN"/>
        </w:rPr>
      </w:pPr>
      <w:hyperlink w:anchor="_Toc459076527" w:history="1">
        <w:r w:rsidRPr="009137BE">
          <w:rPr>
            <w:rStyle w:val="Hyperlink"/>
            <w:noProof/>
            <w:lang w:eastAsia="zh-CN"/>
          </w:rPr>
          <w:t>1.1.1 Thevenin Identification Methods</w:t>
        </w:r>
        <w:r>
          <w:rPr>
            <w:noProof/>
            <w:webHidden/>
          </w:rPr>
          <w:tab/>
        </w:r>
        <w:r>
          <w:rPr>
            <w:noProof/>
            <w:webHidden/>
          </w:rPr>
          <w:fldChar w:fldCharType="begin"/>
        </w:r>
        <w:r>
          <w:rPr>
            <w:noProof/>
            <w:webHidden/>
          </w:rPr>
          <w:instrText xml:space="preserve"> PAGEREF _Toc459076527 \h </w:instrText>
        </w:r>
        <w:r>
          <w:rPr>
            <w:noProof/>
            <w:webHidden/>
          </w:rPr>
        </w:r>
        <w:r>
          <w:rPr>
            <w:noProof/>
            <w:webHidden/>
          </w:rPr>
          <w:fldChar w:fldCharType="separate"/>
        </w:r>
        <w:r>
          <w:rPr>
            <w:noProof/>
            <w:webHidden/>
          </w:rPr>
          <w:t>2</w:t>
        </w:r>
        <w:r>
          <w:rPr>
            <w:noProof/>
            <w:webHidden/>
          </w:rPr>
          <w:fldChar w:fldCharType="end"/>
        </w:r>
      </w:hyperlink>
    </w:p>
    <w:p w14:paraId="0A388609" w14:textId="77777777" w:rsidR="00BE6EF0" w:rsidRDefault="00BE6EF0">
      <w:pPr>
        <w:pStyle w:val="TOC3"/>
        <w:rPr>
          <w:rFonts w:asciiTheme="minorHAnsi" w:eastAsiaTheme="minorEastAsia" w:hAnsiTheme="minorHAnsi" w:cstheme="minorBidi"/>
          <w:noProof/>
          <w:sz w:val="22"/>
          <w:szCs w:val="22"/>
          <w:lang w:eastAsia="zh-CN"/>
        </w:rPr>
      </w:pPr>
      <w:hyperlink w:anchor="_Toc459076528" w:history="1">
        <w:r w:rsidRPr="009137BE">
          <w:rPr>
            <w:rStyle w:val="Hyperlink"/>
            <w:noProof/>
            <w:lang w:eastAsia="zh-CN"/>
          </w:rPr>
          <w:t>1.1.2 Hybrid VSA for N-1 Contingency</w:t>
        </w:r>
        <w:r>
          <w:rPr>
            <w:noProof/>
            <w:webHidden/>
          </w:rPr>
          <w:tab/>
        </w:r>
        <w:r>
          <w:rPr>
            <w:noProof/>
            <w:webHidden/>
          </w:rPr>
          <w:fldChar w:fldCharType="begin"/>
        </w:r>
        <w:r>
          <w:rPr>
            <w:noProof/>
            <w:webHidden/>
          </w:rPr>
          <w:instrText xml:space="preserve"> PAGEREF _Toc459076528 \h </w:instrText>
        </w:r>
        <w:r>
          <w:rPr>
            <w:noProof/>
            <w:webHidden/>
          </w:rPr>
        </w:r>
        <w:r>
          <w:rPr>
            <w:noProof/>
            <w:webHidden/>
          </w:rPr>
          <w:fldChar w:fldCharType="separate"/>
        </w:r>
        <w:r>
          <w:rPr>
            <w:noProof/>
            <w:webHidden/>
          </w:rPr>
          <w:t>3</w:t>
        </w:r>
        <w:r>
          <w:rPr>
            <w:noProof/>
            <w:webHidden/>
          </w:rPr>
          <w:fldChar w:fldCharType="end"/>
        </w:r>
      </w:hyperlink>
    </w:p>
    <w:p w14:paraId="357ABA99" w14:textId="77777777" w:rsidR="00BE6EF0" w:rsidRDefault="00BE6EF0">
      <w:pPr>
        <w:pStyle w:val="TOC2"/>
        <w:rPr>
          <w:rFonts w:asciiTheme="minorHAnsi" w:eastAsiaTheme="minorEastAsia" w:hAnsiTheme="minorHAnsi" w:cstheme="minorBidi"/>
          <w:noProof/>
          <w:sz w:val="22"/>
          <w:szCs w:val="22"/>
          <w:lang w:eastAsia="zh-CN"/>
        </w:rPr>
      </w:pPr>
      <w:hyperlink w:anchor="_Toc459076529" w:history="1">
        <w:r w:rsidRPr="009137BE">
          <w:rPr>
            <w:rStyle w:val="Hyperlink"/>
            <w:noProof/>
            <w:lang w:eastAsia="zh-CN"/>
          </w:rPr>
          <w:t>1.2 Measurement-Based Voltage Stability Control</w:t>
        </w:r>
        <w:r>
          <w:rPr>
            <w:noProof/>
            <w:webHidden/>
          </w:rPr>
          <w:tab/>
        </w:r>
        <w:r>
          <w:rPr>
            <w:noProof/>
            <w:webHidden/>
          </w:rPr>
          <w:fldChar w:fldCharType="begin"/>
        </w:r>
        <w:r>
          <w:rPr>
            <w:noProof/>
            <w:webHidden/>
          </w:rPr>
          <w:instrText xml:space="preserve"> PAGEREF _Toc459076529 \h </w:instrText>
        </w:r>
        <w:r>
          <w:rPr>
            <w:noProof/>
            <w:webHidden/>
          </w:rPr>
        </w:r>
        <w:r>
          <w:rPr>
            <w:noProof/>
            <w:webHidden/>
          </w:rPr>
          <w:fldChar w:fldCharType="separate"/>
        </w:r>
        <w:r>
          <w:rPr>
            <w:noProof/>
            <w:webHidden/>
          </w:rPr>
          <w:t>4</w:t>
        </w:r>
        <w:r>
          <w:rPr>
            <w:noProof/>
            <w:webHidden/>
          </w:rPr>
          <w:fldChar w:fldCharType="end"/>
        </w:r>
      </w:hyperlink>
    </w:p>
    <w:p w14:paraId="40554351" w14:textId="77777777" w:rsidR="00BE6EF0" w:rsidRDefault="00BE6EF0">
      <w:pPr>
        <w:pStyle w:val="TOC2"/>
        <w:rPr>
          <w:rFonts w:asciiTheme="minorHAnsi" w:eastAsiaTheme="minorEastAsia" w:hAnsiTheme="minorHAnsi" w:cstheme="minorBidi"/>
          <w:noProof/>
          <w:sz w:val="22"/>
          <w:szCs w:val="22"/>
          <w:lang w:eastAsia="zh-CN"/>
        </w:rPr>
      </w:pPr>
      <w:hyperlink w:anchor="_Toc459076530" w:history="1">
        <w:r w:rsidRPr="009137BE">
          <w:rPr>
            <w:rStyle w:val="Hyperlink"/>
            <w:noProof/>
          </w:rPr>
          <w:t>1.3 Load Model in Voltage Stability Analysis and Control</w:t>
        </w:r>
        <w:r>
          <w:rPr>
            <w:noProof/>
            <w:webHidden/>
          </w:rPr>
          <w:tab/>
        </w:r>
        <w:r>
          <w:rPr>
            <w:noProof/>
            <w:webHidden/>
          </w:rPr>
          <w:fldChar w:fldCharType="begin"/>
        </w:r>
        <w:r>
          <w:rPr>
            <w:noProof/>
            <w:webHidden/>
          </w:rPr>
          <w:instrText xml:space="preserve"> PAGEREF _Toc459076530 \h </w:instrText>
        </w:r>
        <w:r>
          <w:rPr>
            <w:noProof/>
            <w:webHidden/>
          </w:rPr>
        </w:r>
        <w:r>
          <w:rPr>
            <w:noProof/>
            <w:webHidden/>
          </w:rPr>
          <w:fldChar w:fldCharType="separate"/>
        </w:r>
        <w:r>
          <w:rPr>
            <w:noProof/>
            <w:webHidden/>
          </w:rPr>
          <w:t>6</w:t>
        </w:r>
        <w:r>
          <w:rPr>
            <w:noProof/>
            <w:webHidden/>
          </w:rPr>
          <w:fldChar w:fldCharType="end"/>
        </w:r>
      </w:hyperlink>
    </w:p>
    <w:p w14:paraId="22045C0F" w14:textId="77777777" w:rsidR="00BE6EF0" w:rsidRDefault="00BE6EF0">
      <w:pPr>
        <w:pStyle w:val="TOC2"/>
        <w:rPr>
          <w:rFonts w:asciiTheme="minorHAnsi" w:eastAsiaTheme="minorEastAsia" w:hAnsiTheme="minorHAnsi" w:cstheme="minorBidi"/>
          <w:noProof/>
          <w:sz w:val="22"/>
          <w:szCs w:val="22"/>
          <w:lang w:eastAsia="zh-CN"/>
        </w:rPr>
      </w:pPr>
      <w:hyperlink w:anchor="_Toc459076531" w:history="1">
        <w:r w:rsidRPr="009137BE">
          <w:rPr>
            <w:rStyle w:val="Hyperlink"/>
            <w:noProof/>
            <w:lang w:eastAsia="zh-CN"/>
          </w:rPr>
          <w:t>1.4 The Structure of Measurement-Based VSA and Control</w:t>
        </w:r>
        <w:r>
          <w:rPr>
            <w:noProof/>
            <w:webHidden/>
          </w:rPr>
          <w:tab/>
        </w:r>
        <w:r>
          <w:rPr>
            <w:noProof/>
            <w:webHidden/>
          </w:rPr>
          <w:fldChar w:fldCharType="begin"/>
        </w:r>
        <w:r>
          <w:rPr>
            <w:noProof/>
            <w:webHidden/>
          </w:rPr>
          <w:instrText xml:space="preserve"> PAGEREF _Toc459076531 \h </w:instrText>
        </w:r>
        <w:r>
          <w:rPr>
            <w:noProof/>
            <w:webHidden/>
          </w:rPr>
        </w:r>
        <w:r>
          <w:rPr>
            <w:noProof/>
            <w:webHidden/>
          </w:rPr>
          <w:fldChar w:fldCharType="separate"/>
        </w:r>
        <w:r>
          <w:rPr>
            <w:noProof/>
            <w:webHidden/>
          </w:rPr>
          <w:t>7</w:t>
        </w:r>
        <w:r>
          <w:rPr>
            <w:noProof/>
            <w:webHidden/>
          </w:rPr>
          <w:fldChar w:fldCharType="end"/>
        </w:r>
      </w:hyperlink>
    </w:p>
    <w:p w14:paraId="1C4C78ED" w14:textId="77777777" w:rsidR="00BE6EF0" w:rsidRDefault="00BE6EF0">
      <w:pPr>
        <w:pStyle w:val="TOC2"/>
        <w:rPr>
          <w:rFonts w:asciiTheme="minorHAnsi" w:eastAsiaTheme="minorEastAsia" w:hAnsiTheme="minorHAnsi" w:cstheme="minorBidi"/>
          <w:noProof/>
          <w:sz w:val="22"/>
          <w:szCs w:val="22"/>
          <w:lang w:eastAsia="zh-CN"/>
        </w:rPr>
      </w:pPr>
      <w:hyperlink w:anchor="_Toc459076532" w:history="1">
        <w:r w:rsidRPr="009137BE">
          <w:rPr>
            <w:rStyle w:val="Hyperlink"/>
            <w:noProof/>
            <w:lang w:eastAsia="zh-CN"/>
          </w:rPr>
          <w:t>1.5 Contributions of This Work</w:t>
        </w:r>
        <w:r>
          <w:rPr>
            <w:noProof/>
            <w:webHidden/>
          </w:rPr>
          <w:tab/>
        </w:r>
        <w:r>
          <w:rPr>
            <w:noProof/>
            <w:webHidden/>
          </w:rPr>
          <w:fldChar w:fldCharType="begin"/>
        </w:r>
        <w:r>
          <w:rPr>
            <w:noProof/>
            <w:webHidden/>
          </w:rPr>
          <w:instrText xml:space="preserve"> PAGEREF _Toc459076532 \h </w:instrText>
        </w:r>
        <w:r>
          <w:rPr>
            <w:noProof/>
            <w:webHidden/>
          </w:rPr>
        </w:r>
        <w:r>
          <w:rPr>
            <w:noProof/>
            <w:webHidden/>
          </w:rPr>
          <w:fldChar w:fldCharType="separate"/>
        </w:r>
        <w:r>
          <w:rPr>
            <w:noProof/>
            <w:webHidden/>
          </w:rPr>
          <w:t>9</w:t>
        </w:r>
        <w:r>
          <w:rPr>
            <w:noProof/>
            <w:webHidden/>
          </w:rPr>
          <w:fldChar w:fldCharType="end"/>
        </w:r>
      </w:hyperlink>
    </w:p>
    <w:p w14:paraId="3CC7EEE5" w14:textId="77777777" w:rsidR="00BE6EF0" w:rsidRDefault="00BE6EF0">
      <w:pPr>
        <w:pStyle w:val="TOC2"/>
        <w:rPr>
          <w:rFonts w:asciiTheme="minorHAnsi" w:eastAsiaTheme="minorEastAsia" w:hAnsiTheme="minorHAnsi" w:cstheme="minorBidi"/>
          <w:noProof/>
          <w:sz w:val="22"/>
          <w:szCs w:val="22"/>
          <w:lang w:eastAsia="zh-CN"/>
        </w:rPr>
      </w:pPr>
      <w:hyperlink w:anchor="_Toc459076533" w:history="1">
        <w:r w:rsidRPr="009137BE">
          <w:rPr>
            <w:rStyle w:val="Hyperlink"/>
            <w:noProof/>
            <w:lang w:eastAsia="zh-CN"/>
          </w:rPr>
          <w:t>1.6 Organizations of the Dissertation</w:t>
        </w:r>
        <w:r>
          <w:rPr>
            <w:noProof/>
            <w:webHidden/>
          </w:rPr>
          <w:tab/>
        </w:r>
        <w:r>
          <w:rPr>
            <w:noProof/>
            <w:webHidden/>
          </w:rPr>
          <w:fldChar w:fldCharType="begin"/>
        </w:r>
        <w:r>
          <w:rPr>
            <w:noProof/>
            <w:webHidden/>
          </w:rPr>
          <w:instrText xml:space="preserve"> PAGEREF _Toc459076533 \h </w:instrText>
        </w:r>
        <w:r>
          <w:rPr>
            <w:noProof/>
            <w:webHidden/>
          </w:rPr>
        </w:r>
        <w:r>
          <w:rPr>
            <w:noProof/>
            <w:webHidden/>
          </w:rPr>
          <w:fldChar w:fldCharType="separate"/>
        </w:r>
        <w:r>
          <w:rPr>
            <w:noProof/>
            <w:webHidden/>
          </w:rPr>
          <w:t>10</w:t>
        </w:r>
        <w:r>
          <w:rPr>
            <w:noProof/>
            <w:webHidden/>
          </w:rPr>
          <w:fldChar w:fldCharType="end"/>
        </w:r>
      </w:hyperlink>
    </w:p>
    <w:p w14:paraId="5D249604" w14:textId="77777777" w:rsidR="00BE6EF0" w:rsidRDefault="00BE6EF0">
      <w:pPr>
        <w:pStyle w:val="TOC1"/>
        <w:rPr>
          <w:rFonts w:asciiTheme="minorHAnsi" w:eastAsiaTheme="minorEastAsia" w:hAnsiTheme="minorHAnsi" w:cstheme="minorBidi"/>
          <w:noProof/>
          <w:sz w:val="22"/>
          <w:szCs w:val="22"/>
          <w:lang w:eastAsia="zh-CN"/>
        </w:rPr>
      </w:pPr>
      <w:hyperlink w:anchor="_Toc459076534" w:history="1">
        <w:r w:rsidRPr="009137BE">
          <w:rPr>
            <w:rStyle w:val="Hyperlink"/>
            <w:noProof/>
          </w:rPr>
          <w:t>CHAPTER 2 LITERATURE REVIEW</w:t>
        </w:r>
        <w:r>
          <w:rPr>
            <w:noProof/>
            <w:webHidden/>
          </w:rPr>
          <w:tab/>
        </w:r>
        <w:r>
          <w:rPr>
            <w:noProof/>
            <w:webHidden/>
          </w:rPr>
          <w:fldChar w:fldCharType="begin"/>
        </w:r>
        <w:r>
          <w:rPr>
            <w:noProof/>
            <w:webHidden/>
          </w:rPr>
          <w:instrText xml:space="preserve"> PAGEREF _Toc459076534 \h </w:instrText>
        </w:r>
        <w:r>
          <w:rPr>
            <w:noProof/>
            <w:webHidden/>
          </w:rPr>
        </w:r>
        <w:r>
          <w:rPr>
            <w:noProof/>
            <w:webHidden/>
          </w:rPr>
          <w:fldChar w:fldCharType="separate"/>
        </w:r>
        <w:r>
          <w:rPr>
            <w:noProof/>
            <w:webHidden/>
          </w:rPr>
          <w:t>11</w:t>
        </w:r>
        <w:r>
          <w:rPr>
            <w:noProof/>
            <w:webHidden/>
          </w:rPr>
          <w:fldChar w:fldCharType="end"/>
        </w:r>
      </w:hyperlink>
    </w:p>
    <w:p w14:paraId="5F9BF496" w14:textId="77777777" w:rsidR="00BE6EF0" w:rsidRDefault="00BE6EF0">
      <w:pPr>
        <w:pStyle w:val="TOC2"/>
        <w:rPr>
          <w:rFonts w:asciiTheme="minorHAnsi" w:eastAsiaTheme="minorEastAsia" w:hAnsiTheme="minorHAnsi" w:cstheme="minorBidi"/>
          <w:noProof/>
          <w:sz w:val="22"/>
          <w:szCs w:val="22"/>
          <w:lang w:eastAsia="zh-CN"/>
        </w:rPr>
      </w:pPr>
      <w:hyperlink w:anchor="_Toc459076535" w:history="1">
        <w:r w:rsidRPr="009137BE">
          <w:rPr>
            <w:rStyle w:val="Hyperlink"/>
            <w:noProof/>
          </w:rPr>
          <w:t xml:space="preserve">2.1 Measurement-Based </w:t>
        </w:r>
        <w:r w:rsidRPr="009137BE">
          <w:rPr>
            <w:rStyle w:val="Hyperlink"/>
            <w:noProof/>
            <w:lang w:eastAsia="zh-CN"/>
          </w:rPr>
          <w:t>Voltage Stability Assessment</w:t>
        </w:r>
        <w:r>
          <w:rPr>
            <w:noProof/>
            <w:webHidden/>
          </w:rPr>
          <w:tab/>
        </w:r>
        <w:r>
          <w:rPr>
            <w:noProof/>
            <w:webHidden/>
          </w:rPr>
          <w:fldChar w:fldCharType="begin"/>
        </w:r>
        <w:r>
          <w:rPr>
            <w:noProof/>
            <w:webHidden/>
          </w:rPr>
          <w:instrText xml:space="preserve"> PAGEREF _Toc459076535 \h </w:instrText>
        </w:r>
        <w:r>
          <w:rPr>
            <w:noProof/>
            <w:webHidden/>
          </w:rPr>
        </w:r>
        <w:r>
          <w:rPr>
            <w:noProof/>
            <w:webHidden/>
          </w:rPr>
          <w:fldChar w:fldCharType="separate"/>
        </w:r>
        <w:r>
          <w:rPr>
            <w:noProof/>
            <w:webHidden/>
          </w:rPr>
          <w:t>11</w:t>
        </w:r>
        <w:r>
          <w:rPr>
            <w:noProof/>
            <w:webHidden/>
          </w:rPr>
          <w:fldChar w:fldCharType="end"/>
        </w:r>
      </w:hyperlink>
    </w:p>
    <w:p w14:paraId="7D031639" w14:textId="77777777" w:rsidR="00BE6EF0" w:rsidRDefault="00BE6EF0">
      <w:pPr>
        <w:pStyle w:val="TOC2"/>
        <w:rPr>
          <w:rFonts w:asciiTheme="minorHAnsi" w:eastAsiaTheme="minorEastAsia" w:hAnsiTheme="minorHAnsi" w:cstheme="minorBidi"/>
          <w:noProof/>
          <w:sz w:val="22"/>
          <w:szCs w:val="22"/>
          <w:lang w:eastAsia="zh-CN"/>
        </w:rPr>
      </w:pPr>
      <w:hyperlink w:anchor="_Toc459076536" w:history="1">
        <w:r w:rsidRPr="009137BE">
          <w:rPr>
            <w:rStyle w:val="Hyperlink"/>
            <w:noProof/>
          </w:rPr>
          <w:t xml:space="preserve">2.2 </w:t>
        </w:r>
        <w:r w:rsidRPr="009137BE">
          <w:rPr>
            <w:rStyle w:val="Hyperlink"/>
            <w:noProof/>
            <w:lang w:eastAsia="zh-CN"/>
          </w:rPr>
          <w:t>Voltage Stability Control</w:t>
        </w:r>
        <w:r>
          <w:rPr>
            <w:noProof/>
            <w:webHidden/>
          </w:rPr>
          <w:tab/>
        </w:r>
        <w:r>
          <w:rPr>
            <w:noProof/>
            <w:webHidden/>
          </w:rPr>
          <w:fldChar w:fldCharType="begin"/>
        </w:r>
        <w:r>
          <w:rPr>
            <w:noProof/>
            <w:webHidden/>
          </w:rPr>
          <w:instrText xml:space="preserve"> PAGEREF _Toc459076536 \h </w:instrText>
        </w:r>
        <w:r>
          <w:rPr>
            <w:noProof/>
            <w:webHidden/>
          </w:rPr>
        </w:r>
        <w:r>
          <w:rPr>
            <w:noProof/>
            <w:webHidden/>
          </w:rPr>
          <w:fldChar w:fldCharType="separate"/>
        </w:r>
        <w:r>
          <w:rPr>
            <w:noProof/>
            <w:webHidden/>
          </w:rPr>
          <w:t>12</w:t>
        </w:r>
        <w:r>
          <w:rPr>
            <w:noProof/>
            <w:webHidden/>
          </w:rPr>
          <w:fldChar w:fldCharType="end"/>
        </w:r>
      </w:hyperlink>
    </w:p>
    <w:p w14:paraId="7A7892F2" w14:textId="77777777" w:rsidR="00BE6EF0" w:rsidRDefault="00BE6EF0">
      <w:pPr>
        <w:pStyle w:val="TOC1"/>
        <w:rPr>
          <w:rFonts w:asciiTheme="minorHAnsi" w:eastAsiaTheme="minorEastAsia" w:hAnsiTheme="minorHAnsi" w:cstheme="minorBidi"/>
          <w:noProof/>
          <w:sz w:val="22"/>
          <w:szCs w:val="22"/>
          <w:lang w:eastAsia="zh-CN"/>
        </w:rPr>
      </w:pPr>
      <w:hyperlink w:anchor="_Toc459076537" w:history="1">
        <w:r w:rsidRPr="009137BE">
          <w:rPr>
            <w:rStyle w:val="Hyperlink"/>
            <w:noProof/>
          </w:rPr>
          <w:t>CHAPTER 3 A COMPARATIVE STUDY OF MEASUREMENT-BASED THEVENIN EQUIVALENTS IDENTIFICATION METHODS</w:t>
        </w:r>
        <w:r>
          <w:rPr>
            <w:noProof/>
            <w:webHidden/>
          </w:rPr>
          <w:tab/>
        </w:r>
        <w:r>
          <w:rPr>
            <w:noProof/>
            <w:webHidden/>
          </w:rPr>
          <w:fldChar w:fldCharType="begin"/>
        </w:r>
        <w:r>
          <w:rPr>
            <w:noProof/>
            <w:webHidden/>
          </w:rPr>
          <w:instrText xml:space="preserve"> PAGEREF _Toc459076537 \h </w:instrText>
        </w:r>
        <w:r>
          <w:rPr>
            <w:noProof/>
            <w:webHidden/>
          </w:rPr>
        </w:r>
        <w:r>
          <w:rPr>
            <w:noProof/>
            <w:webHidden/>
          </w:rPr>
          <w:fldChar w:fldCharType="separate"/>
        </w:r>
        <w:r>
          <w:rPr>
            <w:noProof/>
            <w:webHidden/>
          </w:rPr>
          <w:t>14</w:t>
        </w:r>
        <w:r>
          <w:rPr>
            <w:noProof/>
            <w:webHidden/>
          </w:rPr>
          <w:fldChar w:fldCharType="end"/>
        </w:r>
      </w:hyperlink>
    </w:p>
    <w:p w14:paraId="7EAA530F" w14:textId="77777777" w:rsidR="00BE6EF0" w:rsidRDefault="00BE6EF0">
      <w:pPr>
        <w:pStyle w:val="TOC2"/>
        <w:rPr>
          <w:rFonts w:asciiTheme="minorHAnsi" w:eastAsiaTheme="minorEastAsia" w:hAnsiTheme="minorHAnsi" w:cstheme="minorBidi"/>
          <w:noProof/>
          <w:sz w:val="22"/>
          <w:szCs w:val="22"/>
          <w:lang w:eastAsia="zh-CN"/>
        </w:rPr>
      </w:pPr>
      <w:hyperlink w:anchor="_Toc459076538" w:history="1">
        <w:r w:rsidRPr="009137BE">
          <w:rPr>
            <w:rStyle w:val="Hyperlink"/>
            <w:noProof/>
          </w:rPr>
          <w:t>3.1 Thevenin Equivalence and Impedance</w:t>
        </w:r>
        <w:r>
          <w:rPr>
            <w:noProof/>
            <w:webHidden/>
          </w:rPr>
          <w:tab/>
        </w:r>
        <w:r>
          <w:rPr>
            <w:noProof/>
            <w:webHidden/>
          </w:rPr>
          <w:fldChar w:fldCharType="begin"/>
        </w:r>
        <w:r>
          <w:rPr>
            <w:noProof/>
            <w:webHidden/>
          </w:rPr>
          <w:instrText xml:space="preserve"> PAGEREF _Toc459076538 \h </w:instrText>
        </w:r>
        <w:r>
          <w:rPr>
            <w:noProof/>
            <w:webHidden/>
          </w:rPr>
        </w:r>
        <w:r>
          <w:rPr>
            <w:noProof/>
            <w:webHidden/>
          </w:rPr>
          <w:fldChar w:fldCharType="separate"/>
        </w:r>
        <w:r>
          <w:rPr>
            <w:noProof/>
            <w:webHidden/>
          </w:rPr>
          <w:t>14</w:t>
        </w:r>
        <w:r>
          <w:rPr>
            <w:noProof/>
            <w:webHidden/>
          </w:rPr>
          <w:fldChar w:fldCharType="end"/>
        </w:r>
      </w:hyperlink>
    </w:p>
    <w:p w14:paraId="67415E1C" w14:textId="77777777" w:rsidR="00BE6EF0" w:rsidRDefault="00BE6EF0">
      <w:pPr>
        <w:pStyle w:val="TOC2"/>
        <w:rPr>
          <w:rFonts w:asciiTheme="minorHAnsi" w:eastAsiaTheme="minorEastAsia" w:hAnsiTheme="minorHAnsi" w:cstheme="minorBidi"/>
          <w:noProof/>
          <w:sz w:val="22"/>
          <w:szCs w:val="22"/>
          <w:lang w:eastAsia="zh-CN"/>
        </w:rPr>
      </w:pPr>
      <w:hyperlink w:anchor="_Toc459076539" w:history="1">
        <w:r w:rsidRPr="009137BE">
          <w:rPr>
            <w:rStyle w:val="Hyperlink"/>
            <w:noProof/>
          </w:rPr>
          <w:t>3.2 Thevenin Equivalents Identification Methods</w:t>
        </w:r>
        <w:r>
          <w:rPr>
            <w:noProof/>
            <w:webHidden/>
          </w:rPr>
          <w:tab/>
        </w:r>
        <w:r>
          <w:rPr>
            <w:noProof/>
            <w:webHidden/>
          </w:rPr>
          <w:fldChar w:fldCharType="begin"/>
        </w:r>
        <w:r>
          <w:rPr>
            <w:noProof/>
            <w:webHidden/>
          </w:rPr>
          <w:instrText xml:space="preserve"> PAGEREF _Toc459076539 \h </w:instrText>
        </w:r>
        <w:r>
          <w:rPr>
            <w:noProof/>
            <w:webHidden/>
          </w:rPr>
        </w:r>
        <w:r>
          <w:rPr>
            <w:noProof/>
            <w:webHidden/>
          </w:rPr>
          <w:fldChar w:fldCharType="separate"/>
        </w:r>
        <w:r>
          <w:rPr>
            <w:noProof/>
            <w:webHidden/>
          </w:rPr>
          <w:t>15</w:t>
        </w:r>
        <w:r>
          <w:rPr>
            <w:noProof/>
            <w:webHidden/>
          </w:rPr>
          <w:fldChar w:fldCharType="end"/>
        </w:r>
      </w:hyperlink>
    </w:p>
    <w:p w14:paraId="51C43528" w14:textId="77777777" w:rsidR="00BE6EF0" w:rsidRDefault="00BE6EF0">
      <w:pPr>
        <w:pStyle w:val="TOC3"/>
        <w:rPr>
          <w:rFonts w:asciiTheme="minorHAnsi" w:eastAsiaTheme="minorEastAsia" w:hAnsiTheme="minorHAnsi" w:cstheme="minorBidi"/>
          <w:noProof/>
          <w:sz w:val="22"/>
          <w:szCs w:val="22"/>
          <w:lang w:eastAsia="zh-CN"/>
        </w:rPr>
      </w:pPr>
      <w:hyperlink w:anchor="_Toc459076540" w:history="1">
        <w:r w:rsidRPr="009137BE">
          <w:rPr>
            <w:rStyle w:val="Hyperlink"/>
            <w:noProof/>
          </w:rPr>
          <w:t>3.2.1 Least Squares (LS) Method</w:t>
        </w:r>
        <w:r>
          <w:rPr>
            <w:noProof/>
            <w:webHidden/>
          </w:rPr>
          <w:tab/>
        </w:r>
        <w:r>
          <w:rPr>
            <w:noProof/>
            <w:webHidden/>
          </w:rPr>
          <w:fldChar w:fldCharType="begin"/>
        </w:r>
        <w:r>
          <w:rPr>
            <w:noProof/>
            <w:webHidden/>
          </w:rPr>
          <w:instrText xml:space="preserve"> PAGEREF _Toc459076540 \h </w:instrText>
        </w:r>
        <w:r>
          <w:rPr>
            <w:noProof/>
            <w:webHidden/>
          </w:rPr>
        </w:r>
        <w:r>
          <w:rPr>
            <w:noProof/>
            <w:webHidden/>
          </w:rPr>
          <w:fldChar w:fldCharType="separate"/>
        </w:r>
        <w:r>
          <w:rPr>
            <w:noProof/>
            <w:webHidden/>
          </w:rPr>
          <w:t>16</w:t>
        </w:r>
        <w:r>
          <w:rPr>
            <w:noProof/>
            <w:webHidden/>
          </w:rPr>
          <w:fldChar w:fldCharType="end"/>
        </w:r>
      </w:hyperlink>
    </w:p>
    <w:p w14:paraId="6F382954" w14:textId="77777777" w:rsidR="00BE6EF0" w:rsidRDefault="00BE6EF0">
      <w:pPr>
        <w:pStyle w:val="TOC3"/>
        <w:rPr>
          <w:rFonts w:asciiTheme="minorHAnsi" w:eastAsiaTheme="minorEastAsia" w:hAnsiTheme="minorHAnsi" w:cstheme="minorBidi"/>
          <w:noProof/>
          <w:sz w:val="22"/>
          <w:szCs w:val="22"/>
          <w:lang w:eastAsia="zh-CN"/>
        </w:rPr>
      </w:pPr>
      <w:hyperlink w:anchor="_Toc459076541" w:history="1">
        <w:r w:rsidRPr="009137BE">
          <w:rPr>
            <w:rStyle w:val="Hyperlink"/>
            <w:noProof/>
          </w:rPr>
          <w:t>3.2.2 Method Based on Tellegen’s Theorem (TT)</w:t>
        </w:r>
        <w:r>
          <w:rPr>
            <w:noProof/>
            <w:webHidden/>
          </w:rPr>
          <w:tab/>
        </w:r>
        <w:r>
          <w:rPr>
            <w:noProof/>
            <w:webHidden/>
          </w:rPr>
          <w:fldChar w:fldCharType="begin"/>
        </w:r>
        <w:r>
          <w:rPr>
            <w:noProof/>
            <w:webHidden/>
          </w:rPr>
          <w:instrText xml:space="preserve"> PAGEREF _Toc459076541 \h </w:instrText>
        </w:r>
        <w:r>
          <w:rPr>
            <w:noProof/>
            <w:webHidden/>
          </w:rPr>
        </w:r>
        <w:r>
          <w:rPr>
            <w:noProof/>
            <w:webHidden/>
          </w:rPr>
          <w:fldChar w:fldCharType="separate"/>
        </w:r>
        <w:r>
          <w:rPr>
            <w:noProof/>
            <w:webHidden/>
          </w:rPr>
          <w:t>16</w:t>
        </w:r>
        <w:r>
          <w:rPr>
            <w:noProof/>
            <w:webHidden/>
          </w:rPr>
          <w:fldChar w:fldCharType="end"/>
        </w:r>
      </w:hyperlink>
    </w:p>
    <w:p w14:paraId="589667A3" w14:textId="77777777" w:rsidR="00BE6EF0" w:rsidRDefault="00BE6EF0">
      <w:pPr>
        <w:pStyle w:val="TOC3"/>
        <w:rPr>
          <w:rFonts w:asciiTheme="minorHAnsi" w:eastAsiaTheme="minorEastAsia" w:hAnsiTheme="minorHAnsi" w:cstheme="minorBidi"/>
          <w:noProof/>
          <w:sz w:val="22"/>
          <w:szCs w:val="22"/>
          <w:lang w:eastAsia="zh-CN"/>
        </w:rPr>
      </w:pPr>
      <w:hyperlink w:anchor="_Toc459076542" w:history="1">
        <w:r w:rsidRPr="009137BE">
          <w:rPr>
            <w:rStyle w:val="Hyperlink"/>
            <w:noProof/>
          </w:rPr>
          <w:t>3.2.3 Adaptive Method (AD)</w:t>
        </w:r>
        <w:r>
          <w:rPr>
            <w:noProof/>
            <w:webHidden/>
          </w:rPr>
          <w:tab/>
        </w:r>
        <w:r>
          <w:rPr>
            <w:noProof/>
            <w:webHidden/>
          </w:rPr>
          <w:fldChar w:fldCharType="begin"/>
        </w:r>
        <w:r>
          <w:rPr>
            <w:noProof/>
            <w:webHidden/>
          </w:rPr>
          <w:instrText xml:space="preserve"> PAGEREF _Toc459076542 \h </w:instrText>
        </w:r>
        <w:r>
          <w:rPr>
            <w:noProof/>
            <w:webHidden/>
          </w:rPr>
        </w:r>
        <w:r>
          <w:rPr>
            <w:noProof/>
            <w:webHidden/>
          </w:rPr>
          <w:fldChar w:fldCharType="separate"/>
        </w:r>
        <w:r>
          <w:rPr>
            <w:noProof/>
            <w:webHidden/>
          </w:rPr>
          <w:t>17</w:t>
        </w:r>
        <w:r>
          <w:rPr>
            <w:noProof/>
            <w:webHidden/>
          </w:rPr>
          <w:fldChar w:fldCharType="end"/>
        </w:r>
      </w:hyperlink>
    </w:p>
    <w:p w14:paraId="1D12B641" w14:textId="77777777" w:rsidR="00BE6EF0" w:rsidRDefault="00BE6EF0">
      <w:pPr>
        <w:pStyle w:val="TOC3"/>
        <w:rPr>
          <w:rFonts w:asciiTheme="minorHAnsi" w:eastAsiaTheme="minorEastAsia" w:hAnsiTheme="minorHAnsi" w:cstheme="minorBidi"/>
          <w:noProof/>
          <w:sz w:val="22"/>
          <w:szCs w:val="22"/>
          <w:lang w:eastAsia="zh-CN"/>
        </w:rPr>
      </w:pPr>
      <w:hyperlink w:anchor="_Toc459076543" w:history="1">
        <w:r w:rsidRPr="009137BE">
          <w:rPr>
            <w:rStyle w:val="Hyperlink"/>
            <w:noProof/>
          </w:rPr>
          <w:t>3.2.4 Method Based on Coupled Single-Port Circuit (CP)</w:t>
        </w:r>
        <w:r>
          <w:rPr>
            <w:noProof/>
            <w:webHidden/>
          </w:rPr>
          <w:tab/>
        </w:r>
        <w:r>
          <w:rPr>
            <w:noProof/>
            <w:webHidden/>
          </w:rPr>
          <w:fldChar w:fldCharType="begin"/>
        </w:r>
        <w:r>
          <w:rPr>
            <w:noProof/>
            <w:webHidden/>
          </w:rPr>
          <w:instrText xml:space="preserve"> PAGEREF _Toc459076543 \h </w:instrText>
        </w:r>
        <w:r>
          <w:rPr>
            <w:noProof/>
            <w:webHidden/>
          </w:rPr>
        </w:r>
        <w:r>
          <w:rPr>
            <w:noProof/>
            <w:webHidden/>
          </w:rPr>
          <w:fldChar w:fldCharType="separate"/>
        </w:r>
        <w:r>
          <w:rPr>
            <w:noProof/>
            <w:webHidden/>
          </w:rPr>
          <w:t>19</w:t>
        </w:r>
        <w:r>
          <w:rPr>
            <w:noProof/>
            <w:webHidden/>
          </w:rPr>
          <w:fldChar w:fldCharType="end"/>
        </w:r>
      </w:hyperlink>
    </w:p>
    <w:p w14:paraId="71E68D83" w14:textId="77777777" w:rsidR="00BE6EF0" w:rsidRDefault="00BE6EF0">
      <w:pPr>
        <w:pStyle w:val="TOC2"/>
        <w:rPr>
          <w:rFonts w:asciiTheme="minorHAnsi" w:eastAsiaTheme="minorEastAsia" w:hAnsiTheme="minorHAnsi" w:cstheme="minorBidi"/>
          <w:noProof/>
          <w:sz w:val="22"/>
          <w:szCs w:val="22"/>
          <w:lang w:eastAsia="zh-CN"/>
        </w:rPr>
      </w:pPr>
      <w:hyperlink w:anchor="_Toc459076544" w:history="1">
        <w:r w:rsidRPr="009137BE">
          <w:rPr>
            <w:rStyle w:val="Hyperlink"/>
            <w:noProof/>
          </w:rPr>
          <w:t>3.3 Analysis of Algorithms</w:t>
        </w:r>
        <w:r>
          <w:rPr>
            <w:noProof/>
            <w:webHidden/>
          </w:rPr>
          <w:tab/>
        </w:r>
        <w:r>
          <w:rPr>
            <w:noProof/>
            <w:webHidden/>
          </w:rPr>
          <w:fldChar w:fldCharType="begin"/>
        </w:r>
        <w:r>
          <w:rPr>
            <w:noProof/>
            <w:webHidden/>
          </w:rPr>
          <w:instrText xml:space="preserve"> PAGEREF _Toc459076544 \h </w:instrText>
        </w:r>
        <w:r>
          <w:rPr>
            <w:noProof/>
            <w:webHidden/>
          </w:rPr>
        </w:r>
        <w:r>
          <w:rPr>
            <w:noProof/>
            <w:webHidden/>
          </w:rPr>
          <w:fldChar w:fldCharType="separate"/>
        </w:r>
        <w:r>
          <w:rPr>
            <w:noProof/>
            <w:webHidden/>
          </w:rPr>
          <w:t>20</w:t>
        </w:r>
        <w:r>
          <w:rPr>
            <w:noProof/>
            <w:webHidden/>
          </w:rPr>
          <w:fldChar w:fldCharType="end"/>
        </w:r>
      </w:hyperlink>
    </w:p>
    <w:p w14:paraId="34CFD9BF" w14:textId="77777777" w:rsidR="00BE6EF0" w:rsidRDefault="00BE6EF0">
      <w:pPr>
        <w:pStyle w:val="TOC3"/>
        <w:rPr>
          <w:rFonts w:asciiTheme="minorHAnsi" w:eastAsiaTheme="minorEastAsia" w:hAnsiTheme="minorHAnsi" w:cstheme="minorBidi"/>
          <w:noProof/>
          <w:sz w:val="22"/>
          <w:szCs w:val="22"/>
          <w:lang w:eastAsia="zh-CN"/>
        </w:rPr>
      </w:pPr>
      <w:hyperlink w:anchor="_Toc459076545" w:history="1">
        <w:r w:rsidRPr="009137BE">
          <w:rPr>
            <w:rStyle w:val="Hyperlink"/>
            <w:noProof/>
          </w:rPr>
          <w:t>3.3.1 Least Squares (LS) Method</w:t>
        </w:r>
        <w:r>
          <w:rPr>
            <w:noProof/>
            <w:webHidden/>
          </w:rPr>
          <w:tab/>
        </w:r>
        <w:r>
          <w:rPr>
            <w:noProof/>
            <w:webHidden/>
          </w:rPr>
          <w:fldChar w:fldCharType="begin"/>
        </w:r>
        <w:r>
          <w:rPr>
            <w:noProof/>
            <w:webHidden/>
          </w:rPr>
          <w:instrText xml:space="preserve"> PAGEREF _Toc459076545 \h </w:instrText>
        </w:r>
        <w:r>
          <w:rPr>
            <w:noProof/>
            <w:webHidden/>
          </w:rPr>
        </w:r>
        <w:r>
          <w:rPr>
            <w:noProof/>
            <w:webHidden/>
          </w:rPr>
          <w:fldChar w:fldCharType="separate"/>
        </w:r>
        <w:r>
          <w:rPr>
            <w:noProof/>
            <w:webHidden/>
          </w:rPr>
          <w:t>20</w:t>
        </w:r>
        <w:r>
          <w:rPr>
            <w:noProof/>
            <w:webHidden/>
          </w:rPr>
          <w:fldChar w:fldCharType="end"/>
        </w:r>
      </w:hyperlink>
    </w:p>
    <w:p w14:paraId="24E1314E" w14:textId="77777777" w:rsidR="00BE6EF0" w:rsidRDefault="00BE6EF0">
      <w:pPr>
        <w:pStyle w:val="TOC3"/>
        <w:rPr>
          <w:rFonts w:asciiTheme="minorHAnsi" w:eastAsiaTheme="minorEastAsia" w:hAnsiTheme="minorHAnsi" w:cstheme="minorBidi"/>
          <w:noProof/>
          <w:sz w:val="22"/>
          <w:szCs w:val="22"/>
          <w:lang w:eastAsia="zh-CN"/>
        </w:rPr>
      </w:pPr>
      <w:hyperlink w:anchor="_Toc459076546" w:history="1">
        <w:r w:rsidRPr="009137BE">
          <w:rPr>
            <w:rStyle w:val="Hyperlink"/>
            <w:noProof/>
          </w:rPr>
          <w:t>3.3.2 Method Based on Tellegen’s Theorem (TT)</w:t>
        </w:r>
        <w:r>
          <w:rPr>
            <w:noProof/>
            <w:webHidden/>
          </w:rPr>
          <w:tab/>
        </w:r>
        <w:r>
          <w:rPr>
            <w:noProof/>
            <w:webHidden/>
          </w:rPr>
          <w:fldChar w:fldCharType="begin"/>
        </w:r>
        <w:r>
          <w:rPr>
            <w:noProof/>
            <w:webHidden/>
          </w:rPr>
          <w:instrText xml:space="preserve"> PAGEREF _Toc459076546 \h </w:instrText>
        </w:r>
        <w:r>
          <w:rPr>
            <w:noProof/>
            <w:webHidden/>
          </w:rPr>
        </w:r>
        <w:r>
          <w:rPr>
            <w:noProof/>
            <w:webHidden/>
          </w:rPr>
          <w:fldChar w:fldCharType="separate"/>
        </w:r>
        <w:r>
          <w:rPr>
            <w:noProof/>
            <w:webHidden/>
          </w:rPr>
          <w:t>21</w:t>
        </w:r>
        <w:r>
          <w:rPr>
            <w:noProof/>
            <w:webHidden/>
          </w:rPr>
          <w:fldChar w:fldCharType="end"/>
        </w:r>
      </w:hyperlink>
    </w:p>
    <w:p w14:paraId="6E2D4AA9" w14:textId="77777777" w:rsidR="00BE6EF0" w:rsidRDefault="00BE6EF0">
      <w:pPr>
        <w:pStyle w:val="TOC3"/>
        <w:rPr>
          <w:rFonts w:asciiTheme="minorHAnsi" w:eastAsiaTheme="minorEastAsia" w:hAnsiTheme="minorHAnsi" w:cstheme="minorBidi"/>
          <w:noProof/>
          <w:sz w:val="22"/>
          <w:szCs w:val="22"/>
          <w:lang w:eastAsia="zh-CN"/>
        </w:rPr>
      </w:pPr>
      <w:hyperlink w:anchor="_Toc459076547" w:history="1">
        <w:r w:rsidRPr="009137BE">
          <w:rPr>
            <w:rStyle w:val="Hyperlink"/>
            <w:noProof/>
          </w:rPr>
          <w:t>3.3.3 Adaptive Method (AD)</w:t>
        </w:r>
        <w:r>
          <w:rPr>
            <w:noProof/>
            <w:webHidden/>
          </w:rPr>
          <w:tab/>
        </w:r>
        <w:r>
          <w:rPr>
            <w:noProof/>
            <w:webHidden/>
          </w:rPr>
          <w:fldChar w:fldCharType="begin"/>
        </w:r>
        <w:r>
          <w:rPr>
            <w:noProof/>
            <w:webHidden/>
          </w:rPr>
          <w:instrText xml:space="preserve"> PAGEREF _Toc459076547 \h </w:instrText>
        </w:r>
        <w:r>
          <w:rPr>
            <w:noProof/>
            <w:webHidden/>
          </w:rPr>
        </w:r>
        <w:r>
          <w:rPr>
            <w:noProof/>
            <w:webHidden/>
          </w:rPr>
          <w:fldChar w:fldCharType="separate"/>
        </w:r>
        <w:r>
          <w:rPr>
            <w:noProof/>
            <w:webHidden/>
          </w:rPr>
          <w:t>21</w:t>
        </w:r>
        <w:r>
          <w:rPr>
            <w:noProof/>
            <w:webHidden/>
          </w:rPr>
          <w:fldChar w:fldCharType="end"/>
        </w:r>
      </w:hyperlink>
    </w:p>
    <w:p w14:paraId="5A96209E" w14:textId="77777777" w:rsidR="00BE6EF0" w:rsidRDefault="00BE6EF0">
      <w:pPr>
        <w:pStyle w:val="TOC3"/>
        <w:rPr>
          <w:rFonts w:asciiTheme="minorHAnsi" w:eastAsiaTheme="minorEastAsia" w:hAnsiTheme="minorHAnsi" w:cstheme="minorBidi"/>
          <w:noProof/>
          <w:sz w:val="22"/>
          <w:szCs w:val="22"/>
          <w:lang w:eastAsia="zh-CN"/>
        </w:rPr>
      </w:pPr>
      <w:hyperlink w:anchor="_Toc459076548" w:history="1">
        <w:r w:rsidRPr="009137BE">
          <w:rPr>
            <w:rStyle w:val="Hyperlink"/>
            <w:noProof/>
          </w:rPr>
          <w:t>3.3.4 Method Based on Coupled Single-Port Circuit (CP)</w:t>
        </w:r>
        <w:r>
          <w:rPr>
            <w:noProof/>
            <w:webHidden/>
          </w:rPr>
          <w:tab/>
        </w:r>
        <w:r>
          <w:rPr>
            <w:noProof/>
            <w:webHidden/>
          </w:rPr>
          <w:fldChar w:fldCharType="begin"/>
        </w:r>
        <w:r>
          <w:rPr>
            <w:noProof/>
            <w:webHidden/>
          </w:rPr>
          <w:instrText xml:space="preserve"> PAGEREF _Toc459076548 \h </w:instrText>
        </w:r>
        <w:r>
          <w:rPr>
            <w:noProof/>
            <w:webHidden/>
          </w:rPr>
        </w:r>
        <w:r>
          <w:rPr>
            <w:noProof/>
            <w:webHidden/>
          </w:rPr>
          <w:fldChar w:fldCharType="separate"/>
        </w:r>
        <w:r>
          <w:rPr>
            <w:noProof/>
            <w:webHidden/>
          </w:rPr>
          <w:t>22</w:t>
        </w:r>
        <w:r>
          <w:rPr>
            <w:noProof/>
            <w:webHidden/>
          </w:rPr>
          <w:fldChar w:fldCharType="end"/>
        </w:r>
      </w:hyperlink>
    </w:p>
    <w:p w14:paraId="4C6E248A" w14:textId="77777777" w:rsidR="00BE6EF0" w:rsidRDefault="00BE6EF0">
      <w:pPr>
        <w:pStyle w:val="TOC2"/>
        <w:rPr>
          <w:rFonts w:asciiTheme="minorHAnsi" w:eastAsiaTheme="minorEastAsia" w:hAnsiTheme="minorHAnsi" w:cstheme="minorBidi"/>
          <w:noProof/>
          <w:sz w:val="22"/>
          <w:szCs w:val="22"/>
          <w:lang w:eastAsia="zh-CN"/>
        </w:rPr>
      </w:pPr>
      <w:hyperlink w:anchor="_Toc459076549" w:history="1">
        <w:r w:rsidRPr="009137BE">
          <w:rPr>
            <w:rStyle w:val="Hyperlink"/>
            <w:noProof/>
          </w:rPr>
          <w:t>3.4 Case Studies</w:t>
        </w:r>
        <w:r>
          <w:rPr>
            <w:noProof/>
            <w:webHidden/>
          </w:rPr>
          <w:tab/>
        </w:r>
        <w:r>
          <w:rPr>
            <w:noProof/>
            <w:webHidden/>
          </w:rPr>
          <w:fldChar w:fldCharType="begin"/>
        </w:r>
        <w:r>
          <w:rPr>
            <w:noProof/>
            <w:webHidden/>
          </w:rPr>
          <w:instrText xml:space="preserve"> PAGEREF _Toc459076549 \h </w:instrText>
        </w:r>
        <w:r>
          <w:rPr>
            <w:noProof/>
            <w:webHidden/>
          </w:rPr>
        </w:r>
        <w:r>
          <w:rPr>
            <w:noProof/>
            <w:webHidden/>
          </w:rPr>
          <w:fldChar w:fldCharType="separate"/>
        </w:r>
        <w:r>
          <w:rPr>
            <w:noProof/>
            <w:webHidden/>
          </w:rPr>
          <w:t>23</w:t>
        </w:r>
        <w:r>
          <w:rPr>
            <w:noProof/>
            <w:webHidden/>
          </w:rPr>
          <w:fldChar w:fldCharType="end"/>
        </w:r>
      </w:hyperlink>
    </w:p>
    <w:p w14:paraId="387CA57D" w14:textId="77777777" w:rsidR="00BE6EF0" w:rsidRDefault="00BE6EF0">
      <w:pPr>
        <w:pStyle w:val="TOC3"/>
        <w:rPr>
          <w:rFonts w:asciiTheme="minorHAnsi" w:eastAsiaTheme="minorEastAsia" w:hAnsiTheme="minorHAnsi" w:cstheme="minorBidi"/>
          <w:noProof/>
          <w:sz w:val="22"/>
          <w:szCs w:val="22"/>
          <w:lang w:eastAsia="zh-CN"/>
        </w:rPr>
      </w:pPr>
      <w:hyperlink w:anchor="_Toc459076550" w:history="1">
        <w:r w:rsidRPr="009137BE">
          <w:rPr>
            <w:rStyle w:val="Hyperlink"/>
            <w:noProof/>
          </w:rPr>
          <w:t>3.4.1 Scenario 1 Test Results</w:t>
        </w:r>
        <w:r>
          <w:rPr>
            <w:noProof/>
            <w:webHidden/>
          </w:rPr>
          <w:tab/>
        </w:r>
        <w:r>
          <w:rPr>
            <w:noProof/>
            <w:webHidden/>
          </w:rPr>
          <w:fldChar w:fldCharType="begin"/>
        </w:r>
        <w:r>
          <w:rPr>
            <w:noProof/>
            <w:webHidden/>
          </w:rPr>
          <w:instrText xml:space="preserve"> PAGEREF _Toc459076550 \h </w:instrText>
        </w:r>
        <w:r>
          <w:rPr>
            <w:noProof/>
            <w:webHidden/>
          </w:rPr>
        </w:r>
        <w:r>
          <w:rPr>
            <w:noProof/>
            <w:webHidden/>
          </w:rPr>
          <w:fldChar w:fldCharType="separate"/>
        </w:r>
        <w:r>
          <w:rPr>
            <w:noProof/>
            <w:webHidden/>
          </w:rPr>
          <w:t>24</w:t>
        </w:r>
        <w:r>
          <w:rPr>
            <w:noProof/>
            <w:webHidden/>
          </w:rPr>
          <w:fldChar w:fldCharType="end"/>
        </w:r>
      </w:hyperlink>
    </w:p>
    <w:p w14:paraId="20E580B5" w14:textId="77777777" w:rsidR="00BE6EF0" w:rsidRDefault="00BE6EF0">
      <w:pPr>
        <w:pStyle w:val="TOC3"/>
        <w:rPr>
          <w:rFonts w:asciiTheme="minorHAnsi" w:eastAsiaTheme="minorEastAsia" w:hAnsiTheme="minorHAnsi" w:cstheme="minorBidi"/>
          <w:noProof/>
          <w:sz w:val="22"/>
          <w:szCs w:val="22"/>
          <w:lang w:eastAsia="zh-CN"/>
        </w:rPr>
      </w:pPr>
      <w:hyperlink w:anchor="_Toc459076551" w:history="1">
        <w:r w:rsidRPr="009137BE">
          <w:rPr>
            <w:rStyle w:val="Hyperlink"/>
            <w:noProof/>
          </w:rPr>
          <w:t>3.4.2 Scenario 2 Test Results</w:t>
        </w:r>
        <w:r>
          <w:rPr>
            <w:noProof/>
            <w:webHidden/>
          </w:rPr>
          <w:tab/>
        </w:r>
        <w:r>
          <w:rPr>
            <w:noProof/>
            <w:webHidden/>
          </w:rPr>
          <w:fldChar w:fldCharType="begin"/>
        </w:r>
        <w:r>
          <w:rPr>
            <w:noProof/>
            <w:webHidden/>
          </w:rPr>
          <w:instrText xml:space="preserve"> PAGEREF _Toc459076551 \h </w:instrText>
        </w:r>
        <w:r>
          <w:rPr>
            <w:noProof/>
            <w:webHidden/>
          </w:rPr>
        </w:r>
        <w:r>
          <w:rPr>
            <w:noProof/>
            <w:webHidden/>
          </w:rPr>
          <w:fldChar w:fldCharType="separate"/>
        </w:r>
        <w:r>
          <w:rPr>
            <w:noProof/>
            <w:webHidden/>
          </w:rPr>
          <w:t>27</w:t>
        </w:r>
        <w:r>
          <w:rPr>
            <w:noProof/>
            <w:webHidden/>
          </w:rPr>
          <w:fldChar w:fldCharType="end"/>
        </w:r>
      </w:hyperlink>
    </w:p>
    <w:p w14:paraId="1F87607F" w14:textId="77777777" w:rsidR="00BE6EF0" w:rsidRDefault="00BE6EF0">
      <w:pPr>
        <w:pStyle w:val="TOC2"/>
        <w:rPr>
          <w:rFonts w:asciiTheme="minorHAnsi" w:eastAsiaTheme="minorEastAsia" w:hAnsiTheme="minorHAnsi" w:cstheme="minorBidi"/>
          <w:noProof/>
          <w:sz w:val="22"/>
          <w:szCs w:val="22"/>
          <w:lang w:eastAsia="zh-CN"/>
        </w:rPr>
      </w:pPr>
      <w:hyperlink w:anchor="_Toc459076552" w:history="1">
        <w:r w:rsidRPr="009137BE">
          <w:rPr>
            <w:rStyle w:val="Hyperlink"/>
            <w:noProof/>
          </w:rPr>
          <w:t>3.5 Conclusion</w:t>
        </w:r>
        <w:r>
          <w:rPr>
            <w:noProof/>
            <w:webHidden/>
          </w:rPr>
          <w:tab/>
        </w:r>
        <w:r>
          <w:rPr>
            <w:noProof/>
            <w:webHidden/>
          </w:rPr>
          <w:fldChar w:fldCharType="begin"/>
        </w:r>
        <w:r>
          <w:rPr>
            <w:noProof/>
            <w:webHidden/>
          </w:rPr>
          <w:instrText xml:space="preserve"> PAGEREF _Toc459076552 \h </w:instrText>
        </w:r>
        <w:r>
          <w:rPr>
            <w:noProof/>
            <w:webHidden/>
          </w:rPr>
        </w:r>
        <w:r>
          <w:rPr>
            <w:noProof/>
            <w:webHidden/>
          </w:rPr>
          <w:fldChar w:fldCharType="separate"/>
        </w:r>
        <w:r>
          <w:rPr>
            <w:noProof/>
            <w:webHidden/>
          </w:rPr>
          <w:t>30</w:t>
        </w:r>
        <w:r>
          <w:rPr>
            <w:noProof/>
            <w:webHidden/>
          </w:rPr>
          <w:fldChar w:fldCharType="end"/>
        </w:r>
      </w:hyperlink>
    </w:p>
    <w:p w14:paraId="278D9937" w14:textId="77777777" w:rsidR="00BE6EF0" w:rsidRDefault="00BE6EF0">
      <w:pPr>
        <w:pStyle w:val="TOC1"/>
        <w:rPr>
          <w:rFonts w:asciiTheme="minorHAnsi" w:eastAsiaTheme="minorEastAsia" w:hAnsiTheme="minorHAnsi" w:cstheme="minorBidi"/>
          <w:noProof/>
          <w:sz w:val="22"/>
          <w:szCs w:val="22"/>
          <w:lang w:eastAsia="zh-CN"/>
        </w:rPr>
      </w:pPr>
      <w:hyperlink w:anchor="_Toc459076553" w:history="1">
        <w:r w:rsidRPr="009137BE">
          <w:rPr>
            <w:rStyle w:val="Hyperlink"/>
            <w:noProof/>
          </w:rPr>
          <w:t>CHAPTER 4 HYBRID VOLTAGE STABILITY ASSESSMENT (VSA) FOR N-1 CONTINGENCY</w:t>
        </w:r>
        <w:r>
          <w:rPr>
            <w:noProof/>
            <w:webHidden/>
          </w:rPr>
          <w:tab/>
        </w:r>
        <w:r>
          <w:rPr>
            <w:noProof/>
            <w:webHidden/>
          </w:rPr>
          <w:fldChar w:fldCharType="begin"/>
        </w:r>
        <w:r>
          <w:rPr>
            <w:noProof/>
            <w:webHidden/>
          </w:rPr>
          <w:instrText xml:space="preserve"> PAGEREF _Toc459076553 \h </w:instrText>
        </w:r>
        <w:r>
          <w:rPr>
            <w:noProof/>
            <w:webHidden/>
          </w:rPr>
        </w:r>
        <w:r>
          <w:rPr>
            <w:noProof/>
            <w:webHidden/>
          </w:rPr>
          <w:fldChar w:fldCharType="separate"/>
        </w:r>
        <w:r>
          <w:rPr>
            <w:noProof/>
            <w:webHidden/>
          </w:rPr>
          <w:t>31</w:t>
        </w:r>
        <w:r>
          <w:rPr>
            <w:noProof/>
            <w:webHidden/>
          </w:rPr>
          <w:fldChar w:fldCharType="end"/>
        </w:r>
      </w:hyperlink>
    </w:p>
    <w:p w14:paraId="7E3BABD8" w14:textId="77777777" w:rsidR="00BE6EF0" w:rsidRDefault="00BE6EF0">
      <w:pPr>
        <w:pStyle w:val="TOC2"/>
        <w:rPr>
          <w:rFonts w:asciiTheme="minorHAnsi" w:eastAsiaTheme="minorEastAsia" w:hAnsiTheme="minorHAnsi" w:cstheme="minorBidi"/>
          <w:noProof/>
          <w:sz w:val="22"/>
          <w:szCs w:val="22"/>
          <w:lang w:eastAsia="zh-CN"/>
        </w:rPr>
      </w:pPr>
      <w:hyperlink w:anchor="_Toc459076554" w:history="1">
        <w:r w:rsidRPr="009137BE">
          <w:rPr>
            <w:rStyle w:val="Hyperlink"/>
            <w:noProof/>
          </w:rPr>
          <w:t>4.1. Sensitivities for Calculating Post-Contingencies Variables</w:t>
        </w:r>
        <w:r>
          <w:rPr>
            <w:noProof/>
            <w:webHidden/>
          </w:rPr>
          <w:tab/>
        </w:r>
        <w:r>
          <w:rPr>
            <w:noProof/>
            <w:webHidden/>
          </w:rPr>
          <w:fldChar w:fldCharType="begin"/>
        </w:r>
        <w:r>
          <w:rPr>
            <w:noProof/>
            <w:webHidden/>
          </w:rPr>
          <w:instrText xml:space="preserve"> PAGEREF _Toc459076554 \h </w:instrText>
        </w:r>
        <w:r>
          <w:rPr>
            <w:noProof/>
            <w:webHidden/>
          </w:rPr>
        </w:r>
        <w:r>
          <w:rPr>
            <w:noProof/>
            <w:webHidden/>
          </w:rPr>
          <w:fldChar w:fldCharType="separate"/>
        </w:r>
        <w:r>
          <w:rPr>
            <w:noProof/>
            <w:webHidden/>
          </w:rPr>
          <w:t>31</w:t>
        </w:r>
        <w:r>
          <w:rPr>
            <w:noProof/>
            <w:webHidden/>
          </w:rPr>
          <w:fldChar w:fldCharType="end"/>
        </w:r>
      </w:hyperlink>
    </w:p>
    <w:p w14:paraId="523C67A4" w14:textId="77777777" w:rsidR="00BE6EF0" w:rsidRDefault="00BE6EF0">
      <w:pPr>
        <w:pStyle w:val="TOC3"/>
        <w:rPr>
          <w:rFonts w:asciiTheme="minorHAnsi" w:eastAsiaTheme="minorEastAsia" w:hAnsiTheme="minorHAnsi" w:cstheme="minorBidi"/>
          <w:noProof/>
          <w:sz w:val="22"/>
          <w:szCs w:val="22"/>
          <w:lang w:eastAsia="zh-CN"/>
        </w:rPr>
      </w:pPr>
      <w:hyperlink w:anchor="_Toc459076555" w:history="1">
        <w:r w:rsidRPr="009137BE">
          <w:rPr>
            <w:rStyle w:val="Hyperlink"/>
            <w:noProof/>
          </w:rPr>
          <w:t>4.1.1 Proposed Transformation and Proof of Equivalence</w:t>
        </w:r>
        <w:r>
          <w:rPr>
            <w:noProof/>
            <w:webHidden/>
          </w:rPr>
          <w:tab/>
        </w:r>
        <w:r>
          <w:rPr>
            <w:noProof/>
            <w:webHidden/>
          </w:rPr>
          <w:fldChar w:fldCharType="begin"/>
        </w:r>
        <w:r>
          <w:rPr>
            <w:noProof/>
            <w:webHidden/>
          </w:rPr>
          <w:instrText xml:space="preserve"> PAGEREF _Toc459076555 \h </w:instrText>
        </w:r>
        <w:r>
          <w:rPr>
            <w:noProof/>
            <w:webHidden/>
          </w:rPr>
        </w:r>
        <w:r>
          <w:rPr>
            <w:noProof/>
            <w:webHidden/>
          </w:rPr>
          <w:fldChar w:fldCharType="separate"/>
        </w:r>
        <w:r>
          <w:rPr>
            <w:noProof/>
            <w:webHidden/>
          </w:rPr>
          <w:t>32</w:t>
        </w:r>
        <w:r>
          <w:rPr>
            <w:noProof/>
            <w:webHidden/>
          </w:rPr>
          <w:fldChar w:fldCharType="end"/>
        </w:r>
      </w:hyperlink>
    </w:p>
    <w:p w14:paraId="7260E740" w14:textId="77777777" w:rsidR="00BE6EF0" w:rsidRDefault="00BE6EF0">
      <w:pPr>
        <w:pStyle w:val="TOC3"/>
        <w:rPr>
          <w:rFonts w:asciiTheme="minorHAnsi" w:eastAsiaTheme="minorEastAsia" w:hAnsiTheme="minorHAnsi" w:cstheme="minorBidi"/>
          <w:noProof/>
          <w:sz w:val="22"/>
          <w:szCs w:val="22"/>
          <w:lang w:eastAsia="zh-CN"/>
        </w:rPr>
      </w:pPr>
      <w:hyperlink w:anchor="_Toc459076556" w:history="1">
        <w:r w:rsidRPr="009137BE">
          <w:rPr>
            <w:rStyle w:val="Hyperlink"/>
            <w:noProof/>
          </w:rPr>
          <w:t>4.1.2 Proposed Sensitivity Based on the Transformation</w:t>
        </w:r>
        <w:r>
          <w:rPr>
            <w:noProof/>
            <w:webHidden/>
          </w:rPr>
          <w:tab/>
        </w:r>
        <w:r>
          <w:rPr>
            <w:noProof/>
            <w:webHidden/>
          </w:rPr>
          <w:fldChar w:fldCharType="begin"/>
        </w:r>
        <w:r>
          <w:rPr>
            <w:noProof/>
            <w:webHidden/>
          </w:rPr>
          <w:instrText xml:space="preserve"> PAGEREF _Toc459076556 \h </w:instrText>
        </w:r>
        <w:r>
          <w:rPr>
            <w:noProof/>
            <w:webHidden/>
          </w:rPr>
        </w:r>
        <w:r>
          <w:rPr>
            <w:noProof/>
            <w:webHidden/>
          </w:rPr>
          <w:fldChar w:fldCharType="separate"/>
        </w:r>
        <w:r>
          <w:rPr>
            <w:noProof/>
            <w:webHidden/>
          </w:rPr>
          <w:t>37</w:t>
        </w:r>
        <w:r>
          <w:rPr>
            <w:noProof/>
            <w:webHidden/>
          </w:rPr>
          <w:fldChar w:fldCharType="end"/>
        </w:r>
      </w:hyperlink>
    </w:p>
    <w:p w14:paraId="0A9478F1" w14:textId="77777777" w:rsidR="00BE6EF0" w:rsidRDefault="00BE6EF0">
      <w:pPr>
        <w:pStyle w:val="TOC2"/>
        <w:rPr>
          <w:rFonts w:asciiTheme="minorHAnsi" w:eastAsiaTheme="minorEastAsia" w:hAnsiTheme="minorHAnsi" w:cstheme="minorBidi"/>
          <w:noProof/>
          <w:sz w:val="22"/>
          <w:szCs w:val="22"/>
          <w:lang w:eastAsia="zh-CN"/>
        </w:rPr>
      </w:pPr>
      <w:hyperlink w:anchor="_Toc459076557" w:history="1">
        <w:r w:rsidRPr="009137BE">
          <w:rPr>
            <w:rStyle w:val="Hyperlink"/>
            <w:noProof/>
          </w:rPr>
          <w:t>4.2 Hybrid Voltage Stability Assessment</w:t>
        </w:r>
        <w:r>
          <w:rPr>
            <w:noProof/>
            <w:webHidden/>
          </w:rPr>
          <w:tab/>
        </w:r>
        <w:r>
          <w:rPr>
            <w:noProof/>
            <w:webHidden/>
          </w:rPr>
          <w:fldChar w:fldCharType="begin"/>
        </w:r>
        <w:r>
          <w:rPr>
            <w:noProof/>
            <w:webHidden/>
          </w:rPr>
          <w:instrText xml:space="preserve"> PAGEREF _Toc459076557 \h </w:instrText>
        </w:r>
        <w:r>
          <w:rPr>
            <w:noProof/>
            <w:webHidden/>
          </w:rPr>
        </w:r>
        <w:r>
          <w:rPr>
            <w:noProof/>
            <w:webHidden/>
          </w:rPr>
          <w:fldChar w:fldCharType="separate"/>
        </w:r>
        <w:r>
          <w:rPr>
            <w:noProof/>
            <w:webHidden/>
          </w:rPr>
          <w:t>40</w:t>
        </w:r>
        <w:r>
          <w:rPr>
            <w:noProof/>
            <w:webHidden/>
          </w:rPr>
          <w:fldChar w:fldCharType="end"/>
        </w:r>
      </w:hyperlink>
    </w:p>
    <w:p w14:paraId="7CF05E3C" w14:textId="77777777" w:rsidR="00BE6EF0" w:rsidRDefault="00BE6EF0">
      <w:pPr>
        <w:pStyle w:val="TOC2"/>
        <w:rPr>
          <w:rFonts w:asciiTheme="minorHAnsi" w:eastAsiaTheme="minorEastAsia" w:hAnsiTheme="minorHAnsi" w:cstheme="minorBidi"/>
          <w:noProof/>
          <w:sz w:val="22"/>
          <w:szCs w:val="22"/>
          <w:lang w:eastAsia="zh-CN"/>
        </w:rPr>
      </w:pPr>
      <w:hyperlink w:anchor="_Toc459076558" w:history="1">
        <w:r w:rsidRPr="009137BE">
          <w:rPr>
            <w:rStyle w:val="Hyperlink"/>
            <w:noProof/>
            <w:lang w:val="en-GB"/>
          </w:rPr>
          <w:t>4.3 Case Studies</w:t>
        </w:r>
        <w:r>
          <w:rPr>
            <w:noProof/>
            <w:webHidden/>
          </w:rPr>
          <w:tab/>
        </w:r>
        <w:r>
          <w:rPr>
            <w:noProof/>
            <w:webHidden/>
          </w:rPr>
          <w:fldChar w:fldCharType="begin"/>
        </w:r>
        <w:r>
          <w:rPr>
            <w:noProof/>
            <w:webHidden/>
          </w:rPr>
          <w:instrText xml:space="preserve"> PAGEREF _Toc459076558 \h </w:instrText>
        </w:r>
        <w:r>
          <w:rPr>
            <w:noProof/>
            <w:webHidden/>
          </w:rPr>
        </w:r>
        <w:r>
          <w:rPr>
            <w:noProof/>
            <w:webHidden/>
          </w:rPr>
          <w:fldChar w:fldCharType="separate"/>
        </w:r>
        <w:r>
          <w:rPr>
            <w:noProof/>
            <w:webHidden/>
          </w:rPr>
          <w:t>45</w:t>
        </w:r>
        <w:r>
          <w:rPr>
            <w:noProof/>
            <w:webHidden/>
          </w:rPr>
          <w:fldChar w:fldCharType="end"/>
        </w:r>
      </w:hyperlink>
    </w:p>
    <w:p w14:paraId="2C5C15D7" w14:textId="77777777" w:rsidR="00BE6EF0" w:rsidRDefault="00BE6EF0">
      <w:pPr>
        <w:pStyle w:val="TOC3"/>
        <w:rPr>
          <w:rFonts w:asciiTheme="minorHAnsi" w:eastAsiaTheme="minorEastAsia" w:hAnsiTheme="minorHAnsi" w:cstheme="minorBidi"/>
          <w:noProof/>
          <w:sz w:val="22"/>
          <w:szCs w:val="22"/>
          <w:lang w:eastAsia="zh-CN"/>
        </w:rPr>
      </w:pPr>
      <w:hyperlink w:anchor="_Toc459076559" w:history="1">
        <w:r w:rsidRPr="009137BE">
          <w:rPr>
            <w:rStyle w:val="Hyperlink"/>
            <w:noProof/>
          </w:rPr>
          <w:t>4.3.1 Test of the Proposed Sensitivity on IEEE 14-Bus System</w:t>
        </w:r>
        <w:r>
          <w:rPr>
            <w:noProof/>
            <w:webHidden/>
          </w:rPr>
          <w:tab/>
        </w:r>
        <w:r>
          <w:rPr>
            <w:noProof/>
            <w:webHidden/>
          </w:rPr>
          <w:fldChar w:fldCharType="begin"/>
        </w:r>
        <w:r>
          <w:rPr>
            <w:noProof/>
            <w:webHidden/>
          </w:rPr>
          <w:instrText xml:space="preserve"> PAGEREF _Toc459076559 \h </w:instrText>
        </w:r>
        <w:r>
          <w:rPr>
            <w:noProof/>
            <w:webHidden/>
          </w:rPr>
        </w:r>
        <w:r>
          <w:rPr>
            <w:noProof/>
            <w:webHidden/>
          </w:rPr>
          <w:fldChar w:fldCharType="separate"/>
        </w:r>
        <w:r>
          <w:rPr>
            <w:noProof/>
            <w:webHidden/>
          </w:rPr>
          <w:t>45</w:t>
        </w:r>
        <w:r>
          <w:rPr>
            <w:noProof/>
            <w:webHidden/>
          </w:rPr>
          <w:fldChar w:fldCharType="end"/>
        </w:r>
      </w:hyperlink>
    </w:p>
    <w:p w14:paraId="63BE9E43" w14:textId="77777777" w:rsidR="00BE6EF0" w:rsidRDefault="00BE6EF0">
      <w:pPr>
        <w:pStyle w:val="TOC3"/>
        <w:rPr>
          <w:rFonts w:asciiTheme="minorHAnsi" w:eastAsiaTheme="minorEastAsia" w:hAnsiTheme="minorHAnsi" w:cstheme="minorBidi"/>
          <w:noProof/>
          <w:sz w:val="22"/>
          <w:szCs w:val="22"/>
          <w:lang w:eastAsia="zh-CN"/>
        </w:rPr>
      </w:pPr>
      <w:hyperlink w:anchor="_Toc459076560" w:history="1">
        <w:r w:rsidRPr="009137BE">
          <w:rPr>
            <w:rStyle w:val="Hyperlink"/>
            <w:noProof/>
          </w:rPr>
          <w:t>4.3.2 Extensive Test of the Sensitivity with Three Systems in Broad Load Ranges for All N-1 Contingencies</w:t>
        </w:r>
        <w:r>
          <w:rPr>
            <w:noProof/>
            <w:webHidden/>
          </w:rPr>
          <w:tab/>
        </w:r>
        <w:r>
          <w:rPr>
            <w:noProof/>
            <w:webHidden/>
          </w:rPr>
          <w:fldChar w:fldCharType="begin"/>
        </w:r>
        <w:r>
          <w:rPr>
            <w:noProof/>
            <w:webHidden/>
          </w:rPr>
          <w:instrText xml:space="preserve"> PAGEREF _Toc459076560 \h </w:instrText>
        </w:r>
        <w:r>
          <w:rPr>
            <w:noProof/>
            <w:webHidden/>
          </w:rPr>
        </w:r>
        <w:r>
          <w:rPr>
            <w:noProof/>
            <w:webHidden/>
          </w:rPr>
          <w:fldChar w:fldCharType="separate"/>
        </w:r>
        <w:r>
          <w:rPr>
            <w:noProof/>
            <w:webHidden/>
          </w:rPr>
          <w:t>49</w:t>
        </w:r>
        <w:r>
          <w:rPr>
            <w:noProof/>
            <w:webHidden/>
          </w:rPr>
          <w:fldChar w:fldCharType="end"/>
        </w:r>
      </w:hyperlink>
    </w:p>
    <w:p w14:paraId="22CA6348" w14:textId="77777777" w:rsidR="00BE6EF0" w:rsidRDefault="00BE6EF0">
      <w:pPr>
        <w:pStyle w:val="TOC3"/>
        <w:rPr>
          <w:rFonts w:asciiTheme="minorHAnsi" w:eastAsiaTheme="minorEastAsia" w:hAnsiTheme="minorHAnsi" w:cstheme="minorBidi"/>
          <w:noProof/>
          <w:sz w:val="22"/>
          <w:szCs w:val="22"/>
          <w:lang w:eastAsia="zh-CN"/>
        </w:rPr>
      </w:pPr>
      <w:hyperlink w:anchor="_Toc459076561" w:history="1">
        <w:r w:rsidRPr="009137BE">
          <w:rPr>
            <w:rStyle w:val="Hyperlink"/>
            <w:noProof/>
          </w:rPr>
          <w:t>4.3.3 Test of the HBVSA</w:t>
        </w:r>
        <w:r>
          <w:rPr>
            <w:noProof/>
            <w:webHidden/>
          </w:rPr>
          <w:tab/>
        </w:r>
        <w:r>
          <w:rPr>
            <w:noProof/>
            <w:webHidden/>
          </w:rPr>
          <w:fldChar w:fldCharType="begin"/>
        </w:r>
        <w:r>
          <w:rPr>
            <w:noProof/>
            <w:webHidden/>
          </w:rPr>
          <w:instrText xml:space="preserve"> PAGEREF _Toc459076561 \h </w:instrText>
        </w:r>
        <w:r>
          <w:rPr>
            <w:noProof/>
            <w:webHidden/>
          </w:rPr>
        </w:r>
        <w:r>
          <w:rPr>
            <w:noProof/>
            <w:webHidden/>
          </w:rPr>
          <w:fldChar w:fldCharType="separate"/>
        </w:r>
        <w:r>
          <w:rPr>
            <w:noProof/>
            <w:webHidden/>
          </w:rPr>
          <w:t>53</w:t>
        </w:r>
        <w:r>
          <w:rPr>
            <w:noProof/>
            <w:webHidden/>
          </w:rPr>
          <w:fldChar w:fldCharType="end"/>
        </w:r>
      </w:hyperlink>
    </w:p>
    <w:p w14:paraId="494F8D0F" w14:textId="77777777" w:rsidR="00BE6EF0" w:rsidRDefault="00BE6EF0">
      <w:pPr>
        <w:pStyle w:val="TOC2"/>
        <w:rPr>
          <w:rFonts w:asciiTheme="minorHAnsi" w:eastAsiaTheme="minorEastAsia" w:hAnsiTheme="minorHAnsi" w:cstheme="minorBidi"/>
          <w:noProof/>
          <w:sz w:val="22"/>
          <w:szCs w:val="22"/>
          <w:lang w:eastAsia="zh-CN"/>
        </w:rPr>
      </w:pPr>
      <w:hyperlink w:anchor="_Toc459076562" w:history="1">
        <w:r w:rsidRPr="009137BE">
          <w:rPr>
            <w:rStyle w:val="Hyperlink"/>
            <w:noProof/>
            <w:lang w:val="en-GB"/>
          </w:rPr>
          <w:t>4.4 Conclusion</w:t>
        </w:r>
        <w:r>
          <w:rPr>
            <w:noProof/>
            <w:webHidden/>
          </w:rPr>
          <w:tab/>
        </w:r>
        <w:r>
          <w:rPr>
            <w:noProof/>
            <w:webHidden/>
          </w:rPr>
          <w:fldChar w:fldCharType="begin"/>
        </w:r>
        <w:r>
          <w:rPr>
            <w:noProof/>
            <w:webHidden/>
          </w:rPr>
          <w:instrText xml:space="preserve"> PAGEREF _Toc459076562 \h </w:instrText>
        </w:r>
        <w:r>
          <w:rPr>
            <w:noProof/>
            <w:webHidden/>
          </w:rPr>
        </w:r>
        <w:r>
          <w:rPr>
            <w:noProof/>
            <w:webHidden/>
          </w:rPr>
          <w:fldChar w:fldCharType="separate"/>
        </w:r>
        <w:r>
          <w:rPr>
            <w:noProof/>
            <w:webHidden/>
          </w:rPr>
          <w:t>58</w:t>
        </w:r>
        <w:r>
          <w:rPr>
            <w:noProof/>
            <w:webHidden/>
          </w:rPr>
          <w:fldChar w:fldCharType="end"/>
        </w:r>
      </w:hyperlink>
    </w:p>
    <w:p w14:paraId="0BE3525E" w14:textId="77777777" w:rsidR="00BE6EF0" w:rsidRDefault="00BE6EF0">
      <w:pPr>
        <w:pStyle w:val="TOC1"/>
        <w:rPr>
          <w:rFonts w:asciiTheme="minorHAnsi" w:eastAsiaTheme="minorEastAsia" w:hAnsiTheme="minorHAnsi" w:cstheme="minorBidi"/>
          <w:noProof/>
          <w:sz w:val="22"/>
          <w:szCs w:val="22"/>
          <w:lang w:eastAsia="zh-CN"/>
        </w:rPr>
      </w:pPr>
      <w:hyperlink w:anchor="_Toc459076563" w:history="1">
        <w:r w:rsidRPr="009137BE">
          <w:rPr>
            <w:rStyle w:val="Hyperlink"/>
            <w:noProof/>
          </w:rPr>
          <w:t>CHAPTER 5 MEASUREMENT-BASED WIDE-AREA LOADING MARGIN SENSITIVITY AND ITS APPLICATION IN VOLTAGE STABILITY CONTROL</w:t>
        </w:r>
        <w:r>
          <w:rPr>
            <w:noProof/>
            <w:webHidden/>
          </w:rPr>
          <w:tab/>
        </w:r>
        <w:r>
          <w:rPr>
            <w:noProof/>
            <w:webHidden/>
          </w:rPr>
          <w:fldChar w:fldCharType="begin"/>
        </w:r>
        <w:r>
          <w:rPr>
            <w:noProof/>
            <w:webHidden/>
          </w:rPr>
          <w:instrText xml:space="preserve"> PAGEREF _Toc459076563 \h </w:instrText>
        </w:r>
        <w:r>
          <w:rPr>
            <w:noProof/>
            <w:webHidden/>
          </w:rPr>
        </w:r>
        <w:r>
          <w:rPr>
            <w:noProof/>
            <w:webHidden/>
          </w:rPr>
          <w:fldChar w:fldCharType="separate"/>
        </w:r>
        <w:r>
          <w:rPr>
            <w:noProof/>
            <w:webHidden/>
          </w:rPr>
          <w:t>60</w:t>
        </w:r>
        <w:r>
          <w:rPr>
            <w:noProof/>
            <w:webHidden/>
          </w:rPr>
          <w:fldChar w:fldCharType="end"/>
        </w:r>
      </w:hyperlink>
    </w:p>
    <w:p w14:paraId="2ADB926D" w14:textId="77777777" w:rsidR="00BE6EF0" w:rsidRDefault="00BE6EF0">
      <w:pPr>
        <w:pStyle w:val="TOC2"/>
        <w:rPr>
          <w:rFonts w:asciiTheme="minorHAnsi" w:eastAsiaTheme="minorEastAsia" w:hAnsiTheme="minorHAnsi" w:cstheme="minorBidi"/>
          <w:noProof/>
          <w:sz w:val="22"/>
          <w:szCs w:val="22"/>
          <w:lang w:eastAsia="zh-CN"/>
        </w:rPr>
      </w:pPr>
      <w:hyperlink w:anchor="_Toc459076564" w:history="1">
        <w:r w:rsidRPr="009137BE">
          <w:rPr>
            <w:rStyle w:val="Hyperlink"/>
            <w:noProof/>
          </w:rPr>
          <w:t>5.1 Voltage Stability Assessment Using Coupled Single-Port Circuit Concept</w:t>
        </w:r>
        <w:r>
          <w:rPr>
            <w:noProof/>
            <w:webHidden/>
          </w:rPr>
          <w:tab/>
        </w:r>
        <w:r>
          <w:rPr>
            <w:noProof/>
            <w:webHidden/>
          </w:rPr>
          <w:fldChar w:fldCharType="begin"/>
        </w:r>
        <w:r>
          <w:rPr>
            <w:noProof/>
            <w:webHidden/>
          </w:rPr>
          <w:instrText xml:space="preserve"> PAGEREF _Toc459076564 \h </w:instrText>
        </w:r>
        <w:r>
          <w:rPr>
            <w:noProof/>
            <w:webHidden/>
          </w:rPr>
        </w:r>
        <w:r>
          <w:rPr>
            <w:noProof/>
            <w:webHidden/>
          </w:rPr>
          <w:fldChar w:fldCharType="separate"/>
        </w:r>
        <w:r>
          <w:rPr>
            <w:noProof/>
            <w:webHidden/>
          </w:rPr>
          <w:t>61</w:t>
        </w:r>
        <w:r>
          <w:rPr>
            <w:noProof/>
            <w:webHidden/>
          </w:rPr>
          <w:fldChar w:fldCharType="end"/>
        </w:r>
      </w:hyperlink>
    </w:p>
    <w:p w14:paraId="448D34DE" w14:textId="77777777" w:rsidR="00BE6EF0" w:rsidRDefault="00BE6EF0">
      <w:pPr>
        <w:pStyle w:val="TOC2"/>
        <w:rPr>
          <w:rFonts w:asciiTheme="minorHAnsi" w:eastAsiaTheme="minorEastAsia" w:hAnsiTheme="minorHAnsi" w:cstheme="minorBidi"/>
          <w:noProof/>
          <w:sz w:val="22"/>
          <w:szCs w:val="22"/>
          <w:lang w:eastAsia="zh-CN"/>
        </w:rPr>
      </w:pPr>
      <w:hyperlink w:anchor="_Toc459076565" w:history="1">
        <w:r w:rsidRPr="009137BE">
          <w:rPr>
            <w:rStyle w:val="Hyperlink"/>
            <w:noProof/>
          </w:rPr>
          <w:t>5.2 Wide-Area Loading Margin Sensitivity</w:t>
        </w:r>
        <w:r>
          <w:rPr>
            <w:noProof/>
            <w:webHidden/>
          </w:rPr>
          <w:tab/>
        </w:r>
        <w:r>
          <w:rPr>
            <w:noProof/>
            <w:webHidden/>
          </w:rPr>
          <w:fldChar w:fldCharType="begin"/>
        </w:r>
        <w:r>
          <w:rPr>
            <w:noProof/>
            <w:webHidden/>
          </w:rPr>
          <w:instrText xml:space="preserve"> PAGEREF _Toc459076565 \h </w:instrText>
        </w:r>
        <w:r>
          <w:rPr>
            <w:noProof/>
            <w:webHidden/>
          </w:rPr>
        </w:r>
        <w:r>
          <w:rPr>
            <w:noProof/>
            <w:webHidden/>
          </w:rPr>
          <w:fldChar w:fldCharType="separate"/>
        </w:r>
        <w:r>
          <w:rPr>
            <w:noProof/>
            <w:webHidden/>
          </w:rPr>
          <w:t>63</w:t>
        </w:r>
        <w:r>
          <w:rPr>
            <w:noProof/>
            <w:webHidden/>
          </w:rPr>
          <w:fldChar w:fldCharType="end"/>
        </w:r>
      </w:hyperlink>
    </w:p>
    <w:p w14:paraId="7831F73F" w14:textId="77777777" w:rsidR="00BE6EF0" w:rsidRDefault="00BE6EF0">
      <w:pPr>
        <w:pStyle w:val="TOC3"/>
        <w:rPr>
          <w:rFonts w:asciiTheme="minorHAnsi" w:eastAsiaTheme="minorEastAsia" w:hAnsiTheme="minorHAnsi" w:cstheme="minorBidi"/>
          <w:noProof/>
          <w:sz w:val="22"/>
          <w:szCs w:val="22"/>
          <w:lang w:eastAsia="zh-CN"/>
        </w:rPr>
      </w:pPr>
      <w:hyperlink w:anchor="_Toc459076566" w:history="1">
        <w:r w:rsidRPr="009137BE">
          <w:rPr>
            <w:rStyle w:val="Hyperlink"/>
            <w:noProof/>
          </w:rPr>
          <w:t>5.2.1 LMS w.r.t. Reactive Power Injection</w:t>
        </w:r>
        <w:r>
          <w:rPr>
            <w:noProof/>
            <w:webHidden/>
          </w:rPr>
          <w:tab/>
        </w:r>
        <w:r>
          <w:rPr>
            <w:noProof/>
            <w:webHidden/>
          </w:rPr>
          <w:fldChar w:fldCharType="begin"/>
        </w:r>
        <w:r>
          <w:rPr>
            <w:noProof/>
            <w:webHidden/>
          </w:rPr>
          <w:instrText xml:space="preserve"> PAGEREF _Toc459076566 \h </w:instrText>
        </w:r>
        <w:r>
          <w:rPr>
            <w:noProof/>
            <w:webHidden/>
          </w:rPr>
        </w:r>
        <w:r>
          <w:rPr>
            <w:noProof/>
            <w:webHidden/>
          </w:rPr>
          <w:fldChar w:fldCharType="separate"/>
        </w:r>
        <w:r>
          <w:rPr>
            <w:noProof/>
            <w:webHidden/>
          </w:rPr>
          <w:t>63</w:t>
        </w:r>
        <w:r>
          <w:rPr>
            <w:noProof/>
            <w:webHidden/>
          </w:rPr>
          <w:fldChar w:fldCharType="end"/>
        </w:r>
      </w:hyperlink>
    </w:p>
    <w:p w14:paraId="2FE71A7B" w14:textId="77777777" w:rsidR="00BE6EF0" w:rsidRDefault="00BE6EF0">
      <w:pPr>
        <w:pStyle w:val="TOC3"/>
        <w:rPr>
          <w:rFonts w:asciiTheme="minorHAnsi" w:eastAsiaTheme="minorEastAsia" w:hAnsiTheme="minorHAnsi" w:cstheme="minorBidi"/>
          <w:noProof/>
          <w:sz w:val="22"/>
          <w:szCs w:val="22"/>
          <w:lang w:eastAsia="zh-CN"/>
        </w:rPr>
      </w:pPr>
      <w:hyperlink w:anchor="_Toc459076567" w:history="1">
        <w:r w:rsidRPr="009137BE">
          <w:rPr>
            <w:rStyle w:val="Hyperlink"/>
            <w:noProof/>
          </w:rPr>
          <w:t>5.2.2 LMS w.r.t. Real Power Injection</w:t>
        </w:r>
        <w:r>
          <w:rPr>
            <w:noProof/>
            <w:webHidden/>
          </w:rPr>
          <w:tab/>
        </w:r>
        <w:r>
          <w:rPr>
            <w:noProof/>
            <w:webHidden/>
          </w:rPr>
          <w:fldChar w:fldCharType="begin"/>
        </w:r>
        <w:r>
          <w:rPr>
            <w:noProof/>
            <w:webHidden/>
          </w:rPr>
          <w:instrText xml:space="preserve"> PAGEREF _Toc459076567 \h </w:instrText>
        </w:r>
        <w:r>
          <w:rPr>
            <w:noProof/>
            <w:webHidden/>
          </w:rPr>
        </w:r>
        <w:r>
          <w:rPr>
            <w:noProof/>
            <w:webHidden/>
          </w:rPr>
          <w:fldChar w:fldCharType="separate"/>
        </w:r>
        <w:r>
          <w:rPr>
            <w:noProof/>
            <w:webHidden/>
          </w:rPr>
          <w:t>67</w:t>
        </w:r>
        <w:r>
          <w:rPr>
            <w:noProof/>
            <w:webHidden/>
          </w:rPr>
          <w:fldChar w:fldCharType="end"/>
        </w:r>
      </w:hyperlink>
    </w:p>
    <w:p w14:paraId="4FEFBE6B" w14:textId="77777777" w:rsidR="00BE6EF0" w:rsidRDefault="00BE6EF0">
      <w:pPr>
        <w:pStyle w:val="TOC3"/>
        <w:rPr>
          <w:rFonts w:asciiTheme="minorHAnsi" w:eastAsiaTheme="minorEastAsia" w:hAnsiTheme="minorHAnsi" w:cstheme="minorBidi"/>
          <w:noProof/>
          <w:sz w:val="22"/>
          <w:szCs w:val="22"/>
          <w:lang w:eastAsia="zh-CN"/>
        </w:rPr>
      </w:pPr>
      <w:hyperlink w:anchor="_Toc459076568" w:history="1">
        <w:r w:rsidRPr="009137BE">
          <w:rPr>
            <w:rStyle w:val="Hyperlink"/>
            <w:noProof/>
          </w:rPr>
          <w:t>5.2.3 LMS w.r.t. Terminal Voltage of Generator Bus</w:t>
        </w:r>
        <w:r>
          <w:rPr>
            <w:noProof/>
            <w:webHidden/>
          </w:rPr>
          <w:tab/>
        </w:r>
        <w:r>
          <w:rPr>
            <w:noProof/>
            <w:webHidden/>
          </w:rPr>
          <w:fldChar w:fldCharType="begin"/>
        </w:r>
        <w:r>
          <w:rPr>
            <w:noProof/>
            <w:webHidden/>
          </w:rPr>
          <w:instrText xml:space="preserve"> PAGEREF _Toc459076568 \h </w:instrText>
        </w:r>
        <w:r>
          <w:rPr>
            <w:noProof/>
            <w:webHidden/>
          </w:rPr>
        </w:r>
        <w:r>
          <w:rPr>
            <w:noProof/>
            <w:webHidden/>
          </w:rPr>
          <w:fldChar w:fldCharType="separate"/>
        </w:r>
        <w:r>
          <w:rPr>
            <w:noProof/>
            <w:webHidden/>
          </w:rPr>
          <w:t>69</w:t>
        </w:r>
        <w:r>
          <w:rPr>
            <w:noProof/>
            <w:webHidden/>
          </w:rPr>
          <w:fldChar w:fldCharType="end"/>
        </w:r>
      </w:hyperlink>
    </w:p>
    <w:p w14:paraId="3B68F1A1" w14:textId="77777777" w:rsidR="00BE6EF0" w:rsidRDefault="00BE6EF0">
      <w:pPr>
        <w:pStyle w:val="TOC2"/>
        <w:rPr>
          <w:rFonts w:asciiTheme="minorHAnsi" w:eastAsiaTheme="minorEastAsia" w:hAnsiTheme="minorHAnsi" w:cstheme="minorBidi"/>
          <w:noProof/>
          <w:sz w:val="22"/>
          <w:szCs w:val="22"/>
          <w:lang w:eastAsia="zh-CN"/>
        </w:rPr>
      </w:pPr>
      <w:hyperlink w:anchor="_Toc459076569" w:history="1">
        <w:r w:rsidRPr="009137BE">
          <w:rPr>
            <w:rStyle w:val="Hyperlink"/>
            <w:noProof/>
          </w:rPr>
          <w:t>5.3 Voltage Stability Control Based on WALMS</w:t>
        </w:r>
        <w:r>
          <w:rPr>
            <w:noProof/>
            <w:webHidden/>
          </w:rPr>
          <w:tab/>
        </w:r>
        <w:r>
          <w:rPr>
            <w:noProof/>
            <w:webHidden/>
          </w:rPr>
          <w:fldChar w:fldCharType="begin"/>
        </w:r>
        <w:r>
          <w:rPr>
            <w:noProof/>
            <w:webHidden/>
          </w:rPr>
          <w:instrText xml:space="preserve"> PAGEREF _Toc459076569 \h </w:instrText>
        </w:r>
        <w:r>
          <w:rPr>
            <w:noProof/>
            <w:webHidden/>
          </w:rPr>
        </w:r>
        <w:r>
          <w:rPr>
            <w:noProof/>
            <w:webHidden/>
          </w:rPr>
          <w:fldChar w:fldCharType="separate"/>
        </w:r>
        <w:r>
          <w:rPr>
            <w:noProof/>
            <w:webHidden/>
          </w:rPr>
          <w:t>70</w:t>
        </w:r>
        <w:r>
          <w:rPr>
            <w:noProof/>
            <w:webHidden/>
          </w:rPr>
          <w:fldChar w:fldCharType="end"/>
        </w:r>
      </w:hyperlink>
    </w:p>
    <w:p w14:paraId="440A7066" w14:textId="77777777" w:rsidR="00BE6EF0" w:rsidRDefault="00BE6EF0">
      <w:pPr>
        <w:pStyle w:val="TOC3"/>
        <w:rPr>
          <w:rFonts w:asciiTheme="minorHAnsi" w:eastAsiaTheme="minorEastAsia" w:hAnsiTheme="minorHAnsi" w:cstheme="minorBidi"/>
          <w:noProof/>
          <w:sz w:val="22"/>
          <w:szCs w:val="22"/>
          <w:lang w:eastAsia="zh-CN"/>
        </w:rPr>
      </w:pPr>
      <w:hyperlink w:anchor="_Toc459076570" w:history="1">
        <w:r w:rsidRPr="009137BE">
          <w:rPr>
            <w:rStyle w:val="Hyperlink"/>
            <w:noProof/>
          </w:rPr>
          <w:t>5.3.1 Category 1) Reactive Power Compensation</w:t>
        </w:r>
        <w:r>
          <w:rPr>
            <w:noProof/>
            <w:webHidden/>
          </w:rPr>
          <w:tab/>
        </w:r>
        <w:r>
          <w:rPr>
            <w:noProof/>
            <w:webHidden/>
          </w:rPr>
          <w:fldChar w:fldCharType="begin"/>
        </w:r>
        <w:r>
          <w:rPr>
            <w:noProof/>
            <w:webHidden/>
          </w:rPr>
          <w:instrText xml:space="preserve"> PAGEREF _Toc459076570 \h </w:instrText>
        </w:r>
        <w:r>
          <w:rPr>
            <w:noProof/>
            <w:webHidden/>
          </w:rPr>
        </w:r>
        <w:r>
          <w:rPr>
            <w:noProof/>
            <w:webHidden/>
          </w:rPr>
          <w:fldChar w:fldCharType="separate"/>
        </w:r>
        <w:r>
          <w:rPr>
            <w:noProof/>
            <w:webHidden/>
          </w:rPr>
          <w:t>73</w:t>
        </w:r>
        <w:r>
          <w:rPr>
            <w:noProof/>
            <w:webHidden/>
          </w:rPr>
          <w:fldChar w:fldCharType="end"/>
        </w:r>
      </w:hyperlink>
    </w:p>
    <w:p w14:paraId="5F86DAC2" w14:textId="77777777" w:rsidR="00BE6EF0" w:rsidRDefault="00BE6EF0">
      <w:pPr>
        <w:pStyle w:val="TOC3"/>
        <w:rPr>
          <w:rFonts w:asciiTheme="minorHAnsi" w:eastAsiaTheme="minorEastAsia" w:hAnsiTheme="minorHAnsi" w:cstheme="minorBidi"/>
          <w:noProof/>
          <w:sz w:val="22"/>
          <w:szCs w:val="22"/>
          <w:lang w:eastAsia="zh-CN"/>
        </w:rPr>
      </w:pPr>
      <w:hyperlink w:anchor="_Toc459076571" w:history="1">
        <w:r w:rsidRPr="009137BE">
          <w:rPr>
            <w:rStyle w:val="Hyperlink"/>
            <w:noProof/>
          </w:rPr>
          <w:t>5.3.2 Category 2) Generator Terminal Voltage Increment</w:t>
        </w:r>
        <w:r>
          <w:rPr>
            <w:noProof/>
            <w:webHidden/>
          </w:rPr>
          <w:tab/>
        </w:r>
        <w:r>
          <w:rPr>
            <w:noProof/>
            <w:webHidden/>
          </w:rPr>
          <w:fldChar w:fldCharType="begin"/>
        </w:r>
        <w:r>
          <w:rPr>
            <w:noProof/>
            <w:webHidden/>
          </w:rPr>
          <w:instrText xml:space="preserve"> PAGEREF _Toc459076571 \h </w:instrText>
        </w:r>
        <w:r>
          <w:rPr>
            <w:noProof/>
            <w:webHidden/>
          </w:rPr>
        </w:r>
        <w:r>
          <w:rPr>
            <w:noProof/>
            <w:webHidden/>
          </w:rPr>
          <w:fldChar w:fldCharType="separate"/>
        </w:r>
        <w:r>
          <w:rPr>
            <w:noProof/>
            <w:webHidden/>
          </w:rPr>
          <w:t>74</w:t>
        </w:r>
        <w:r>
          <w:rPr>
            <w:noProof/>
            <w:webHidden/>
          </w:rPr>
          <w:fldChar w:fldCharType="end"/>
        </w:r>
      </w:hyperlink>
    </w:p>
    <w:p w14:paraId="53833F48" w14:textId="77777777" w:rsidR="00BE6EF0" w:rsidRDefault="00BE6EF0">
      <w:pPr>
        <w:pStyle w:val="TOC3"/>
        <w:rPr>
          <w:rFonts w:asciiTheme="minorHAnsi" w:eastAsiaTheme="minorEastAsia" w:hAnsiTheme="minorHAnsi" w:cstheme="minorBidi"/>
          <w:noProof/>
          <w:sz w:val="22"/>
          <w:szCs w:val="22"/>
          <w:lang w:eastAsia="zh-CN"/>
        </w:rPr>
      </w:pPr>
      <w:hyperlink w:anchor="_Toc459076572" w:history="1">
        <w:r w:rsidRPr="009137BE">
          <w:rPr>
            <w:rStyle w:val="Hyperlink"/>
            <w:noProof/>
          </w:rPr>
          <w:t>5.3.3 Category 3) Load Shedding</w:t>
        </w:r>
        <w:r>
          <w:rPr>
            <w:noProof/>
            <w:webHidden/>
          </w:rPr>
          <w:tab/>
        </w:r>
        <w:r>
          <w:rPr>
            <w:noProof/>
            <w:webHidden/>
          </w:rPr>
          <w:fldChar w:fldCharType="begin"/>
        </w:r>
        <w:r>
          <w:rPr>
            <w:noProof/>
            <w:webHidden/>
          </w:rPr>
          <w:instrText xml:space="preserve"> PAGEREF _Toc459076572 \h </w:instrText>
        </w:r>
        <w:r>
          <w:rPr>
            <w:noProof/>
            <w:webHidden/>
          </w:rPr>
        </w:r>
        <w:r>
          <w:rPr>
            <w:noProof/>
            <w:webHidden/>
          </w:rPr>
          <w:fldChar w:fldCharType="separate"/>
        </w:r>
        <w:r>
          <w:rPr>
            <w:noProof/>
            <w:webHidden/>
          </w:rPr>
          <w:t>75</w:t>
        </w:r>
        <w:r>
          <w:rPr>
            <w:noProof/>
            <w:webHidden/>
          </w:rPr>
          <w:fldChar w:fldCharType="end"/>
        </w:r>
      </w:hyperlink>
    </w:p>
    <w:p w14:paraId="6D1FA231" w14:textId="77777777" w:rsidR="00BE6EF0" w:rsidRDefault="00BE6EF0">
      <w:pPr>
        <w:pStyle w:val="TOC2"/>
        <w:rPr>
          <w:rFonts w:asciiTheme="minorHAnsi" w:eastAsiaTheme="minorEastAsia" w:hAnsiTheme="minorHAnsi" w:cstheme="minorBidi"/>
          <w:noProof/>
          <w:sz w:val="22"/>
          <w:szCs w:val="22"/>
          <w:lang w:eastAsia="zh-CN"/>
        </w:rPr>
      </w:pPr>
      <w:hyperlink w:anchor="_Toc459076573" w:history="1">
        <w:r w:rsidRPr="009137BE">
          <w:rPr>
            <w:rStyle w:val="Hyperlink"/>
            <w:noProof/>
          </w:rPr>
          <w:t>5.4 Case Studies</w:t>
        </w:r>
        <w:r>
          <w:rPr>
            <w:noProof/>
            <w:webHidden/>
          </w:rPr>
          <w:tab/>
        </w:r>
        <w:r>
          <w:rPr>
            <w:noProof/>
            <w:webHidden/>
          </w:rPr>
          <w:fldChar w:fldCharType="begin"/>
        </w:r>
        <w:r>
          <w:rPr>
            <w:noProof/>
            <w:webHidden/>
          </w:rPr>
          <w:instrText xml:space="preserve"> PAGEREF _Toc459076573 \h </w:instrText>
        </w:r>
        <w:r>
          <w:rPr>
            <w:noProof/>
            <w:webHidden/>
          </w:rPr>
        </w:r>
        <w:r>
          <w:rPr>
            <w:noProof/>
            <w:webHidden/>
          </w:rPr>
          <w:fldChar w:fldCharType="separate"/>
        </w:r>
        <w:r>
          <w:rPr>
            <w:noProof/>
            <w:webHidden/>
          </w:rPr>
          <w:t>76</w:t>
        </w:r>
        <w:r>
          <w:rPr>
            <w:noProof/>
            <w:webHidden/>
          </w:rPr>
          <w:fldChar w:fldCharType="end"/>
        </w:r>
      </w:hyperlink>
    </w:p>
    <w:p w14:paraId="719E275C" w14:textId="77777777" w:rsidR="00BE6EF0" w:rsidRDefault="00BE6EF0">
      <w:pPr>
        <w:pStyle w:val="TOC3"/>
        <w:rPr>
          <w:rFonts w:asciiTheme="minorHAnsi" w:eastAsiaTheme="minorEastAsia" w:hAnsiTheme="minorHAnsi" w:cstheme="minorBidi"/>
          <w:noProof/>
          <w:sz w:val="22"/>
          <w:szCs w:val="22"/>
          <w:lang w:eastAsia="zh-CN"/>
        </w:rPr>
      </w:pPr>
      <w:hyperlink w:anchor="_Toc459076574" w:history="1">
        <w:r w:rsidRPr="009137BE">
          <w:rPr>
            <w:rStyle w:val="Hyperlink"/>
            <w:noProof/>
          </w:rPr>
          <w:t>5.4.1 Verification of WALMS w.r.t. Reactive Power Injection</w:t>
        </w:r>
        <w:r>
          <w:rPr>
            <w:noProof/>
            <w:webHidden/>
          </w:rPr>
          <w:tab/>
        </w:r>
        <w:r>
          <w:rPr>
            <w:noProof/>
            <w:webHidden/>
          </w:rPr>
          <w:fldChar w:fldCharType="begin"/>
        </w:r>
        <w:r>
          <w:rPr>
            <w:noProof/>
            <w:webHidden/>
          </w:rPr>
          <w:instrText xml:space="preserve"> PAGEREF _Toc459076574 \h </w:instrText>
        </w:r>
        <w:r>
          <w:rPr>
            <w:noProof/>
            <w:webHidden/>
          </w:rPr>
        </w:r>
        <w:r>
          <w:rPr>
            <w:noProof/>
            <w:webHidden/>
          </w:rPr>
          <w:fldChar w:fldCharType="separate"/>
        </w:r>
        <w:r>
          <w:rPr>
            <w:noProof/>
            <w:webHidden/>
          </w:rPr>
          <w:t>77</w:t>
        </w:r>
        <w:r>
          <w:rPr>
            <w:noProof/>
            <w:webHidden/>
          </w:rPr>
          <w:fldChar w:fldCharType="end"/>
        </w:r>
      </w:hyperlink>
    </w:p>
    <w:p w14:paraId="5B58F479" w14:textId="77777777" w:rsidR="00BE6EF0" w:rsidRDefault="00BE6EF0">
      <w:pPr>
        <w:pStyle w:val="TOC3"/>
        <w:rPr>
          <w:rFonts w:asciiTheme="minorHAnsi" w:eastAsiaTheme="minorEastAsia" w:hAnsiTheme="minorHAnsi" w:cstheme="minorBidi"/>
          <w:noProof/>
          <w:sz w:val="22"/>
          <w:szCs w:val="22"/>
          <w:lang w:eastAsia="zh-CN"/>
        </w:rPr>
      </w:pPr>
      <w:hyperlink w:anchor="_Toc459076575" w:history="1">
        <w:r w:rsidRPr="009137BE">
          <w:rPr>
            <w:rStyle w:val="Hyperlink"/>
            <w:noProof/>
          </w:rPr>
          <w:t>5.4.2 Verification of WALMS w.r.t. Real Power Injection</w:t>
        </w:r>
        <w:r>
          <w:rPr>
            <w:noProof/>
            <w:webHidden/>
          </w:rPr>
          <w:tab/>
        </w:r>
        <w:r>
          <w:rPr>
            <w:noProof/>
            <w:webHidden/>
          </w:rPr>
          <w:fldChar w:fldCharType="begin"/>
        </w:r>
        <w:r>
          <w:rPr>
            <w:noProof/>
            <w:webHidden/>
          </w:rPr>
          <w:instrText xml:space="preserve"> PAGEREF _Toc459076575 \h </w:instrText>
        </w:r>
        <w:r>
          <w:rPr>
            <w:noProof/>
            <w:webHidden/>
          </w:rPr>
        </w:r>
        <w:r>
          <w:rPr>
            <w:noProof/>
            <w:webHidden/>
          </w:rPr>
          <w:fldChar w:fldCharType="separate"/>
        </w:r>
        <w:r>
          <w:rPr>
            <w:noProof/>
            <w:webHidden/>
          </w:rPr>
          <w:t>79</w:t>
        </w:r>
        <w:r>
          <w:rPr>
            <w:noProof/>
            <w:webHidden/>
          </w:rPr>
          <w:fldChar w:fldCharType="end"/>
        </w:r>
      </w:hyperlink>
    </w:p>
    <w:p w14:paraId="7EA7B020" w14:textId="77777777" w:rsidR="00BE6EF0" w:rsidRDefault="00BE6EF0">
      <w:pPr>
        <w:pStyle w:val="TOC3"/>
        <w:rPr>
          <w:rFonts w:asciiTheme="minorHAnsi" w:eastAsiaTheme="minorEastAsia" w:hAnsiTheme="minorHAnsi" w:cstheme="minorBidi"/>
          <w:noProof/>
          <w:sz w:val="22"/>
          <w:szCs w:val="22"/>
          <w:lang w:eastAsia="zh-CN"/>
        </w:rPr>
      </w:pPr>
      <w:hyperlink w:anchor="_Toc459076576" w:history="1">
        <w:r w:rsidRPr="009137BE">
          <w:rPr>
            <w:rStyle w:val="Hyperlink"/>
            <w:noProof/>
          </w:rPr>
          <w:t>5.4.3 Verification of WALMS w.r.t. Generator Terminal Voltage</w:t>
        </w:r>
        <w:r>
          <w:rPr>
            <w:noProof/>
            <w:webHidden/>
          </w:rPr>
          <w:tab/>
        </w:r>
        <w:r>
          <w:rPr>
            <w:noProof/>
            <w:webHidden/>
          </w:rPr>
          <w:fldChar w:fldCharType="begin"/>
        </w:r>
        <w:r>
          <w:rPr>
            <w:noProof/>
            <w:webHidden/>
          </w:rPr>
          <w:instrText xml:space="preserve"> PAGEREF _Toc459076576 \h </w:instrText>
        </w:r>
        <w:r>
          <w:rPr>
            <w:noProof/>
            <w:webHidden/>
          </w:rPr>
        </w:r>
        <w:r>
          <w:rPr>
            <w:noProof/>
            <w:webHidden/>
          </w:rPr>
          <w:fldChar w:fldCharType="separate"/>
        </w:r>
        <w:r>
          <w:rPr>
            <w:noProof/>
            <w:webHidden/>
          </w:rPr>
          <w:t>79</w:t>
        </w:r>
        <w:r>
          <w:rPr>
            <w:noProof/>
            <w:webHidden/>
          </w:rPr>
          <w:fldChar w:fldCharType="end"/>
        </w:r>
      </w:hyperlink>
    </w:p>
    <w:p w14:paraId="021CCA98" w14:textId="77777777" w:rsidR="00BE6EF0" w:rsidRDefault="00BE6EF0">
      <w:pPr>
        <w:pStyle w:val="TOC3"/>
        <w:rPr>
          <w:rFonts w:asciiTheme="minorHAnsi" w:eastAsiaTheme="minorEastAsia" w:hAnsiTheme="minorHAnsi" w:cstheme="minorBidi"/>
          <w:noProof/>
          <w:sz w:val="22"/>
          <w:szCs w:val="22"/>
          <w:lang w:eastAsia="zh-CN"/>
        </w:rPr>
      </w:pPr>
      <w:hyperlink w:anchor="_Toc459076577" w:history="1">
        <w:r w:rsidRPr="009137BE">
          <w:rPr>
            <w:rStyle w:val="Hyperlink"/>
            <w:noProof/>
          </w:rPr>
          <w:t>5.4.4 Validation of the Proposed Control Strategy</w:t>
        </w:r>
        <w:r>
          <w:rPr>
            <w:noProof/>
            <w:webHidden/>
          </w:rPr>
          <w:tab/>
        </w:r>
        <w:r>
          <w:rPr>
            <w:noProof/>
            <w:webHidden/>
          </w:rPr>
          <w:fldChar w:fldCharType="begin"/>
        </w:r>
        <w:r>
          <w:rPr>
            <w:noProof/>
            <w:webHidden/>
          </w:rPr>
          <w:instrText xml:space="preserve"> PAGEREF _Toc459076577 \h </w:instrText>
        </w:r>
        <w:r>
          <w:rPr>
            <w:noProof/>
            <w:webHidden/>
          </w:rPr>
        </w:r>
        <w:r>
          <w:rPr>
            <w:noProof/>
            <w:webHidden/>
          </w:rPr>
          <w:fldChar w:fldCharType="separate"/>
        </w:r>
        <w:r>
          <w:rPr>
            <w:noProof/>
            <w:webHidden/>
          </w:rPr>
          <w:t>82</w:t>
        </w:r>
        <w:r>
          <w:rPr>
            <w:noProof/>
            <w:webHidden/>
          </w:rPr>
          <w:fldChar w:fldCharType="end"/>
        </w:r>
      </w:hyperlink>
    </w:p>
    <w:p w14:paraId="2594CC36" w14:textId="77777777" w:rsidR="00BE6EF0" w:rsidRDefault="00BE6EF0">
      <w:pPr>
        <w:pStyle w:val="TOC3"/>
        <w:rPr>
          <w:rFonts w:asciiTheme="minorHAnsi" w:eastAsiaTheme="minorEastAsia" w:hAnsiTheme="minorHAnsi" w:cstheme="minorBidi"/>
          <w:noProof/>
          <w:sz w:val="22"/>
          <w:szCs w:val="22"/>
          <w:lang w:eastAsia="zh-CN"/>
        </w:rPr>
      </w:pPr>
      <w:hyperlink w:anchor="_Toc459076578" w:history="1">
        <w:r w:rsidRPr="009137BE">
          <w:rPr>
            <w:rStyle w:val="Hyperlink"/>
            <w:noProof/>
          </w:rPr>
          <w:t>5.4.5 Extensive Validation of WALMS on IEEE Test Systems</w:t>
        </w:r>
        <w:r>
          <w:rPr>
            <w:noProof/>
            <w:webHidden/>
          </w:rPr>
          <w:tab/>
        </w:r>
        <w:r>
          <w:rPr>
            <w:noProof/>
            <w:webHidden/>
          </w:rPr>
          <w:fldChar w:fldCharType="begin"/>
        </w:r>
        <w:r>
          <w:rPr>
            <w:noProof/>
            <w:webHidden/>
          </w:rPr>
          <w:instrText xml:space="preserve"> PAGEREF _Toc459076578 \h </w:instrText>
        </w:r>
        <w:r>
          <w:rPr>
            <w:noProof/>
            <w:webHidden/>
          </w:rPr>
        </w:r>
        <w:r>
          <w:rPr>
            <w:noProof/>
            <w:webHidden/>
          </w:rPr>
          <w:fldChar w:fldCharType="separate"/>
        </w:r>
        <w:r>
          <w:rPr>
            <w:noProof/>
            <w:webHidden/>
          </w:rPr>
          <w:t>84</w:t>
        </w:r>
        <w:r>
          <w:rPr>
            <w:noProof/>
            <w:webHidden/>
          </w:rPr>
          <w:fldChar w:fldCharType="end"/>
        </w:r>
      </w:hyperlink>
    </w:p>
    <w:p w14:paraId="586B06CA" w14:textId="77777777" w:rsidR="00BE6EF0" w:rsidRDefault="00BE6EF0">
      <w:pPr>
        <w:pStyle w:val="TOC2"/>
        <w:rPr>
          <w:rFonts w:asciiTheme="minorHAnsi" w:eastAsiaTheme="minorEastAsia" w:hAnsiTheme="minorHAnsi" w:cstheme="minorBidi"/>
          <w:noProof/>
          <w:sz w:val="22"/>
          <w:szCs w:val="22"/>
          <w:lang w:eastAsia="zh-CN"/>
        </w:rPr>
      </w:pPr>
      <w:hyperlink w:anchor="_Toc459076579" w:history="1">
        <w:r w:rsidRPr="009137BE">
          <w:rPr>
            <w:rStyle w:val="Hyperlink"/>
            <w:noProof/>
          </w:rPr>
          <w:t>5.5 Conclusion</w:t>
        </w:r>
        <w:r>
          <w:rPr>
            <w:noProof/>
            <w:webHidden/>
          </w:rPr>
          <w:tab/>
        </w:r>
        <w:r>
          <w:rPr>
            <w:noProof/>
            <w:webHidden/>
          </w:rPr>
          <w:fldChar w:fldCharType="begin"/>
        </w:r>
        <w:r>
          <w:rPr>
            <w:noProof/>
            <w:webHidden/>
          </w:rPr>
          <w:instrText xml:space="preserve"> PAGEREF _Toc459076579 \h </w:instrText>
        </w:r>
        <w:r>
          <w:rPr>
            <w:noProof/>
            <w:webHidden/>
          </w:rPr>
        </w:r>
        <w:r>
          <w:rPr>
            <w:noProof/>
            <w:webHidden/>
          </w:rPr>
          <w:fldChar w:fldCharType="separate"/>
        </w:r>
        <w:r>
          <w:rPr>
            <w:noProof/>
            <w:webHidden/>
          </w:rPr>
          <w:t>86</w:t>
        </w:r>
        <w:r>
          <w:rPr>
            <w:noProof/>
            <w:webHidden/>
          </w:rPr>
          <w:fldChar w:fldCharType="end"/>
        </w:r>
      </w:hyperlink>
    </w:p>
    <w:p w14:paraId="1CF055B1" w14:textId="77777777" w:rsidR="00BE6EF0" w:rsidRDefault="00BE6EF0">
      <w:pPr>
        <w:pStyle w:val="TOC1"/>
        <w:rPr>
          <w:rFonts w:asciiTheme="minorHAnsi" w:eastAsiaTheme="minorEastAsia" w:hAnsiTheme="minorHAnsi" w:cstheme="minorBidi"/>
          <w:noProof/>
          <w:sz w:val="22"/>
          <w:szCs w:val="22"/>
          <w:lang w:eastAsia="zh-CN"/>
        </w:rPr>
      </w:pPr>
      <w:hyperlink w:anchor="_Toc459076580" w:history="1">
        <w:r w:rsidRPr="009137BE">
          <w:rPr>
            <w:rStyle w:val="Hyperlink"/>
            <w:noProof/>
          </w:rPr>
          <w:t xml:space="preserve">CHAPTER </w:t>
        </w:r>
        <w:r w:rsidRPr="009137BE">
          <w:rPr>
            <w:rStyle w:val="Hyperlink"/>
            <w:noProof/>
            <w:lang w:eastAsia="zh-CN"/>
          </w:rPr>
          <w:t>6</w:t>
        </w:r>
        <w:r w:rsidRPr="009137BE">
          <w:rPr>
            <w:rStyle w:val="Hyperlink"/>
            <w:noProof/>
          </w:rPr>
          <w:t xml:space="preserve"> </w:t>
        </w:r>
        <w:r w:rsidRPr="009137BE">
          <w:rPr>
            <w:rStyle w:val="Hyperlink"/>
            <w:noProof/>
            <w:lang w:eastAsia="zh-CN"/>
          </w:rPr>
          <w:t>MITIGATING OVERESTIMATION OF VOLTAGE STABILITY MARGIN BY COUPLED SINGLE-PORT CIRCUIT MODELS</w:t>
        </w:r>
        <w:r>
          <w:rPr>
            <w:noProof/>
            <w:webHidden/>
          </w:rPr>
          <w:tab/>
        </w:r>
        <w:r>
          <w:rPr>
            <w:noProof/>
            <w:webHidden/>
          </w:rPr>
          <w:fldChar w:fldCharType="begin"/>
        </w:r>
        <w:r>
          <w:rPr>
            <w:noProof/>
            <w:webHidden/>
          </w:rPr>
          <w:instrText xml:space="preserve"> PAGEREF _Toc459076580 \h </w:instrText>
        </w:r>
        <w:r>
          <w:rPr>
            <w:noProof/>
            <w:webHidden/>
          </w:rPr>
        </w:r>
        <w:r>
          <w:rPr>
            <w:noProof/>
            <w:webHidden/>
          </w:rPr>
          <w:fldChar w:fldCharType="separate"/>
        </w:r>
        <w:r>
          <w:rPr>
            <w:noProof/>
            <w:webHidden/>
          </w:rPr>
          <w:t>87</w:t>
        </w:r>
        <w:r>
          <w:rPr>
            <w:noProof/>
            <w:webHidden/>
          </w:rPr>
          <w:fldChar w:fldCharType="end"/>
        </w:r>
      </w:hyperlink>
    </w:p>
    <w:p w14:paraId="4B1426C4" w14:textId="77777777" w:rsidR="00BE6EF0" w:rsidRDefault="00BE6EF0">
      <w:pPr>
        <w:pStyle w:val="TOC2"/>
        <w:rPr>
          <w:rFonts w:asciiTheme="minorHAnsi" w:eastAsiaTheme="minorEastAsia" w:hAnsiTheme="minorHAnsi" w:cstheme="minorBidi"/>
          <w:noProof/>
          <w:sz w:val="22"/>
          <w:szCs w:val="22"/>
          <w:lang w:eastAsia="zh-CN"/>
        </w:rPr>
      </w:pPr>
      <w:hyperlink w:anchor="_Toc459076581" w:history="1">
        <w:r w:rsidRPr="009137BE">
          <w:rPr>
            <w:rStyle w:val="Hyperlink"/>
            <w:noProof/>
            <w:lang w:eastAsia="zh-CN"/>
          </w:rPr>
          <w:t>6.1 Overestimations of Voltage Stability Margins</w:t>
        </w:r>
        <w:r>
          <w:rPr>
            <w:noProof/>
            <w:webHidden/>
          </w:rPr>
          <w:tab/>
        </w:r>
        <w:r>
          <w:rPr>
            <w:noProof/>
            <w:webHidden/>
          </w:rPr>
          <w:fldChar w:fldCharType="begin"/>
        </w:r>
        <w:r>
          <w:rPr>
            <w:noProof/>
            <w:webHidden/>
          </w:rPr>
          <w:instrText xml:space="preserve"> PAGEREF _Toc459076581 \h </w:instrText>
        </w:r>
        <w:r>
          <w:rPr>
            <w:noProof/>
            <w:webHidden/>
          </w:rPr>
        </w:r>
        <w:r>
          <w:rPr>
            <w:noProof/>
            <w:webHidden/>
          </w:rPr>
          <w:fldChar w:fldCharType="separate"/>
        </w:r>
        <w:r>
          <w:rPr>
            <w:noProof/>
            <w:webHidden/>
          </w:rPr>
          <w:t>87</w:t>
        </w:r>
        <w:r>
          <w:rPr>
            <w:noProof/>
            <w:webHidden/>
          </w:rPr>
          <w:fldChar w:fldCharType="end"/>
        </w:r>
      </w:hyperlink>
    </w:p>
    <w:p w14:paraId="5F200145" w14:textId="77777777" w:rsidR="00BE6EF0" w:rsidRDefault="00BE6EF0">
      <w:pPr>
        <w:pStyle w:val="TOC3"/>
        <w:rPr>
          <w:rFonts w:asciiTheme="minorHAnsi" w:eastAsiaTheme="minorEastAsia" w:hAnsiTheme="minorHAnsi" w:cstheme="minorBidi"/>
          <w:noProof/>
          <w:sz w:val="22"/>
          <w:szCs w:val="22"/>
          <w:lang w:eastAsia="zh-CN"/>
        </w:rPr>
      </w:pPr>
      <w:hyperlink w:anchor="_Toc459076582" w:history="1">
        <w:r w:rsidRPr="009137BE">
          <w:rPr>
            <w:rStyle w:val="Hyperlink"/>
            <w:noProof/>
            <w:lang w:eastAsia="zh-CN"/>
          </w:rPr>
          <w:t>6.1.1 Observed Overestimation in IEEE 118-Bus System</w:t>
        </w:r>
        <w:r>
          <w:rPr>
            <w:noProof/>
            <w:webHidden/>
          </w:rPr>
          <w:tab/>
        </w:r>
        <w:r>
          <w:rPr>
            <w:noProof/>
            <w:webHidden/>
          </w:rPr>
          <w:fldChar w:fldCharType="begin"/>
        </w:r>
        <w:r>
          <w:rPr>
            <w:noProof/>
            <w:webHidden/>
          </w:rPr>
          <w:instrText xml:space="preserve"> PAGEREF _Toc459076582 \h </w:instrText>
        </w:r>
        <w:r>
          <w:rPr>
            <w:noProof/>
            <w:webHidden/>
          </w:rPr>
        </w:r>
        <w:r>
          <w:rPr>
            <w:noProof/>
            <w:webHidden/>
          </w:rPr>
          <w:fldChar w:fldCharType="separate"/>
        </w:r>
        <w:r>
          <w:rPr>
            <w:noProof/>
            <w:webHidden/>
          </w:rPr>
          <w:t>88</w:t>
        </w:r>
        <w:r>
          <w:rPr>
            <w:noProof/>
            <w:webHidden/>
          </w:rPr>
          <w:fldChar w:fldCharType="end"/>
        </w:r>
      </w:hyperlink>
    </w:p>
    <w:p w14:paraId="69DDACA0" w14:textId="77777777" w:rsidR="00BE6EF0" w:rsidRDefault="00BE6EF0">
      <w:pPr>
        <w:pStyle w:val="TOC3"/>
        <w:rPr>
          <w:rFonts w:asciiTheme="minorHAnsi" w:eastAsiaTheme="minorEastAsia" w:hAnsiTheme="minorHAnsi" w:cstheme="minorBidi"/>
          <w:noProof/>
          <w:sz w:val="22"/>
          <w:szCs w:val="22"/>
          <w:lang w:eastAsia="zh-CN"/>
        </w:rPr>
      </w:pPr>
      <w:hyperlink w:anchor="_Toc459076583" w:history="1">
        <w:r w:rsidRPr="009137BE">
          <w:rPr>
            <w:rStyle w:val="Hyperlink"/>
            <w:noProof/>
          </w:rPr>
          <w:t>6.1.2 Analysis on the Sample 4-Bus System</w:t>
        </w:r>
        <w:r>
          <w:rPr>
            <w:noProof/>
            <w:webHidden/>
          </w:rPr>
          <w:tab/>
        </w:r>
        <w:r>
          <w:rPr>
            <w:noProof/>
            <w:webHidden/>
          </w:rPr>
          <w:fldChar w:fldCharType="begin"/>
        </w:r>
        <w:r>
          <w:rPr>
            <w:noProof/>
            <w:webHidden/>
          </w:rPr>
          <w:instrText xml:space="preserve"> PAGEREF _Toc459076583 \h </w:instrText>
        </w:r>
        <w:r>
          <w:rPr>
            <w:noProof/>
            <w:webHidden/>
          </w:rPr>
        </w:r>
        <w:r>
          <w:rPr>
            <w:noProof/>
            <w:webHidden/>
          </w:rPr>
          <w:fldChar w:fldCharType="separate"/>
        </w:r>
        <w:r>
          <w:rPr>
            <w:noProof/>
            <w:webHidden/>
          </w:rPr>
          <w:t>88</w:t>
        </w:r>
        <w:r>
          <w:rPr>
            <w:noProof/>
            <w:webHidden/>
          </w:rPr>
          <w:fldChar w:fldCharType="end"/>
        </w:r>
      </w:hyperlink>
    </w:p>
    <w:p w14:paraId="783459ED" w14:textId="77777777" w:rsidR="00BE6EF0" w:rsidRDefault="00BE6EF0">
      <w:pPr>
        <w:pStyle w:val="TOC3"/>
        <w:rPr>
          <w:rFonts w:asciiTheme="minorHAnsi" w:eastAsiaTheme="minorEastAsia" w:hAnsiTheme="minorHAnsi" w:cstheme="minorBidi"/>
          <w:noProof/>
          <w:sz w:val="22"/>
          <w:szCs w:val="22"/>
          <w:lang w:eastAsia="zh-CN"/>
        </w:rPr>
      </w:pPr>
      <w:hyperlink w:anchor="_Toc459076584" w:history="1">
        <w:r w:rsidRPr="009137BE">
          <w:rPr>
            <w:rStyle w:val="Hyperlink"/>
            <w:noProof/>
          </w:rPr>
          <w:t>6.1.3 General Comments</w:t>
        </w:r>
        <w:r>
          <w:rPr>
            <w:noProof/>
            <w:webHidden/>
          </w:rPr>
          <w:tab/>
        </w:r>
        <w:r>
          <w:rPr>
            <w:noProof/>
            <w:webHidden/>
          </w:rPr>
          <w:fldChar w:fldCharType="begin"/>
        </w:r>
        <w:r>
          <w:rPr>
            <w:noProof/>
            <w:webHidden/>
          </w:rPr>
          <w:instrText xml:space="preserve"> PAGEREF _Toc459076584 \h </w:instrText>
        </w:r>
        <w:r>
          <w:rPr>
            <w:noProof/>
            <w:webHidden/>
          </w:rPr>
        </w:r>
        <w:r>
          <w:rPr>
            <w:noProof/>
            <w:webHidden/>
          </w:rPr>
          <w:fldChar w:fldCharType="separate"/>
        </w:r>
        <w:r>
          <w:rPr>
            <w:noProof/>
            <w:webHidden/>
          </w:rPr>
          <w:t>92</w:t>
        </w:r>
        <w:r>
          <w:rPr>
            <w:noProof/>
            <w:webHidden/>
          </w:rPr>
          <w:fldChar w:fldCharType="end"/>
        </w:r>
      </w:hyperlink>
    </w:p>
    <w:p w14:paraId="0B6AD735" w14:textId="77777777" w:rsidR="00BE6EF0" w:rsidRDefault="00BE6EF0">
      <w:pPr>
        <w:pStyle w:val="TOC2"/>
        <w:rPr>
          <w:rFonts w:asciiTheme="minorHAnsi" w:eastAsiaTheme="minorEastAsia" w:hAnsiTheme="minorHAnsi" w:cstheme="minorBidi"/>
          <w:noProof/>
          <w:sz w:val="22"/>
          <w:szCs w:val="22"/>
          <w:lang w:eastAsia="zh-CN"/>
        </w:rPr>
      </w:pPr>
      <w:hyperlink w:anchor="_Toc459076585" w:history="1">
        <w:r w:rsidRPr="009137BE">
          <w:rPr>
            <w:rStyle w:val="Hyperlink"/>
            <w:noProof/>
          </w:rPr>
          <w:t>6.2 Methods to Mitigate the Overestimations</w:t>
        </w:r>
        <w:r>
          <w:rPr>
            <w:noProof/>
            <w:webHidden/>
          </w:rPr>
          <w:tab/>
        </w:r>
        <w:r>
          <w:rPr>
            <w:noProof/>
            <w:webHidden/>
          </w:rPr>
          <w:fldChar w:fldCharType="begin"/>
        </w:r>
        <w:r>
          <w:rPr>
            <w:noProof/>
            <w:webHidden/>
          </w:rPr>
          <w:instrText xml:space="preserve"> PAGEREF _Toc459076585 \h </w:instrText>
        </w:r>
        <w:r>
          <w:rPr>
            <w:noProof/>
            <w:webHidden/>
          </w:rPr>
        </w:r>
        <w:r>
          <w:rPr>
            <w:noProof/>
            <w:webHidden/>
          </w:rPr>
          <w:fldChar w:fldCharType="separate"/>
        </w:r>
        <w:r>
          <w:rPr>
            <w:noProof/>
            <w:webHidden/>
          </w:rPr>
          <w:t>93</w:t>
        </w:r>
        <w:r>
          <w:rPr>
            <w:noProof/>
            <w:webHidden/>
          </w:rPr>
          <w:fldChar w:fldCharType="end"/>
        </w:r>
      </w:hyperlink>
    </w:p>
    <w:p w14:paraId="1CCEB458" w14:textId="77777777" w:rsidR="00BE6EF0" w:rsidRDefault="00BE6EF0">
      <w:pPr>
        <w:pStyle w:val="TOC3"/>
        <w:rPr>
          <w:rFonts w:asciiTheme="minorHAnsi" w:eastAsiaTheme="minorEastAsia" w:hAnsiTheme="minorHAnsi" w:cstheme="minorBidi"/>
          <w:noProof/>
          <w:sz w:val="22"/>
          <w:szCs w:val="22"/>
          <w:lang w:eastAsia="zh-CN"/>
        </w:rPr>
      </w:pPr>
      <w:hyperlink w:anchor="_Toc459076586" w:history="1">
        <w:r w:rsidRPr="009137BE">
          <w:rPr>
            <w:rStyle w:val="Hyperlink"/>
            <w:noProof/>
          </w:rPr>
          <w:t>6.2.1 Modified Coupled Single-Port Model (MD)</w:t>
        </w:r>
        <w:r>
          <w:rPr>
            <w:noProof/>
            <w:webHidden/>
          </w:rPr>
          <w:tab/>
        </w:r>
        <w:r>
          <w:rPr>
            <w:noProof/>
            <w:webHidden/>
          </w:rPr>
          <w:fldChar w:fldCharType="begin"/>
        </w:r>
        <w:r>
          <w:rPr>
            <w:noProof/>
            <w:webHidden/>
          </w:rPr>
          <w:instrText xml:space="preserve"> PAGEREF _Toc459076586 \h </w:instrText>
        </w:r>
        <w:r>
          <w:rPr>
            <w:noProof/>
            <w:webHidden/>
          </w:rPr>
        </w:r>
        <w:r>
          <w:rPr>
            <w:noProof/>
            <w:webHidden/>
          </w:rPr>
          <w:fldChar w:fldCharType="separate"/>
        </w:r>
        <w:r>
          <w:rPr>
            <w:noProof/>
            <w:webHidden/>
          </w:rPr>
          <w:t>93</w:t>
        </w:r>
        <w:r>
          <w:rPr>
            <w:noProof/>
            <w:webHidden/>
          </w:rPr>
          <w:fldChar w:fldCharType="end"/>
        </w:r>
      </w:hyperlink>
    </w:p>
    <w:p w14:paraId="40E94E43" w14:textId="77777777" w:rsidR="00BE6EF0" w:rsidRDefault="00BE6EF0">
      <w:pPr>
        <w:pStyle w:val="TOC3"/>
        <w:rPr>
          <w:rFonts w:asciiTheme="minorHAnsi" w:eastAsiaTheme="minorEastAsia" w:hAnsiTheme="minorHAnsi" w:cstheme="minorBidi"/>
          <w:noProof/>
          <w:sz w:val="22"/>
          <w:szCs w:val="22"/>
          <w:lang w:eastAsia="zh-CN"/>
        </w:rPr>
      </w:pPr>
      <w:hyperlink w:anchor="_Toc459076587" w:history="1">
        <w:r w:rsidRPr="009137BE">
          <w:rPr>
            <w:rStyle w:val="Hyperlink"/>
            <w:noProof/>
          </w:rPr>
          <w:t>6.2.2 Negative Load Model (NL)</w:t>
        </w:r>
        <w:r>
          <w:rPr>
            <w:noProof/>
            <w:webHidden/>
          </w:rPr>
          <w:tab/>
        </w:r>
        <w:r>
          <w:rPr>
            <w:noProof/>
            <w:webHidden/>
          </w:rPr>
          <w:fldChar w:fldCharType="begin"/>
        </w:r>
        <w:r>
          <w:rPr>
            <w:noProof/>
            <w:webHidden/>
          </w:rPr>
          <w:instrText xml:space="preserve"> PAGEREF _Toc459076587 \h </w:instrText>
        </w:r>
        <w:r>
          <w:rPr>
            <w:noProof/>
            <w:webHidden/>
          </w:rPr>
        </w:r>
        <w:r>
          <w:rPr>
            <w:noProof/>
            <w:webHidden/>
          </w:rPr>
          <w:fldChar w:fldCharType="separate"/>
        </w:r>
        <w:r>
          <w:rPr>
            <w:noProof/>
            <w:webHidden/>
          </w:rPr>
          <w:t>95</w:t>
        </w:r>
        <w:r>
          <w:rPr>
            <w:noProof/>
            <w:webHidden/>
          </w:rPr>
          <w:fldChar w:fldCharType="end"/>
        </w:r>
      </w:hyperlink>
    </w:p>
    <w:p w14:paraId="516C4651" w14:textId="77777777" w:rsidR="00BE6EF0" w:rsidRDefault="00BE6EF0">
      <w:pPr>
        <w:pStyle w:val="TOC2"/>
        <w:rPr>
          <w:rFonts w:asciiTheme="minorHAnsi" w:eastAsiaTheme="minorEastAsia" w:hAnsiTheme="minorHAnsi" w:cstheme="minorBidi"/>
          <w:noProof/>
          <w:sz w:val="22"/>
          <w:szCs w:val="22"/>
          <w:lang w:eastAsia="zh-CN"/>
        </w:rPr>
      </w:pPr>
      <w:hyperlink w:anchor="_Toc459076588" w:history="1">
        <w:r w:rsidRPr="009137BE">
          <w:rPr>
            <w:rStyle w:val="Hyperlink"/>
            <w:noProof/>
          </w:rPr>
          <w:t>6.3 Simulation Results</w:t>
        </w:r>
        <w:r>
          <w:rPr>
            <w:noProof/>
            <w:webHidden/>
          </w:rPr>
          <w:tab/>
        </w:r>
        <w:r>
          <w:rPr>
            <w:noProof/>
            <w:webHidden/>
          </w:rPr>
          <w:fldChar w:fldCharType="begin"/>
        </w:r>
        <w:r>
          <w:rPr>
            <w:noProof/>
            <w:webHidden/>
          </w:rPr>
          <w:instrText xml:space="preserve"> PAGEREF _Toc459076588 \h </w:instrText>
        </w:r>
        <w:r>
          <w:rPr>
            <w:noProof/>
            <w:webHidden/>
          </w:rPr>
        </w:r>
        <w:r>
          <w:rPr>
            <w:noProof/>
            <w:webHidden/>
          </w:rPr>
          <w:fldChar w:fldCharType="separate"/>
        </w:r>
        <w:r>
          <w:rPr>
            <w:noProof/>
            <w:webHidden/>
          </w:rPr>
          <w:t>95</w:t>
        </w:r>
        <w:r>
          <w:rPr>
            <w:noProof/>
            <w:webHidden/>
          </w:rPr>
          <w:fldChar w:fldCharType="end"/>
        </w:r>
      </w:hyperlink>
    </w:p>
    <w:p w14:paraId="41D2736F" w14:textId="77777777" w:rsidR="00BE6EF0" w:rsidRDefault="00BE6EF0">
      <w:pPr>
        <w:pStyle w:val="TOC3"/>
        <w:rPr>
          <w:rFonts w:asciiTheme="minorHAnsi" w:eastAsiaTheme="minorEastAsia" w:hAnsiTheme="minorHAnsi" w:cstheme="minorBidi"/>
          <w:noProof/>
          <w:sz w:val="22"/>
          <w:szCs w:val="22"/>
          <w:lang w:eastAsia="zh-CN"/>
        </w:rPr>
      </w:pPr>
      <w:hyperlink w:anchor="_Toc459076589" w:history="1">
        <w:r w:rsidRPr="009137BE">
          <w:rPr>
            <w:rStyle w:val="Hyperlink"/>
            <w:noProof/>
          </w:rPr>
          <w:t>6.3.1 Application to the Sample 4-Bus System</w:t>
        </w:r>
        <w:r>
          <w:rPr>
            <w:noProof/>
            <w:webHidden/>
          </w:rPr>
          <w:tab/>
        </w:r>
        <w:r>
          <w:rPr>
            <w:noProof/>
            <w:webHidden/>
          </w:rPr>
          <w:fldChar w:fldCharType="begin"/>
        </w:r>
        <w:r>
          <w:rPr>
            <w:noProof/>
            <w:webHidden/>
          </w:rPr>
          <w:instrText xml:space="preserve"> PAGEREF _Toc459076589 \h </w:instrText>
        </w:r>
        <w:r>
          <w:rPr>
            <w:noProof/>
            <w:webHidden/>
          </w:rPr>
        </w:r>
        <w:r>
          <w:rPr>
            <w:noProof/>
            <w:webHidden/>
          </w:rPr>
          <w:fldChar w:fldCharType="separate"/>
        </w:r>
        <w:r>
          <w:rPr>
            <w:noProof/>
            <w:webHidden/>
          </w:rPr>
          <w:t>95</w:t>
        </w:r>
        <w:r>
          <w:rPr>
            <w:noProof/>
            <w:webHidden/>
          </w:rPr>
          <w:fldChar w:fldCharType="end"/>
        </w:r>
      </w:hyperlink>
    </w:p>
    <w:p w14:paraId="41A33347" w14:textId="77777777" w:rsidR="00BE6EF0" w:rsidRDefault="00BE6EF0">
      <w:pPr>
        <w:pStyle w:val="TOC3"/>
        <w:rPr>
          <w:rFonts w:asciiTheme="minorHAnsi" w:eastAsiaTheme="minorEastAsia" w:hAnsiTheme="minorHAnsi" w:cstheme="minorBidi"/>
          <w:noProof/>
          <w:sz w:val="22"/>
          <w:szCs w:val="22"/>
          <w:lang w:eastAsia="zh-CN"/>
        </w:rPr>
      </w:pPr>
      <w:hyperlink w:anchor="_Toc459076590" w:history="1">
        <w:r w:rsidRPr="009137BE">
          <w:rPr>
            <w:rStyle w:val="Hyperlink"/>
            <w:noProof/>
          </w:rPr>
          <w:t>6.3.2 Application to IEEE 118-Bus System</w:t>
        </w:r>
        <w:r>
          <w:rPr>
            <w:noProof/>
            <w:webHidden/>
          </w:rPr>
          <w:tab/>
        </w:r>
        <w:r>
          <w:rPr>
            <w:noProof/>
            <w:webHidden/>
          </w:rPr>
          <w:fldChar w:fldCharType="begin"/>
        </w:r>
        <w:r>
          <w:rPr>
            <w:noProof/>
            <w:webHidden/>
          </w:rPr>
          <w:instrText xml:space="preserve"> PAGEREF _Toc459076590 \h </w:instrText>
        </w:r>
        <w:r>
          <w:rPr>
            <w:noProof/>
            <w:webHidden/>
          </w:rPr>
        </w:r>
        <w:r>
          <w:rPr>
            <w:noProof/>
            <w:webHidden/>
          </w:rPr>
          <w:fldChar w:fldCharType="separate"/>
        </w:r>
        <w:r>
          <w:rPr>
            <w:noProof/>
            <w:webHidden/>
          </w:rPr>
          <w:t>97</w:t>
        </w:r>
        <w:r>
          <w:rPr>
            <w:noProof/>
            <w:webHidden/>
          </w:rPr>
          <w:fldChar w:fldCharType="end"/>
        </w:r>
      </w:hyperlink>
    </w:p>
    <w:p w14:paraId="2CF30F59" w14:textId="77777777" w:rsidR="00BE6EF0" w:rsidRDefault="00BE6EF0">
      <w:pPr>
        <w:pStyle w:val="TOC2"/>
        <w:rPr>
          <w:rFonts w:asciiTheme="minorHAnsi" w:eastAsiaTheme="minorEastAsia" w:hAnsiTheme="minorHAnsi" w:cstheme="minorBidi"/>
          <w:noProof/>
          <w:sz w:val="22"/>
          <w:szCs w:val="22"/>
          <w:lang w:eastAsia="zh-CN"/>
        </w:rPr>
      </w:pPr>
      <w:hyperlink w:anchor="_Toc459076591" w:history="1">
        <w:r w:rsidRPr="009137BE">
          <w:rPr>
            <w:rStyle w:val="Hyperlink"/>
            <w:noProof/>
          </w:rPr>
          <w:t>6.4 Conclusion</w:t>
        </w:r>
        <w:r>
          <w:rPr>
            <w:noProof/>
            <w:webHidden/>
          </w:rPr>
          <w:tab/>
        </w:r>
        <w:r>
          <w:rPr>
            <w:noProof/>
            <w:webHidden/>
          </w:rPr>
          <w:fldChar w:fldCharType="begin"/>
        </w:r>
        <w:r>
          <w:rPr>
            <w:noProof/>
            <w:webHidden/>
          </w:rPr>
          <w:instrText xml:space="preserve"> PAGEREF _Toc459076591 \h </w:instrText>
        </w:r>
        <w:r>
          <w:rPr>
            <w:noProof/>
            <w:webHidden/>
          </w:rPr>
        </w:r>
        <w:r>
          <w:rPr>
            <w:noProof/>
            <w:webHidden/>
          </w:rPr>
          <w:fldChar w:fldCharType="separate"/>
        </w:r>
        <w:r>
          <w:rPr>
            <w:noProof/>
            <w:webHidden/>
          </w:rPr>
          <w:t>99</w:t>
        </w:r>
        <w:r>
          <w:rPr>
            <w:noProof/>
            <w:webHidden/>
          </w:rPr>
          <w:fldChar w:fldCharType="end"/>
        </w:r>
      </w:hyperlink>
    </w:p>
    <w:p w14:paraId="03A09A09" w14:textId="77777777" w:rsidR="00BE6EF0" w:rsidRDefault="00BE6EF0">
      <w:pPr>
        <w:pStyle w:val="TOC1"/>
        <w:rPr>
          <w:rFonts w:asciiTheme="minorHAnsi" w:eastAsiaTheme="minorEastAsia" w:hAnsiTheme="minorHAnsi" w:cstheme="minorBidi"/>
          <w:noProof/>
          <w:sz w:val="22"/>
          <w:szCs w:val="22"/>
          <w:lang w:eastAsia="zh-CN"/>
        </w:rPr>
      </w:pPr>
      <w:hyperlink w:anchor="_Toc459076592" w:history="1">
        <w:r w:rsidRPr="009137BE">
          <w:rPr>
            <w:rStyle w:val="Hyperlink"/>
            <w:noProof/>
          </w:rPr>
          <w:t xml:space="preserve">CHAPTER </w:t>
        </w:r>
        <w:r w:rsidRPr="009137BE">
          <w:rPr>
            <w:rStyle w:val="Hyperlink"/>
            <w:noProof/>
            <w:lang w:eastAsia="zh-CN"/>
          </w:rPr>
          <w:t>7</w:t>
        </w:r>
        <w:r w:rsidRPr="009137BE">
          <w:rPr>
            <w:rStyle w:val="Hyperlink"/>
            <w:noProof/>
          </w:rPr>
          <w:t xml:space="preserve"> </w:t>
        </w:r>
        <w:r w:rsidRPr="009137BE">
          <w:rPr>
            <w:rStyle w:val="Hyperlink"/>
            <w:noProof/>
            <w:lang w:eastAsia="zh-CN"/>
          </w:rPr>
          <w:t>MEASUREMENT-BASED VOLTAGE STABILITY INDICATOR FOR VOLTAGE DEPENDENT LOAD</w:t>
        </w:r>
        <w:r>
          <w:rPr>
            <w:noProof/>
            <w:webHidden/>
          </w:rPr>
          <w:tab/>
        </w:r>
        <w:r>
          <w:rPr>
            <w:noProof/>
            <w:webHidden/>
          </w:rPr>
          <w:fldChar w:fldCharType="begin"/>
        </w:r>
        <w:r>
          <w:rPr>
            <w:noProof/>
            <w:webHidden/>
          </w:rPr>
          <w:instrText xml:space="preserve"> PAGEREF _Toc459076592 \h </w:instrText>
        </w:r>
        <w:r>
          <w:rPr>
            <w:noProof/>
            <w:webHidden/>
          </w:rPr>
        </w:r>
        <w:r>
          <w:rPr>
            <w:noProof/>
            <w:webHidden/>
          </w:rPr>
          <w:fldChar w:fldCharType="separate"/>
        </w:r>
        <w:r>
          <w:rPr>
            <w:noProof/>
            <w:webHidden/>
          </w:rPr>
          <w:t>100</w:t>
        </w:r>
        <w:r>
          <w:rPr>
            <w:noProof/>
            <w:webHidden/>
          </w:rPr>
          <w:fldChar w:fldCharType="end"/>
        </w:r>
      </w:hyperlink>
    </w:p>
    <w:p w14:paraId="4341F06F" w14:textId="77777777" w:rsidR="00BE6EF0" w:rsidRDefault="00BE6EF0">
      <w:pPr>
        <w:pStyle w:val="TOC2"/>
        <w:rPr>
          <w:rFonts w:asciiTheme="minorHAnsi" w:eastAsiaTheme="minorEastAsia" w:hAnsiTheme="minorHAnsi" w:cstheme="minorBidi"/>
          <w:noProof/>
          <w:sz w:val="22"/>
          <w:szCs w:val="22"/>
          <w:lang w:eastAsia="zh-CN"/>
        </w:rPr>
      </w:pPr>
      <w:hyperlink w:anchor="_Toc459076593" w:history="1">
        <w:r w:rsidRPr="009137BE">
          <w:rPr>
            <w:rStyle w:val="Hyperlink"/>
            <w:noProof/>
            <w:lang w:eastAsia="zh-CN"/>
          </w:rPr>
          <w:t>7.1 Impact of ZIP Load Model to Voltage Stability Assessment</w:t>
        </w:r>
        <w:r>
          <w:rPr>
            <w:noProof/>
            <w:webHidden/>
          </w:rPr>
          <w:tab/>
        </w:r>
        <w:r>
          <w:rPr>
            <w:noProof/>
            <w:webHidden/>
          </w:rPr>
          <w:fldChar w:fldCharType="begin"/>
        </w:r>
        <w:r>
          <w:rPr>
            <w:noProof/>
            <w:webHidden/>
          </w:rPr>
          <w:instrText xml:space="preserve"> PAGEREF _Toc459076593 \h </w:instrText>
        </w:r>
        <w:r>
          <w:rPr>
            <w:noProof/>
            <w:webHidden/>
          </w:rPr>
        </w:r>
        <w:r>
          <w:rPr>
            <w:noProof/>
            <w:webHidden/>
          </w:rPr>
          <w:fldChar w:fldCharType="separate"/>
        </w:r>
        <w:r>
          <w:rPr>
            <w:noProof/>
            <w:webHidden/>
          </w:rPr>
          <w:t>101</w:t>
        </w:r>
        <w:r>
          <w:rPr>
            <w:noProof/>
            <w:webHidden/>
          </w:rPr>
          <w:fldChar w:fldCharType="end"/>
        </w:r>
      </w:hyperlink>
    </w:p>
    <w:p w14:paraId="53B1AFC2" w14:textId="77777777" w:rsidR="00BE6EF0" w:rsidRDefault="00BE6EF0">
      <w:pPr>
        <w:pStyle w:val="TOC3"/>
        <w:rPr>
          <w:rFonts w:asciiTheme="minorHAnsi" w:eastAsiaTheme="minorEastAsia" w:hAnsiTheme="minorHAnsi" w:cstheme="minorBidi"/>
          <w:noProof/>
          <w:sz w:val="22"/>
          <w:szCs w:val="22"/>
          <w:lang w:eastAsia="zh-CN"/>
        </w:rPr>
      </w:pPr>
      <w:hyperlink w:anchor="_Toc459076594" w:history="1">
        <w:r w:rsidRPr="009137BE">
          <w:rPr>
            <w:rStyle w:val="Hyperlink"/>
            <w:noProof/>
            <w:lang w:eastAsia="zh-CN"/>
          </w:rPr>
          <w:t>7.1.1 Constant P Load Model</w:t>
        </w:r>
        <w:r>
          <w:rPr>
            <w:noProof/>
            <w:webHidden/>
          </w:rPr>
          <w:tab/>
        </w:r>
        <w:r>
          <w:rPr>
            <w:noProof/>
            <w:webHidden/>
          </w:rPr>
          <w:fldChar w:fldCharType="begin"/>
        </w:r>
        <w:r>
          <w:rPr>
            <w:noProof/>
            <w:webHidden/>
          </w:rPr>
          <w:instrText xml:space="preserve"> PAGEREF _Toc459076594 \h </w:instrText>
        </w:r>
        <w:r>
          <w:rPr>
            <w:noProof/>
            <w:webHidden/>
          </w:rPr>
        </w:r>
        <w:r>
          <w:rPr>
            <w:noProof/>
            <w:webHidden/>
          </w:rPr>
          <w:fldChar w:fldCharType="separate"/>
        </w:r>
        <w:r>
          <w:rPr>
            <w:noProof/>
            <w:webHidden/>
          </w:rPr>
          <w:t>102</w:t>
        </w:r>
        <w:r>
          <w:rPr>
            <w:noProof/>
            <w:webHidden/>
          </w:rPr>
          <w:fldChar w:fldCharType="end"/>
        </w:r>
      </w:hyperlink>
    </w:p>
    <w:p w14:paraId="62B092B8" w14:textId="77777777" w:rsidR="00BE6EF0" w:rsidRDefault="00BE6EF0">
      <w:pPr>
        <w:pStyle w:val="TOC3"/>
        <w:rPr>
          <w:rFonts w:asciiTheme="minorHAnsi" w:eastAsiaTheme="minorEastAsia" w:hAnsiTheme="minorHAnsi" w:cstheme="minorBidi"/>
          <w:noProof/>
          <w:sz w:val="22"/>
          <w:szCs w:val="22"/>
          <w:lang w:eastAsia="zh-CN"/>
        </w:rPr>
      </w:pPr>
      <w:hyperlink w:anchor="_Toc459076595" w:history="1">
        <w:r w:rsidRPr="009137BE">
          <w:rPr>
            <w:rStyle w:val="Hyperlink"/>
            <w:noProof/>
            <w:lang w:eastAsia="zh-CN"/>
          </w:rPr>
          <w:t>7.1.2 Constant I Load Model</w:t>
        </w:r>
        <w:r>
          <w:rPr>
            <w:noProof/>
            <w:webHidden/>
          </w:rPr>
          <w:tab/>
        </w:r>
        <w:r>
          <w:rPr>
            <w:noProof/>
            <w:webHidden/>
          </w:rPr>
          <w:fldChar w:fldCharType="begin"/>
        </w:r>
        <w:r>
          <w:rPr>
            <w:noProof/>
            <w:webHidden/>
          </w:rPr>
          <w:instrText xml:space="preserve"> PAGEREF _Toc459076595 \h </w:instrText>
        </w:r>
        <w:r>
          <w:rPr>
            <w:noProof/>
            <w:webHidden/>
          </w:rPr>
        </w:r>
        <w:r>
          <w:rPr>
            <w:noProof/>
            <w:webHidden/>
          </w:rPr>
          <w:fldChar w:fldCharType="separate"/>
        </w:r>
        <w:r>
          <w:rPr>
            <w:noProof/>
            <w:webHidden/>
          </w:rPr>
          <w:t>104</w:t>
        </w:r>
        <w:r>
          <w:rPr>
            <w:noProof/>
            <w:webHidden/>
          </w:rPr>
          <w:fldChar w:fldCharType="end"/>
        </w:r>
      </w:hyperlink>
    </w:p>
    <w:p w14:paraId="2AF9969B" w14:textId="77777777" w:rsidR="00BE6EF0" w:rsidRDefault="00BE6EF0">
      <w:pPr>
        <w:pStyle w:val="TOC3"/>
        <w:rPr>
          <w:rFonts w:asciiTheme="minorHAnsi" w:eastAsiaTheme="minorEastAsia" w:hAnsiTheme="minorHAnsi" w:cstheme="minorBidi"/>
          <w:noProof/>
          <w:sz w:val="22"/>
          <w:szCs w:val="22"/>
          <w:lang w:eastAsia="zh-CN"/>
        </w:rPr>
      </w:pPr>
      <w:hyperlink w:anchor="_Toc459076596" w:history="1">
        <w:r w:rsidRPr="009137BE">
          <w:rPr>
            <w:rStyle w:val="Hyperlink"/>
            <w:noProof/>
            <w:lang w:eastAsia="zh-CN"/>
          </w:rPr>
          <w:t>7.1.3 Constant Z Load Model</w:t>
        </w:r>
        <w:r>
          <w:rPr>
            <w:noProof/>
            <w:webHidden/>
          </w:rPr>
          <w:tab/>
        </w:r>
        <w:r>
          <w:rPr>
            <w:noProof/>
            <w:webHidden/>
          </w:rPr>
          <w:fldChar w:fldCharType="begin"/>
        </w:r>
        <w:r>
          <w:rPr>
            <w:noProof/>
            <w:webHidden/>
          </w:rPr>
          <w:instrText xml:space="preserve"> PAGEREF _Toc459076596 \h </w:instrText>
        </w:r>
        <w:r>
          <w:rPr>
            <w:noProof/>
            <w:webHidden/>
          </w:rPr>
        </w:r>
        <w:r>
          <w:rPr>
            <w:noProof/>
            <w:webHidden/>
          </w:rPr>
          <w:fldChar w:fldCharType="separate"/>
        </w:r>
        <w:r>
          <w:rPr>
            <w:noProof/>
            <w:webHidden/>
          </w:rPr>
          <w:t>104</w:t>
        </w:r>
        <w:r>
          <w:rPr>
            <w:noProof/>
            <w:webHidden/>
          </w:rPr>
          <w:fldChar w:fldCharType="end"/>
        </w:r>
      </w:hyperlink>
    </w:p>
    <w:p w14:paraId="44137227" w14:textId="77777777" w:rsidR="00BE6EF0" w:rsidRDefault="00BE6EF0">
      <w:pPr>
        <w:pStyle w:val="TOC3"/>
        <w:rPr>
          <w:rFonts w:asciiTheme="minorHAnsi" w:eastAsiaTheme="minorEastAsia" w:hAnsiTheme="minorHAnsi" w:cstheme="minorBidi"/>
          <w:noProof/>
          <w:sz w:val="22"/>
          <w:szCs w:val="22"/>
          <w:lang w:eastAsia="zh-CN"/>
        </w:rPr>
      </w:pPr>
      <w:hyperlink w:anchor="_Toc459076597" w:history="1">
        <w:r w:rsidRPr="009137BE">
          <w:rPr>
            <w:rStyle w:val="Hyperlink"/>
            <w:noProof/>
            <w:lang w:eastAsia="zh-CN"/>
          </w:rPr>
          <w:t>7.1.4 ZIP Load Model</w:t>
        </w:r>
        <w:r>
          <w:rPr>
            <w:noProof/>
            <w:webHidden/>
          </w:rPr>
          <w:tab/>
        </w:r>
        <w:r>
          <w:rPr>
            <w:noProof/>
            <w:webHidden/>
          </w:rPr>
          <w:fldChar w:fldCharType="begin"/>
        </w:r>
        <w:r>
          <w:rPr>
            <w:noProof/>
            <w:webHidden/>
          </w:rPr>
          <w:instrText xml:space="preserve"> PAGEREF _Toc459076597 \h </w:instrText>
        </w:r>
        <w:r>
          <w:rPr>
            <w:noProof/>
            <w:webHidden/>
          </w:rPr>
        </w:r>
        <w:r>
          <w:rPr>
            <w:noProof/>
            <w:webHidden/>
          </w:rPr>
          <w:fldChar w:fldCharType="separate"/>
        </w:r>
        <w:r>
          <w:rPr>
            <w:noProof/>
            <w:webHidden/>
          </w:rPr>
          <w:t>106</w:t>
        </w:r>
        <w:r>
          <w:rPr>
            <w:noProof/>
            <w:webHidden/>
          </w:rPr>
          <w:fldChar w:fldCharType="end"/>
        </w:r>
      </w:hyperlink>
    </w:p>
    <w:p w14:paraId="390F24B3" w14:textId="77777777" w:rsidR="00BE6EF0" w:rsidRDefault="00BE6EF0">
      <w:pPr>
        <w:pStyle w:val="TOC2"/>
        <w:rPr>
          <w:rFonts w:asciiTheme="minorHAnsi" w:eastAsiaTheme="minorEastAsia" w:hAnsiTheme="minorHAnsi" w:cstheme="minorBidi"/>
          <w:noProof/>
          <w:sz w:val="22"/>
          <w:szCs w:val="22"/>
          <w:lang w:eastAsia="zh-CN"/>
        </w:rPr>
      </w:pPr>
      <w:hyperlink w:anchor="_Toc459076598" w:history="1">
        <w:r w:rsidRPr="009137BE">
          <w:rPr>
            <w:rStyle w:val="Hyperlink"/>
            <w:noProof/>
            <w:lang w:eastAsia="zh-CN"/>
          </w:rPr>
          <w:t>7.2 Impact of Exponential Load Model to Voltage Stability Assessment</w:t>
        </w:r>
        <w:r>
          <w:rPr>
            <w:noProof/>
            <w:webHidden/>
          </w:rPr>
          <w:tab/>
        </w:r>
        <w:r>
          <w:rPr>
            <w:noProof/>
            <w:webHidden/>
          </w:rPr>
          <w:fldChar w:fldCharType="begin"/>
        </w:r>
        <w:r>
          <w:rPr>
            <w:noProof/>
            <w:webHidden/>
          </w:rPr>
          <w:instrText xml:space="preserve"> PAGEREF _Toc459076598 \h </w:instrText>
        </w:r>
        <w:r>
          <w:rPr>
            <w:noProof/>
            <w:webHidden/>
          </w:rPr>
        </w:r>
        <w:r>
          <w:rPr>
            <w:noProof/>
            <w:webHidden/>
          </w:rPr>
          <w:fldChar w:fldCharType="separate"/>
        </w:r>
        <w:r>
          <w:rPr>
            <w:noProof/>
            <w:webHidden/>
          </w:rPr>
          <w:t>107</w:t>
        </w:r>
        <w:r>
          <w:rPr>
            <w:noProof/>
            <w:webHidden/>
          </w:rPr>
          <w:fldChar w:fldCharType="end"/>
        </w:r>
      </w:hyperlink>
    </w:p>
    <w:p w14:paraId="14FFBB66" w14:textId="77777777" w:rsidR="00BE6EF0" w:rsidRDefault="00BE6EF0">
      <w:pPr>
        <w:pStyle w:val="TOC2"/>
        <w:rPr>
          <w:rFonts w:asciiTheme="minorHAnsi" w:eastAsiaTheme="minorEastAsia" w:hAnsiTheme="minorHAnsi" w:cstheme="minorBidi"/>
          <w:noProof/>
          <w:sz w:val="22"/>
          <w:szCs w:val="22"/>
          <w:lang w:eastAsia="zh-CN"/>
        </w:rPr>
      </w:pPr>
      <w:hyperlink w:anchor="_Toc459076599" w:history="1">
        <w:r w:rsidRPr="009137BE">
          <w:rPr>
            <w:rStyle w:val="Hyperlink"/>
            <w:noProof/>
            <w:lang w:eastAsia="zh-CN"/>
          </w:rPr>
          <w:t>7.3 Measurement-Based Voltage Stability Indicator for Voltage Dependent Load Models</w:t>
        </w:r>
        <w:r>
          <w:rPr>
            <w:noProof/>
            <w:webHidden/>
          </w:rPr>
          <w:tab/>
        </w:r>
        <w:r>
          <w:rPr>
            <w:noProof/>
            <w:webHidden/>
          </w:rPr>
          <w:fldChar w:fldCharType="begin"/>
        </w:r>
        <w:r>
          <w:rPr>
            <w:noProof/>
            <w:webHidden/>
          </w:rPr>
          <w:instrText xml:space="preserve"> PAGEREF _Toc459076599 \h </w:instrText>
        </w:r>
        <w:r>
          <w:rPr>
            <w:noProof/>
            <w:webHidden/>
          </w:rPr>
        </w:r>
        <w:r>
          <w:rPr>
            <w:noProof/>
            <w:webHidden/>
          </w:rPr>
          <w:fldChar w:fldCharType="separate"/>
        </w:r>
        <w:r>
          <w:rPr>
            <w:noProof/>
            <w:webHidden/>
          </w:rPr>
          <w:t>108</w:t>
        </w:r>
        <w:r>
          <w:rPr>
            <w:noProof/>
            <w:webHidden/>
          </w:rPr>
          <w:fldChar w:fldCharType="end"/>
        </w:r>
      </w:hyperlink>
    </w:p>
    <w:p w14:paraId="31C4FFC3" w14:textId="77777777" w:rsidR="00BE6EF0" w:rsidRDefault="00BE6EF0">
      <w:pPr>
        <w:pStyle w:val="TOC2"/>
        <w:rPr>
          <w:rFonts w:asciiTheme="minorHAnsi" w:eastAsiaTheme="minorEastAsia" w:hAnsiTheme="minorHAnsi" w:cstheme="minorBidi"/>
          <w:noProof/>
          <w:sz w:val="22"/>
          <w:szCs w:val="22"/>
          <w:lang w:eastAsia="zh-CN"/>
        </w:rPr>
      </w:pPr>
      <w:hyperlink w:anchor="_Toc459076600" w:history="1">
        <w:r w:rsidRPr="009137BE">
          <w:rPr>
            <w:rStyle w:val="Hyperlink"/>
            <w:noProof/>
            <w:lang w:eastAsia="zh-CN"/>
          </w:rPr>
          <w:t>7.4 Simulation Results</w:t>
        </w:r>
        <w:r>
          <w:rPr>
            <w:noProof/>
            <w:webHidden/>
          </w:rPr>
          <w:tab/>
        </w:r>
        <w:r>
          <w:rPr>
            <w:noProof/>
            <w:webHidden/>
          </w:rPr>
          <w:fldChar w:fldCharType="begin"/>
        </w:r>
        <w:r>
          <w:rPr>
            <w:noProof/>
            <w:webHidden/>
          </w:rPr>
          <w:instrText xml:space="preserve"> PAGEREF _Toc459076600 \h </w:instrText>
        </w:r>
        <w:r>
          <w:rPr>
            <w:noProof/>
            <w:webHidden/>
          </w:rPr>
        </w:r>
        <w:r>
          <w:rPr>
            <w:noProof/>
            <w:webHidden/>
          </w:rPr>
          <w:fldChar w:fldCharType="separate"/>
        </w:r>
        <w:r>
          <w:rPr>
            <w:noProof/>
            <w:webHidden/>
          </w:rPr>
          <w:t>110</w:t>
        </w:r>
        <w:r>
          <w:rPr>
            <w:noProof/>
            <w:webHidden/>
          </w:rPr>
          <w:fldChar w:fldCharType="end"/>
        </w:r>
      </w:hyperlink>
    </w:p>
    <w:p w14:paraId="6D94AF28" w14:textId="77777777" w:rsidR="00BE6EF0" w:rsidRDefault="00BE6EF0">
      <w:pPr>
        <w:pStyle w:val="TOC3"/>
        <w:rPr>
          <w:rFonts w:asciiTheme="minorHAnsi" w:eastAsiaTheme="minorEastAsia" w:hAnsiTheme="minorHAnsi" w:cstheme="minorBidi"/>
          <w:noProof/>
          <w:sz w:val="22"/>
          <w:szCs w:val="22"/>
          <w:lang w:eastAsia="zh-CN"/>
        </w:rPr>
      </w:pPr>
      <w:hyperlink w:anchor="_Toc459076601" w:history="1">
        <w:r w:rsidRPr="009137BE">
          <w:rPr>
            <w:rStyle w:val="Hyperlink"/>
            <w:noProof/>
            <w:lang w:eastAsia="zh-CN"/>
          </w:rPr>
          <w:t>7.4.1 Results on the IEEE 14-Bus System with ZIP Load Model</w:t>
        </w:r>
        <w:r>
          <w:rPr>
            <w:noProof/>
            <w:webHidden/>
          </w:rPr>
          <w:tab/>
        </w:r>
        <w:r>
          <w:rPr>
            <w:noProof/>
            <w:webHidden/>
          </w:rPr>
          <w:fldChar w:fldCharType="begin"/>
        </w:r>
        <w:r>
          <w:rPr>
            <w:noProof/>
            <w:webHidden/>
          </w:rPr>
          <w:instrText xml:space="preserve"> PAGEREF _Toc459076601 \h </w:instrText>
        </w:r>
        <w:r>
          <w:rPr>
            <w:noProof/>
            <w:webHidden/>
          </w:rPr>
        </w:r>
        <w:r>
          <w:rPr>
            <w:noProof/>
            <w:webHidden/>
          </w:rPr>
          <w:fldChar w:fldCharType="separate"/>
        </w:r>
        <w:r>
          <w:rPr>
            <w:noProof/>
            <w:webHidden/>
          </w:rPr>
          <w:t>111</w:t>
        </w:r>
        <w:r>
          <w:rPr>
            <w:noProof/>
            <w:webHidden/>
          </w:rPr>
          <w:fldChar w:fldCharType="end"/>
        </w:r>
      </w:hyperlink>
    </w:p>
    <w:p w14:paraId="7C109121" w14:textId="77777777" w:rsidR="00BE6EF0" w:rsidRDefault="00BE6EF0">
      <w:pPr>
        <w:pStyle w:val="TOC3"/>
        <w:rPr>
          <w:rFonts w:asciiTheme="minorHAnsi" w:eastAsiaTheme="minorEastAsia" w:hAnsiTheme="minorHAnsi" w:cstheme="minorBidi"/>
          <w:noProof/>
          <w:sz w:val="22"/>
          <w:szCs w:val="22"/>
          <w:lang w:eastAsia="zh-CN"/>
        </w:rPr>
      </w:pPr>
      <w:hyperlink w:anchor="_Toc459076602" w:history="1">
        <w:r w:rsidRPr="009137BE">
          <w:rPr>
            <w:rStyle w:val="Hyperlink"/>
            <w:noProof/>
            <w:lang w:eastAsia="zh-CN"/>
          </w:rPr>
          <w:t>7.4.2 Results on IEEE 14-Bus System with Exponential Load Model</w:t>
        </w:r>
        <w:r>
          <w:rPr>
            <w:noProof/>
            <w:webHidden/>
          </w:rPr>
          <w:tab/>
        </w:r>
        <w:r>
          <w:rPr>
            <w:noProof/>
            <w:webHidden/>
          </w:rPr>
          <w:fldChar w:fldCharType="begin"/>
        </w:r>
        <w:r>
          <w:rPr>
            <w:noProof/>
            <w:webHidden/>
          </w:rPr>
          <w:instrText xml:space="preserve"> PAGEREF _Toc459076602 \h </w:instrText>
        </w:r>
        <w:r>
          <w:rPr>
            <w:noProof/>
            <w:webHidden/>
          </w:rPr>
        </w:r>
        <w:r>
          <w:rPr>
            <w:noProof/>
            <w:webHidden/>
          </w:rPr>
          <w:fldChar w:fldCharType="separate"/>
        </w:r>
        <w:r>
          <w:rPr>
            <w:noProof/>
            <w:webHidden/>
          </w:rPr>
          <w:t>113</w:t>
        </w:r>
        <w:r>
          <w:rPr>
            <w:noProof/>
            <w:webHidden/>
          </w:rPr>
          <w:fldChar w:fldCharType="end"/>
        </w:r>
      </w:hyperlink>
    </w:p>
    <w:p w14:paraId="229CAC15" w14:textId="77777777" w:rsidR="00BE6EF0" w:rsidRDefault="00BE6EF0">
      <w:pPr>
        <w:pStyle w:val="TOC3"/>
        <w:rPr>
          <w:rFonts w:asciiTheme="minorHAnsi" w:eastAsiaTheme="minorEastAsia" w:hAnsiTheme="minorHAnsi" w:cstheme="minorBidi"/>
          <w:noProof/>
          <w:sz w:val="22"/>
          <w:szCs w:val="22"/>
          <w:lang w:eastAsia="zh-CN"/>
        </w:rPr>
      </w:pPr>
      <w:hyperlink w:anchor="_Toc459076603" w:history="1">
        <w:r w:rsidRPr="009137BE">
          <w:rPr>
            <w:rStyle w:val="Hyperlink"/>
            <w:noProof/>
            <w:lang w:eastAsia="zh-CN"/>
          </w:rPr>
          <w:t>7.4.3 Results on Large-Scale Test Bed with ZIP Load Model</w:t>
        </w:r>
        <w:r>
          <w:rPr>
            <w:noProof/>
            <w:webHidden/>
          </w:rPr>
          <w:tab/>
        </w:r>
        <w:r>
          <w:rPr>
            <w:noProof/>
            <w:webHidden/>
          </w:rPr>
          <w:fldChar w:fldCharType="begin"/>
        </w:r>
        <w:r>
          <w:rPr>
            <w:noProof/>
            <w:webHidden/>
          </w:rPr>
          <w:instrText xml:space="preserve"> PAGEREF _Toc459076603 \h </w:instrText>
        </w:r>
        <w:r>
          <w:rPr>
            <w:noProof/>
            <w:webHidden/>
          </w:rPr>
        </w:r>
        <w:r>
          <w:rPr>
            <w:noProof/>
            <w:webHidden/>
          </w:rPr>
          <w:fldChar w:fldCharType="separate"/>
        </w:r>
        <w:r>
          <w:rPr>
            <w:noProof/>
            <w:webHidden/>
          </w:rPr>
          <w:t>114</w:t>
        </w:r>
        <w:r>
          <w:rPr>
            <w:noProof/>
            <w:webHidden/>
          </w:rPr>
          <w:fldChar w:fldCharType="end"/>
        </w:r>
      </w:hyperlink>
    </w:p>
    <w:p w14:paraId="6F82564D" w14:textId="77777777" w:rsidR="00BE6EF0" w:rsidRDefault="00BE6EF0">
      <w:pPr>
        <w:pStyle w:val="TOC3"/>
        <w:rPr>
          <w:rFonts w:asciiTheme="minorHAnsi" w:eastAsiaTheme="minorEastAsia" w:hAnsiTheme="minorHAnsi" w:cstheme="minorBidi"/>
          <w:noProof/>
          <w:sz w:val="22"/>
          <w:szCs w:val="22"/>
          <w:lang w:eastAsia="zh-CN"/>
        </w:rPr>
      </w:pPr>
      <w:hyperlink w:anchor="_Toc459076604" w:history="1">
        <w:r w:rsidRPr="009137BE">
          <w:rPr>
            <w:rStyle w:val="Hyperlink"/>
            <w:noProof/>
            <w:lang w:eastAsia="zh-CN"/>
          </w:rPr>
          <w:t>7.4.4 Results on Large-Scale Test Bed with Exponential Load Model</w:t>
        </w:r>
        <w:r>
          <w:rPr>
            <w:noProof/>
            <w:webHidden/>
          </w:rPr>
          <w:tab/>
        </w:r>
        <w:r>
          <w:rPr>
            <w:noProof/>
            <w:webHidden/>
          </w:rPr>
          <w:fldChar w:fldCharType="begin"/>
        </w:r>
        <w:r>
          <w:rPr>
            <w:noProof/>
            <w:webHidden/>
          </w:rPr>
          <w:instrText xml:space="preserve"> PAGEREF _Toc459076604 \h </w:instrText>
        </w:r>
        <w:r>
          <w:rPr>
            <w:noProof/>
            <w:webHidden/>
          </w:rPr>
        </w:r>
        <w:r>
          <w:rPr>
            <w:noProof/>
            <w:webHidden/>
          </w:rPr>
          <w:fldChar w:fldCharType="separate"/>
        </w:r>
        <w:r>
          <w:rPr>
            <w:noProof/>
            <w:webHidden/>
          </w:rPr>
          <w:t>118</w:t>
        </w:r>
        <w:r>
          <w:rPr>
            <w:noProof/>
            <w:webHidden/>
          </w:rPr>
          <w:fldChar w:fldCharType="end"/>
        </w:r>
      </w:hyperlink>
    </w:p>
    <w:p w14:paraId="7635BC69" w14:textId="77777777" w:rsidR="00BE6EF0" w:rsidRDefault="00BE6EF0">
      <w:pPr>
        <w:pStyle w:val="TOC2"/>
        <w:rPr>
          <w:rFonts w:asciiTheme="minorHAnsi" w:eastAsiaTheme="minorEastAsia" w:hAnsiTheme="minorHAnsi" w:cstheme="minorBidi"/>
          <w:noProof/>
          <w:sz w:val="22"/>
          <w:szCs w:val="22"/>
          <w:lang w:eastAsia="zh-CN"/>
        </w:rPr>
      </w:pPr>
      <w:hyperlink w:anchor="_Toc459076605" w:history="1">
        <w:r w:rsidRPr="009137BE">
          <w:rPr>
            <w:rStyle w:val="Hyperlink"/>
            <w:noProof/>
            <w:lang w:eastAsia="zh-CN"/>
          </w:rPr>
          <w:t>7.5 Conclusion</w:t>
        </w:r>
        <w:r>
          <w:rPr>
            <w:noProof/>
            <w:webHidden/>
          </w:rPr>
          <w:tab/>
        </w:r>
        <w:r>
          <w:rPr>
            <w:noProof/>
            <w:webHidden/>
          </w:rPr>
          <w:fldChar w:fldCharType="begin"/>
        </w:r>
        <w:r>
          <w:rPr>
            <w:noProof/>
            <w:webHidden/>
          </w:rPr>
          <w:instrText xml:space="preserve"> PAGEREF _Toc459076605 \h </w:instrText>
        </w:r>
        <w:r>
          <w:rPr>
            <w:noProof/>
            <w:webHidden/>
          </w:rPr>
        </w:r>
        <w:r>
          <w:rPr>
            <w:noProof/>
            <w:webHidden/>
          </w:rPr>
          <w:fldChar w:fldCharType="separate"/>
        </w:r>
        <w:r>
          <w:rPr>
            <w:noProof/>
            <w:webHidden/>
          </w:rPr>
          <w:t>118</w:t>
        </w:r>
        <w:r>
          <w:rPr>
            <w:noProof/>
            <w:webHidden/>
          </w:rPr>
          <w:fldChar w:fldCharType="end"/>
        </w:r>
      </w:hyperlink>
    </w:p>
    <w:p w14:paraId="0689EC7A" w14:textId="77777777" w:rsidR="00BE6EF0" w:rsidRDefault="00BE6EF0">
      <w:pPr>
        <w:pStyle w:val="TOC1"/>
        <w:rPr>
          <w:rFonts w:asciiTheme="minorHAnsi" w:eastAsiaTheme="minorEastAsia" w:hAnsiTheme="minorHAnsi" w:cstheme="minorBidi"/>
          <w:noProof/>
          <w:sz w:val="22"/>
          <w:szCs w:val="22"/>
          <w:lang w:eastAsia="zh-CN"/>
        </w:rPr>
      </w:pPr>
      <w:hyperlink w:anchor="_Toc459076606" w:history="1">
        <w:r w:rsidRPr="009137BE">
          <w:rPr>
            <w:rStyle w:val="Hyperlink"/>
            <w:noProof/>
          </w:rPr>
          <w:t xml:space="preserve">CHAPTER </w:t>
        </w:r>
        <w:r w:rsidRPr="009137BE">
          <w:rPr>
            <w:rStyle w:val="Hyperlink"/>
            <w:noProof/>
            <w:lang w:eastAsia="zh-CN"/>
          </w:rPr>
          <w:t>8</w:t>
        </w:r>
        <w:r w:rsidRPr="009137BE">
          <w:rPr>
            <w:rStyle w:val="Hyperlink"/>
            <w:noProof/>
          </w:rPr>
          <w:t xml:space="preserve"> </w:t>
        </w:r>
        <w:r w:rsidRPr="009137BE">
          <w:rPr>
            <w:rStyle w:val="Hyperlink"/>
            <w:noProof/>
            <w:lang w:eastAsia="zh-CN"/>
          </w:rPr>
          <w:t>CONCLUSION AND RECOMMENDATIONS</w:t>
        </w:r>
        <w:r>
          <w:rPr>
            <w:noProof/>
            <w:webHidden/>
          </w:rPr>
          <w:tab/>
        </w:r>
        <w:r>
          <w:rPr>
            <w:noProof/>
            <w:webHidden/>
          </w:rPr>
          <w:fldChar w:fldCharType="begin"/>
        </w:r>
        <w:r>
          <w:rPr>
            <w:noProof/>
            <w:webHidden/>
          </w:rPr>
          <w:instrText xml:space="preserve"> PAGEREF _Toc459076606 \h </w:instrText>
        </w:r>
        <w:r>
          <w:rPr>
            <w:noProof/>
            <w:webHidden/>
          </w:rPr>
        </w:r>
        <w:r>
          <w:rPr>
            <w:noProof/>
            <w:webHidden/>
          </w:rPr>
          <w:fldChar w:fldCharType="separate"/>
        </w:r>
        <w:r>
          <w:rPr>
            <w:noProof/>
            <w:webHidden/>
          </w:rPr>
          <w:t>121</w:t>
        </w:r>
        <w:r>
          <w:rPr>
            <w:noProof/>
            <w:webHidden/>
          </w:rPr>
          <w:fldChar w:fldCharType="end"/>
        </w:r>
      </w:hyperlink>
    </w:p>
    <w:p w14:paraId="7441C02F" w14:textId="77777777" w:rsidR="00BE6EF0" w:rsidRDefault="00BE6EF0">
      <w:pPr>
        <w:pStyle w:val="TOC2"/>
        <w:rPr>
          <w:rFonts w:asciiTheme="minorHAnsi" w:eastAsiaTheme="minorEastAsia" w:hAnsiTheme="minorHAnsi" w:cstheme="minorBidi"/>
          <w:noProof/>
          <w:sz w:val="22"/>
          <w:szCs w:val="22"/>
          <w:lang w:eastAsia="zh-CN"/>
        </w:rPr>
      </w:pPr>
      <w:hyperlink w:anchor="_Toc459076607" w:history="1">
        <w:r w:rsidRPr="009137BE">
          <w:rPr>
            <w:rStyle w:val="Hyperlink"/>
            <w:noProof/>
          </w:rPr>
          <w:t>8.1 Conclusion</w:t>
        </w:r>
        <w:r>
          <w:rPr>
            <w:noProof/>
            <w:webHidden/>
          </w:rPr>
          <w:tab/>
        </w:r>
        <w:r>
          <w:rPr>
            <w:noProof/>
            <w:webHidden/>
          </w:rPr>
          <w:fldChar w:fldCharType="begin"/>
        </w:r>
        <w:r>
          <w:rPr>
            <w:noProof/>
            <w:webHidden/>
          </w:rPr>
          <w:instrText xml:space="preserve"> PAGEREF _Toc459076607 \h </w:instrText>
        </w:r>
        <w:r>
          <w:rPr>
            <w:noProof/>
            <w:webHidden/>
          </w:rPr>
        </w:r>
        <w:r>
          <w:rPr>
            <w:noProof/>
            <w:webHidden/>
          </w:rPr>
          <w:fldChar w:fldCharType="separate"/>
        </w:r>
        <w:r>
          <w:rPr>
            <w:noProof/>
            <w:webHidden/>
          </w:rPr>
          <w:t>121</w:t>
        </w:r>
        <w:r>
          <w:rPr>
            <w:noProof/>
            <w:webHidden/>
          </w:rPr>
          <w:fldChar w:fldCharType="end"/>
        </w:r>
      </w:hyperlink>
    </w:p>
    <w:p w14:paraId="1976D04D" w14:textId="77777777" w:rsidR="00BE6EF0" w:rsidRDefault="00BE6EF0">
      <w:pPr>
        <w:pStyle w:val="TOC2"/>
        <w:rPr>
          <w:rFonts w:asciiTheme="minorHAnsi" w:eastAsiaTheme="minorEastAsia" w:hAnsiTheme="minorHAnsi" w:cstheme="minorBidi"/>
          <w:noProof/>
          <w:sz w:val="22"/>
          <w:szCs w:val="22"/>
          <w:lang w:eastAsia="zh-CN"/>
        </w:rPr>
      </w:pPr>
      <w:hyperlink w:anchor="_Toc459076608" w:history="1">
        <w:r w:rsidRPr="009137BE">
          <w:rPr>
            <w:rStyle w:val="Hyperlink"/>
            <w:noProof/>
          </w:rPr>
          <w:t>8.</w:t>
        </w:r>
        <w:r w:rsidRPr="009137BE">
          <w:rPr>
            <w:rStyle w:val="Hyperlink"/>
            <w:noProof/>
            <w:lang w:eastAsia="zh-CN"/>
          </w:rPr>
          <w:t>2</w:t>
        </w:r>
        <w:r w:rsidRPr="009137BE">
          <w:rPr>
            <w:rStyle w:val="Hyperlink"/>
            <w:noProof/>
          </w:rPr>
          <w:t xml:space="preserve"> </w:t>
        </w:r>
        <w:r w:rsidRPr="009137BE">
          <w:rPr>
            <w:rStyle w:val="Hyperlink"/>
            <w:noProof/>
            <w:lang w:eastAsia="zh-CN"/>
          </w:rPr>
          <w:t>Future Work</w:t>
        </w:r>
        <w:r>
          <w:rPr>
            <w:noProof/>
            <w:webHidden/>
          </w:rPr>
          <w:tab/>
        </w:r>
        <w:r>
          <w:rPr>
            <w:noProof/>
            <w:webHidden/>
          </w:rPr>
          <w:fldChar w:fldCharType="begin"/>
        </w:r>
        <w:r>
          <w:rPr>
            <w:noProof/>
            <w:webHidden/>
          </w:rPr>
          <w:instrText xml:space="preserve"> PAGEREF _Toc459076608 \h </w:instrText>
        </w:r>
        <w:r>
          <w:rPr>
            <w:noProof/>
            <w:webHidden/>
          </w:rPr>
        </w:r>
        <w:r>
          <w:rPr>
            <w:noProof/>
            <w:webHidden/>
          </w:rPr>
          <w:fldChar w:fldCharType="separate"/>
        </w:r>
        <w:r>
          <w:rPr>
            <w:noProof/>
            <w:webHidden/>
          </w:rPr>
          <w:t>122</w:t>
        </w:r>
        <w:r>
          <w:rPr>
            <w:noProof/>
            <w:webHidden/>
          </w:rPr>
          <w:fldChar w:fldCharType="end"/>
        </w:r>
      </w:hyperlink>
    </w:p>
    <w:p w14:paraId="7E21CBF2" w14:textId="77777777" w:rsidR="00BE6EF0" w:rsidRDefault="00BE6EF0">
      <w:pPr>
        <w:pStyle w:val="TOC1"/>
        <w:rPr>
          <w:rFonts w:asciiTheme="minorHAnsi" w:eastAsiaTheme="minorEastAsia" w:hAnsiTheme="minorHAnsi" w:cstheme="minorBidi"/>
          <w:noProof/>
          <w:sz w:val="22"/>
          <w:szCs w:val="22"/>
          <w:lang w:eastAsia="zh-CN"/>
        </w:rPr>
      </w:pPr>
      <w:hyperlink w:anchor="_Toc459076609" w:history="1">
        <w:r w:rsidRPr="009137BE">
          <w:rPr>
            <w:rStyle w:val="Hyperlink"/>
            <w:noProof/>
            <w:lang w:eastAsia="zh-CN"/>
          </w:rPr>
          <w:t>APPENDIX</w:t>
        </w:r>
        <w:r>
          <w:rPr>
            <w:noProof/>
            <w:webHidden/>
          </w:rPr>
          <w:tab/>
        </w:r>
        <w:r>
          <w:rPr>
            <w:noProof/>
            <w:webHidden/>
          </w:rPr>
          <w:fldChar w:fldCharType="begin"/>
        </w:r>
        <w:r>
          <w:rPr>
            <w:noProof/>
            <w:webHidden/>
          </w:rPr>
          <w:instrText xml:space="preserve"> PAGEREF _Toc459076609 \h </w:instrText>
        </w:r>
        <w:r>
          <w:rPr>
            <w:noProof/>
            <w:webHidden/>
          </w:rPr>
        </w:r>
        <w:r>
          <w:rPr>
            <w:noProof/>
            <w:webHidden/>
          </w:rPr>
          <w:fldChar w:fldCharType="separate"/>
        </w:r>
        <w:r>
          <w:rPr>
            <w:noProof/>
            <w:webHidden/>
          </w:rPr>
          <w:t>123</w:t>
        </w:r>
        <w:r>
          <w:rPr>
            <w:noProof/>
            <w:webHidden/>
          </w:rPr>
          <w:fldChar w:fldCharType="end"/>
        </w:r>
      </w:hyperlink>
    </w:p>
    <w:p w14:paraId="719A0908" w14:textId="77777777" w:rsidR="00BE6EF0" w:rsidRDefault="00BE6EF0">
      <w:pPr>
        <w:pStyle w:val="TOC2"/>
        <w:rPr>
          <w:rFonts w:asciiTheme="minorHAnsi" w:eastAsiaTheme="minorEastAsia" w:hAnsiTheme="minorHAnsi" w:cstheme="minorBidi"/>
          <w:noProof/>
          <w:sz w:val="22"/>
          <w:szCs w:val="22"/>
          <w:lang w:eastAsia="zh-CN"/>
        </w:rPr>
      </w:pPr>
      <w:hyperlink w:anchor="_Toc459076610" w:history="1">
        <w:r w:rsidRPr="009137BE">
          <w:rPr>
            <w:rStyle w:val="Hyperlink"/>
            <w:noProof/>
            <w:lang w:eastAsia="zh-CN"/>
          </w:rPr>
          <w:t>A.1 Sample 2-Bus System Parameters in PSAT Format</w:t>
        </w:r>
        <w:r>
          <w:rPr>
            <w:noProof/>
            <w:webHidden/>
          </w:rPr>
          <w:tab/>
        </w:r>
        <w:r>
          <w:rPr>
            <w:noProof/>
            <w:webHidden/>
          </w:rPr>
          <w:fldChar w:fldCharType="begin"/>
        </w:r>
        <w:r>
          <w:rPr>
            <w:noProof/>
            <w:webHidden/>
          </w:rPr>
          <w:instrText xml:space="preserve"> PAGEREF _Toc459076610 \h </w:instrText>
        </w:r>
        <w:r>
          <w:rPr>
            <w:noProof/>
            <w:webHidden/>
          </w:rPr>
        </w:r>
        <w:r>
          <w:rPr>
            <w:noProof/>
            <w:webHidden/>
          </w:rPr>
          <w:fldChar w:fldCharType="separate"/>
        </w:r>
        <w:r>
          <w:rPr>
            <w:noProof/>
            <w:webHidden/>
          </w:rPr>
          <w:t>124</w:t>
        </w:r>
        <w:r>
          <w:rPr>
            <w:noProof/>
            <w:webHidden/>
          </w:rPr>
          <w:fldChar w:fldCharType="end"/>
        </w:r>
      </w:hyperlink>
    </w:p>
    <w:p w14:paraId="3D597D81" w14:textId="77777777" w:rsidR="00BE6EF0" w:rsidRDefault="00BE6EF0">
      <w:pPr>
        <w:pStyle w:val="TOC2"/>
        <w:rPr>
          <w:rFonts w:asciiTheme="minorHAnsi" w:eastAsiaTheme="minorEastAsia" w:hAnsiTheme="minorHAnsi" w:cstheme="minorBidi"/>
          <w:noProof/>
          <w:sz w:val="22"/>
          <w:szCs w:val="22"/>
          <w:lang w:eastAsia="zh-CN"/>
        </w:rPr>
      </w:pPr>
      <w:hyperlink w:anchor="_Toc459076611" w:history="1">
        <w:r w:rsidRPr="009137BE">
          <w:rPr>
            <w:rStyle w:val="Hyperlink"/>
            <w:noProof/>
          </w:rPr>
          <w:t>A.2 Publications During Ph.D. Study</w:t>
        </w:r>
        <w:r>
          <w:rPr>
            <w:noProof/>
            <w:webHidden/>
          </w:rPr>
          <w:tab/>
        </w:r>
        <w:r>
          <w:rPr>
            <w:noProof/>
            <w:webHidden/>
          </w:rPr>
          <w:fldChar w:fldCharType="begin"/>
        </w:r>
        <w:r>
          <w:rPr>
            <w:noProof/>
            <w:webHidden/>
          </w:rPr>
          <w:instrText xml:space="preserve"> PAGEREF _Toc459076611 \h </w:instrText>
        </w:r>
        <w:r>
          <w:rPr>
            <w:noProof/>
            <w:webHidden/>
          </w:rPr>
        </w:r>
        <w:r>
          <w:rPr>
            <w:noProof/>
            <w:webHidden/>
          </w:rPr>
          <w:fldChar w:fldCharType="separate"/>
        </w:r>
        <w:r>
          <w:rPr>
            <w:noProof/>
            <w:webHidden/>
          </w:rPr>
          <w:t>126</w:t>
        </w:r>
        <w:r>
          <w:rPr>
            <w:noProof/>
            <w:webHidden/>
          </w:rPr>
          <w:fldChar w:fldCharType="end"/>
        </w:r>
      </w:hyperlink>
    </w:p>
    <w:p w14:paraId="2D30929C" w14:textId="77777777" w:rsidR="00BE6EF0" w:rsidRDefault="00BE6EF0">
      <w:pPr>
        <w:pStyle w:val="TOC1"/>
        <w:rPr>
          <w:rFonts w:asciiTheme="minorHAnsi" w:eastAsiaTheme="minorEastAsia" w:hAnsiTheme="minorHAnsi" w:cstheme="minorBidi"/>
          <w:noProof/>
          <w:sz w:val="22"/>
          <w:szCs w:val="22"/>
          <w:lang w:eastAsia="zh-CN"/>
        </w:rPr>
      </w:pPr>
      <w:hyperlink w:anchor="_Toc459076612" w:history="1">
        <w:r w:rsidRPr="009137BE">
          <w:rPr>
            <w:rStyle w:val="Hyperlink"/>
            <w:noProof/>
          </w:rPr>
          <w:t>LIST OF REFERENCES</w:t>
        </w:r>
        <w:r>
          <w:rPr>
            <w:noProof/>
            <w:webHidden/>
          </w:rPr>
          <w:tab/>
        </w:r>
        <w:r>
          <w:rPr>
            <w:noProof/>
            <w:webHidden/>
          </w:rPr>
          <w:fldChar w:fldCharType="begin"/>
        </w:r>
        <w:r>
          <w:rPr>
            <w:noProof/>
            <w:webHidden/>
          </w:rPr>
          <w:instrText xml:space="preserve"> PAGEREF _Toc459076612 \h </w:instrText>
        </w:r>
        <w:r>
          <w:rPr>
            <w:noProof/>
            <w:webHidden/>
          </w:rPr>
        </w:r>
        <w:r>
          <w:rPr>
            <w:noProof/>
            <w:webHidden/>
          </w:rPr>
          <w:fldChar w:fldCharType="separate"/>
        </w:r>
        <w:r>
          <w:rPr>
            <w:noProof/>
            <w:webHidden/>
          </w:rPr>
          <w:t>128</w:t>
        </w:r>
        <w:r>
          <w:rPr>
            <w:noProof/>
            <w:webHidden/>
          </w:rPr>
          <w:fldChar w:fldCharType="end"/>
        </w:r>
      </w:hyperlink>
    </w:p>
    <w:p w14:paraId="3B752EDB" w14:textId="77777777" w:rsidR="00BE6EF0" w:rsidRDefault="00BE6EF0">
      <w:pPr>
        <w:pStyle w:val="TOC1"/>
        <w:rPr>
          <w:rFonts w:asciiTheme="minorHAnsi" w:eastAsiaTheme="minorEastAsia" w:hAnsiTheme="minorHAnsi" w:cstheme="minorBidi"/>
          <w:noProof/>
          <w:sz w:val="22"/>
          <w:szCs w:val="22"/>
          <w:lang w:eastAsia="zh-CN"/>
        </w:rPr>
      </w:pPr>
      <w:hyperlink w:anchor="_Toc459076613" w:history="1">
        <w:r w:rsidRPr="009137BE">
          <w:rPr>
            <w:rStyle w:val="Hyperlink"/>
            <w:noProof/>
          </w:rPr>
          <w:t>VITA</w:t>
        </w:r>
        <w:r>
          <w:rPr>
            <w:noProof/>
            <w:webHidden/>
          </w:rPr>
          <w:tab/>
        </w:r>
        <w:r>
          <w:rPr>
            <w:noProof/>
            <w:webHidden/>
          </w:rPr>
          <w:fldChar w:fldCharType="begin"/>
        </w:r>
        <w:r>
          <w:rPr>
            <w:noProof/>
            <w:webHidden/>
          </w:rPr>
          <w:instrText xml:space="preserve"> PAGEREF _Toc459076613 \h </w:instrText>
        </w:r>
        <w:r>
          <w:rPr>
            <w:noProof/>
            <w:webHidden/>
          </w:rPr>
        </w:r>
        <w:r>
          <w:rPr>
            <w:noProof/>
            <w:webHidden/>
          </w:rPr>
          <w:fldChar w:fldCharType="separate"/>
        </w:r>
        <w:r>
          <w:rPr>
            <w:noProof/>
            <w:webHidden/>
          </w:rPr>
          <w:t>135</w:t>
        </w:r>
        <w:r>
          <w:rPr>
            <w:noProof/>
            <w:webHidden/>
          </w:rPr>
          <w:fldChar w:fldCharType="end"/>
        </w:r>
      </w:hyperlink>
    </w:p>
    <w:p w14:paraId="61235FD4" w14:textId="77777777" w:rsidR="00384353" w:rsidRDefault="00236E6D" w:rsidP="008B73B1">
      <w:pPr>
        <w:numPr>
          <w:ilvl w:val="12"/>
          <w:numId w:val="0"/>
        </w:numPr>
        <w:tabs>
          <w:tab w:val="right" w:leader="dot" w:pos="8370"/>
        </w:tabs>
        <w:jc w:val="center"/>
      </w:pPr>
      <w:r w:rsidRPr="00F920F6">
        <w:fldChar w:fldCharType="end"/>
      </w:r>
    </w:p>
    <w:p w14:paraId="252026F4" w14:textId="77777777" w:rsidR="00236E6D" w:rsidRPr="00D77FB0" w:rsidRDefault="009C755C">
      <w:pPr>
        <w:numPr>
          <w:ilvl w:val="12"/>
          <w:numId w:val="0"/>
        </w:numPr>
        <w:jc w:val="center"/>
        <w:rPr>
          <w:b/>
          <w:sz w:val="28"/>
          <w:szCs w:val="28"/>
        </w:rPr>
      </w:pPr>
      <w:r w:rsidRPr="00F920F6">
        <w:rPr>
          <w:b/>
          <w:bCs/>
          <w:sz w:val="28"/>
          <w:szCs w:val="28"/>
        </w:rPr>
        <w:br w:type="page"/>
      </w:r>
      <w:r w:rsidR="00D067C3" w:rsidRPr="00D77FB0">
        <w:rPr>
          <w:b/>
          <w:bCs/>
          <w:sz w:val="28"/>
          <w:szCs w:val="28"/>
        </w:rPr>
        <w:lastRenderedPageBreak/>
        <w:t>L</w:t>
      </w:r>
      <w:r w:rsidR="000842FB">
        <w:rPr>
          <w:b/>
          <w:bCs/>
          <w:sz w:val="28"/>
          <w:szCs w:val="28"/>
        </w:rPr>
        <w:t>IST OF TABLES</w:t>
      </w:r>
    </w:p>
    <w:p w14:paraId="5D83176F" w14:textId="77777777" w:rsidR="00236E6D" w:rsidRPr="00F920F6" w:rsidRDefault="00236E6D">
      <w:pPr>
        <w:numPr>
          <w:ilvl w:val="12"/>
          <w:numId w:val="0"/>
        </w:numPr>
        <w:jc w:val="center"/>
      </w:pPr>
    </w:p>
    <w:p w14:paraId="29108131" w14:textId="77777777" w:rsidR="00EE13D2" w:rsidRDefault="00CC759C">
      <w:pPr>
        <w:pStyle w:val="TableofFigures"/>
        <w:tabs>
          <w:tab w:val="right" w:leader="dot" w:pos="8630"/>
        </w:tabs>
        <w:rPr>
          <w:rFonts w:asciiTheme="minorHAnsi" w:eastAsiaTheme="minorEastAsia" w:hAnsiTheme="minorHAnsi" w:cstheme="minorBidi"/>
          <w:noProof/>
          <w:sz w:val="22"/>
          <w:szCs w:val="22"/>
          <w:lang w:eastAsia="zh-CN"/>
        </w:rPr>
      </w:pPr>
      <w:r>
        <w:fldChar w:fldCharType="begin"/>
      </w:r>
      <w:r>
        <w:instrText xml:space="preserve"> TOC \h \z \c "Table" </w:instrText>
      </w:r>
      <w:r>
        <w:fldChar w:fldCharType="separate"/>
      </w:r>
      <w:hyperlink w:anchor="_Toc459076658" w:history="1">
        <w:r w:rsidR="00EE13D2" w:rsidRPr="005D47F3">
          <w:rPr>
            <w:rStyle w:val="Hyperlink"/>
            <w:noProof/>
          </w:rPr>
          <w:t>Table 1: Comparison of Predicted Voltage Magnitude</w:t>
        </w:r>
        <w:r w:rsidR="00EE13D2">
          <w:rPr>
            <w:noProof/>
            <w:webHidden/>
          </w:rPr>
          <w:tab/>
        </w:r>
        <w:r w:rsidR="00EE13D2">
          <w:rPr>
            <w:noProof/>
            <w:webHidden/>
          </w:rPr>
          <w:fldChar w:fldCharType="begin"/>
        </w:r>
        <w:r w:rsidR="00EE13D2">
          <w:rPr>
            <w:noProof/>
            <w:webHidden/>
          </w:rPr>
          <w:instrText xml:space="preserve"> PAGEREF _Toc459076658 \h </w:instrText>
        </w:r>
        <w:r w:rsidR="00EE13D2">
          <w:rPr>
            <w:noProof/>
            <w:webHidden/>
          </w:rPr>
        </w:r>
        <w:r w:rsidR="00EE13D2">
          <w:rPr>
            <w:noProof/>
            <w:webHidden/>
          </w:rPr>
          <w:fldChar w:fldCharType="separate"/>
        </w:r>
        <w:r w:rsidR="00EE13D2">
          <w:rPr>
            <w:noProof/>
            <w:webHidden/>
          </w:rPr>
          <w:t>46</w:t>
        </w:r>
        <w:r w:rsidR="00EE13D2">
          <w:rPr>
            <w:noProof/>
            <w:webHidden/>
          </w:rPr>
          <w:fldChar w:fldCharType="end"/>
        </w:r>
      </w:hyperlink>
    </w:p>
    <w:p w14:paraId="79390173"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59" w:history="1">
        <w:r w:rsidRPr="005D47F3">
          <w:rPr>
            <w:rStyle w:val="Hyperlink"/>
            <w:noProof/>
          </w:rPr>
          <w:t>Table 2: Comparison of Predicted Voltage Angles</w:t>
        </w:r>
        <w:r>
          <w:rPr>
            <w:noProof/>
            <w:webHidden/>
          </w:rPr>
          <w:tab/>
        </w:r>
        <w:r>
          <w:rPr>
            <w:noProof/>
            <w:webHidden/>
          </w:rPr>
          <w:fldChar w:fldCharType="begin"/>
        </w:r>
        <w:r>
          <w:rPr>
            <w:noProof/>
            <w:webHidden/>
          </w:rPr>
          <w:instrText xml:space="preserve"> PAGEREF _Toc459076659 \h </w:instrText>
        </w:r>
        <w:r>
          <w:rPr>
            <w:noProof/>
            <w:webHidden/>
          </w:rPr>
        </w:r>
        <w:r>
          <w:rPr>
            <w:noProof/>
            <w:webHidden/>
          </w:rPr>
          <w:fldChar w:fldCharType="separate"/>
        </w:r>
        <w:r>
          <w:rPr>
            <w:noProof/>
            <w:webHidden/>
          </w:rPr>
          <w:t>46</w:t>
        </w:r>
        <w:r>
          <w:rPr>
            <w:noProof/>
            <w:webHidden/>
          </w:rPr>
          <w:fldChar w:fldCharType="end"/>
        </w:r>
      </w:hyperlink>
    </w:p>
    <w:p w14:paraId="1AF99204"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0" w:history="1">
        <w:r w:rsidRPr="005D47F3">
          <w:rPr>
            <w:rStyle w:val="Hyperlink"/>
            <w:noProof/>
          </w:rPr>
          <w:t>Table 3: Predicted Voltage for Line 5-6 Outage</w:t>
        </w:r>
        <w:r>
          <w:rPr>
            <w:noProof/>
            <w:webHidden/>
          </w:rPr>
          <w:tab/>
        </w:r>
        <w:r>
          <w:rPr>
            <w:noProof/>
            <w:webHidden/>
          </w:rPr>
          <w:fldChar w:fldCharType="begin"/>
        </w:r>
        <w:r>
          <w:rPr>
            <w:noProof/>
            <w:webHidden/>
          </w:rPr>
          <w:instrText xml:space="preserve"> PAGEREF _Toc459076660 \h </w:instrText>
        </w:r>
        <w:r>
          <w:rPr>
            <w:noProof/>
            <w:webHidden/>
          </w:rPr>
        </w:r>
        <w:r>
          <w:rPr>
            <w:noProof/>
            <w:webHidden/>
          </w:rPr>
          <w:fldChar w:fldCharType="separate"/>
        </w:r>
        <w:r>
          <w:rPr>
            <w:noProof/>
            <w:webHidden/>
          </w:rPr>
          <w:t>48</w:t>
        </w:r>
        <w:r>
          <w:rPr>
            <w:noProof/>
            <w:webHidden/>
          </w:rPr>
          <w:fldChar w:fldCharType="end"/>
        </w:r>
      </w:hyperlink>
    </w:p>
    <w:p w14:paraId="73635308"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1" w:history="1">
        <w:r w:rsidRPr="005D47F3">
          <w:rPr>
            <w:rStyle w:val="Hyperlink"/>
            <w:noProof/>
          </w:rPr>
          <w:t>Table 4: Comparison of Predicted Var Generation</w:t>
        </w:r>
        <w:r>
          <w:rPr>
            <w:noProof/>
            <w:webHidden/>
          </w:rPr>
          <w:tab/>
        </w:r>
        <w:r>
          <w:rPr>
            <w:noProof/>
            <w:webHidden/>
          </w:rPr>
          <w:fldChar w:fldCharType="begin"/>
        </w:r>
        <w:r>
          <w:rPr>
            <w:noProof/>
            <w:webHidden/>
          </w:rPr>
          <w:instrText xml:space="preserve"> PAGEREF _Toc459076661 \h </w:instrText>
        </w:r>
        <w:r>
          <w:rPr>
            <w:noProof/>
            <w:webHidden/>
          </w:rPr>
        </w:r>
        <w:r>
          <w:rPr>
            <w:noProof/>
            <w:webHidden/>
          </w:rPr>
          <w:fldChar w:fldCharType="separate"/>
        </w:r>
        <w:r>
          <w:rPr>
            <w:noProof/>
            <w:webHidden/>
          </w:rPr>
          <w:t>50</w:t>
        </w:r>
        <w:r>
          <w:rPr>
            <w:noProof/>
            <w:webHidden/>
          </w:rPr>
          <w:fldChar w:fldCharType="end"/>
        </w:r>
      </w:hyperlink>
    </w:p>
    <w:p w14:paraId="447540DC"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2" w:history="1">
        <w:r w:rsidRPr="005D47F3">
          <w:rPr>
            <w:rStyle w:val="Hyperlink"/>
            <w:noProof/>
          </w:rPr>
          <w:t>Table 5: Comparison of Predicted Reactive Line Flow</w:t>
        </w:r>
        <w:r>
          <w:rPr>
            <w:noProof/>
            <w:webHidden/>
          </w:rPr>
          <w:tab/>
        </w:r>
        <w:r>
          <w:rPr>
            <w:noProof/>
            <w:webHidden/>
          </w:rPr>
          <w:fldChar w:fldCharType="begin"/>
        </w:r>
        <w:r>
          <w:rPr>
            <w:noProof/>
            <w:webHidden/>
          </w:rPr>
          <w:instrText xml:space="preserve"> PAGEREF _Toc459076662 \h </w:instrText>
        </w:r>
        <w:r>
          <w:rPr>
            <w:noProof/>
            <w:webHidden/>
          </w:rPr>
        </w:r>
        <w:r>
          <w:rPr>
            <w:noProof/>
            <w:webHidden/>
          </w:rPr>
          <w:fldChar w:fldCharType="separate"/>
        </w:r>
        <w:r>
          <w:rPr>
            <w:noProof/>
            <w:webHidden/>
          </w:rPr>
          <w:t>50</w:t>
        </w:r>
        <w:r>
          <w:rPr>
            <w:noProof/>
            <w:webHidden/>
          </w:rPr>
          <w:fldChar w:fldCharType="end"/>
        </w:r>
      </w:hyperlink>
    </w:p>
    <w:p w14:paraId="61460193"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3" w:history="1">
        <w:r w:rsidRPr="005D47F3">
          <w:rPr>
            <w:rStyle w:val="Hyperlink"/>
            <w:noProof/>
          </w:rPr>
          <w:t>Table 6: Average Errors of Stability Margins</w:t>
        </w:r>
        <w:r>
          <w:rPr>
            <w:noProof/>
            <w:webHidden/>
          </w:rPr>
          <w:tab/>
        </w:r>
        <w:r>
          <w:rPr>
            <w:noProof/>
            <w:webHidden/>
          </w:rPr>
          <w:fldChar w:fldCharType="begin"/>
        </w:r>
        <w:r>
          <w:rPr>
            <w:noProof/>
            <w:webHidden/>
          </w:rPr>
          <w:instrText xml:space="preserve"> PAGEREF _Toc459076663 \h </w:instrText>
        </w:r>
        <w:r>
          <w:rPr>
            <w:noProof/>
            <w:webHidden/>
          </w:rPr>
        </w:r>
        <w:r>
          <w:rPr>
            <w:noProof/>
            <w:webHidden/>
          </w:rPr>
          <w:fldChar w:fldCharType="separate"/>
        </w:r>
        <w:r>
          <w:rPr>
            <w:noProof/>
            <w:webHidden/>
          </w:rPr>
          <w:t>54</w:t>
        </w:r>
        <w:r>
          <w:rPr>
            <w:noProof/>
            <w:webHidden/>
          </w:rPr>
          <w:fldChar w:fldCharType="end"/>
        </w:r>
      </w:hyperlink>
    </w:p>
    <w:p w14:paraId="55B75372"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4" w:history="1">
        <w:r w:rsidRPr="005D47F3">
          <w:rPr>
            <w:rStyle w:val="Hyperlink"/>
            <w:noProof/>
          </w:rPr>
          <w:t>Table 7: Loading Margins of Insecure Buses</w:t>
        </w:r>
        <w:r>
          <w:rPr>
            <w:noProof/>
            <w:webHidden/>
          </w:rPr>
          <w:tab/>
        </w:r>
        <w:r>
          <w:rPr>
            <w:noProof/>
            <w:webHidden/>
          </w:rPr>
          <w:fldChar w:fldCharType="begin"/>
        </w:r>
        <w:r>
          <w:rPr>
            <w:noProof/>
            <w:webHidden/>
          </w:rPr>
          <w:instrText xml:space="preserve"> PAGEREF _Toc459076664 \h </w:instrText>
        </w:r>
        <w:r>
          <w:rPr>
            <w:noProof/>
            <w:webHidden/>
          </w:rPr>
        </w:r>
        <w:r>
          <w:rPr>
            <w:noProof/>
            <w:webHidden/>
          </w:rPr>
          <w:fldChar w:fldCharType="separate"/>
        </w:r>
        <w:r>
          <w:rPr>
            <w:noProof/>
            <w:webHidden/>
          </w:rPr>
          <w:t>76</w:t>
        </w:r>
        <w:r>
          <w:rPr>
            <w:noProof/>
            <w:webHidden/>
          </w:rPr>
          <w:fldChar w:fldCharType="end"/>
        </w:r>
      </w:hyperlink>
    </w:p>
    <w:p w14:paraId="75091D98"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5" w:history="1">
        <w:r w:rsidRPr="005D47F3">
          <w:rPr>
            <w:rStyle w:val="Hyperlink"/>
            <w:noProof/>
          </w:rPr>
          <w:t>Table 8: Errors of WALMS to Reactive Power</w:t>
        </w:r>
        <w:r>
          <w:rPr>
            <w:noProof/>
            <w:webHidden/>
          </w:rPr>
          <w:tab/>
        </w:r>
        <w:r>
          <w:rPr>
            <w:noProof/>
            <w:webHidden/>
          </w:rPr>
          <w:fldChar w:fldCharType="begin"/>
        </w:r>
        <w:r>
          <w:rPr>
            <w:noProof/>
            <w:webHidden/>
          </w:rPr>
          <w:instrText xml:space="preserve"> PAGEREF _Toc459076665 \h </w:instrText>
        </w:r>
        <w:r>
          <w:rPr>
            <w:noProof/>
            <w:webHidden/>
          </w:rPr>
        </w:r>
        <w:r>
          <w:rPr>
            <w:noProof/>
            <w:webHidden/>
          </w:rPr>
          <w:fldChar w:fldCharType="separate"/>
        </w:r>
        <w:r>
          <w:rPr>
            <w:noProof/>
            <w:webHidden/>
          </w:rPr>
          <w:t>78</w:t>
        </w:r>
        <w:r>
          <w:rPr>
            <w:noProof/>
            <w:webHidden/>
          </w:rPr>
          <w:fldChar w:fldCharType="end"/>
        </w:r>
      </w:hyperlink>
    </w:p>
    <w:p w14:paraId="79C1409C"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6" w:history="1">
        <w:r w:rsidRPr="005D47F3">
          <w:rPr>
            <w:rStyle w:val="Hyperlink"/>
            <w:noProof/>
          </w:rPr>
          <w:t>Table 9: Errors of WALMS to Real Power</w:t>
        </w:r>
        <w:r>
          <w:rPr>
            <w:noProof/>
            <w:webHidden/>
          </w:rPr>
          <w:tab/>
        </w:r>
        <w:r>
          <w:rPr>
            <w:noProof/>
            <w:webHidden/>
          </w:rPr>
          <w:fldChar w:fldCharType="begin"/>
        </w:r>
        <w:r>
          <w:rPr>
            <w:noProof/>
            <w:webHidden/>
          </w:rPr>
          <w:instrText xml:space="preserve"> PAGEREF _Toc459076666 \h </w:instrText>
        </w:r>
        <w:r>
          <w:rPr>
            <w:noProof/>
            <w:webHidden/>
          </w:rPr>
        </w:r>
        <w:r>
          <w:rPr>
            <w:noProof/>
            <w:webHidden/>
          </w:rPr>
          <w:fldChar w:fldCharType="separate"/>
        </w:r>
        <w:r>
          <w:rPr>
            <w:noProof/>
            <w:webHidden/>
          </w:rPr>
          <w:t>80</w:t>
        </w:r>
        <w:r>
          <w:rPr>
            <w:noProof/>
            <w:webHidden/>
          </w:rPr>
          <w:fldChar w:fldCharType="end"/>
        </w:r>
      </w:hyperlink>
    </w:p>
    <w:p w14:paraId="05D88C33"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7" w:history="1">
        <w:r w:rsidRPr="005D47F3">
          <w:rPr>
            <w:rStyle w:val="Hyperlink"/>
            <w:noProof/>
          </w:rPr>
          <w:t>Table 10: Errors of WALMS to Generator Terminal Voltage</w:t>
        </w:r>
        <w:r>
          <w:rPr>
            <w:noProof/>
            <w:webHidden/>
          </w:rPr>
          <w:tab/>
        </w:r>
        <w:r>
          <w:rPr>
            <w:noProof/>
            <w:webHidden/>
          </w:rPr>
          <w:fldChar w:fldCharType="begin"/>
        </w:r>
        <w:r>
          <w:rPr>
            <w:noProof/>
            <w:webHidden/>
          </w:rPr>
          <w:instrText xml:space="preserve"> PAGEREF _Toc459076667 \h </w:instrText>
        </w:r>
        <w:r>
          <w:rPr>
            <w:noProof/>
            <w:webHidden/>
          </w:rPr>
        </w:r>
        <w:r>
          <w:rPr>
            <w:noProof/>
            <w:webHidden/>
          </w:rPr>
          <w:fldChar w:fldCharType="separate"/>
        </w:r>
        <w:r>
          <w:rPr>
            <w:noProof/>
            <w:webHidden/>
          </w:rPr>
          <w:t>82</w:t>
        </w:r>
        <w:r>
          <w:rPr>
            <w:noProof/>
            <w:webHidden/>
          </w:rPr>
          <w:fldChar w:fldCharType="end"/>
        </w:r>
      </w:hyperlink>
    </w:p>
    <w:p w14:paraId="5F8726D0"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8" w:history="1">
        <w:r w:rsidRPr="005D47F3">
          <w:rPr>
            <w:rStyle w:val="Hyperlink"/>
            <w:noProof/>
          </w:rPr>
          <w:t>Table 11: Candidate Control Actions</w:t>
        </w:r>
        <w:r>
          <w:rPr>
            <w:noProof/>
            <w:webHidden/>
          </w:rPr>
          <w:tab/>
        </w:r>
        <w:r>
          <w:rPr>
            <w:noProof/>
            <w:webHidden/>
          </w:rPr>
          <w:fldChar w:fldCharType="begin"/>
        </w:r>
        <w:r>
          <w:rPr>
            <w:noProof/>
            <w:webHidden/>
          </w:rPr>
          <w:instrText xml:space="preserve"> PAGEREF _Toc459076668 \h </w:instrText>
        </w:r>
        <w:r>
          <w:rPr>
            <w:noProof/>
            <w:webHidden/>
          </w:rPr>
        </w:r>
        <w:r>
          <w:rPr>
            <w:noProof/>
            <w:webHidden/>
          </w:rPr>
          <w:fldChar w:fldCharType="separate"/>
        </w:r>
        <w:r>
          <w:rPr>
            <w:noProof/>
            <w:webHidden/>
          </w:rPr>
          <w:t>83</w:t>
        </w:r>
        <w:r>
          <w:rPr>
            <w:noProof/>
            <w:webHidden/>
          </w:rPr>
          <w:fldChar w:fldCharType="end"/>
        </w:r>
      </w:hyperlink>
    </w:p>
    <w:p w14:paraId="5EE8F2CB"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69" w:history="1">
        <w:r w:rsidRPr="005D47F3">
          <w:rPr>
            <w:rStyle w:val="Hyperlink"/>
            <w:noProof/>
          </w:rPr>
          <w:t>Table 12: Decision at Each Step</w:t>
        </w:r>
        <w:r>
          <w:rPr>
            <w:noProof/>
            <w:webHidden/>
          </w:rPr>
          <w:tab/>
        </w:r>
        <w:r>
          <w:rPr>
            <w:noProof/>
            <w:webHidden/>
          </w:rPr>
          <w:fldChar w:fldCharType="begin"/>
        </w:r>
        <w:r>
          <w:rPr>
            <w:noProof/>
            <w:webHidden/>
          </w:rPr>
          <w:instrText xml:space="preserve"> PAGEREF _Toc459076669 \h </w:instrText>
        </w:r>
        <w:r>
          <w:rPr>
            <w:noProof/>
            <w:webHidden/>
          </w:rPr>
        </w:r>
        <w:r>
          <w:rPr>
            <w:noProof/>
            <w:webHidden/>
          </w:rPr>
          <w:fldChar w:fldCharType="separate"/>
        </w:r>
        <w:r>
          <w:rPr>
            <w:noProof/>
            <w:webHidden/>
          </w:rPr>
          <w:t>83</w:t>
        </w:r>
        <w:r>
          <w:rPr>
            <w:noProof/>
            <w:webHidden/>
          </w:rPr>
          <w:fldChar w:fldCharType="end"/>
        </w:r>
      </w:hyperlink>
    </w:p>
    <w:p w14:paraId="29B751E7" w14:textId="77777777" w:rsidR="00EE13D2" w:rsidRDefault="00EE13D2">
      <w:pPr>
        <w:pStyle w:val="TableofFigures"/>
        <w:tabs>
          <w:tab w:val="right" w:leader="dot" w:pos="8630"/>
        </w:tabs>
        <w:rPr>
          <w:rFonts w:asciiTheme="minorHAnsi" w:eastAsiaTheme="minorEastAsia" w:hAnsiTheme="minorHAnsi" w:cstheme="minorBidi"/>
          <w:noProof/>
          <w:sz w:val="22"/>
          <w:szCs w:val="22"/>
          <w:lang w:eastAsia="zh-CN"/>
        </w:rPr>
      </w:pPr>
      <w:hyperlink w:anchor="_Toc459076670" w:history="1">
        <w:r w:rsidRPr="005D47F3">
          <w:rPr>
            <w:rStyle w:val="Hyperlink"/>
            <w:noProof/>
          </w:rPr>
          <w:t>Table 13: Average Absolute Errors of WALMS in IEEE Test Systems</w:t>
        </w:r>
        <w:r>
          <w:rPr>
            <w:noProof/>
            <w:webHidden/>
          </w:rPr>
          <w:tab/>
        </w:r>
        <w:r>
          <w:rPr>
            <w:noProof/>
            <w:webHidden/>
          </w:rPr>
          <w:fldChar w:fldCharType="begin"/>
        </w:r>
        <w:r>
          <w:rPr>
            <w:noProof/>
            <w:webHidden/>
          </w:rPr>
          <w:instrText xml:space="preserve"> PAGEREF _Toc459076670 \h </w:instrText>
        </w:r>
        <w:r>
          <w:rPr>
            <w:noProof/>
            <w:webHidden/>
          </w:rPr>
        </w:r>
        <w:r>
          <w:rPr>
            <w:noProof/>
            <w:webHidden/>
          </w:rPr>
          <w:fldChar w:fldCharType="separate"/>
        </w:r>
        <w:r>
          <w:rPr>
            <w:noProof/>
            <w:webHidden/>
          </w:rPr>
          <w:t>85</w:t>
        </w:r>
        <w:r>
          <w:rPr>
            <w:noProof/>
            <w:webHidden/>
          </w:rPr>
          <w:fldChar w:fldCharType="end"/>
        </w:r>
      </w:hyperlink>
    </w:p>
    <w:p w14:paraId="4C86E4EB" w14:textId="77777777" w:rsidR="00236E6D" w:rsidRPr="00F920F6" w:rsidRDefault="00CC759C" w:rsidP="00221B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b/>
          <w:bCs/>
          <w:sz w:val="28"/>
          <w:szCs w:val="28"/>
        </w:rPr>
      </w:pPr>
      <w:r>
        <w:fldChar w:fldCharType="end"/>
      </w:r>
    </w:p>
    <w:p w14:paraId="6E08E1E9" w14:textId="77777777" w:rsidR="00236E6D" w:rsidRPr="00D77FB0" w:rsidRDefault="00236E6D">
      <w:pPr>
        <w:numPr>
          <w:ilvl w:val="12"/>
          <w:numId w:val="0"/>
        </w:numPr>
        <w:jc w:val="center"/>
        <w:rPr>
          <w:b/>
          <w:sz w:val="28"/>
          <w:szCs w:val="28"/>
        </w:rPr>
      </w:pPr>
      <w:r w:rsidRPr="00F920F6">
        <w:rPr>
          <w:sz w:val="28"/>
          <w:szCs w:val="28"/>
        </w:rPr>
        <w:br w:type="page"/>
      </w:r>
      <w:r w:rsidR="00D067C3" w:rsidRPr="00D77FB0">
        <w:rPr>
          <w:b/>
          <w:bCs/>
          <w:sz w:val="28"/>
          <w:szCs w:val="28"/>
        </w:rPr>
        <w:lastRenderedPageBreak/>
        <w:t>L</w:t>
      </w:r>
      <w:r w:rsidR="000842FB">
        <w:rPr>
          <w:b/>
          <w:bCs/>
          <w:sz w:val="28"/>
          <w:szCs w:val="28"/>
        </w:rPr>
        <w:t>IST OF FIGURES</w:t>
      </w:r>
    </w:p>
    <w:p w14:paraId="65CF9FFA" w14:textId="77777777" w:rsidR="00236E6D" w:rsidRPr="00F920F6" w:rsidRDefault="00236E6D">
      <w:pPr>
        <w:numPr>
          <w:ilvl w:val="12"/>
          <w:numId w:val="0"/>
        </w:numPr>
      </w:pPr>
    </w:p>
    <w:p w14:paraId="6AE1C370" w14:textId="77777777" w:rsidR="00305180" w:rsidRDefault="00E60BA1">
      <w:pPr>
        <w:pStyle w:val="TableofFigures"/>
        <w:tabs>
          <w:tab w:val="right" w:leader="dot" w:pos="8630"/>
        </w:tabs>
        <w:rPr>
          <w:rFonts w:asciiTheme="minorHAnsi" w:eastAsiaTheme="minorEastAsia" w:hAnsiTheme="minorHAnsi" w:cstheme="minorBidi"/>
          <w:noProof/>
          <w:sz w:val="22"/>
          <w:szCs w:val="22"/>
          <w:lang w:eastAsia="zh-CN"/>
        </w:rPr>
      </w:pPr>
      <w:r>
        <w:fldChar w:fldCharType="begin"/>
      </w:r>
      <w:r>
        <w:instrText xml:space="preserve"> TOC \h \z \c "Figure" </w:instrText>
      </w:r>
      <w:r>
        <w:fldChar w:fldCharType="separate"/>
      </w:r>
      <w:hyperlink w:anchor="_Toc459076452" w:history="1">
        <w:r w:rsidR="00305180" w:rsidRPr="0048645E">
          <w:rPr>
            <w:rStyle w:val="Hyperlink"/>
            <w:noProof/>
          </w:rPr>
          <w:t>Figure 1. Framework of wide-area measurement-based VSA.</w:t>
        </w:r>
        <w:r w:rsidR="00305180">
          <w:rPr>
            <w:noProof/>
            <w:webHidden/>
          </w:rPr>
          <w:tab/>
        </w:r>
        <w:r w:rsidR="00305180">
          <w:rPr>
            <w:noProof/>
            <w:webHidden/>
          </w:rPr>
          <w:fldChar w:fldCharType="begin"/>
        </w:r>
        <w:r w:rsidR="00305180">
          <w:rPr>
            <w:noProof/>
            <w:webHidden/>
          </w:rPr>
          <w:instrText xml:space="preserve"> PAGEREF _Toc459076452 \h </w:instrText>
        </w:r>
        <w:r w:rsidR="00305180">
          <w:rPr>
            <w:noProof/>
            <w:webHidden/>
          </w:rPr>
        </w:r>
        <w:r w:rsidR="00305180">
          <w:rPr>
            <w:noProof/>
            <w:webHidden/>
          </w:rPr>
          <w:fldChar w:fldCharType="separate"/>
        </w:r>
        <w:r w:rsidR="00305180">
          <w:rPr>
            <w:noProof/>
            <w:webHidden/>
          </w:rPr>
          <w:t>8</w:t>
        </w:r>
        <w:r w:rsidR="00305180">
          <w:rPr>
            <w:noProof/>
            <w:webHidden/>
          </w:rPr>
          <w:fldChar w:fldCharType="end"/>
        </w:r>
      </w:hyperlink>
    </w:p>
    <w:p w14:paraId="72138B22"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3" w:history="1">
        <w:r w:rsidRPr="0048645E">
          <w:rPr>
            <w:rStyle w:val="Hyperlink"/>
            <w:noProof/>
          </w:rPr>
          <w:t>Figure 2. Simple 2-bus electric system.</w:t>
        </w:r>
        <w:r>
          <w:rPr>
            <w:noProof/>
            <w:webHidden/>
          </w:rPr>
          <w:tab/>
        </w:r>
        <w:r>
          <w:rPr>
            <w:noProof/>
            <w:webHidden/>
          </w:rPr>
          <w:fldChar w:fldCharType="begin"/>
        </w:r>
        <w:r>
          <w:rPr>
            <w:noProof/>
            <w:webHidden/>
          </w:rPr>
          <w:instrText xml:space="preserve"> PAGEREF _Toc459076453 \h </w:instrText>
        </w:r>
        <w:r>
          <w:rPr>
            <w:noProof/>
            <w:webHidden/>
          </w:rPr>
        </w:r>
        <w:r>
          <w:rPr>
            <w:noProof/>
            <w:webHidden/>
          </w:rPr>
          <w:fldChar w:fldCharType="separate"/>
        </w:r>
        <w:r>
          <w:rPr>
            <w:noProof/>
            <w:webHidden/>
          </w:rPr>
          <w:t>14</w:t>
        </w:r>
        <w:r>
          <w:rPr>
            <w:noProof/>
            <w:webHidden/>
          </w:rPr>
          <w:fldChar w:fldCharType="end"/>
        </w:r>
      </w:hyperlink>
    </w:p>
    <w:p w14:paraId="72CD8378"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4" w:history="1">
        <w:r w:rsidRPr="0048645E">
          <w:rPr>
            <w:rStyle w:val="Hyperlink"/>
            <w:noProof/>
          </w:rPr>
          <w:t>Figure 3. Voltages of selected buses of Scenario 1.</w:t>
        </w:r>
        <w:r>
          <w:rPr>
            <w:noProof/>
            <w:webHidden/>
          </w:rPr>
          <w:tab/>
        </w:r>
        <w:r>
          <w:rPr>
            <w:noProof/>
            <w:webHidden/>
          </w:rPr>
          <w:fldChar w:fldCharType="begin"/>
        </w:r>
        <w:r>
          <w:rPr>
            <w:noProof/>
            <w:webHidden/>
          </w:rPr>
          <w:instrText xml:space="preserve"> PAGEREF _Toc459076454 \h </w:instrText>
        </w:r>
        <w:r>
          <w:rPr>
            <w:noProof/>
            <w:webHidden/>
          </w:rPr>
        </w:r>
        <w:r>
          <w:rPr>
            <w:noProof/>
            <w:webHidden/>
          </w:rPr>
          <w:fldChar w:fldCharType="separate"/>
        </w:r>
        <w:r>
          <w:rPr>
            <w:noProof/>
            <w:webHidden/>
          </w:rPr>
          <w:t>24</w:t>
        </w:r>
        <w:r>
          <w:rPr>
            <w:noProof/>
            <w:webHidden/>
          </w:rPr>
          <w:fldChar w:fldCharType="end"/>
        </w:r>
      </w:hyperlink>
    </w:p>
    <w:p w14:paraId="513996F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5" w:history="1">
        <w:r w:rsidRPr="0048645E">
          <w:rPr>
            <w:rStyle w:val="Hyperlink"/>
            <w:noProof/>
          </w:rPr>
          <w:t>Figure 4. Voltages of selected buses of Scenario 2.</w:t>
        </w:r>
        <w:r>
          <w:rPr>
            <w:noProof/>
            <w:webHidden/>
          </w:rPr>
          <w:tab/>
        </w:r>
        <w:r>
          <w:rPr>
            <w:noProof/>
            <w:webHidden/>
          </w:rPr>
          <w:fldChar w:fldCharType="begin"/>
        </w:r>
        <w:r>
          <w:rPr>
            <w:noProof/>
            <w:webHidden/>
          </w:rPr>
          <w:instrText xml:space="preserve"> PAGEREF _Toc459076455 \h </w:instrText>
        </w:r>
        <w:r>
          <w:rPr>
            <w:noProof/>
            <w:webHidden/>
          </w:rPr>
        </w:r>
        <w:r>
          <w:rPr>
            <w:noProof/>
            <w:webHidden/>
          </w:rPr>
          <w:fldChar w:fldCharType="separate"/>
        </w:r>
        <w:r>
          <w:rPr>
            <w:noProof/>
            <w:webHidden/>
          </w:rPr>
          <w:t>24</w:t>
        </w:r>
        <w:r>
          <w:rPr>
            <w:noProof/>
            <w:webHidden/>
          </w:rPr>
          <w:fldChar w:fldCharType="end"/>
        </w:r>
      </w:hyperlink>
    </w:p>
    <w:p w14:paraId="2962669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6" w:history="1">
        <w:r w:rsidRPr="0048645E">
          <w:rPr>
            <w:rStyle w:val="Hyperlink"/>
            <w:bCs/>
            <w:noProof/>
          </w:rPr>
          <w:t>Figure 5. Thevenin impedance of LS method for Scenario 1.</w:t>
        </w:r>
        <w:r>
          <w:rPr>
            <w:noProof/>
            <w:webHidden/>
          </w:rPr>
          <w:tab/>
        </w:r>
        <w:r>
          <w:rPr>
            <w:noProof/>
            <w:webHidden/>
          </w:rPr>
          <w:fldChar w:fldCharType="begin"/>
        </w:r>
        <w:r>
          <w:rPr>
            <w:noProof/>
            <w:webHidden/>
          </w:rPr>
          <w:instrText xml:space="preserve"> PAGEREF _Toc459076456 \h </w:instrText>
        </w:r>
        <w:r>
          <w:rPr>
            <w:noProof/>
            <w:webHidden/>
          </w:rPr>
        </w:r>
        <w:r>
          <w:rPr>
            <w:noProof/>
            <w:webHidden/>
          </w:rPr>
          <w:fldChar w:fldCharType="separate"/>
        </w:r>
        <w:r>
          <w:rPr>
            <w:noProof/>
            <w:webHidden/>
          </w:rPr>
          <w:t>26</w:t>
        </w:r>
        <w:r>
          <w:rPr>
            <w:noProof/>
            <w:webHidden/>
          </w:rPr>
          <w:fldChar w:fldCharType="end"/>
        </w:r>
      </w:hyperlink>
    </w:p>
    <w:p w14:paraId="3F0774CB"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7" w:history="1">
        <w:r w:rsidRPr="0048645E">
          <w:rPr>
            <w:rStyle w:val="Hyperlink"/>
            <w:bCs/>
            <w:noProof/>
          </w:rPr>
          <w:t>Figure 6. Thevenin impedance of TT method for Scenario 1.</w:t>
        </w:r>
        <w:r>
          <w:rPr>
            <w:noProof/>
            <w:webHidden/>
          </w:rPr>
          <w:tab/>
        </w:r>
        <w:r>
          <w:rPr>
            <w:noProof/>
            <w:webHidden/>
          </w:rPr>
          <w:fldChar w:fldCharType="begin"/>
        </w:r>
        <w:r>
          <w:rPr>
            <w:noProof/>
            <w:webHidden/>
          </w:rPr>
          <w:instrText xml:space="preserve"> PAGEREF _Toc459076457 \h </w:instrText>
        </w:r>
        <w:r>
          <w:rPr>
            <w:noProof/>
            <w:webHidden/>
          </w:rPr>
        </w:r>
        <w:r>
          <w:rPr>
            <w:noProof/>
            <w:webHidden/>
          </w:rPr>
          <w:fldChar w:fldCharType="separate"/>
        </w:r>
        <w:r>
          <w:rPr>
            <w:noProof/>
            <w:webHidden/>
          </w:rPr>
          <w:t>26</w:t>
        </w:r>
        <w:r>
          <w:rPr>
            <w:noProof/>
            <w:webHidden/>
          </w:rPr>
          <w:fldChar w:fldCharType="end"/>
        </w:r>
      </w:hyperlink>
    </w:p>
    <w:p w14:paraId="1C186ED5"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8" w:history="1">
        <w:r w:rsidRPr="0048645E">
          <w:rPr>
            <w:rStyle w:val="Hyperlink"/>
            <w:bCs/>
            <w:noProof/>
          </w:rPr>
          <w:t>Figure 7. Thevenin impedance of AD method for Scenario 1.</w:t>
        </w:r>
        <w:r>
          <w:rPr>
            <w:noProof/>
            <w:webHidden/>
          </w:rPr>
          <w:tab/>
        </w:r>
        <w:r>
          <w:rPr>
            <w:noProof/>
            <w:webHidden/>
          </w:rPr>
          <w:fldChar w:fldCharType="begin"/>
        </w:r>
        <w:r>
          <w:rPr>
            <w:noProof/>
            <w:webHidden/>
          </w:rPr>
          <w:instrText xml:space="preserve"> PAGEREF _Toc459076458 \h </w:instrText>
        </w:r>
        <w:r>
          <w:rPr>
            <w:noProof/>
            <w:webHidden/>
          </w:rPr>
        </w:r>
        <w:r>
          <w:rPr>
            <w:noProof/>
            <w:webHidden/>
          </w:rPr>
          <w:fldChar w:fldCharType="separate"/>
        </w:r>
        <w:r>
          <w:rPr>
            <w:noProof/>
            <w:webHidden/>
          </w:rPr>
          <w:t>26</w:t>
        </w:r>
        <w:r>
          <w:rPr>
            <w:noProof/>
            <w:webHidden/>
          </w:rPr>
          <w:fldChar w:fldCharType="end"/>
        </w:r>
      </w:hyperlink>
    </w:p>
    <w:p w14:paraId="7060A81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59" w:history="1">
        <w:r w:rsidRPr="0048645E">
          <w:rPr>
            <w:rStyle w:val="Hyperlink"/>
            <w:bCs/>
            <w:noProof/>
          </w:rPr>
          <w:t>Figure 8. Thevenin impedance of CP method for Scenario 1.</w:t>
        </w:r>
        <w:r>
          <w:rPr>
            <w:noProof/>
            <w:webHidden/>
          </w:rPr>
          <w:tab/>
        </w:r>
        <w:r>
          <w:rPr>
            <w:noProof/>
            <w:webHidden/>
          </w:rPr>
          <w:fldChar w:fldCharType="begin"/>
        </w:r>
        <w:r>
          <w:rPr>
            <w:noProof/>
            <w:webHidden/>
          </w:rPr>
          <w:instrText xml:space="preserve"> PAGEREF _Toc459076459 \h </w:instrText>
        </w:r>
        <w:r>
          <w:rPr>
            <w:noProof/>
            <w:webHidden/>
          </w:rPr>
        </w:r>
        <w:r>
          <w:rPr>
            <w:noProof/>
            <w:webHidden/>
          </w:rPr>
          <w:fldChar w:fldCharType="separate"/>
        </w:r>
        <w:r>
          <w:rPr>
            <w:noProof/>
            <w:webHidden/>
          </w:rPr>
          <w:t>26</w:t>
        </w:r>
        <w:r>
          <w:rPr>
            <w:noProof/>
            <w:webHidden/>
          </w:rPr>
          <w:fldChar w:fldCharType="end"/>
        </w:r>
      </w:hyperlink>
    </w:p>
    <w:p w14:paraId="471E25F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0" w:history="1">
        <w:r w:rsidRPr="0048645E">
          <w:rPr>
            <w:rStyle w:val="Hyperlink"/>
            <w:bCs/>
            <w:noProof/>
          </w:rPr>
          <w:t>Figure 9. Thevenin impedance of LS method for Scenario 2</w:t>
        </w:r>
        <w:r>
          <w:rPr>
            <w:noProof/>
            <w:webHidden/>
          </w:rPr>
          <w:tab/>
        </w:r>
        <w:r>
          <w:rPr>
            <w:noProof/>
            <w:webHidden/>
          </w:rPr>
          <w:fldChar w:fldCharType="begin"/>
        </w:r>
        <w:r>
          <w:rPr>
            <w:noProof/>
            <w:webHidden/>
          </w:rPr>
          <w:instrText xml:space="preserve"> PAGEREF _Toc459076460 \h </w:instrText>
        </w:r>
        <w:r>
          <w:rPr>
            <w:noProof/>
            <w:webHidden/>
          </w:rPr>
        </w:r>
        <w:r>
          <w:rPr>
            <w:noProof/>
            <w:webHidden/>
          </w:rPr>
          <w:fldChar w:fldCharType="separate"/>
        </w:r>
        <w:r>
          <w:rPr>
            <w:noProof/>
            <w:webHidden/>
          </w:rPr>
          <w:t>28</w:t>
        </w:r>
        <w:r>
          <w:rPr>
            <w:noProof/>
            <w:webHidden/>
          </w:rPr>
          <w:fldChar w:fldCharType="end"/>
        </w:r>
      </w:hyperlink>
    </w:p>
    <w:p w14:paraId="6AA469C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1" w:history="1">
        <w:r w:rsidRPr="0048645E">
          <w:rPr>
            <w:rStyle w:val="Hyperlink"/>
            <w:bCs/>
            <w:noProof/>
          </w:rPr>
          <w:t>Figure 10. Thevenin impedance of TT method for Scenario 2</w:t>
        </w:r>
        <w:r>
          <w:rPr>
            <w:noProof/>
            <w:webHidden/>
          </w:rPr>
          <w:tab/>
        </w:r>
        <w:r>
          <w:rPr>
            <w:noProof/>
            <w:webHidden/>
          </w:rPr>
          <w:fldChar w:fldCharType="begin"/>
        </w:r>
        <w:r>
          <w:rPr>
            <w:noProof/>
            <w:webHidden/>
          </w:rPr>
          <w:instrText xml:space="preserve"> PAGEREF _Toc459076461 \h </w:instrText>
        </w:r>
        <w:r>
          <w:rPr>
            <w:noProof/>
            <w:webHidden/>
          </w:rPr>
        </w:r>
        <w:r>
          <w:rPr>
            <w:noProof/>
            <w:webHidden/>
          </w:rPr>
          <w:fldChar w:fldCharType="separate"/>
        </w:r>
        <w:r>
          <w:rPr>
            <w:noProof/>
            <w:webHidden/>
          </w:rPr>
          <w:t>28</w:t>
        </w:r>
        <w:r>
          <w:rPr>
            <w:noProof/>
            <w:webHidden/>
          </w:rPr>
          <w:fldChar w:fldCharType="end"/>
        </w:r>
      </w:hyperlink>
    </w:p>
    <w:p w14:paraId="407B9FD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2" w:history="1">
        <w:r w:rsidRPr="0048645E">
          <w:rPr>
            <w:rStyle w:val="Hyperlink"/>
            <w:bCs/>
            <w:noProof/>
          </w:rPr>
          <w:t>Figure 11. Thevenin impedance of AD method for Scenario 2</w:t>
        </w:r>
        <w:r>
          <w:rPr>
            <w:noProof/>
            <w:webHidden/>
          </w:rPr>
          <w:tab/>
        </w:r>
        <w:r>
          <w:rPr>
            <w:noProof/>
            <w:webHidden/>
          </w:rPr>
          <w:fldChar w:fldCharType="begin"/>
        </w:r>
        <w:r>
          <w:rPr>
            <w:noProof/>
            <w:webHidden/>
          </w:rPr>
          <w:instrText xml:space="preserve"> PAGEREF _Toc459076462 \h </w:instrText>
        </w:r>
        <w:r>
          <w:rPr>
            <w:noProof/>
            <w:webHidden/>
          </w:rPr>
        </w:r>
        <w:r>
          <w:rPr>
            <w:noProof/>
            <w:webHidden/>
          </w:rPr>
          <w:fldChar w:fldCharType="separate"/>
        </w:r>
        <w:r>
          <w:rPr>
            <w:noProof/>
            <w:webHidden/>
          </w:rPr>
          <w:t>28</w:t>
        </w:r>
        <w:r>
          <w:rPr>
            <w:noProof/>
            <w:webHidden/>
          </w:rPr>
          <w:fldChar w:fldCharType="end"/>
        </w:r>
      </w:hyperlink>
    </w:p>
    <w:p w14:paraId="61B0923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3" w:history="1">
        <w:r w:rsidRPr="0048645E">
          <w:rPr>
            <w:rStyle w:val="Hyperlink"/>
            <w:bCs/>
            <w:noProof/>
          </w:rPr>
          <w:t>Figure 12. Thevenin impedance of CP method for Scenario 2</w:t>
        </w:r>
        <w:r>
          <w:rPr>
            <w:noProof/>
            <w:webHidden/>
          </w:rPr>
          <w:tab/>
        </w:r>
        <w:r>
          <w:rPr>
            <w:noProof/>
            <w:webHidden/>
          </w:rPr>
          <w:fldChar w:fldCharType="begin"/>
        </w:r>
        <w:r>
          <w:rPr>
            <w:noProof/>
            <w:webHidden/>
          </w:rPr>
          <w:instrText xml:space="preserve"> PAGEREF _Toc459076463 \h </w:instrText>
        </w:r>
        <w:r>
          <w:rPr>
            <w:noProof/>
            <w:webHidden/>
          </w:rPr>
        </w:r>
        <w:r>
          <w:rPr>
            <w:noProof/>
            <w:webHidden/>
          </w:rPr>
          <w:fldChar w:fldCharType="separate"/>
        </w:r>
        <w:r>
          <w:rPr>
            <w:noProof/>
            <w:webHidden/>
          </w:rPr>
          <w:t>28</w:t>
        </w:r>
        <w:r>
          <w:rPr>
            <w:noProof/>
            <w:webHidden/>
          </w:rPr>
          <w:fldChar w:fldCharType="end"/>
        </w:r>
      </w:hyperlink>
    </w:p>
    <w:p w14:paraId="4DE612E9"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4" w:history="1">
        <w:r w:rsidRPr="0048645E">
          <w:rPr>
            <w:rStyle w:val="Hyperlink"/>
            <w:bCs/>
            <w:noProof/>
          </w:rPr>
          <w:t>Figure 13. Thevenin impedance of TT method with ε set as 1e-4.</w:t>
        </w:r>
        <w:r>
          <w:rPr>
            <w:noProof/>
            <w:webHidden/>
          </w:rPr>
          <w:tab/>
        </w:r>
        <w:r>
          <w:rPr>
            <w:noProof/>
            <w:webHidden/>
          </w:rPr>
          <w:fldChar w:fldCharType="begin"/>
        </w:r>
        <w:r>
          <w:rPr>
            <w:noProof/>
            <w:webHidden/>
          </w:rPr>
          <w:instrText xml:space="preserve"> PAGEREF _Toc459076464 \h </w:instrText>
        </w:r>
        <w:r>
          <w:rPr>
            <w:noProof/>
            <w:webHidden/>
          </w:rPr>
        </w:r>
        <w:r>
          <w:rPr>
            <w:noProof/>
            <w:webHidden/>
          </w:rPr>
          <w:fldChar w:fldCharType="separate"/>
        </w:r>
        <w:r>
          <w:rPr>
            <w:noProof/>
            <w:webHidden/>
          </w:rPr>
          <w:t>28</w:t>
        </w:r>
        <w:r>
          <w:rPr>
            <w:noProof/>
            <w:webHidden/>
          </w:rPr>
          <w:fldChar w:fldCharType="end"/>
        </w:r>
      </w:hyperlink>
    </w:p>
    <w:p w14:paraId="0E7040B3"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5" w:history="1">
        <w:r w:rsidRPr="0048645E">
          <w:rPr>
            <w:rStyle w:val="Hyperlink"/>
            <w:bCs/>
            <w:noProof/>
          </w:rPr>
          <w:t>Figure 14. Resistance vs reactance using LS method for Scenario 2.</w:t>
        </w:r>
        <w:r>
          <w:rPr>
            <w:noProof/>
            <w:webHidden/>
          </w:rPr>
          <w:tab/>
        </w:r>
        <w:r>
          <w:rPr>
            <w:noProof/>
            <w:webHidden/>
          </w:rPr>
          <w:fldChar w:fldCharType="begin"/>
        </w:r>
        <w:r>
          <w:rPr>
            <w:noProof/>
            <w:webHidden/>
          </w:rPr>
          <w:instrText xml:space="preserve"> PAGEREF _Toc459076465 \h </w:instrText>
        </w:r>
        <w:r>
          <w:rPr>
            <w:noProof/>
            <w:webHidden/>
          </w:rPr>
        </w:r>
        <w:r>
          <w:rPr>
            <w:noProof/>
            <w:webHidden/>
          </w:rPr>
          <w:fldChar w:fldCharType="separate"/>
        </w:r>
        <w:r>
          <w:rPr>
            <w:noProof/>
            <w:webHidden/>
          </w:rPr>
          <w:t>29</w:t>
        </w:r>
        <w:r>
          <w:rPr>
            <w:noProof/>
            <w:webHidden/>
          </w:rPr>
          <w:fldChar w:fldCharType="end"/>
        </w:r>
      </w:hyperlink>
    </w:p>
    <w:p w14:paraId="036ED485"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6" w:history="1">
        <w:r w:rsidRPr="0048645E">
          <w:rPr>
            <w:rStyle w:val="Hyperlink"/>
            <w:noProof/>
          </w:rPr>
          <w:t>Figure 15</w:t>
        </w:r>
        <w:r w:rsidRPr="0048645E">
          <w:rPr>
            <w:rStyle w:val="Hyperlink"/>
            <w:noProof/>
            <w:lang w:eastAsia="zh-CN"/>
          </w:rPr>
          <w:t>. Proposed transformation.</w:t>
        </w:r>
        <w:r>
          <w:rPr>
            <w:noProof/>
            <w:webHidden/>
          </w:rPr>
          <w:tab/>
        </w:r>
        <w:r>
          <w:rPr>
            <w:noProof/>
            <w:webHidden/>
          </w:rPr>
          <w:fldChar w:fldCharType="begin"/>
        </w:r>
        <w:r>
          <w:rPr>
            <w:noProof/>
            <w:webHidden/>
          </w:rPr>
          <w:instrText xml:space="preserve"> PAGEREF _Toc459076466 \h </w:instrText>
        </w:r>
        <w:r>
          <w:rPr>
            <w:noProof/>
            <w:webHidden/>
          </w:rPr>
        </w:r>
        <w:r>
          <w:rPr>
            <w:noProof/>
            <w:webHidden/>
          </w:rPr>
          <w:fldChar w:fldCharType="separate"/>
        </w:r>
        <w:r>
          <w:rPr>
            <w:noProof/>
            <w:webHidden/>
          </w:rPr>
          <w:t>32</w:t>
        </w:r>
        <w:r>
          <w:rPr>
            <w:noProof/>
            <w:webHidden/>
          </w:rPr>
          <w:fldChar w:fldCharType="end"/>
        </w:r>
      </w:hyperlink>
    </w:p>
    <w:p w14:paraId="4DDB9C5A"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7" w:history="1">
        <w:r w:rsidRPr="0048645E">
          <w:rPr>
            <w:rStyle w:val="Hyperlink"/>
            <w:noProof/>
          </w:rPr>
          <w:t xml:space="preserve">Figure 16. Status change coefficient factor </w:t>
        </w:r>
        <w:r w:rsidRPr="0048645E">
          <w:rPr>
            <w:rStyle w:val="Hyperlink"/>
            <w:i/>
            <w:noProof/>
          </w:rPr>
          <w:t>F</w:t>
        </w:r>
        <w:r w:rsidRPr="0048645E">
          <w:rPr>
            <w:rStyle w:val="Hyperlink"/>
            <w:noProof/>
          </w:rPr>
          <w:t>.</w:t>
        </w:r>
        <w:r>
          <w:rPr>
            <w:noProof/>
            <w:webHidden/>
          </w:rPr>
          <w:tab/>
        </w:r>
        <w:r>
          <w:rPr>
            <w:noProof/>
            <w:webHidden/>
          </w:rPr>
          <w:fldChar w:fldCharType="begin"/>
        </w:r>
        <w:r>
          <w:rPr>
            <w:noProof/>
            <w:webHidden/>
          </w:rPr>
          <w:instrText xml:space="preserve"> PAGEREF _Toc459076467 \h </w:instrText>
        </w:r>
        <w:r>
          <w:rPr>
            <w:noProof/>
            <w:webHidden/>
          </w:rPr>
        </w:r>
        <w:r>
          <w:rPr>
            <w:noProof/>
            <w:webHidden/>
          </w:rPr>
          <w:fldChar w:fldCharType="separate"/>
        </w:r>
        <w:r>
          <w:rPr>
            <w:noProof/>
            <w:webHidden/>
          </w:rPr>
          <w:t>39</w:t>
        </w:r>
        <w:r>
          <w:rPr>
            <w:noProof/>
            <w:webHidden/>
          </w:rPr>
          <w:fldChar w:fldCharType="end"/>
        </w:r>
      </w:hyperlink>
    </w:p>
    <w:p w14:paraId="7D09FEB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8" w:history="1">
        <w:r w:rsidRPr="0048645E">
          <w:rPr>
            <w:rStyle w:val="Hyperlink"/>
            <w:noProof/>
          </w:rPr>
          <w:t xml:space="preserve">Figure 17. </w:t>
        </w:r>
        <w:r w:rsidRPr="0048645E">
          <w:rPr>
            <w:rStyle w:val="Hyperlink"/>
            <w:noProof/>
            <w:lang w:val="en-GB"/>
          </w:rPr>
          <w:t>Algorithm considering Q limits.</w:t>
        </w:r>
        <w:r>
          <w:rPr>
            <w:noProof/>
            <w:webHidden/>
          </w:rPr>
          <w:tab/>
        </w:r>
        <w:r>
          <w:rPr>
            <w:noProof/>
            <w:webHidden/>
          </w:rPr>
          <w:fldChar w:fldCharType="begin"/>
        </w:r>
        <w:r>
          <w:rPr>
            <w:noProof/>
            <w:webHidden/>
          </w:rPr>
          <w:instrText xml:space="preserve"> PAGEREF _Toc459076468 \h </w:instrText>
        </w:r>
        <w:r>
          <w:rPr>
            <w:noProof/>
            <w:webHidden/>
          </w:rPr>
        </w:r>
        <w:r>
          <w:rPr>
            <w:noProof/>
            <w:webHidden/>
          </w:rPr>
          <w:fldChar w:fldCharType="separate"/>
        </w:r>
        <w:r>
          <w:rPr>
            <w:noProof/>
            <w:webHidden/>
          </w:rPr>
          <w:t>41</w:t>
        </w:r>
        <w:r>
          <w:rPr>
            <w:noProof/>
            <w:webHidden/>
          </w:rPr>
          <w:fldChar w:fldCharType="end"/>
        </w:r>
      </w:hyperlink>
    </w:p>
    <w:p w14:paraId="037D7A0B"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69" w:history="1">
        <w:r w:rsidRPr="0048645E">
          <w:rPr>
            <w:rStyle w:val="Hyperlink"/>
            <w:noProof/>
          </w:rPr>
          <w:t xml:space="preserve">Figure 18. </w:t>
        </w:r>
        <w:r w:rsidRPr="0048645E">
          <w:rPr>
            <w:rStyle w:val="Hyperlink"/>
            <w:noProof/>
            <w:lang w:val="en-GB"/>
          </w:rPr>
          <w:t>VSI for hybrid VSA.</w:t>
        </w:r>
        <w:r>
          <w:rPr>
            <w:noProof/>
            <w:webHidden/>
          </w:rPr>
          <w:tab/>
        </w:r>
        <w:r>
          <w:rPr>
            <w:noProof/>
            <w:webHidden/>
          </w:rPr>
          <w:fldChar w:fldCharType="begin"/>
        </w:r>
        <w:r>
          <w:rPr>
            <w:noProof/>
            <w:webHidden/>
          </w:rPr>
          <w:instrText xml:space="preserve"> PAGEREF _Toc459076469 \h </w:instrText>
        </w:r>
        <w:r>
          <w:rPr>
            <w:noProof/>
            <w:webHidden/>
          </w:rPr>
        </w:r>
        <w:r>
          <w:rPr>
            <w:noProof/>
            <w:webHidden/>
          </w:rPr>
          <w:fldChar w:fldCharType="separate"/>
        </w:r>
        <w:r>
          <w:rPr>
            <w:noProof/>
            <w:webHidden/>
          </w:rPr>
          <w:t>41</w:t>
        </w:r>
        <w:r>
          <w:rPr>
            <w:noProof/>
            <w:webHidden/>
          </w:rPr>
          <w:fldChar w:fldCharType="end"/>
        </w:r>
      </w:hyperlink>
    </w:p>
    <w:p w14:paraId="7FBF971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0" w:history="1">
        <w:r w:rsidRPr="0048645E">
          <w:rPr>
            <w:rStyle w:val="Hyperlink"/>
            <w:noProof/>
          </w:rPr>
          <w:t>Figure 19</w:t>
        </w:r>
        <w:r w:rsidRPr="0048645E">
          <w:rPr>
            <w:rStyle w:val="Hyperlink"/>
            <w:noProof/>
            <w:lang w:val="en-GB"/>
          </w:rPr>
          <w:t>. Flowchart of the proposed hybrid VSA.</w:t>
        </w:r>
        <w:r>
          <w:rPr>
            <w:noProof/>
            <w:webHidden/>
          </w:rPr>
          <w:tab/>
        </w:r>
        <w:r>
          <w:rPr>
            <w:noProof/>
            <w:webHidden/>
          </w:rPr>
          <w:fldChar w:fldCharType="begin"/>
        </w:r>
        <w:r>
          <w:rPr>
            <w:noProof/>
            <w:webHidden/>
          </w:rPr>
          <w:instrText xml:space="preserve"> PAGEREF _Toc459076470 \h </w:instrText>
        </w:r>
        <w:r>
          <w:rPr>
            <w:noProof/>
            <w:webHidden/>
          </w:rPr>
        </w:r>
        <w:r>
          <w:rPr>
            <w:noProof/>
            <w:webHidden/>
          </w:rPr>
          <w:fldChar w:fldCharType="separate"/>
        </w:r>
        <w:r>
          <w:rPr>
            <w:noProof/>
            <w:webHidden/>
          </w:rPr>
          <w:t>43</w:t>
        </w:r>
        <w:r>
          <w:rPr>
            <w:noProof/>
            <w:webHidden/>
          </w:rPr>
          <w:fldChar w:fldCharType="end"/>
        </w:r>
      </w:hyperlink>
    </w:p>
    <w:p w14:paraId="741435CD"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1" w:history="1">
        <w:r w:rsidRPr="0048645E">
          <w:rPr>
            <w:rStyle w:val="Hyperlink"/>
            <w:noProof/>
          </w:rPr>
          <w:t>Figure 20</w:t>
        </w:r>
        <w:r w:rsidRPr="0048645E">
          <w:rPr>
            <w:rStyle w:val="Hyperlink"/>
            <w:noProof/>
            <w:lang w:val="en-GB"/>
          </w:rPr>
          <w:t>. Voltage magnitude for N-1 contingencies of IEEE 14-bus system.</w:t>
        </w:r>
        <w:r>
          <w:rPr>
            <w:noProof/>
            <w:webHidden/>
          </w:rPr>
          <w:tab/>
        </w:r>
        <w:r>
          <w:rPr>
            <w:noProof/>
            <w:webHidden/>
          </w:rPr>
          <w:fldChar w:fldCharType="begin"/>
        </w:r>
        <w:r>
          <w:rPr>
            <w:noProof/>
            <w:webHidden/>
          </w:rPr>
          <w:instrText xml:space="preserve"> PAGEREF _Toc459076471 \h </w:instrText>
        </w:r>
        <w:r>
          <w:rPr>
            <w:noProof/>
            <w:webHidden/>
          </w:rPr>
        </w:r>
        <w:r>
          <w:rPr>
            <w:noProof/>
            <w:webHidden/>
          </w:rPr>
          <w:fldChar w:fldCharType="separate"/>
        </w:r>
        <w:r>
          <w:rPr>
            <w:noProof/>
            <w:webHidden/>
          </w:rPr>
          <w:t>51</w:t>
        </w:r>
        <w:r>
          <w:rPr>
            <w:noProof/>
            <w:webHidden/>
          </w:rPr>
          <w:fldChar w:fldCharType="end"/>
        </w:r>
      </w:hyperlink>
    </w:p>
    <w:p w14:paraId="466101C4"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2" w:history="1">
        <w:r w:rsidRPr="0048645E">
          <w:rPr>
            <w:rStyle w:val="Hyperlink"/>
            <w:noProof/>
          </w:rPr>
          <w:t>Figure 21.</w:t>
        </w:r>
        <w:r w:rsidRPr="0048645E">
          <w:rPr>
            <w:rStyle w:val="Hyperlink"/>
            <w:noProof/>
            <w:lang w:val="en-GB"/>
          </w:rPr>
          <w:t xml:space="preserve"> Voltage magnitude for N-1 contingencies of IEEE 39-bus system.</w:t>
        </w:r>
        <w:r>
          <w:rPr>
            <w:noProof/>
            <w:webHidden/>
          </w:rPr>
          <w:tab/>
        </w:r>
        <w:r>
          <w:rPr>
            <w:noProof/>
            <w:webHidden/>
          </w:rPr>
          <w:fldChar w:fldCharType="begin"/>
        </w:r>
        <w:r>
          <w:rPr>
            <w:noProof/>
            <w:webHidden/>
          </w:rPr>
          <w:instrText xml:space="preserve"> PAGEREF _Toc459076472 \h </w:instrText>
        </w:r>
        <w:r>
          <w:rPr>
            <w:noProof/>
            <w:webHidden/>
          </w:rPr>
        </w:r>
        <w:r>
          <w:rPr>
            <w:noProof/>
            <w:webHidden/>
          </w:rPr>
          <w:fldChar w:fldCharType="separate"/>
        </w:r>
        <w:r>
          <w:rPr>
            <w:noProof/>
            <w:webHidden/>
          </w:rPr>
          <w:t>52</w:t>
        </w:r>
        <w:r>
          <w:rPr>
            <w:noProof/>
            <w:webHidden/>
          </w:rPr>
          <w:fldChar w:fldCharType="end"/>
        </w:r>
      </w:hyperlink>
    </w:p>
    <w:p w14:paraId="128DA5A1"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3" w:history="1">
        <w:r w:rsidRPr="0048645E">
          <w:rPr>
            <w:rStyle w:val="Hyperlink"/>
            <w:noProof/>
          </w:rPr>
          <w:t>Figure 22.</w:t>
        </w:r>
        <w:r w:rsidRPr="0048645E">
          <w:rPr>
            <w:rStyle w:val="Hyperlink"/>
            <w:noProof/>
            <w:lang w:val="en-GB"/>
          </w:rPr>
          <w:t xml:space="preserve"> Voltage magnitude for N-1 contingencies of IEEE 118-bus system.</w:t>
        </w:r>
        <w:r>
          <w:rPr>
            <w:noProof/>
            <w:webHidden/>
          </w:rPr>
          <w:tab/>
        </w:r>
        <w:r>
          <w:rPr>
            <w:noProof/>
            <w:webHidden/>
          </w:rPr>
          <w:fldChar w:fldCharType="begin"/>
        </w:r>
        <w:r>
          <w:rPr>
            <w:noProof/>
            <w:webHidden/>
          </w:rPr>
          <w:instrText xml:space="preserve"> PAGEREF _Toc459076473 \h </w:instrText>
        </w:r>
        <w:r>
          <w:rPr>
            <w:noProof/>
            <w:webHidden/>
          </w:rPr>
        </w:r>
        <w:r>
          <w:rPr>
            <w:noProof/>
            <w:webHidden/>
          </w:rPr>
          <w:fldChar w:fldCharType="separate"/>
        </w:r>
        <w:r>
          <w:rPr>
            <w:noProof/>
            <w:webHidden/>
          </w:rPr>
          <w:t>53</w:t>
        </w:r>
        <w:r>
          <w:rPr>
            <w:noProof/>
            <w:webHidden/>
          </w:rPr>
          <w:fldChar w:fldCharType="end"/>
        </w:r>
      </w:hyperlink>
    </w:p>
    <w:p w14:paraId="5F17DAC4"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4" w:history="1">
        <w:r w:rsidRPr="0048645E">
          <w:rPr>
            <w:rStyle w:val="Hyperlink"/>
            <w:noProof/>
          </w:rPr>
          <w:t>Figure 23</w:t>
        </w:r>
        <w:r w:rsidRPr="0048645E">
          <w:rPr>
            <w:rStyle w:val="Hyperlink"/>
            <w:noProof/>
            <w:lang w:val="en-GB"/>
          </w:rPr>
          <w:t>. Stability margin for line outages of the IEEE 14-bus system.</w:t>
        </w:r>
        <w:r>
          <w:rPr>
            <w:noProof/>
            <w:webHidden/>
          </w:rPr>
          <w:tab/>
        </w:r>
        <w:r>
          <w:rPr>
            <w:noProof/>
            <w:webHidden/>
          </w:rPr>
          <w:fldChar w:fldCharType="begin"/>
        </w:r>
        <w:r>
          <w:rPr>
            <w:noProof/>
            <w:webHidden/>
          </w:rPr>
          <w:instrText xml:space="preserve"> PAGEREF _Toc459076474 \h </w:instrText>
        </w:r>
        <w:r>
          <w:rPr>
            <w:noProof/>
            <w:webHidden/>
          </w:rPr>
        </w:r>
        <w:r>
          <w:rPr>
            <w:noProof/>
            <w:webHidden/>
          </w:rPr>
          <w:fldChar w:fldCharType="separate"/>
        </w:r>
        <w:r>
          <w:rPr>
            <w:noProof/>
            <w:webHidden/>
          </w:rPr>
          <w:t>55</w:t>
        </w:r>
        <w:r>
          <w:rPr>
            <w:noProof/>
            <w:webHidden/>
          </w:rPr>
          <w:fldChar w:fldCharType="end"/>
        </w:r>
      </w:hyperlink>
    </w:p>
    <w:p w14:paraId="313083C5"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5" w:history="1">
        <w:r w:rsidRPr="0048645E">
          <w:rPr>
            <w:rStyle w:val="Hyperlink"/>
            <w:noProof/>
          </w:rPr>
          <w:t>Figure 24</w:t>
        </w:r>
        <w:r w:rsidRPr="0048645E">
          <w:rPr>
            <w:rStyle w:val="Hyperlink"/>
            <w:noProof/>
            <w:lang w:val="en-GB"/>
          </w:rPr>
          <w:t>. Stability margin for line outages of the IEEE 39-bus system.</w:t>
        </w:r>
        <w:r>
          <w:rPr>
            <w:noProof/>
            <w:webHidden/>
          </w:rPr>
          <w:tab/>
        </w:r>
        <w:r>
          <w:rPr>
            <w:noProof/>
            <w:webHidden/>
          </w:rPr>
          <w:fldChar w:fldCharType="begin"/>
        </w:r>
        <w:r>
          <w:rPr>
            <w:noProof/>
            <w:webHidden/>
          </w:rPr>
          <w:instrText xml:space="preserve"> PAGEREF _Toc459076475 \h </w:instrText>
        </w:r>
        <w:r>
          <w:rPr>
            <w:noProof/>
            <w:webHidden/>
          </w:rPr>
        </w:r>
        <w:r>
          <w:rPr>
            <w:noProof/>
            <w:webHidden/>
          </w:rPr>
          <w:fldChar w:fldCharType="separate"/>
        </w:r>
        <w:r>
          <w:rPr>
            <w:noProof/>
            <w:webHidden/>
          </w:rPr>
          <w:t>55</w:t>
        </w:r>
        <w:r>
          <w:rPr>
            <w:noProof/>
            <w:webHidden/>
          </w:rPr>
          <w:fldChar w:fldCharType="end"/>
        </w:r>
      </w:hyperlink>
    </w:p>
    <w:p w14:paraId="2D3BEBF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6" w:history="1">
        <w:r w:rsidRPr="0048645E">
          <w:rPr>
            <w:rStyle w:val="Hyperlink"/>
            <w:noProof/>
          </w:rPr>
          <w:t>Figure 25</w:t>
        </w:r>
        <w:r w:rsidRPr="0048645E">
          <w:rPr>
            <w:rStyle w:val="Hyperlink"/>
            <w:noProof/>
            <w:lang w:val="en-GB"/>
          </w:rPr>
          <w:t>. Stability margin for line outages of the IEEE 118-bus system.</w:t>
        </w:r>
        <w:r>
          <w:rPr>
            <w:noProof/>
            <w:webHidden/>
          </w:rPr>
          <w:tab/>
        </w:r>
        <w:r>
          <w:rPr>
            <w:noProof/>
            <w:webHidden/>
          </w:rPr>
          <w:fldChar w:fldCharType="begin"/>
        </w:r>
        <w:r>
          <w:rPr>
            <w:noProof/>
            <w:webHidden/>
          </w:rPr>
          <w:instrText xml:space="preserve"> PAGEREF _Toc459076476 \h </w:instrText>
        </w:r>
        <w:r>
          <w:rPr>
            <w:noProof/>
            <w:webHidden/>
          </w:rPr>
        </w:r>
        <w:r>
          <w:rPr>
            <w:noProof/>
            <w:webHidden/>
          </w:rPr>
          <w:fldChar w:fldCharType="separate"/>
        </w:r>
        <w:r>
          <w:rPr>
            <w:noProof/>
            <w:webHidden/>
          </w:rPr>
          <w:t>55</w:t>
        </w:r>
        <w:r>
          <w:rPr>
            <w:noProof/>
            <w:webHidden/>
          </w:rPr>
          <w:fldChar w:fldCharType="end"/>
        </w:r>
      </w:hyperlink>
    </w:p>
    <w:p w14:paraId="6ED9376D"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7" w:history="1">
        <w:r w:rsidRPr="0048645E">
          <w:rPr>
            <w:rStyle w:val="Hyperlink"/>
            <w:noProof/>
          </w:rPr>
          <w:t>Figure 26</w:t>
        </w:r>
        <w:r w:rsidRPr="0048645E">
          <w:rPr>
            <w:rStyle w:val="Hyperlink"/>
            <w:noProof/>
            <w:lang w:val="en-GB"/>
          </w:rPr>
          <w:t>. Illustration of the HBVSA under N-1 contingency.</w:t>
        </w:r>
        <w:r>
          <w:rPr>
            <w:noProof/>
            <w:webHidden/>
          </w:rPr>
          <w:tab/>
        </w:r>
        <w:r>
          <w:rPr>
            <w:noProof/>
            <w:webHidden/>
          </w:rPr>
          <w:fldChar w:fldCharType="begin"/>
        </w:r>
        <w:r>
          <w:rPr>
            <w:noProof/>
            <w:webHidden/>
          </w:rPr>
          <w:instrText xml:space="preserve"> PAGEREF _Toc459076477 \h </w:instrText>
        </w:r>
        <w:r>
          <w:rPr>
            <w:noProof/>
            <w:webHidden/>
          </w:rPr>
        </w:r>
        <w:r>
          <w:rPr>
            <w:noProof/>
            <w:webHidden/>
          </w:rPr>
          <w:fldChar w:fldCharType="separate"/>
        </w:r>
        <w:r>
          <w:rPr>
            <w:noProof/>
            <w:webHidden/>
          </w:rPr>
          <w:t>57</w:t>
        </w:r>
        <w:r>
          <w:rPr>
            <w:noProof/>
            <w:webHidden/>
          </w:rPr>
          <w:fldChar w:fldCharType="end"/>
        </w:r>
      </w:hyperlink>
    </w:p>
    <w:p w14:paraId="1E304DBB"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8" w:history="1">
        <w:r w:rsidRPr="0048645E">
          <w:rPr>
            <w:rStyle w:val="Hyperlink"/>
            <w:noProof/>
          </w:rPr>
          <w:t>Figure 27</w:t>
        </w:r>
        <w:r w:rsidRPr="0048645E">
          <w:rPr>
            <w:rStyle w:val="Hyperlink"/>
            <w:noProof/>
            <w:lang w:val="x-none"/>
          </w:rPr>
          <w:t>. Coupled single-port circuit</w:t>
        </w:r>
        <w:r>
          <w:rPr>
            <w:noProof/>
            <w:webHidden/>
          </w:rPr>
          <w:tab/>
        </w:r>
        <w:r>
          <w:rPr>
            <w:noProof/>
            <w:webHidden/>
          </w:rPr>
          <w:fldChar w:fldCharType="begin"/>
        </w:r>
        <w:r>
          <w:rPr>
            <w:noProof/>
            <w:webHidden/>
          </w:rPr>
          <w:instrText xml:space="preserve"> PAGEREF _Toc459076478 \h </w:instrText>
        </w:r>
        <w:r>
          <w:rPr>
            <w:noProof/>
            <w:webHidden/>
          </w:rPr>
        </w:r>
        <w:r>
          <w:rPr>
            <w:noProof/>
            <w:webHidden/>
          </w:rPr>
          <w:fldChar w:fldCharType="separate"/>
        </w:r>
        <w:r>
          <w:rPr>
            <w:noProof/>
            <w:webHidden/>
          </w:rPr>
          <w:t>62</w:t>
        </w:r>
        <w:r>
          <w:rPr>
            <w:noProof/>
            <w:webHidden/>
          </w:rPr>
          <w:fldChar w:fldCharType="end"/>
        </w:r>
      </w:hyperlink>
    </w:p>
    <w:p w14:paraId="3E22BF99"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79" w:history="1">
        <w:r w:rsidRPr="0048645E">
          <w:rPr>
            <w:rStyle w:val="Hyperlink"/>
            <w:noProof/>
          </w:rPr>
          <w:t>Figure 28. Flowchart of the proposed control strategy.</w:t>
        </w:r>
        <w:r>
          <w:rPr>
            <w:noProof/>
            <w:webHidden/>
          </w:rPr>
          <w:tab/>
        </w:r>
        <w:r>
          <w:rPr>
            <w:noProof/>
            <w:webHidden/>
          </w:rPr>
          <w:fldChar w:fldCharType="begin"/>
        </w:r>
        <w:r>
          <w:rPr>
            <w:noProof/>
            <w:webHidden/>
          </w:rPr>
          <w:instrText xml:space="preserve"> PAGEREF _Toc459076479 \h </w:instrText>
        </w:r>
        <w:r>
          <w:rPr>
            <w:noProof/>
            <w:webHidden/>
          </w:rPr>
        </w:r>
        <w:r>
          <w:rPr>
            <w:noProof/>
            <w:webHidden/>
          </w:rPr>
          <w:fldChar w:fldCharType="separate"/>
        </w:r>
        <w:r>
          <w:rPr>
            <w:noProof/>
            <w:webHidden/>
          </w:rPr>
          <w:t>72</w:t>
        </w:r>
        <w:r>
          <w:rPr>
            <w:noProof/>
            <w:webHidden/>
          </w:rPr>
          <w:fldChar w:fldCharType="end"/>
        </w:r>
      </w:hyperlink>
    </w:p>
    <w:p w14:paraId="561D210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0" w:history="1">
        <w:r w:rsidRPr="0048645E">
          <w:rPr>
            <w:rStyle w:val="Hyperlink"/>
            <w:noProof/>
          </w:rPr>
          <w:t>Figure 29. Verification of WALMS w.r.t. the reactive power injection</w:t>
        </w:r>
        <w:r>
          <w:rPr>
            <w:noProof/>
            <w:webHidden/>
          </w:rPr>
          <w:tab/>
        </w:r>
        <w:r>
          <w:rPr>
            <w:noProof/>
            <w:webHidden/>
          </w:rPr>
          <w:fldChar w:fldCharType="begin"/>
        </w:r>
        <w:r>
          <w:rPr>
            <w:noProof/>
            <w:webHidden/>
          </w:rPr>
          <w:instrText xml:space="preserve"> PAGEREF _Toc459076480 \h </w:instrText>
        </w:r>
        <w:r>
          <w:rPr>
            <w:noProof/>
            <w:webHidden/>
          </w:rPr>
        </w:r>
        <w:r>
          <w:rPr>
            <w:noProof/>
            <w:webHidden/>
          </w:rPr>
          <w:fldChar w:fldCharType="separate"/>
        </w:r>
        <w:r>
          <w:rPr>
            <w:noProof/>
            <w:webHidden/>
          </w:rPr>
          <w:t>78</w:t>
        </w:r>
        <w:r>
          <w:rPr>
            <w:noProof/>
            <w:webHidden/>
          </w:rPr>
          <w:fldChar w:fldCharType="end"/>
        </w:r>
      </w:hyperlink>
    </w:p>
    <w:p w14:paraId="3689F313"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1" w:history="1">
        <w:r w:rsidRPr="0048645E">
          <w:rPr>
            <w:rStyle w:val="Hyperlink"/>
            <w:noProof/>
          </w:rPr>
          <w:t>Figure 30. Verification of WALMS w.r.t. the real power injection.</w:t>
        </w:r>
        <w:r>
          <w:rPr>
            <w:noProof/>
            <w:webHidden/>
          </w:rPr>
          <w:tab/>
        </w:r>
        <w:r>
          <w:rPr>
            <w:noProof/>
            <w:webHidden/>
          </w:rPr>
          <w:fldChar w:fldCharType="begin"/>
        </w:r>
        <w:r>
          <w:rPr>
            <w:noProof/>
            <w:webHidden/>
          </w:rPr>
          <w:instrText xml:space="preserve"> PAGEREF _Toc459076481 \h </w:instrText>
        </w:r>
        <w:r>
          <w:rPr>
            <w:noProof/>
            <w:webHidden/>
          </w:rPr>
        </w:r>
        <w:r>
          <w:rPr>
            <w:noProof/>
            <w:webHidden/>
          </w:rPr>
          <w:fldChar w:fldCharType="separate"/>
        </w:r>
        <w:r>
          <w:rPr>
            <w:noProof/>
            <w:webHidden/>
          </w:rPr>
          <w:t>80</w:t>
        </w:r>
        <w:r>
          <w:rPr>
            <w:noProof/>
            <w:webHidden/>
          </w:rPr>
          <w:fldChar w:fldCharType="end"/>
        </w:r>
      </w:hyperlink>
    </w:p>
    <w:p w14:paraId="653EE35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2" w:history="1">
        <w:r w:rsidRPr="0048645E">
          <w:rPr>
            <w:rStyle w:val="Hyperlink"/>
            <w:noProof/>
          </w:rPr>
          <w:t>Figure 31. Verification of WALMS w.r.t. generator terminal voltage.</w:t>
        </w:r>
        <w:r>
          <w:rPr>
            <w:noProof/>
            <w:webHidden/>
          </w:rPr>
          <w:tab/>
        </w:r>
        <w:r>
          <w:rPr>
            <w:noProof/>
            <w:webHidden/>
          </w:rPr>
          <w:fldChar w:fldCharType="begin"/>
        </w:r>
        <w:r>
          <w:rPr>
            <w:noProof/>
            <w:webHidden/>
          </w:rPr>
          <w:instrText xml:space="preserve"> PAGEREF _Toc459076482 \h </w:instrText>
        </w:r>
        <w:r>
          <w:rPr>
            <w:noProof/>
            <w:webHidden/>
          </w:rPr>
        </w:r>
        <w:r>
          <w:rPr>
            <w:noProof/>
            <w:webHidden/>
          </w:rPr>
          <w:fldChar w:fldCharType="separate"/>
        </w:r>
        <w:r>
          <w:rPr>
            <w:noProof/>
            <w:webHidden/>
          </w:rPr>
          <w:t>81</w:t>
        </w:r>
        <w:r>
          <w:rPr>
            <w:noProof/>
            <w:webHidden/>
          </w:rPr>
          <w:fldChar w:fldCharType="end"/>
        </w:r>
      </w:hyperlink>
    </w:p>
    <w:p w14:paraId="38A4465D"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3" w:history="1">
        <w:r w:rsidRPr="0048645E">
          <w:rPr>
            <w:rStyle w:val="Hyperlink"/>
            <w:noProof/>
          </w:rPr>
          <w:t>Figure 32. Loading margins of insecure buses at each decision step.</w:t>
        </w:r>
        <w:r>
          <w:rPr>
            <w:noProof/>
            <w:webHidden/>
          </w:rPr>
          <w:tab/>
        </w:r>
        <w:r>
          <w:rPr>
            <w:noProof/>
            <w:webHidden/>
          </w:rPr>
          <w:fldChar w:fldCharType="begin"/>
        </w:r>
        <w:r>
          <w:rPr>
            <w:noProof/>
            <w:webHidden/>
          </w:rPr>
          <w:instrText xml:space="preserve"> PAGEREF _Toc459076483 \h </w:instrText>
        </w:r>
        <w:r>
          <w:rPr>
            <w:noProof/>
            <w:webHidden/>
          </w:rPr>
        </w:r>
        <w:r>
          <w:rPr>
            <w:noProof/>
            <w:webHidden/>
          </w:rPr>
          <w:fldChar w:fldCharType="separate"/>
        </w:r>
        <w:r>
          <w:rPr>
            <w:noProof/>
            <w:webHidden/>
          </w:rPr>
          <w:t>83</w:t>
        </w:r>
        <w:r>
          <w:rPr>
            <w:noProof/>
            <w:webHidden/>
          </w:rPr>
          <w:fldChar w:fldCharType="end"/>
        </w:r>
      </w:hyperlink>
    </w:p>
    <w:p w14:paraId="112C3BC0"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4" w:history="1">
        <w:r w:rsidRPr="0048645E">
          <w:rPr>
            <w:rStyle w:val="Hyperlink"/>
            <w:noProof/>
          </w:rPr>
          <w:t>Figure 33. Loading margin of selected buses of IEEE 118-bus system.</w:t>
        </w:r>
        <w:r>
          <w:rPr>
            <w:noProof/>
            <w:webHidden/>
          </w:rPr>
          <w:tab/>
        </w:r>
        <w:r>
          <w:rPr>
            <w:noProof/>
            <w:webHidden/>
          </w:rPr>
          <w:fldChar w:fldCharType="begin"/>
        </w:r>
        <w:r>
          <w:rPr>
            <w:noProof/>
            <w:webHidden/>
          </w:rPr>
          <w:instrText xml:space="preserve"> PAGEREF _Toc459076484 \h </w:instrText>
        </w:r>
        <w:r>
          <w:rPr>
            <w:noProof/>
            <w:webHidden/>
          </w:rPr>
        </w:r>
        <w:r>
          <w:rPr>
            <w:noProof/>
            <w:webHidden/>
          </w:rPr>
          <w:fldChar w:fldCharType="separate"/>
        </w:r>
        <w:r>
          <w:rPr>
            <w:noProof/>
            <w:webHidden/>
          </w:rPr>
          <w:t>89</w:t>
        </w:r>
        <w:r>
          <w:rPr>
            <w:noProof/>
            <w:webHidden/>
          </w:rPr>
          <w:fldChar w:fldCharType="end"/>
        </w:r>
      </w:hyperlink>
    </w:p>
    <w:p w14:paraId="68FCDFA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5" w:history="1">
        <w:r w:rsidRPr="0048645E">
          <w:rPr>
            <w:rStyle w:val="Hyperlink"/>
            <w:noProof/>
          </w:rPr>
          <w:t>Figure 34. Partial diagram of IEEE 118-bus system near Bus 44.</w:t>
        </w:r>
        <w:r>
          <w:rPr>
            <w:noProof/>
            <w:webHidden/>
          </w:rPr>
          <w:tab/>
        </w:r>
        <w:r>
          <w:rPr>
            <w:noProof/>
            <w:webHidden/>
          </w:rPr>
          <w:fldChar w:fldCharType="begin"/>
        </w:r>
        <w:r>
          <w:rPr>
            <w:noProof/>
            <w:webHidden/>
          </w:rPr>
          <w:instrText xml:space="preserve"> PAGEREF _Toc459076485 \h </w:instrText>
        </w:r>
        <w:r>
          <w:rPr>
            <w:noProof/>
            <w:webHidden/>
          </w:rPr>
        </w:r>
        <w:r>
          <w:rPr>
            <w:noProof/>
            <w:webHidden/>
          </w:rPr>
          <w:fldChar w:fldCharType="separate"/>
        </w:r>
        <w:r>
          <w:rPr>
            <w:noProof/>
            <w:webHidden/>
          </w:rPr>
          <w:t>89</w:t>
        </w:r>
        <w:r>
          <w:rPr>
            <w:noProof/>
            <w:webHidden/>
          </w:rPr>
          <w:fldChar w:fldCharType="end"/>
        </w:r>
      </w:hyperlink>
    </w:p>
    <w:p w14:paraId="481E197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6" w:history="1">
        <w:r w:rsidRPr="0048645E">
          <w:rPr>
            <w:rStyle w:val="Hyperlink"/>
            <w:noProof/>
          </w:rPr>
          <w:t>Figure 35.</w:t>
        </w:r>
        <w:r w:rsidRPr="0048645E">
          <w:rPr>
            <w:rStyle w:val="Hyperlink"/>
            <w:rFonts w:eastAsia="MS Mincho"/>
            <w:noProof/>
          </w:rPr>
          <w:t xml:space="preserve"> Sample 4-bus system.</w:t>
        </w:r>
        <w:r>
          <w:rPr>
            <w:noProof/>
            <w:webHidden/>
          </w:rPr>
          <w:tab/>
        </w:r>
        <w:r>
          <w:rPr>
            <w:noProof/>
            <w:webHidden/>
          </w:rPr>
          <w:fldChar w:fldCharType="begin"/>
        </w:r>
        <w:r>
          <w:rPr>
            <w:noProof/>
            <w:webHidden/>
          </w:rPr>
          <w:instrText xml:space="preserve"> PAGEREF _Toc459076486 \h </w:instrText>
        </w:r>
        <w:r>
          <w:rPr>
            <w:noProof/>
            <w:webHidden/>
          </w:rPr>
        </w:r>
        <w:r>
          <w:rPr>
            <w:noProof/>
            <w:webHidden/>
          </w:rPr>
          <w:fldChar w:fldCharType="separate"/>
        </w:r>
        <w:r>
          <w:rPr>
            <w:noProof/>
            <w:webHidden/>
          </w:rPr>
          <w:t>89</w:t>
        </w:r>
        <w:r>
          <w:rPr>
            <w:noProof/>
            <w:webHidden/>
          </w:rPr>
          <w:fldChar w:fldCharType="end"/>
        </w:r>
      </w:hyperlink>
    </w:p>
    <w:p w14:paraId="45C48CE1"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7" w:history="1">
        <w:r w:rsidRPr="0048645E">
          <w:rPr>
            <w:rStyle w:val="Hyperlink"/>
            <w:noProof/>
          </w:rPr>
          <w:t>Figure 36. Loading margin of sample 4-bus system.</w:t>
        </w:r>
        <w:r>
          <w:rPr>
            <w:noProof/>
            <w:webHidden/>
          </w:rPr>
          <w:tab/>
        </w:r>
        <w:r>
          <w:rPr>
            <w:noProof/>
            <w:webHidden/>
          </w:rPr>
          <w:fldChar w:fldCharType="begin"/>
        </w:r>
        <w:r>
          <w:rPr>
            <w:noProof/>
            <w:webHidden/>
          </w:rPr>
          <w:instrText xml:space="preserve"> PAGEREF _Toc459076487 \h </w:instrText>
        </w:r>
        <w:r>
          <w:rPr>
            <w:noProof/>
            <w:webHidden/>
          </w:rPr>
        </w:r>
        <w:r>
          <w:rPr>
            <w:noProof/>
            <w:webHidden/>
          </w:rPr>
          <w:fldChar w:fldCharType="separate"/>
        </w:r>
        <w:r>
          <w:rPr>
            <w:noProof/>
            <w:webHidden/>
          </w:rPr>
          <w:t>90</w:t>
        </w:r>
        <w:r>
          <w:rPr>
            <w:noProof/>
            <w:webHidden/>
          </w:rPr>
          <w:fldChar w:fldCharType="end"/>
        </w:r>
      </w:hyperlink>
    </w:p>
    <w:p w14:paraId="205D5D9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8" w:history="1">
        <w:r w:rsidRPr="0048645E">
          <w:rPr>
            <w:rStyle w:val="Hyperlink"/>
            <w:noProof/>
          </w:rPr>
          <w:t>Figure 37. Load impedances v.s. TE impedance as load increases.</w:t>
        </w:r>
        <w:r>
          <w:rPr>
            <w:noProof/>
            <w:webHidden/>
          </w:rPr>
          <w:tab/>
        </w:r>
        <w:r>
          <w:rPr>
            <w:noProof/>
            <w:webHidden/>
          </w:rPr>
          <w:fldChar w:fldCharType="begin"/>
        </w:r>
        <w:r>
          <w:rPr>
            <w:noProof/>
            <w:webHidden/>
          </w:rPr>
          <w:instrText xml:space="preserve"> PAGEREF _Toc459076488 \h </w:instrText>
        </w:r>
        <w:r>
          <w:rPr>
            <w:noProof/>
            <w:webHidden/>
          </w:rPr>
        </w:r>
        <w:r>
          <w:rPr>
            <w:noProof/>
            <w:webHidden/>
          </w:rPr>
          <w:fldChar w:fldCharType="separate"/>
        </w:r>
        <w:r>
          <w:rPr>
            <w:noProof/>
            <w:webHidden/>
          </w:rPr>
          <w:t>91</w:t>
        </w:r>
        <w:r>
          <w:rPr>
            <w:noProof/>
            <w:webHidden/>
          </w:rPr>
          <w:fldChar w:fldCharType="end"/>
        </w:r>
      </w:hyperlink>
    </w:p>
    <w:p w14:paraId="38DD53F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89" w:history="1">
        <w:r w:rsidRPr="0048645E">
          <w:rPr>
            <w:rStyle w:val="Hyperlink"/>
            <w:noProof/>
          </w:rPr>
          <w:t xml:space="preserve">Figure 38. Equivalent series compensation for </w:t>
        </w:r>
        <w:r w:rsidRPr="0048645E">
          <w:rPr>
            <w:rStyle w:val="Hyperlink"/>
            <w:i/>
            <w:noProof/>
          </w:rPr>
          <w:t>i</w:t>
        </w:r>
        <w:r w:rsidRPr="0048645E">
          <w:rPr>
            <w:rStyle w:val="Hyperlink"/>
            <w:noProof/>
          </w:rPr>
          <w:t>th equivalent branch.</w:t>
        </w:r>
        <w:r>
          <w:rPr>
            <w:noProof/>
            <w:webHidden/>
          </w:rPr>
          <w:tab/>
        </w:r>
        <w:r>
          <w:rPr>
            <w:noProof/>
            <w:webHidden/>
          </w:rPr>
          <w:fldChar w:fldCharType="begin"/>
        </w:r>
        <w:r>
          <w:rPr>
            <w:noProof/>
            <w:webHidden/>
          </w:rPr>
          <w:instrText xml:space="preserve"> PAGEREF _Toc459076489 \h </w:instrText>
        </w:r>
        <w:r>
          <w:rPr>
            <w:noProof/>
            <w:webHidden/>
          </w:rPr>
        </w:r>
        <w:r>
          <w:rPr>
            <w:noProof/>
            <w:webHidden/>
          </w:rPr>
          <w:fldChar w:fldCharType="separate"/>
        </w:r>
        <w:r>
          <w:rPr>
            <w:noProof/>
            <w:webHidden/>
          </w:rPr>
          <w:t>94</w:t>
        </w:r>
        <w:r>
          <w:rPr>
            <w:noProof/>
            <w:webHidden/>
          </w:rPr>
          <w:fldChar w:fldCharType="end"/>
        </w:r>
      </w:hyperlink>
    </w:p>
    <w:p w14:paraId="1DEBBF5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0" w:history="1">
        <w:r w:rsidRPr="0048645E">
          <w:rPr>
            <w:rStyle w:val="Hyperlink"/>
            <w:noProof/>
          </w:rPr>
          <w:t xml:space="preserve">Figure 39. Impedances of equivalent circuit for </w:t>
        </w:r>
        <w:r w:rsidRPr="0048645E">
          <w:rPr>
            <w:rStyle w:val="Hyperlink"/>
            <w:i/>
            <w:noProof/>
          </w:rPr>
          <w:t>L</w:t>
        </w:r>
        <w:r w:rsidRPr="0048645E">
          <w:rPr>
            <w:rStyle w:val="Hyperlink"/>
            <w:noProof/>
            <w:vertAlign w:val="subscript"/>
          </w:rPr>
          <w:t>1</w:t>
        </w:r>
        <w:r w:rsidRPr="0048645E">
          <w:rPr>
            <w:rStyle w:val="Hyperlink"/>
            <w:noProof/>
          </w:rPr>
          <w:t xml:space="preserve"> as load increases.</w:t>
        </w:r>
        <w:r>
          <w:rPr>
            <w:noProof/>
            <w:webHidden/>
          </w:rPr>
          <w:tab/>
        </w:r>
        <w:r>
          <w:rPr>
            <w:noProof/>
            <w:webHidden/>
          </w:rPr>
          <w:fldChar w:fldCharType="begin"/>
        </w:r>
        <w:r>
          <w:rPr>
            <w:noProof/>
            <w:webHidden/>
          </w:rPr>
          <w:instrText xml:space="preserve"> PAGEREF _Toc459076490 \h </w:instrText>
        </w:r>
        <w:r>
          <w:rPr>
            <w:noProof/>
            <w:webHidden/>
          </w:rPr>
        </w:r>
        <w:r>
          <w:rPr>
            <w:noProof/>
            <w:webHidden/>
          </w:rPr>
          <w:fldChar w:fldCharType="separate"/>
        </w:r>
        <w:r>
          <w:rPr>
            <w:noProof/>
            <w:webHidden/>
          </w:rPr>
          <w:t>96</w:t>
        </w:r>
        <w:r>
          <w:rPr>
            <w:noProof/>
            <w:webHidden/>
          </w:rPr>
          <w:fldChar w:fldCharType="end"/>
        </w:r>
      </w:hyperlink>
    </w:p>
    <w:p w14:paraId="7819444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1" w:history="1">
        <w:r w:rsidRPr="0048645E">
          <w:rPr>
            <w:rStyle w:val="Hyperlink"/>
            <w:noProof/>
          </w:rPr>
          <w:t xml:space="preserve">Figure 40. Mitigation factors of </w:t>
        </w:r>
        <w:r w:rsidRPr="0048645E">
          <w:rPr>
            <w:rStyle w:val="Hyperlink"/>
            <w:i/>
            <w:noProof/>
          </w:rPr>
          <w:t>L</w:t>
        </w:r>
        <w:r w:rsidRPr="0048645E">
          <w:rPr>
            <w:rStyle w:val="Hyperlink"/>
            <w:noProof/>
            <w:vertAlign w:val="subscript"/>
          </w:rPr>
          <w:t>1</w:t>
        </w:r>
        <w:r w:rsidRPr="0048645E">
          <w:rPr>
            <w:rStyle w:val="Hyperlink"/>
            <w:noProof/>
          </w:rPr>
          <w:t xml:space="preserve"> as load increases.</w:t>
        </w:r>
        <w:r>
          <w:rPr>
            <w:noProof/>
            <w:webHidden/>
          </w:rPr>
          <w:tab/>
        </w:r>
        <w:r>
          <w:rPr>
            <w:noProof/>
            <w:webHidden/>
          </w:rPr>
          <w:fldChar w:fldCharType="begin"/>
        </w:r>
        <w:r>
          <w:rPr>
            <w:noProof/>
            <w:webHidden/>
          </w:rPr>
          <w:instrText xml:space="preserve"> PAGEREF _Toc459076491 \h </w:instrText>
        </w:r>
        <w:r>
          <w:rPr>
            <w:noProof/>
            <w:webHidden/>
          </w:rPr>
        </w:r>
        <w:r>
          <w:rPr>
            <w:noProof/>
            <w:webHidden/>
          </w:rPr>
          <w:fldChar w:fldCharType="separate"/>
        </w:r>
        <w:r>
          <w:rPr>
            <w:noProof/>
            <w:webHidden/>
          </w:rPr>
          <w:t>96</w:t>
        </w:r>
        <w:r>
          <w:rPr>
            <w:noProof/>
            <w:webHidden/>
          </w:rPr>
          <w:fldChar w:fldCharType="end"/>
        </w:r>
      </w:hyperlink>
    </w:p>
    <w:p w14:paraId="7C5E1EED"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2" w:history="1">
        <w:r w:rsidRPr="0048645E">
          <w:rPr>
            <w:rStyle w:val="Hyperlink"/>
            <w:noProof/>
          </w:rPr>
          <w:t xml:space="preserve">Figure 41. LMs of </w:t>
        </w:r>
        <w:r w:rsidRPr="0048645E">
          <w:rPr>
            <w:rStyle w:val="Hyperlink"/>
            <w:i/>
            <w:noProof/>
          </w:rPr>
          <w:t>L</w:t>
        </w:r>
        <w:r w:rsidRPr="0048645E">
          <w:rPr>
            <w:rStyle w:val="Hyperlink"/>
            <w:noProof/>
            <w:vertAlign w:val="subscript"/>
          </w:rPr>
          <w:t>1</w:t>
        </w:r>
        <w:r w:rsidRPr="0048645E">
          <w:rPr>
            <w:rStyle w:val="Hyperlink"/>
            <w:noProof/>
          </w:rPr>
          <w:t xml:space="preserve"> by different methods from base case to collapsing point.</w:t>
        </w:r>
        <w:r>
          <w:rPr>
            <w:noProof/>
            <w:webHidden/>
          </w:rPr>
          <w:tab/>
        </w:r>
        <w:r>
          <w:rPr>
            <w:noProof/>
            <w:webHidden/>
          </w:rPr>
          <w:fldChar w:fldCharType="begin"/>
        </w:r>
        <w:r>
          <w:rPr>
            <w:noProof/>
            <w:webHidden/>
          </w:rPr>
          <w:instrText xml:space="preserve"> PAGEREF _Toc459076492 \h </w:instrText>
        </w:r>
        <w:r>
          <w:rPr>
            <w:noProof/>
            <w:webHidden/>
          </w:rPr>
        </w:r>
        <w:r>
          <w:rPr>
            <w:noProof/>
            <w:webHidden/>
          </w:rPr>
          <w:fldChar w:fldCharType="separate"/>
        </w:r>
        <w:r>
          <w:rPr>
            <w:noProof/>
            <w:webHidden/>
          </w:rPr>
          <w:t>97</w:t>
        </w:r>
        <w:r>
          <w:rPr>
            <w:noProof/>
            <w:webHidden/>
          </w:rPr>
          <w:fldChar w:fldCharType="end"/>
        </w:r>
      </w:hyperlink>
    </w:p>
    <w:p w14:paraId="41D56C19"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3" w:history="1">
        <w:r w:rsidRPr="0048645E">
          <w:rPr>
            <w:rStyle w:val="Hyperlink"/>
            <w:noProof/>
          </w:rPr>
          <w:t>Figure 42. Impedances of equivalent circuit of Bus 44 in 118-bus system</w:t>
        </w:r>
        <w:r>
          <w:rPr>
            <w:noProof/>
            <w:webHidden/>
          </w:rPr>
          <w:tab/>
        </w:r>
        <w:r>
          <w:rPr>
            <w:noProof/>
            <w:webHidden/>
          </w:rPr>
          <w:fldChar w:fldCharType="begin"/>
        </w:r>
        <w:r>
          <w:rPr>
            <w:noProof/>
            <w:webHidden/>
          </w:rPr>
          <w:instrText xml:space="preserve"> PAGEREF _Toc459076493 \h </w:instrText>
        </w:r>
        <w:r>
          <w:rPr>
            <w:noProof/>
            <w:webHidden/>
          </w:rPr>
        </w:r>
        <w:r>
          <w:rPr>
            <w:noProof/>
            <w:webHidden/>
          </w:rPr>
          <w:fldChar w:fldCharType="separate"/>
        </w:r>
        <w:r>
          <w:rPr>
            <w:noProof/>
            <w:webHidden/>
          </w:rPr>
          <w:t>98</w:t>
        </w:r>
        <w:r>
          <w:rPr>
            <w:noProof/>
            <w:webHidden/>
          </w:rPr>
          <w:fldChar w:fldCharType="end"/>
        </w:r>
      </w:hyperlink>
    </w:p>
    <w:p w14:paraId="33A0DA9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4" w:history="1">
        <w:r w:rsidRPr="0048645E">
          <w:rPr>
            <w:rStyle w:val="Hyperlink"/>
            <w:noProof/>
          </w:rPr>
          <w:t>Figure 43. Loading margin of Bus 44 in 118-bus system</w:t>
        </w:r>
        <w:r>
          <w:rPr>
            <w:noProof/>
            <w:webHidden/>
          </w:rPr>
          <w:tab/>
        </w:r>
        <w:r>
          <w:rPr>
            <w:noProof/>
            <w:webHidden/>
          </w:rPr>
          <w:fldChar w:fldCharType="begin"/>
        </w:r>
        <w:r>
          <w:rPr>
            <w:noProof/>
            <w:webHidden/>
          </w:rPr>
          <w:instrText xml:space="preserve"> PAGEREF _Toc459076494 \h </w:instrText>
        </w:r>
        <w:r>
          <w:rPr>
            <w:noProof/>
            <w:webHidden/>
          </w:rPr>
        </w:r>
        <w:r>
          <w:rPr>
            <w:noProof/>
            <w:webHidden/>
          </w:rPr>
          <w:fldChar w:fldCharType="separate"/>
        </w:r>
        <w:r>
          <w:rPr>
            <w:noProof/>
            <w:webHidden/>
          </w:rPr>
          <w:t>98</w:t>
        </w:r>
        <w:r>
          <w:rPr>
            <w:noProof/>
            <w:webHidden/>
          </w:rPr>
          <w:fldChar w:fldCharType="end"/>
        </w:r>
      </w:hyperlink>
    </w:p>
    <w:p w14:paraId="3CEFA994"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5" w:history="1">
        <w:r w:rsidRPr="0048645E">
          <w:rPr>
            <w:rStyle w:val="Hyperlink"/>
            <w:noProof/>
          </w:rPr>
          <w:t>Figure 44. Constant power load and PV curve.</w:t>
        </w:r>
        <w:r>
          <w:rPr>
            <w:noProof/>
            <w:webHidden/>
          </w:rPr>
          <w:tab/>
        </w:r>
        <w:r>
          <w:rPr>
            <w:noProof/>
            <w:webHidden/>
          </w:rPr>
          <w:fldChar w:fldCharType="begin"/>
        </w:r>
        <w:r>
          <w:rPr>
            <w:noProof/>
            <w:webHidden/>
          </w:rPr>
          <w:instrText xml:space="preserve"> PAGEREF _Toc459076495 \h </w:instrText>
        </w:r>
        <w:r>
          <w:rPr>
            <w:noProof/>
            <w:webHidden/>
          </w:rPr>
        </w:r>
        <w:r>
          <w:rPr>
            <w:noProof/>
            <w:webHidden/>
          </w:rPr>
          <w:fldChar w:fldCharType="separate"/>
        </w:r>
        <w:r>
          <w:rPr>
            <w:noProof/>
            <w:webHidden/>
          </w:rPr>
          <w:t>102</w:t>
        </w:r>
        <w:r>
          <w:rPr>
            <w:noProof/>
            <w:webHidden/>
          </w:rPr>
          <w:fldChar w:fldCharType="end"/>
        </w:r>
      </w:hyperlink>
    </w:p>
    <w:p w14:paraId="514965D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6" w:history="1">
        <w:r w:rsidRPr="0048645E">
          <w:rPr>
            <w:rStyle w:val="Hyperlink"/>
            <w:noProof/>
          </w:rPr>
          <w:t>Figure 45. PV curve of Bus 2 in sample 2-bus system under P load.</w:t>
        </w:r>
        <w:r>
          <w:rPr>
            <w:noProof/>
            <w:webHidden/>
          </w:rPr>
          <w:tab/>
        </w:r>
        <w:r>
          <w:rPr>
            <w:noProof/>
            <w:webHidden/>
          </w:rPr>
          <w:fldChar w:fldCharType="begin"/>
        </w:r>
        <w:r>
          <w:rPr>
            <w:noProof/>
            <w:webHidden/>
          </w:rPr>
          <w:instrText xml:space="preserve"> PAGEREF _Toc459076496 \h </w:instrText>
        </w:r>
        <w:r>
          <w:rPr>
            <w:noProof/>
            <w:webHidden/>
          </w:rPr>
        </w:r>
        <w:r>
          <w:rPr>
            <w:noProof/>
            <w:webHidden/>
          </w:rPr>
          <w:fldChar w:fldCharType="separate"/>
        </w:r>
        <w:r>
          <w:rPr>
            <w:noProof/>
            <w:webHidden/>
          </w:rPr>
          <w:t>103</w:t>
        </w:r>
        <w:r>
          <w:rPr>
            <w:noProof/>
            <w:webHidden/>
          </w:rPr>
          <w:fldChar w:fldCharType="end"/>
        </w:r>
      </w:hyperlink>
    </w:p>
    <w:p w14:paraId="07D593A0"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7" w:history="1">
        <w:r w:rsidRPr="0048645E">
          <w:rPr>
            <w:rStyle w:val="Hyperlink"/>
            <w:noProof/>
          </w:rPr>
          <w:t>Figure 46. Constant current load and PV curve.</w:t>
        </w:r>
        <w:r>
          <w:rPr>
            <w:noProof/>
            <w:webHidden/>
          </w:rPr>
          <w:tab/>
        </w:r>
        <w:r>
          <w:rPr>
            <w:noProof/>
            <w:webHidden/>
          </w:rPr>
          <w:fldChar w:fldCharType="begin"/>
        </w:r>
        <w:r>
          <w:rPr>
            <w:noProof/>
            <w:webHidden/>
          </w:rPr>
          <w:instrText xml:space="preserve"> PAGEREF _Toc459076497 \h </w:instrText>
        </w:r>
        <w:r>
          <w:rPr>
            <w:noProof/>
            <w:webHidden/>
          </w:rPr>
        </w:r>
        <w:r>
          <w:rPr>
            <w:noProof/>
            <w:webHidden/>
          </w:rPr>
          <w:fldChar w:fldCharType="separate"/>
        </w:r>
        <w:r>
          <w:rPr>
            <w:noProof/>
            <w:webHidden/>
          </w:rPr>
          <w:t>105</w:t>
        </w:r>
        <w:r>
          <w:rPr>
            <w:noProof/>
            <w:webHidden/>
          </w:rPr>
          <w:fldChar w:fldCharType="end"/>
        </w:r>
      </w:hyperlink>
    </w:p>
    <w:p w14:paraId="278D076A"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8" w:history="1">
        <w:r w:rsidRPr="0048645E">
          <w:rPr>
            <w:rStyle w:val="Hyperlink"/>
            <w:noProof/>
          </w:rPr>
          <w:t>Figure 47. PV curve of Bus 2 in the sample 2-bus system under I load.</w:t>
        </w:r>
        <w:r>
          <w:rPr>
            <w:noProof/>
            <w:webHidden/>
          </w:rPr>
          <w:tab/>
        </w:r>
        <w:r>
          <w:rPr>
            <w:noProof/>
            <w:webHidden/>
          </w:rPr>
          <w:fldChar w:fldCharType="begin"/>
        </w:r>
        <w:r>
          <w:rPr>
            <w:noProof/>
            <w:webHidden/>
          </w:rPr>
          <w:instrText xml:space="preserve"> PAGEREF _Toc459076498 \h </w:instrText>
        </w:r>
        <w:r>
          <w:rPr>
            <w:noProof/>
            <w:webHidden/>
          </w:rPr>
        </w:r>
        <w:r>
          <w:rPr>
            <w:noProof/>
            <w:webHidden/>
          </w:rPr>
          <w:fldChar w:fldCharType="separate"/>
        </w:r>
        <w:r>
          <w:rPr>
            <w:noProof/>
            <w:webHidden/>
          </w:rPr>
          <w:t>105</w:t>
        </w:r>
        <w:r>
          <w:rPr>
            <w:noProof/>
            <w:webHidden/>
          </w:rPr>
          <w:fldChar w:fldCharType="end"/>
        </w:r>
      </w:hyperlink>
    </w:p>
    <w:p w14:paraId="68624060"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499" w:history="1">
        <w:r w:rsidRPr="0048645E">
          <w:rPr>
            <w:rStyle w:val="Hyperlink"/>
            <w:noProof/>
          </w:rPr>
          <w:t>Figure 48. Constant impedance load and PV curve.</w:t>
        </w:r>
        <w:r>
          <w:rPr>
            <w:noProof/>
            <w:webHidden/>
          </w:rPr>
          <w:tab/>
        </w:r>
        <w:r>
          <w:rPr>
            <w:noProof/>
            <w:webHidden/>
          </w:rPr>
          <w:fldChar w:fldCharType="begin"/>
        </w:r>
        <w:r>
          <w:rPr>
            <w:noProof/>
            <w:webHidden/>
          </w:rPr>
          <w:instrText xml:space="preserve"> PAGEREF _Toc459076499 \h </w:instrText>
        </w:r>
        <w:r>
          <w:rPr>
            <w:noProof/>
            <w:webHidden/>
          </w:rPr>
        </w:r>
        <w:r>
          <w:rPr>
            <w:noProof/>
            <w:webHidden/>
          </w:rPr>
          <w:fldChar w:fldCharType="separate"/>
        </w:r>
        <w:r>
          <w:rPr>
            <w:noProof/>
            <w:webHidden/>
          </w:rPr>
          <w:t>105</w:t>
        </w:r>
        <w:r>
          <w:rPr>
            <w:noProof/>
            <w:webHidden/>
          </w:rPr>
          <w:fldChar w:fldCharType="end"/>
        </w:r>
      </w:hyperlink>
    </w:p>
    <w:p w14:paraId="1C4C9F09"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0" w:history="1">
        <w:r w:rsidRPr="0048645E">
          <w:rPr>
            <w:rStyle w:val="Hyperlink"/>
            <w:noProof/>
          </w:rPr>
          <w:t>Figure 49. ZIP load and PV curve.</w:t>
        </w:r>
        <w:r>
          <w:rPr>
            <w:noProof/>
            <w:webHidden/>
          </w:rPr>
          <w:tab/>
        </w:r>
        <w:r>
          <w:rPr>
            <w:noProof/>
            <w:webHidden/>
          </w:rPr>
          <w:fldChar w:fldCharType="begin"/>
        </w:r>
        <w:r>
          <w:rPr>
            <w:noProof/>
            <w:webHidden/>
          </w:rPr>
          <w:instrText xml:space="preserve"> PAGEREF _Toc459076500 \h </w:instrText>
        </w:r>
        <w:r>
          <w:rPr>
            <w:noProof/>
            <w:webHidden/>
          </w:rPr>
        </w:r>
        <w:r>
          <w:rPr>
            <w:noProof/>
            <w:webHidden/>
          </w:rPr>
          <w:fldChar w:fldCharType="separate"/>
        </w:r>
        <w:r>
          <w:rPr>
            <w:noProof/>
            <w:webHidden/>
          </w:rPr>
          <w:t>106</w:t>
        </w:r>
        <w:r>
          <w:rPr>
            <w:noProof/>
            <w:webHidden/>
          </w:rPr>
          <w:fldChar w:fldCharType="end"/>
        </w:r>
      </w:hyperlink>
    </w:p>
    <w:p w14:paraId="427DCEE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1" w:history="1">
        <w:r w:rsidRPr="0048645E">
          <w:rPr>
            <w:rStyle w:val="Hyperlink"/>
            <w:noProof/>
          </w:rPr>
          <w:t>Figure 50. Exponential load and PV curve.</w:t>
        </w:r>
        <w:r>
          <w:rPr>
            <w:noProof/>
            <w:webHidden/>
          </w:rPr>
          <w:tab/>
        </w:r>
        <w:r>
          <w:rPr>
            <w:noProof/>
            <w:webHidden/>
          </w:rPr>
          <w:fldChar w:fldCharType="begin"/>
        </w:r>
        <w:r>
          <w:rPr>
            <w:noProof/>
            <w:webHidden/>
          </w:rPr>
          <w:instrText xml:space="preserve"> PAGEREF _Toc459076501 \h </w:instrText>
        </w:r>
        <w:r>
          <w:rPr>
            <w:noProof/>
            <w:webHidden/>
          </w:rPr>
        </w:r>
        <w:r>
          <w:rPr>
            <w:noProof/>
            <w:webHidden/>
          </w:rPr>
          <w:fldChar w:fldCharType="separate"/>
        </w:r>
        <w:r>
          <w:rPr>
            <w:noProof/>
            <w:webHidden/>
          </w:rPr>
          <w:t>107</w:t>
        </w:r>
        <w:r>
          <w:rPr>
            <w:noProof/>
            <w:webHidden/>
          </w:rPr>
          <w:fldChar w:fldCharType="end"/>
        </w:r>
      </w:hyperlink>
    </w:p>
    <w:p w14:paraId="6F78057B"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2" w:history="1">
        <w:r w:rsidRPr="0048645E">
          <w:rPr>
            <w:rStyle w:val="Hyperlink"/>
            <w:noProof/>
          </w:rPr>
          <w:t>Figure 51. Equivalent circuit of a ZIP load bus.</w:t>
        </w:r>
        <w:r>
          <w:rPr>
            <w:noProof/>
            <w:webHidden/>
          </w:rPr>
          <w:tab/>
        </w:r>
        <w:r>
          <w:rPr>
            <w:noProof/>
            <w:webHidden/>
          </w:rPr>
          <w:fldChar w:fldCharType="begin"/>
        </w:r>
        <w:r>
          <w:rPr>
            <w:noProof/>
            <w:webHidden/>
          </w:rPr>
          <w:instrText xml:space="preserve"> PAGEREF _Toc459076502 \h </w:instrText>
        </w:r>
        <w:r>
          <w:rPr>
            <w:noProof/>
            <w:webHidden/>
          </w:rPr>
        </w:r>
        <w:r>
          <w:rPr>
            <w:noProof/>
            <w:webHidden/>
          </w:rPr>
          <w:fldChar w:fldCharType="separate"/>
        </w:r>
        <w:r>
          <w:rPr>
            <w:noProof/>
            <w:webHidden/>
          </w:rPr>
          <w:t>109</w:t>
        </w:r>
        <w:r>
          <w:rPr>
            <w:noProof/>
            <w:webHidden/>
          </w:rPr>
          <w:fldChar w:fldCharType="end"/>
        </w:r>
      </w:hyperlink>
    </w:p>
    <w:p w14:paraId="6A77200A"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3" w:history="1">
        <w:r w:rsidRPr="0048645E">
          <w:rPr>
            <w:rStyle w:val="Hyperlink"/>
            <w:noProof/>
          </w:rPr>
          <w:t>Figure 52. Topology of the IEEE 14-bus system.</w:t>
        </w:r>
        <w:r>
          <w:rPr>
            <w:noProof/>
            <w:webHidden/>
          </w:rPr>
          <w:tab/>
        </w:r>
        <w:r>
          <w:rPr>
            <w:noProof/>
            <w:webHidden/>
          </w:rPr>
          <w:fldChar w:fldCharType="begin"/>
        </w:r>
        <w:r>
          <w:rPr>
            <w:noProof/>
            <w:webHidden/>
          </w:rPr>
          <w:instrText xml:space="preserve"> PAGEREF _Toc459076503 \h </w:instrText>
        </w:r>
        <w:r>
          <w:rPr>
            <w:noProof/>
            <w:webHidden/>
          </w:rPr>
        </w:r>
        <w:r>
          <w:rPr>
            <w:noProof/>
            <w:webHidden/>
          </w:rPr>
          <w:fldChar w:fldCharType="separate"/>
        </w:r>
        <w:r>
          <w:rPr>
            <w:noProof/>
            <w:webHidden/>
          </w:rPr>
          <w:t>112</w:t>
        </w:r>
        <w:r>
          <w:rPr>
            <w:noProof/>
            <w:webHidden/>
          </w:rPr>
          <w:fldChar w:fldCharType="end"/>
        </w:r>
      </w:hyperlink>
    </w:p>
    <w:p w14:paraId="7715103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4" w:history="1">
        <w:r w:rsidRPr="0048645E">
          <w:rPr>
            <w:rStyle w:val="Hyperlink"/>
            <w:noProof/>
          </w:rPr>
          <w:t>Figure 53. Voltage of 6 load buses in 14-bus system with the ZIP model.</w:t>
        </w:r>
        <w:r>
          <w:rPr>
            <w:noProof/>
            <w:webHidden/>
          </w:rPr>
          <w:tab/>
        </w:r>
        <w:r>
          <w:rPr>
            <w:noProof/>
            <w:webHidden/>
          </w:rPr>
          <w:fldChar w:fldCharType="begin"/>
        </w:r>
        <w:r>
          <w:rPr>
            <w:noProof/>
            <w:webHidden/>
          </w:rPr>
          <w:instrText xml:space="preserve"> PAGEREF _Toc459076504 \h </w:instrText>
        </w:r>
        <w:r>
          <w:rPr>
            <w:noProof/>
            <w:webHidden/>
          </w:rPr>
        </w:r>
        <w:r>
          <w:rPr>
            <w:noProof/>
            <w:webHidden/>
          </w:rPr>
          <w:fldChar w:fldCharType="separate"/>
        </w:r>
        <w:r>
          <w:rPr>
            <w:noProof/>
            <w:webHidden/>
          </w:rPr>
          <w:t>112</w:t>
        </w:r>
        <w:r>
          <w:rPr>
            <w:noProof/>
            <w:webHidden/>
          </w:rPr>
          <w:fldChar w:fldCharType="end"/>
        </w:r>
      </w:hyperlink>
    </w:p>
    <w:p w14:paraId="7E1D414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5" w:history="1">
        <w:r w:rsidRPr="0048645E">
          <w:rPr>
            <w:rStyle w:val="Hyperlink"/>
            <w:noProof/>
          </w:rPr>
          <w:t>Figure 54. Real power consumption of 6 load buses.</w:t>
        </w:r>
        <w:r>
          <w:rPr>
            <w:noProof/>
            <w:webHidden/>
          </w:rPr>
          <w:tab/>
        </w:r>
        <w:r>
          <w:rPr>
            <w:noProof/>
            <w:webHidden/>
          </w:rPr>
          <w:fldChar w:fldCharType="begin"/>
        </w:r>
        <w:r>
          <w:rPr>
            <w:noProof/>
            <w:webHidden/>
          </w:rPr>
          <w:instrText xml:space="preserve"> PAGEREF _Toc459076505 \h </w:instrText>
        </w:r>
        <w:r>
          <w:rPr>
            <w:noProof/>
            <w:webHidden/>
          </w:rPr>
        </w:r>
        <w:r>
          <w:rPr>
            <w:noProof/>
            <w:webHidden/>
          </w:rPr>
          <w:fldChar w:fldCharType="separate"/>
        </w:r>
        <w:r>
          <w:rPr>
            <w:noProof/>
            <w:webHidden/>
          </w:rPr>
          <w:t>112</w:t>
        </w:r>
        <w:r>
          <w:rPr>
            <w:noProof/>
            <w:webHidden/>
          </w:rPr>
          <w:fldChar w:fldCharType="end"/>
        </w:r>
      </w:hyperlink>
    </w:p>
    <w:p w14:paraId="435F80CA"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6" w:history="1">
        <w:r w:rsidRPr="0048645E">
          <w:rPr>
            <w:rStyle w:val="Hyperlink"/>
            <w:noProof/>
          </w:rPr>
          <w:t>Figure 55. Proposed VSI for load buses in 14-bus system with the ZIP model.</w:t>
        </w:r>
        <w:r>
          <w:rPr>
            <w:noProof/>
            <w:webHidden/>
          </w:rPr>
          <w:tab/>
        </w:r>
        <w:r>
          <w:rPr>
            <w:noProof/>
            <w:webHidden/>
          </w:rPr>
          <w:fldChar w:fldCharType="begin"/>
        </w:r>
        <w:r>
          <w:rPr>
            <w:noProof/>
            <w:webHidden/>
          </w:rPr>
          <w:instrText xml:space="preserve"> PAGEREF _Toc459076506 \h </w:instrText>
        </w:r>
        <w:r>
          <w:rPr>
            <w:noProof/>
            <w:webHidden/>
          </w:rPr>
        </w:r>
        <w:r>
          <w:rPr>
            <w:noProof/>
            <w:webHidden/>
          </w:rPr>
          <w:fldChar w:fldCharType="separate"/>
        </w:r>
        <w:r>
          <w:rPr>
            <w:noProof/>
            <w:webHidden/>
          </w:rPr>
          <w:t>112</w:t>
        </w:r>
        <w:r>
          <w:rPr>
            <w:noProof/>
            <w:webHidden/>
          </w:rPr>
          <w:fldChar w:fldCharType="end"/>
        </w:r>
      </w:hyperlink>
    </w:p>
    <w:p w14:paraId="41DCA06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7" w:history="1">
        <w:r w:rsidRPr="0048645E">
          <w:rPr>
            <w:rStyle w:val="Hyperlink"/>
            <w:noProof/>
          </w:rPr>
          <w:t>Figure 56. Index for P load in 14-bus system with ZIP model.</w:t>
        </w:r>
        <w:r>
          <w:rPr>
            <w:noProof/>
            <w:webHidden/>
          </w:rPr>
          <w:tab/>
        </w:r>
        <w:r>
          <w:rPr>
            <w:noProof/>
            <w:webHidden/>
          </w:rPr>
          <w:fldChar w:fldCharType="begin"/>
        </w:r>
        <w:r>
          <w:rPr>
            <w:noProof/>
            <w:webHidden/>
          </w:rPr>
          <w:instrText xml:space="preserve"> PAGEREF _Toc459076507 \h </w:instrText>
        </w:r>
        <w:r>
          <w:rPr>
            <w:noProof/>
            <w:webHidden/>
          </w:rPr>
        </w:r>
        <w:r>
          <w:rPr>
            <w:noProof/>
            <w:webHidden/>
          </w:rPr>
          <w:fldChar w:fldCharType="separate"/>
        </w:r>
        <w:r>
          <w:rPr>
            <w:noProof/>
            <w:webHidden/>
          </w:rPr>
          <w:t>112</w:t>
        </w:r>
        <w:r>
          <w:rPr>
            <w:noProof/>
            <w:webHidden/>
          </w:rPr>
          <w:fldChar w:fldCharType="end"/>
        </w:r>
      </w:hyperlink>
    </w:p>
    <w:p w14:paraId="48031D4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8" w:history="1">
        <w:r w:rsidRPr="0048645E">
          <w:rPr>
            <w:rStyle w:val="Hyperlink"/>
            <w:noProof/>
          </w:rPr>
          <w:t>Figure 57. PV sensitivities from the circuits with ZIP load model.</w:t>
        </w:r>
        <w:r>
          <w:rPr>
            <w:noProof/>
            <w:webHidden/>
          </w:rPr>
          <w:tab/>
        </w:r>
        <w:r>
          <w:rPr>
            <w:noProof/>
            <w:webHidden/>
          </w:rPr>
          <w:fldChar w:fldCharType="begin"/>
        </w:r>
        <w:r>
          <w:rPr>
            <w:noProof/>
            <w:webHidden/>
          </w:rPr>
          <w:instrText xml:space="preserve"> PAGEREF _Toc459076508 \h </w:instrText>
        </w:r>
        <w:r>
          <w:rPr>
            <w:noProof/>
            <w:webHidden/>
          </w:rPr>
        </w:r>
        <w:r>
          <w:rPr>
            <w:noProof/>
            <w:webHidden/>
          </w:rPr>
          <w:fldChar w:fldCharType="separate"/>
        </w:r>
        <w:r>
          <w:rPr>
            <w:noProof/>
            <w:webHidden/>
          </w:rPr>
          <w:t>113</w:t>
        </w:r>
        <w:r>
          <w:rPr>
            <w:noProof/>
            <w:webHidden/>
          </w:rPr>
          <w:fldChar w:fldCharType="end"/>
        </w:r>
      </w:hyperlink>
    </w:p>
    <w:p w14:paraId="3A8843E1"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09" w:history="1">
        <w:r w:rsidRPr="0048645E">
          <w:rPr>
            <w:rStyle w:val="Hyperlink"/>
            <w:noProof/>
          </w:rPr>
          <w:t>Figure 58. PV sensitivities from ZIP load model.</w:t>
        </w:r>
        <w:r>
          <w:rPr>
            <w:noProof/>
            <w:webHidden/>
          </w:rPr>
          <w:tab/>
        </w:r>
        <w:r>
          <w:rPr>
            <w:noProof/>
            <w:webHidden/>
          </w:rPr>
          <w:fldChar w:fldCharType="begin"/>
        </w:r>
        <w:r>
          <w:rPr>
            <w:noProof/>
            <w:webHidden/>
          </w:rPr>
          <w:instrText xml:space="preserve"> PAGEREF _Toc459076509 \h </w:instrText>
        </w:r>
        <w:r>
          <w:rPr>
            <w:noProof/>
            <w:webHidden/>
          </w:rPr>
        </w:r>
        <w:r>
          <w:rPr>
            <w:noProof/>
            <w:webHidden/>
          </w:rPr>
          <w:fldChar w:fldCharType="separate"/>
        </w:r>
        <w:r>
          <w:rPr>
            <w:noProof/>
            <w:webHidden/>
          </w:rPr>
          <w:t>113</w:t>
        </w:r>
        <w:r>
          <w:rPr>
            <w:noProof/>
            <w:webHidden/>
          </w:rPr>
          <w:fldChar w:fldCharType="end"/>
        </w:r>
      </w:hyperlink>
    </w:p>
    <w:p w14:paraId="18A0E2F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0" w:history="1">
        <w:r w:rsidRPr="0048645E">
          <w:rPr>
            <w:rStyle w:val="Hyperlink"/>
            <w:noProof/>
          </w:rPr>
          <w:t>Figure 59. Voltage of load buses with exponential load model.</w:t>
        </w:r>
        <w:r>
          <w:rPr>
            <w:noProof/>
            <w:webHidden/>
          </w:rPr>
          <w:tab/>
        </w:r>
        <w:r>
          <w:rPr>
            <w:noProof/>
            <w:webHidden/>
          </w:rPr>
          <w:fldChar w:fldCharType="begin"/>
        </w:r>
        <w:r>
          <w:rPr>
            <w:noProof/>
            <w:webHidden/>
          </w:rPr>
          <w:instrText xml:space="preserve"> PAGEREF _Toc459076510 \h </w:instrText>
        </w:r>
        <w:r>
          <w:rPr>
            <w:noProof/>
            <w:webHidden/>
          </w:rPr>
        </w:r>
        <w:r>
          <w:rPr>
            <w:noProof/>
            <w:webHidden/>
          </w:rPr>
          <w:fldChar w:fldCharType="separate"/>
        </w:r>
        <w:r>
          <w:rPr>
            <w:noProof/>
            <w:webHidden/>
          </w:rPr>
          <w:t>114</w:t>
        </w:r>
        <w:r>
          <w:rPr>
            <w:noProof/>
            <w:webHidden/>
          </w:rPr>
          <w:fldChar w:fldCharType="end"/>
        </w:r>
      </w:hyperlink>
    </w:p>
    <w:p w14:paraId="6F2FB122"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1" w:history="1">
        <w:r w:rsidRPr="0048645E">
          <w:rPr>
            <w:rStyle w:val="Hyperlink"/>
            <w:noProof/>
          </w:rPr>
          <w:t>Figure 60. Real power load with exponential load mode.</w:t>
        </w:r>
        <w:r>
          <w:rPr>
            <w:noProof/>
            <w:webHidden/>
          </w:rPr>
          <w:tab/>
        </w:r>
        <w:r>
          <w:rPr>
            <w:noProof/>
            <w:webHidden/>
          </w:rPr>
          <w:fldChar w:fldCharType="begin"/>
        </w:r>
        <w:r>
          <w:rPr>
            <w:noProof/>
            <w:webHidden/>
          </w:rPr>
          <w:instrText xml:space="preserve"> PAGEREF _Toc459076511 \h </w:instrText>
        </w:r>
        <w:r>
          <w:rPr>
            <w:noProof/>
            <w:webHidden/>
          </w:rPr>
        </w:r>
        <w:r>
          <w:rPr>
            <w:noProof/>
            <w:webHidden/>
          </w:rPr>
          <w:fldChar w:fldCharType="separate"/>
        </w:r>
        <w:r>
          <w:rPr>
            <w:noProof/>
            <w:webHidden/>
          </w:rPr>
          <w:t>115</w:t>
        </w:r>
        <w:r>
          <w:rPr>
            <w:noProof/>
            <w:webHidden/>
          </w:rPr>
          <w:fldChar w:fldCharType="end"/>
        </w:r>
      </w:hyperlink>
    </w:p>
    <w:p w14:paraId="13AB6748"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2" w:history="1">
        <w:r w:rsidRPr="0048645E">
          <w:rPr>
            <w:rStyle w:val="Hyperlink"/>
            <w:noProof/>
          </w:rPr>
          <w:t>Figure 61. Proposed VSI in 14-bus system with exponential load model.</w:t>
        </w:r>
        <w:r>
          <w:rPr>
            <w:noProof/>
            <w:webHidden/>
          </w:rPr>
          <w:tab/>
        </w:r>
        <w:r>
          <w:rPr>
            <w:noProof/>
            <w:webHidden/>
          </w:rPr>
          <w:fldChar w:fldCharType="begin"/>
        </w:r>
        <w:r>
          <w:rPr>
            <w:noProof/>
            <w:webHidden/>
          </w:rPr>
          <w:instrText xml:space="preserve"> PAGEREF _Toc459076512 \h </w:instrText>
        </w:r>
        <w:r>
          <w:rPr>
            <w:noProof/>
            <w:webHidden/>
          </w:rPr>
        </w:r>
        <w:r>
          <w:rPr>
            <w:noProof/>
            <w:webHidden/>
          </w:rPr>
          <w:fldChar w:fldCharType="separate"/>
        </w:r>
        <w:r>
          <w:rPr>
            <w:noProof/>
            <w:webHidden/>
          </w:rPr>
          <w:t>115</w:t>
        </w:r>
        <w:r>
          <w:rPr>
            <w:noProof/>
            <w:webHidden/>
          </w:rPr>
          <w:fldChar w:fldCharType="end"/>
        </w:r>
      </w:hyperlink>
    </w:p>
    <w:p w14:paraId="31A5E76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3" w:history="1">
        <w:r w:rsidRPr="0048645E">
          <w:rPr>
            <w:rStyle w:val="Hyperlink"/>
            <w:noProof/>
          </w:rPr>
          <w:t>Figure 62. Index for P load in 14-bus system with exponential load model.</w:t>
        </w:r>
        <w:r>
          <w:rPr>
            <w:noProof/>
            <w:webHidden/>
          </w:rPr>
          <w:tab/>
        </w:r>
        <w:r>
          <w:rPr>
            <w:noProof/>
            <w:webHidden/>
          </w:rPr>
          <w:fldChar w:fldCharType="begin"/>
        </w:r>
        <w:r>
          <w:rPr>
            <w:noProof/>
            <w:webHidden/>
          </w:rPr>
          <w:instrText xml:space="preserve"> PAGEREF _Toc459076513 \h </w:instrText>
        </w:r>
        <w:r>
          <w:rPr>
            <w:noProof/>
            <w:webHidden/>
          </w:rPr>
        </w:r>
        <w:r>
          <w:rPr>
            <w:noProof/>
            <w:webHidden/>
          </w:rPr>
          <w:fldChar w:fldCharType="separate"/>
        </w:r>
        <w:r>
          <w:rPr>
            <w:noProof/>
            <w:webHidden/>
          </w:rPr>
          <w:t>115</w:t>
        </w:r>
        <w:r>
          <w:rPr>
            <w:noProof/>
            <w:webHidden/>
          </w:rPr>
          <w:fldChar w:fldCharType="end"/>
        </w:r>
      </w:hyperlink>
    </w:p>
    <w:p w14:paraId="44AC6298"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4" w:history="1">
        <w:r w:rsidRPr="0048645E">
          <w:rPr>
            <w:rStyle w:val="Hyperlink"/>
            <w:noProof/>
          </w:rPr>
          <w:t>Figure 63. Voltage magnitudes of load buses in 181-bus WECC system.</w:t>
        </w:r>
        <w:r>
          <w:rPr>
            <w:noProof/>
            <w:webHidden/>
          </w:rPr>
          <w:tab/>
        </w:r>
        <w:r>
          <w:rPr>
            <w:noProof/>
            <w:webHidden/>
          </w:rPr>
          <w:fldChar w:fldCharType="begin"/>
        </w:r>
        <w:r>
          <w:rPr>
            <w:noProof/>
            <w:webHidden/>
          </w:rPr>
          <w:instrText xml:space="preserve"> PAGEREF _Toc459076514 \h </w:instrText>
        </w:r>
        <w:r>
          <w:rPr>
            <w:noProof/>
            <w:webHidden/>
          </w:rPr>
        </w:r>
        <w:r>
          <w:rPr>
            <w:noProof/>
            <w:webHidden/>
          </w:rPr>
          <w:fldChar w:fldCharType="separate"/>
        </w:r>
        <w:r>
          <w:rPr>
            <w:noProof/>
            <w:webHidden/>
          </w:rPr>
          <w:t>115</w:t>
        </w:r>
        <w:r>
          <w:rPr>
            <w:noProof/>
            <w:webHidden/>
          </w:rPr>
          <w:fldChar w:fldCharType="end"/>
        </w:r>
      </w:hyperlink>
    </w:p>
    <w:p w14:paraId="244F2FD2"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5" w:history="1">
        <w:r w:rsidRPr="0048645E">
          <w:rPr>
            <w:rStyle w:val="Hyperlink"/>
            <w:noProof/>
          </w:rPr>
          <w:t>Figure 64. Real power of load buses in 181-bus WECC system.</w:t>
        </w:r>
        <w:r>
          <w:rPr>
            <w:noProof/>
            <w:webHidden/>
          </w:rPr>
          <w:tab/>
        </w:r>
        <w:r>
          <w:rPr>
            <w:noProof/>
            <w:webHidden/>
          </w:rPr>
          <w:fldChar w:fldCharType="begin"/>
        </w:r>
        <w:r>
          <w:rPr>
            <w:noProof/>
            <w:webHidden/>
          </w:rPr>
          <w:instrText xml:space="preserve"> PAGEREF _Toc459076515 \h </w:instrText>
        </w:r>
        <w:r>
          <w:rPr>
            <w:noProof/>
            <w:webHidden/>
          </w:rPr>
        </w:r>
        <w:r>
          <w:rPr>
            <w:noProof/>
            <w:webHidden/>
          </w:rPr>
          <w:fldChar w:fldCharType="separate"/>
        </w:r>
        <w:r>
          <w:rPr>
            <w:noProof/>
            <w:webHidden/>
          </w:rPr>
          <w:t>116</w:t>
        </w:r>
        <w:r>
          <w:rPr>
            <w:noProof/>
            <w:webHidden/>
          </w:rPr>
          <w:fldChar w:fldCharType="end"/>
        </w:r>
      </w:hyperlink>
    </w:p>
    <w:p w14:paraId="0CEA5386"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6" w:history="1">
        <w:r w:rsidRPr="0048645E">
          <w:rPr>
            <w:rStyle w:val="Hyperlink"/>
            <w:noProof/>
          </w:rPr>
          <w:t>Figure 65. Proposed VSI in 181-bus WECC system.</w:t>
        </w:r>
        <w:r>
          <w:rPr>
            <w:noProof/>
            <w:webHidden/>
          </w:rPr>
          <w:tab/>
        </w:r>
        <w:r>
          <w:rPr>
            <w:noProof/>
            <w:webHidden/>
          </w:rPr>
          <w:fldChar w:fldCharType="begin"/>
        </w:r>
        <w:r>
          <w:rPr>
            <w:noProof/>
            <w:webHidden/>
          </w:rPr>
          <w:instrText xml:space="preserve"> PAGEREF _Toc459076516 \h </w:instrText>
        </w:r>
        <w:r>
          <w:rPr>
            <w:noProof/>
            <w:webHidden/>
          </w:rPr>
        </w:r>
        <w:r>
          <w:rPr>
            <w:noProof/>
            <w:webHidden/>
          </w:rPr>
          <w:fldChar w:fldCharType="separate"/>
        </w:r>
        <w:r>
          <w:rPr>
            <w:noProof/>
            <w:webHidden/>
          </w:rPr>
          <w:t>117</w:t>
        </w:r>
        <w:r>
          <w:rPr>
            <w:noProof/>
            <w:webHidden/>
          </w:rPr>
          <w:fldChar w:fldCharType="end"/>
        </w:r>
      </w:hyperlink>
    </w:p>
    <w:p w14:paraId="1492F30E"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7" w:history="1">
        <w:r w:rsidRPr="0048645E">
          <w:rPr>
            <w:rStyle w:val="Hyperlink"/>
            <w:noProof/>
          </w:rPr>
          <w:t>Figure 66. VSI for P load in 181-bus WECC system.</w:t>
        </w:r>
        <w:r>
          <w:rPr>
            <w:noProof/>
            <w:webHidden/>
          </w:rPr>
          <w:tab/>
        </w:r>
        <w:r>
          <w:rPr>
            <w:noProof/>
            <w:webHidden/>
          </w:rPr>
          <w:fldChar w:fldCharType="begin"/>
        </w:r>
        <w:r>
          <w:rPr>
            <w:noProof/>
            <w:webHidden/>
          </w:rPr>
          <w:instrText xml:space="preserve"> PAGEREF _Toc459076517 \h </w:instrText>
        </w:r>
        <w:r>
          <w:rPr>
            <w:noProof/>
            <w:webHidden/>
          </w:rPr>
        </w:r>
        <w:r>
          <w:rPr>
            <w:noProof/>
            <w:webHidden/>
          </w:rPr>
          <w:fldChar w:fldCharType="separate"/>
        </w:r>
        <w:r>
          <w:rPr>
            <w:noProof/>
            <w:webHidden/>
          </w:rPr>
          <w:t>117</w:t>
        </w:r>
        <w:r>
          <w:rPr>
            <w:noProof/>
            <w:webHidden/>
          </w:rPr>
          <w:fldChar w:fldCharType="end"/>
        </w:r>
      </w:hyperlink>
    </w:p>
    <w:p w14:paraId="64831C7A"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8" w:history="1">
        <w:r w:rsidRPr="0048645E">
          <w:rPr>
            <w:rStyle w:val="Hyperlink"/>
            <w:noProof/>
          </w:rPr>
          <w:t>Figure 67. PV sensitivities from PV curve.</w:t>
        </w:r>
        <w:r>
          <w:rPr>
            <w:noProof/>
            <w:webHidden/>
          </w:rPr>
          <w:tab/>
        </w:r>
        <w:r>
          <w:rPr>
            <w:noProof/>
            <w:webHidden/>
          </w:rPr>
          <w:fldChar w:fldCharType="begin"/>
        </w:r>
        <w:r>
          <w:rPr>
            <w:noProof/>
            <w:webHidden/>
          </w:rPr>
          <w:instrText xml:space="preserve"> PAGEREF _Toc459076518 \h </w:instrText>
        </w:r>
        <w:r>
          <w:rPr>
            <w:noProof/>
            <w:webHidden/>
          </w:rPr>
        </w:r>
        <w:r>
          <w:rPr>
            <w:noProof/>
            <w:webHidden/>
          </w:rPr>
          <w:fldChar w:fldCharType="separate"/>
        </w:r>
        <w:r>
          <w:rPr>
            <w:noProof/>
            <w:webHidden/>
          </w:rPr>
          <w:t>117</w:t>
        </w:r>
        <w:r>
          <w:rPr>
            <w:noProof/>
            <w:webHidden/>
          </w:rPr>
          <w:fldChar w:fldCharType="end"/>
        </w:r>
      </w:hyperlink>
    </w:p>
    <w:p w14:paraId="14E85D99"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19" w:history="1">
        <w:r w:rsidRPr="0048645E">
          <w:rPr>
            <w:rStyle w:val="Hyperlink"/>
            <w:noProof/>
          </w:rPr>
          <w:t>Figure 68. PV sensitivities from PV curve around 800 seconds.</w:t>
        </w:r>
        <w:r>
          <w:rPr>
            <w:noProof/>
            <w:webHidden/>
          </w:rPr>
          <w:tab/>
        </w:r>
        <w:r>
          <w:rPr>
            <w:noProof/>
            <w:webHidden/>
          </w:rPr>
          <w:fldChar w:fldCharType="begin"/>
        </w:r>
        <w:r>
          <w:rPr>
            <w:noProof/>
            <w:webHidden/>
          </w:rPr>
          <w:instrText xml:space="preserve"> PAGEREF _Toc459076519 \h </w:instrText>
        </w:r>
        <w:r>
          <w:rPr>
            <w:noProof/>
            <w:webHidden/>
          </w:rPr>
        </w:r>
        <w:r>
          <w:rPr>
            <w:noProof/>
            <w:webHidden/>
          </w:rPr>
          <w:fldChar w:fldCharType="separate"/>
        </w:r>
        <w:r>
          <w:rPr>
            <w:noProof/>
            <w:webHidden/>
          </w:rPr>
          <w:t>117</w:t>
        </w:r>
        <w:r>
          <w:rPr>
            <w:noProof/>
            <w:webHidden/>
          </w:rPr>
          <w:fldChar w:fldCharType="end"/>
        </w:r>
      </w:hyperlink>
    </w:p>
    <w:p w14:paraId="315B71ED"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20" w:history="1">
        <w:r w:rsidRPr="0048645E">
          <w:rPr>
            <w:rStyle w:val="Hyperlink"/>
            <w:noProof/>
          </w:rPr>
          <w:t>Figure 69. PV sensitivities from ZIP load model.</w:t>
        </w:r>
        <w:r>
          <w:rPr>
            <w:noProof/>
            <w:webHidden/>
          </w:rPr>
          <w:tab/>
        </w:r>
        <w:r>
          <w:rPr>
            <w:noProof/>
            <w:webHidden/>
          </w:rPr>
          <w:fldChar w:fldCharType="begin"/>
        </w:r>
        <w:r>
          <w:rPr>
            <w:noProof/>
            <w:webHidden/>
          </w:rPr>
          <w:instrText xml:space="preserve"> PAGEREF _Toc459076520 \h </w:instrText>
        </w:r>
        <w:r>
          <w:rPr>
            <w:noProof/>
            <w:webHidden/>
          </w:rPr>
        </w:r>
        <w:r>
          <w:rPr>
            <w:noProof/>
            <w:webHidden/>
          </w:rPr>
          <w:fldChar w:fldCharType="separate"/>
        </w:r>
        <w:r>
          <w:rPr>
            <w:noProof/>
            <w:webHidden/>
          </w:rPr>
          <w:t>119</w:t>
        </w:r>
        <w:r>
          <w:rPr>
            <w:noProof/>
            <w:webHidden/>
          </w:rPr>
          <w:fldChar w:fldCharType="end"/>
        </w:r>
      </w:hyperlink>
    </w:p>
    <w:p w14:paraId="1C2E658B"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21" w:history="1">
        <w:r w:rsidRPr="0048645E">
          <w:rPr>
            <w:rStyle w:val="Hyperlink"/>
            <w:noProof/>
          </w:rPr>
          <w:t>Figure 70. Voltage of LA area load with exponential load model.</w:t>
        </w:r>
        <w:r>
          <w:rPr>
            <w:noProof/>
            <w:webHidden/>
          </w:rPr>
          <w:tab/>
        </w:r>
        <w:r>
          <w:rPr>
            <w:noProof/>
            <w:webHidden/>
          </w:rPr>
          <w:fldChar w:fldCharType="begin"/>
        </w:r>
        <w:r>
          <w:rPr>
            <w:noProof/>
            <w:webHidden/>
          </w:rPr>
          <w:instrText xml:space="preserve"> PAGEREF _Toc459076521 \h </w:instrText>
        </w:r>
        <w:r>
          <w:rPr>
            <w:noProof/>
            <w:webHidden/>
          </w:rPr>
        </w:r>
        <w:r>
          <w:rPr>
            <w:noProof/>
            <w:webHidden/>
          </w:rPr>
          <w:fldChar w:fldCharType="separate"/>
        </w:r>
        <w:r>
          <w:rPr>
            <w:noProof/>
            <w:webHidden/>
          </w:rPr>
          <w:t>119</w:t>
        </w:r>
        <w:r>
          <w:rPr>
            <w:noProof/>
            <w:webHidden/>
          </w:rPr>
          <w:fldChar w:fldCharType="end"/>
        </w:r>
      </w:hyperlink>
    </w:p>
    <w:p w14:paraId="3AFA542C"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22" w:history="1">
        <w:r w:rsidRPr="0048645E">
          <w:rPr>
            <w:rStyle w:val="Hyperlink"/>
            <w:noProof/>
          </w:rPr>
          <w:t>Figure 71. Proposed VSI for LA area load with exponential load model.</w:t>
        </w:r>
        <w:r>
          <w:rPr>
            <w:noProof/>
            <w:webHidden/>
          </w:rPr>
          <w:tab/>
        </w:r>
        <w:r>
          <w:rPr>
            <w:noProof/>
            <w:webHidden/>
          </w:rPr>
          <w:fldChar w:fldCharType="begin"/>
        </w:r>
        <w:r>
          <w:rPr>
            <w:noProof/>
            <w:webHidden/>
          </w:rPr>
          <w:instrText xml:space="preserve"> PAGEREF _Toc459076522 \h </w:instrText>
        </w:r>
        <w:r>
          <w:rPr>
            <w:noProof/>
            <w:webHidden/>
          </w:rPr>
        </w:r>
        <w:r>
          <w:rPr>
            <w:noProof/>
            <w:webHidden/>
          </w:rPr>
          <w:fldChar w:fldCharType="separate"/>
        </w:r>
        <w:r>
          <w:rPr>
            <w:noProof/>
            <w:webHidden/>
          </w:rPr>
          <w:t>119</w:t>
        </w:r>
        <w:r>
          <w:rPr>
            <w:noProof/>
            <w:webHidden/>
          </w:rPr>
          <w:fldChar w:fldCharType="end"/>
        </w:r>
      </w:hyperlink>
    </w:p>
    <w:p w14:paraId="307BEB2F" w14:textId="77777777" w:rsidR="00305180" w:rsidRDefault="00305180">
      <w:pPr>
        <w:pStyle w:val="TableofFigures"/>
        <w:tabs>
          <w:tab w:val="right" w:leader="dot" w:pos="8630"/>
        </w:tabs>
        <w:rPr>
          <w:rFonts w:asciiTheme="minorHAnsi" w:eastAsiaTheme="minorEastAsia" w:hAnsiTheme="minorHAnsi" w:cstheme="minorBidi"/>
          <w:noProof/>
          <w:sz w:val="22"/>
          <w:szCs w:val="22"/>
          <w:lang w:eastAsia="zh-CN"/>
        </w:rPr>
      </w:pPr>
      <w:hyperlink w:anchor="_Toc459076523" w:history="1">
        <w:r w:rsidRPr="0048645E">
          <w:rPr>
            <w:rStyle w:val="Hyperlink"/>
            <w:noProof/>
          </w:rPr>
          <w:t>Figure 72. Index for P load in LTB with exponential load model.</w:t>
        </w:r>
        <w:r>
          <w:rPr>
            <w:noProof/>
            <w:webHidden/>
          </w:rPr>
          <w:tab/>
        </w:r>
        <w:r>
          <w:rPr>
            <w:noProof/>
            <w:webHidden/>
          </w:rPr>
          <w:fldChar w:fldCharType="begin"/>
        </w:r>
        <w:r>
          <w:rPr>
            <w:noProof/>
            <w:webHidden/>
          </w:rPr>
          <w:instrText xml:space="preserve"> PAGEREF _Toc459076523 \h </w:instrText>
        </w:r>
        <w:r>
          <w:rPr>
            <w:noProof/>
            <w:webHidden/>
          </w:rPr>
        </w:r>
        <w:r>
          <w:rPr>
            <w:noProof/>
            <w:webHidden/>
          </w:rPr>
          <w:fldChar w:fldCharType="separate"/>
        </w:r>
        <w:r>
          <w:rPr>
            <w:noProof/>
            <w:webHidden/>
          </w:rPr>
          <w:t>119</w:t>
        </w:r>
        <w:r>
          <w:rPr>
            <w:noProof/>
            <w:webHidden/>
          </w:rPr>
          <w:fldChar w:fldCharType="end"/>
        </w:r>
      </w:hyperlink>
    </w:p>
    <w:p w14:paraId="19378E32" w14:textId="77777777" w:rsidR="003C1575" w:rsidRPr="00F920F6" w:rsidRDefault="00E60BA1">
      <w:pPr>
        <w:numPr>
          <w:ilvl w:val="12"/>
          <w:numId w:val="0"/>
        </w:numPr>
        <w:sectPr w:rsidR="003C1575" w:rsidRPr="00F920F6"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fldChar w:fldCharType="end"/>
      </w:r>
    </w:p>
    <w:p w14:paraId="0356E218" w14:textId="77777777" w:rsidR="004668D1" w:rsidRDefault="00D067C3" w:rsidP="00CC759C">
      <w:pPr>
        <w:pStyle w:val="Heading1"/>
      </w:pPr>
      <w:bookmarkStart w:id="0" w:name="_Toc459076525"/>
      <w:r w:rsidRPr="00F920F6">
        <w:lastRenderedPageBreak/>
        <w:t>C</w:t>
      </w:r>
      <w:r w:rsidR="0001493C">
        <w:t>HAPTER</w:t>
      </w:r>
      <w:r w:rsidRPr="00F920F6">
        <w:t xml:space="preserve"> </w:t>
      </w:r>
      <w:r>
        <w:t>1</w:t>
      </w:r>
      <w:r w:rsidR="00FA759F" w:rsidRPr="004D734D">
        <w:br/>
      </w:r>
      <w:r w:rsidR="0001493C">
        <w:t>INTRODUCTION AND GENERAL INFORMATION</w:t>
      </w:r>
      <w:bookmarkEnd w:id="0"/>
    </w:p>
    <w:p w14:paraId="372C6299" w14:textId="77777777" w:rsidR="00327697" w:rsidRDefault="00C803D2" w:rsidP="00335F6C">
      <w:r w:rsidRPr="00A7750B">
        <w:t xml:space="preserve">Voltage </w:t>
      </w:r>
      <w:r w:rsidRPr="00A7750B">
        <w:rPr>
          <w:lang w:val="x-none"/>
        </w:rPr>
        <w:t xml:space="preserve">stability is a major concern </w:t>
      </w:r>
      <w:r w:rsidRPr="00A7750B">
        <w:t>for today’s</w:t>
      </w:r>
      <w:r w:rsidRPr="00A7750B">
        <w:rPr>
          <w:lang w:val="x-none"/>
        </w:rPr>
        <w:t xml:space="preserve"> power system operation and control </w:t>
      </w:r>
      <w:r w:rsidR="00327697">
        <w:rPr>
          <w:lang w:val="x-none"/>
        </w:rPr>
        <w:fldChar w:fldCharType="begin" w:fldLock="1"/>
      </w:r>
      <w:r w:rsidR="00164845">
        <w:rPr>
          <w:lang w:val="x-none"/>
        </w:rPr>
        <w:instrText>ADDIN CSL_CITATION { "citationItems" : [ { "id" : "ITEM-1", "itemData" : { "author" : [ { "dropping-particle" : "", "family" : "Taylor", "given" : "C. W.", "non-dropping-particle" : "", "parse-names" : false, "suffix" : "" } ], "id" : "ITEM-1", "issued" : { "date-parts" : [ [ "1994" ] ] }, "publisher" : "McGraw Hill Education", "publisher-place" : "New York", "title" : "Power System Voltage Stability", "type" : "book" }, "uris" : [ "http://www.mendeley.com/documents/?uuid=f5ba7386-ccd1-43c4-a053-09089f1115ba" ] } ], "mendeley" : { "formattedCitation" : "[1]", "plainTextFormattedCitation" : "[1]", "previouslyFormattedCitation" : "[1]" }, "properties" : { "noteIndex" : 0 }, "schema" : "https://github.com/citation-style-language/schema/raw/master/csl-citation.json" }</w:instrText>
      </w:r>
      <w:r w:rsidR="00327697">
        <w:rPr>
          <w:lang w:val="x-none"/>
        </w:rPr>
        <w:fldChar w:fldCharType="separate"/>
      </w:r>
      <w:r w:rsidR="00327697" w:rsidRPr="00327697">
        <w:rPr>
          <w:noProof/>
          <w:lang w:val="x-none"/>
        </w:rPr>
        <w:t>[1]</w:t>
      </w:r>
      <w:r w:rsidR="00327697">
        <w:rPr>
          <w:lang w:val="x-none"/>
        </w:rPr>
        <w:fldChar w:fldCharType="end"/>
      </w:r>
      <w:r w:rsidR="00327697">
        <w:t>.</w:t>
      </w:r>
      <w:r w:rsidR="00066611">
        <w:t xml:space="preserve"> </w:t>
      </w:r>
      <w:r w:rsidR="00066611" w:rsidRPr="00A7750B">
        <w:t>Failure</w:t>
      </w:r>
      <w:r w:rsidR="00066611" w:rsidRPr="00A7750B">
        <w:rPr>
          <w:lang w:val="x-none"/>
        </w:rPr>
        <w:t xml:space="preserve"> </w:t>
      </w:r>
      <w:r w:rsidR="00066611" w:rsidRPr="00A7750B">
        <w:t>to</w:t>
      </w:r>
      <w:r w:rsidR="00066611" w:rsidRPr="00A7750B">
        <w:rPr>
          <w:lang w:val="x-none"/>
        </w:rPr>
        <w:t xml:space="preserve"> detect voltage instability or</w:t>
      </w:r>
      <w:r w:rsidR="00066611" w:rsidRPr="00A7750B">
        <w:t xml:space="preserve"> to take</w:t>
      </w:r>
      <w:r w:rsidR="00066611" w:rsidRPr="00A7750B">
        <w:rPr>
          <w:lang w:val="x-none"/>
        </w:rPr>
        <w:t xml:space="preserve"> </w:t>
      </w:r>
      <w:r w:rsidR="00066611" w:rsidRPr="00A7750B">
        <w:t>prompt</w:t>
      </w:r>
      <w:r w:rsidR="00066611" w:rsidRPr="00A7750B">
        <w:rPr>
          <w:lang w:val="x-none"/>
        </w:rPr>
        <w:t xml:space="preserve"> control </w:t>
      </w:r>
      <w:r w:rsidR="00066611" w:rsidRPr="00A7750B">
        <w:t>has caused</w:t>
      </w:r>
      <w:r w:rsidR="00066611" w:rsidRPr="00A7750B">
        <w:rPr>
          <w:lang w:val="x-none"/>
        </w:rPr>
        <w:t xml:space="preserve"> </w:t>
      </w:r>
      <w:r w:rsidR="00066611" w:rsidRPr="00A7750B">
        <w:t>several</w:t>
      </w:r>
      <w:r w:rsidR="00066611" w:rsidRPr="00A7750B">
        <w:rPr>
          <w:lang w:val="x-none"/>
        </w:rPr>
        <w:t xml:space="preserve"> system-wide blackout</w:t>
      </w:r>
      <w:r w:rsidR="00066611" w:rsidRPr="00A7750B">
        <w:t>s</w:t>
      </w:r>
      <w:r w:rsidR="00066611" w:rsidRPr="00A7750B">
        <w:rPr>
          <w:lang w:val="x-none"/>
        </w:rPr>
        <w:t xml:space="preserve">. </w:t>
      </w:r>
      <w:r w:rsidR="00327697">
        <w:t xml:space="preserve">In </w:t>
      </w:r>
      <w:r w:rsidR="00522F9E">
        <w:t>the past</w:t>
      </w:r>
      <w:r w:rsidR="00327697">
        <w:t xml:space="preserve"> dec</w:t>
      </w:r>
      <w:r w:rsidR="00164845">
        <w:t>ade</w:t>
      </w:r>
      <w:r w:rsidR="00327697">
        <w:t>,</w:t>
      </w:r>
      <w:r w:rsidR="00164845">
        <w:t xml:space="preserve"> </w:t>
      </w:r>
      <w:r w:rsidR="00947EEC">
        <w:t xml:space="preserve">the </w:t>
      </w:r>
      <w:r w:rsidR="00327697">
        <w:t>penetration of renewable and intermittent generation</w:t>
      </w:r>
      <w:r w:rsidR="00947EEC">
        <w:t>s</w:t>
      </w:r>
      <w:r w:rsidR="00066611">
        <w:t xml:space="preserve"> </w:t>
      </w:r>
      <w:r w:rsidR="005F6DF3">
        <w:fldChar w:fldCharType="begin" w:fldLock="1"/>
      </w:r>
      <w:r w:rsidR="00D96671">
        <w:instrText>ADDIN CSL_CITATION { "citationItems" : [ { "id" : "ITEM-1", "itemData" : { "author" : [ { "dropping-particle" : "", "family" : "Li", "given" : "Fangxing", "non-dropping-particle" : "", "parse-names" : false, "suffix" : "" }, { "dropping-particle" : "", "family" : "Wei", "given" : "Yanli", "non-dropping-particle" : "", "parse-names" : false, "suffix" : "" } ], "id" : "ITEM-1", "issue" : "3", "issued" : { "date-parts" : [ [ "2012" ] ] }, "page" : "455-464", "title" : "A Probability-Driven Multilayer Framework for", "type" : "article-journal", "volume" : "3" }, "uris" : [ "http://www.mendeley.com/documents/?uuid=63bb28b4-ace9-416d-9aba-b4cbbbb6cdf8" ] }, { "id" : "ITEM-2", "itemData" : { "DOI" : "10.1109/TSTE.2013.2242908", "ISSN" : "19493029", "abstract" : "The penetration of wind energy sources to power systems has significantly increased in recent years. With variable and uncertain wind power output, the payment and market-clearing price (MCP) may vary in different cases. In this paper, a methodology to quantitatively model the payment cost minimization (PCM) considering the effects of wind power from a probabilistic viewpoint is presented. The autoregressive moving average (ARMA) method with normal distribution of wind forecast error is used to model a time series of wind speed. Based on the wind turbine power curve, the probability distribution of wind power output can be obtained. Then, Monte Carlo simulation (MCS) is used to produce random samples of wind speed, and the genetic algorithm is applied to solve PCM for each sample. The proposed methodology and its solution are verified with simulation studies of two sample systems. The probabilistic distribution results can give consumers an overview of how much they should pay in a probabilistic sense. Further, the simulation results can serve as a lookup table to provide useful input for more refined unit commitment, and also provide a benchmark for future research works on PCM considering wind power. \u00a9 2010-2012 IEEE.", "author" : [ { "dropping-particle" : "", "family" : "Xu", "given" : "Yao", "non-dropping-particle" : "", "parse-names" : false, "suffix" : "" }, { "dropping-particle" : "", "family" : "Hu", "given" : "Qinran", "non-dropping-particle" : "", "parse-names" : false, "suffix" : "" }, { "dropping-particle" : "", "family" : "Li", "given" : "Fangxing", "non-dropping-particle" : "", "parse-names" : false, "suffix" : "" } ], "container-title" : "IEEE Transactions on Sustainable Energy", "id" : "ITEM-2", "issue" : "3", "issued" : { "date-parts" : [ [ "2013" ] ] }, "page" : "716-724", "title" : "Probabilistic model of payment cost minimization considering wind power and its uncertainty", "type" : "article-journal", "volume" : "4" }, "uris" : [ "http://www.mendeley.com/documents/?uuid=7496b6bc-0fc1-4c30-bb44-69d978fab320" ] }, { "id" : "ITEM-3", "itemData" : { "DOI" : "10.1109/TIE.2015.2395384", "ISSN" : "0278-0046", "abstract" : "Under the global trend of renewable energy development, various advanced techniques such as forecasting algorithm, intelligent computation, and optimal control are expected to make the complex and uncertain renewable energy system stable and profitable in the near future. This paper presents a new control strategy for large-scale wind energy conversion systems to achieve a balance between power output maximization and operating cost minimization. First, an intelligent maximum power point tracking (IMPPT) algorithm is proposed such that short-term wind speed prediction, wind turbine dynamics, and MPPT are collectively considered to improve system efficiency. Second, in view of a spatial and temporal distribution of wind speed disturbances, a box uncertainty set is embedded in the forecast wind speed, which is likely more realistic for practicing engineers. Then, the IMPPT and box uncertainties are applied to the wind energy conversion system (WECS) control strategy, which is formulated as a min-max optimization problem and efficiently solved with semi-definite programming (SDP). Finally, a comparison with the conventional MPPT control method demonstrates that the proposed approach can obtain higher efficiency, which validates this paper.", "author" : [ { "dropping-particle" : "", "family" : "Huang", "given" : "Can", "non-dropping-particle" : "", "parse-names" : false, "suffix" : "" }, { "dropping-particle" : "", "family" : "Li", "given" : "Fangxing", "non-dropping-particle" : "", "parse-names" : false, "suffix" : "" }, { "dropping-particle" : "", "family" : "Jin", "given" : "Zhiqiang", "non-dropping-particle" : "", "parse-names" : false, "suffix" : "" } ], "container-title" : "IEEE Transactions on Industrial Electronics", "id" : "ITEM-3", "issue" : "4", "issued" : { "date-parts" : [ [ "2015" ] ] }, "page" : "2530-2539", "title" : "Maximum Power Point Tracking Strategy for Large-Scale Wind Generation Systems Considering Wind Turbine Dynamics", "type" : "article-journal", "volume" : "62" }, "uris" : [ "http://www.mendeley.com/documents/?uuid=17631aef-7e52-440e-80ab-60948acf1b90" ] }, { "id" : "ITEM-4", "itemData" : { "DOI" : "http://dx.doi.org/10.1016/j.apenergy.2015.10.119", "ISSN" : "0306-2619", "abstract" : "Abstract In the United States, natural gas-fired generators gained increasing popularity in recent years due to the low fuel cost and emission, as well as the proven large gas reserves. Consequently, the highly interdependency between the gas and electricity networks is needed to be considered in the system operation. To improve the overall system operation and optimize the energy flow, an interval optimization based coordinated operating strategy for the gas-electricity integrated energy system (IES) is proposed in this paper considering demand response and wind power uncertainty. In the proposed model, the gas and electricity infrastructures are modeled in detail and their operation constraints are fully considered, wherein the nonlinear characteristics are modeled including pipeline gas flow and compressors. Then a demand response program is incorporated into the optimization model and its effects on the {IES} operation are investigated. Based on interval mathematics, wind power uncertainty is represented as interval numbers instead of probability distributions. A case study is performed on a six-bus electricity network with a seven-node gas network to demonstrate the effectiveness of the proposed method; further, the {IEEE} 118-bus system coupling with a 14-node natural gas system is used to verify its applicability in practical bulk systems. ", "author" : [ { "dropping-particle" : "", "family" : "Bai", "given" : "Linquan", "non-dropping-particle" : "", "parse-names" : false, "suffix" : "" }, { "dropping-particle" : "", "family" : "Li", "given" : "Fangxing", "non-dropping-particle" : "", "parse-names" : false, "suffix" : "" }, { "dropping-particle" : "", "family" : "Cui", "given" : "Hantao", "non-dropping-particle" : "", "parse-names" : false, "suffix" : "" }, { "dropping-particle" : "", "family" : "Jiang", "given" : "Tao", "non-dropping-particle" : "", "parse-names" : false, "suffix" : "" }, { "dropping-particle" : "", "family" : "Sun", "given" : "Hongbin", "non-dropping-particle" : "", "parse-names" : false, "suffix" : "" }, { "dropping-particle" : "", "family" : "Zhu", "given" : "Jinxiang", "non-dropping-particle" : "", "parse-names" : false, "suffix" : "" } ], "container-title" : "Applied Energy", "id" : "ITEM-4", "issued" : { "date-parts" : [ [ "2016" ] ] }, "page" : "270-279", "title" : "Interval optimization based operating strategy for gas-electricity integrated energy systems considering demand response and wind uncertainty", "type" : "article-journal", "volume" : "167" }, "uris" : [ "http://www.mendeley.com/documents/?uuid=35150e19-bdab-483a-bc67-aa7807d67081" ] }, { "id" : "ITEM-5", "itemData" : { "DOI" : "10.1002/etep.2180", "ISSN" : "2050-7038", "author" : [ { "dropping-particle" : "", "family" : "Chen", "given" : "Houhe", "non-dropping-particle" : "", "parse-names" : false, "suffix" : "" }, { "dropping-particle" : "", "family" : "Kong", "given" : "Yiming", "non-dropping-particle" : "", "parse-names" : false, "suffix" : "" }, { "dropping-particle" : "", "family" : "Li", "given" : "Guoqing", "non-dropping-particle" : "", "parse-names" : false, "suffix" : "" }, { "dropping-particle" : "", "family" : "Bai", "given" : "Linquan", "non-dropping-particle" : "", "parse-names" : false, "suffix" : "" } ], "container-title" : "International Transactions on Electrical Energy Systems", "id" : "ITEM-5", "issued" : { "date-parts" : [ [ "2016" ] ] }, "page" : "n/a-n/a", "title" : "Conditional value-at-risk-based optimal spinning reserve for wind integrated power system", "type" : "article-journal" }, "uris" : [ "http://www.mendeley.com/documents/?uuid=efd8c1d9-7a1a-4e42-aa4d-17fda68dbf5f" ] }, { "id" : "ITEM-6", "itemData" : { "DOI" : "10.1049/iet-gtd.2015.0410", "ISBN" : "1751-8687 VO  - 10", "author" : [ { "dropping-particle" : "", "family" : "Chen", "given" : "H", "non-dropping-particle" : "", "parse-names" : false, "suffix" : "" }, { "dropping-particle" : "", "family" : "Zhang", "given" : "R", "non-dropping-particle" : "", "parse-names" : false, "suffix" : "" }, { "dropping-particle" : "", "family" : "Li", "given" : "G", "non-dropping-particle" : "", "parse-names" : false, "suffix" : "" }, { "dropping-particle" : "", "family" : "Bai", "given" : "L", "non-dropping-particle" : "", "parse-names" : false, "suffix" : "" }, { "dropping-particle" : "", "family" : "Li", "given" : "F", "non-dropping-particle" : "", "parse-names" : false, "suffix" : "" } ], "container-title" : "IET Generation, Transmission &amp; Distribution", "id" : "ITEM-6", "issue" : "5", "issued" : { "date-parts" : [ [ "2016" ] ] }, "page" : "1294-1303", "title" : "Economic dispatch of wind integrated power systems with energy storage considering composite operating costs", "type" : "article", "volume" : "10" }, "uris" : [ "http://www.mendeley.com/documents/?uuid=79ce8ef4-aea3-4b93-9731-4725b30d1e23" ] }, { "id" : "ITEM-7", "itemData" : { "DOI" : "10.1109/TSTE.2014.2352931", "ISBN" : "1949-3029 VO  - 6", "author" : [ { "dropping-particle" : "", "family" : "Hu", "given" : "H", "non-dropping-particle" : "", "parse-names" : false, "suffix" : "" }, { "dropping-particle" : "", "family" : "Shi", "given" : "Q", "non-dropping-particle" : "", "parse-names" : false, "suffix" : "" }, { "dropping-particle" : "", "family" : "He", "given" : "Z", "non-dropping-particle" : "", "parse-names" : false, "suffix" : "" }, { "dropping-particle" : "", "family" : "He", "given" : "J", "non-dropping-particle" : "", "parse-names" : false, "suffix" : "" }, { "dropping-particle" : "", "family" : "Gao", "given" : "S", "non-dropping-particle" : "", "parse-names" : false, "suffix" : "" } ], "container-title" : "IEEE Transactions on Sustainable Energy", "id" : "ITEM-7", "issue" : "1", "issued" : { "date-parts" : [ [ "2015" ] ] }, "page" : "151-161", "title" : "Potential Harmonic Resonance Impacts of PV Inverter Filters on Distribution Systems", "type" : "article", "volume" : "6" }, "uris" : [ "http://www.mendeley.com/documents/?uuid=deb1f9c0-f52e-4c79-837e-4a438e030bce" ] } ], "mendeley" : { "formattedCitation" : "[2]\u2013[8]", "plainTextFormattedCitation" : "[2]\u2013[8]", "previouslyFormattedCitation" : "[2]\u2013[8]" }, "properties" : { "noteIndex" : 0 }, "schema" : "https://github.com/citation-style-language/schema/raw/master/csl-citation.json" }</w:instrText>
      </w:r>
      <w:r w:rsidR="005F6DF3">
        <w:fldChar w:fldCharType="separate"/>
      </w:r>
      <w:r w:rsidR="00D96671" w:rsidRPr="00D96671">
        <w:rPr>
          <w:noProof/>
        </w:rPr>
        <w:t>[2]–[8]</w:t>
      </w:r>
      <w:r w:rsidR="005F6DF3">
        <w:fldChar w:fldCharType="end"/>
      </w:r>
      <w:r w:rsidR="00164845">
        <w:t xml:space="preserve"> as well as the total loads in power systems keeps</w:t>
      </w:r>
      <w:r w:rsidR="00327697">
        <w:t xml:space="preserve"> increasing</w:t>
      </w:r>
      <w:r w:rsidR="00164845">
        <w:t>, while the transmission capability and the traditional generation</w:t>
      </w:r>
      <w:r w:rsidR="00327697">
        <w:t xml:space="preserve"> </w:t>
      </w:r>
      <w:r w:rsidR="00164845">
        <w:t xml:space="preserve">capacity have not increased in a comparable pace. Consequently, the </w:t>
      </w:r>
      <w:r w:rsidR="00947EEC">
        <w:t xml:space="preserve">power </w:t>
      </w:r>
      <w:r w:rsidR="00164845">
        <w:t>system</w:t>
      </w:r>
      <w:r w:rsidR="00B41074">
        <w:t>s</w:t>
      </w:r>
      <w:r w:rsidR="00164845">
        <w:t xml:space="preserve"> of today </w:t>
      </w:r>
      <w:r w:rsidR="00B41074">
        <w:t>are</w:t>
      </w:r>
      <w:r w:rsidR="00164845">
        <w:t xml:space="preserve"> </w:t>
      </w:r>
      <w:r w:rsidR="00522F9E">
        <w:t xml:space="preserve">being operated </w:t>
      </w:r>
      <w:r w:rsidR="00164845">
        <w:t xml:space="preserve">closer to </w:t>
      </w:r>
      <w:r w:rsidR="00B41074">
        <w:t>their</w:t>
      </w:r>
      <w:r w:rsidR="00164845">
        <w:t xml:space="preserve"> limit</w:t>
      </w:r>
      <w:r w:rsidR="00B41074">
        <w:t>s</w:t>
      </w:r>
      <w:r w:rsidR="00164845">
        <w:t xml:space="preserve"> </w:t>
      </w:r>
      <w:r w:rsidR="00947EEC">
        <w:t xml:space="preserve">than before </w:t>
      </w:r>
      <w:r w:rsidR="00164845">
        <w:fldChar w:fldCharType="begin" w:fldLock="1"/>
      </w:r>
      <w:r w:rsidR="00D96671">
        <w:instrText>ADDIN CSL_CITATION { "citationItems" : [ { "id" : "ITEM-1", "itemData" : { "ISBN" : "9781479959044", "author" : [ { "dropping-particle" : "", "family" : "Yuan", "given" : "Haoyu", "non-dropping-particle" : "", "parse-names" : false, "suffix" : "" }, { "dropping-particle" : "", "family" : "Li", "given" : "Fangxing", "non-dropping-particle" : "", "parse-names" : false, "suffix" : "" } ], "container-title" : "North American Power Symposium", "id" : "ITEM-1", "issued" : { "date-parts" : [ [ "2014" ] ] }, "page" : "1-6", "title" : "A Comparative Study of Measurement-Based Thevenin Equivalents Identification Methods", "type" : "paper-conference" }, "uris" : [ "http://www.mendeley.com/documents/?uuid=2c082ae3-c617-4776-9cda-cb5a5a0f66e2" ] } ], "mendeley" : { "formattedCitation" : "[9]", "plainTextFormattedCitation" : "[9]", "previouslyFormattedCitation" : "[9]" }, "properties" : { "noteIndex" : 0 }, "schema" : "https://github.com/citation-style-language/schema/raw/master/csl-citation.json" }</w:instrText>
      </w:r>
      <w:r w:rsidR="00164845">
        <w:fldChar w:fldCharType="separate"/>
      </w:r>
      <w:r w:rsidR="00D96671" w:rsidRPr="00D96671">
        <w:rPr>
          <w:noProof/>
        </w:rPr>
        <w:t>[9]</w:t>
      </w:r>
      <w:r w:rsidR="00164845">
        <w:fldChar w:fldCharType="end"/>
      </w:r>
      <w:r w:rsidR="00287A9A">
        <w:rPr>
          <w:rFonts w:hint="eastAsia"/>
          <w:lang w:eastAsia="zh-CN"/>
        </w:rPr>
        <w:t xml:space="preserve">. </w:t>
      </w:r>
      <w:r w:rsidR="00287A9A" w:rsidRPr="00A7750B">
        <w:rPr>
          <w:lang w:val="x-none"/>
        </w:rPr>
        <w:t>Therefore, to maintain the reliability of an electric power system, it is crucial that the voltage stability margin is assessed accurately and timely</w:t>
      </w:r>
      <w:r w:rsidR="00287A9A" w:rsidRPr="00A7750B">
        <w:t>.</w:t>
      </w:r>
    </w:p>
    <w:p w14:paraId="3CCF640B" w14:textId="3C85B5DB" w:rsidR="00C803D2" w:rsidRDefault="00287A9A" w:rsidP="00335F6C">
      <w:r>
        <w:rPr>
          <w:rFonts w:hint="eastAsia"/>
          <w:lang w:eastAsia="zh-CN"/>
        </w:rPr>
        <w:t xml:space="preserve">On the other hand, </w:t>
      </w:r>
      <w:r w:rsidR="00B41074">
        <w:rPr>
          <w:lang w:eastAsia="zh-CN"/>
        </w:rPr>
        <w:t xml:space="preserve">the </w:t>
      </w:r>
      <w:r w:rsidR="00552745">
        <w:rPr>
          <w:rFonts w:hint="eastAsia"/>
          <w:lang w:eastAsia="zh-CN"/>
        </w:rPr>
        <w:t>world</w:t>
      </w:r>
      <w:r w:rsidR="00552745">
        <w:rPr>
          <w:lang w:eastAsia="zh-CN"/>
        </w:rPr>
        <w:t>-</w:t>
      </w:r>
      <w:r w:rsidR="000E104C">
        <w:rPr>
          <w:rFonts w:hint="eastAsia"/>
          <w:lang w:eastAsia="zh-CN"/>
        </w:rPr>
        <w:t xml:space="preserve">wide </w:t>
      </w:r>
      <w:r>
        <w:rPr>
          <w:rFonts w:hint="eastAsia"/>
          <w:lang w:eastAsia="zh-CN"/>
        </w:rPr>
        <w:t xml:space="preserve">deployment of synchronized phasor </w:t>
      </w:r>
      <w:r>
        <w:rPr>
          <w:lang w:eastAsia="zh-CN"/>
        </w:rPr>
        <w:t>measurement</w:t>
      </w:r>
      <w:r>
        <w:rPr>
          <w:rFonts w:hint="eastAsia"/>
          <w:lang w:eastAsia="zh-CN"/>
        </w:rPr>
        <w:t xml:space="preserve"> units (PMUs) </w:t>
      </w:r>
      <w:r w:rsidR="000E104C">
        <w:rPr>
          <w:rFonts w:hint="eastAsia"/>
          <w:lang w:eastAsia="zh-CN"/>
        </w:rPr>
        <w:t xml:space="preserve">and the development of wide-area monitoring systems (WAMS) </w:t>
      </w:r>
      <w:r>
        <w:rPr>
          <w:rFonts w:hint="eastAsia"/>
          <w:lang w:eastAsia="zh-CN"/>
        </w:rPr>
        <w:t>in recent years</w:t>
      </w:r>
      <w:r w:rsidR="000E104C">
        <w:rPr>
          <w:rFonts w:hint="eastAsia"/>
          <w:lang w:eastAsia="zh-CN"/>
        </w:rPr>
        <w:t xml:space="preserve"> </w:t>
      </w:r>
      <w:r w:rsidR="000E104C">
        <w:rPr>
          <w:lang w:eastAsia="zh-CN"/>
        </w:rPr>
        <w:fldChar w:fldCharType="begin" w:fldLock="1"/>
      </w:r>
      <w:r w:rsidR="00D96671">
        <w:rPr>
          <w:lang w:eastAsia="zh-CN"/>
        </w:rPr>
        <w:instrText>ADDIN CSL_CITATION { "citationItems" : [ { "id" : "ITEM-1", "itemData" : { "author" : [ { "dropping-particle" : "", "family" : "Nuthalapati", "given" : "Sarma", "non-dropping-particle" : "", "parse-names" : false, "suffix" : "" }, { "dropping-particle" : "", "family" : "Phadke", "given" : "Arun G", "non-dropping-particle" : "", "parse-names" : false, "suffix" : "" } ], "container-title" : "IEEE Power and Energy Magazine", "id" : "ITEM-1", "issue" : "5", "issued" : { "date-parts" : [ [ "2015" ] ] }, "page" : "10-12", "title" : "managing the grid", "type" : "article-journal", "volume" : "13" }, "uris" : [ "http://www.mendeley.com/documents/?uuid=a67cb08a-a97f-4a8f-8e55-19c5ad0ea601" ] }, { "id" : "ITEM-2", "itemData" : { "author" : [ { "dropping-particle" : "", "family" : "Chai", "given" : "Jidong", "non-dropping-particle" : "", "parse-names" : false, "suffix" : "" }, { "dropping-particle" : "", "family" : "Zhao", "given" : "Jiecheng", "non-dropping-particle" : "", "parse-names" : false, "suffix" : "" }, { "dropping-particle" : "", "family" : "Yao", "given" : "Wenxuan", "non-dropping-particle" : "", "parse-names" : false, "suffix" : "" }, { "dropping-particle" : "", "family" : "Guo", "given" : "Jiahui", "non-dropping-particle" : "", "parse-names" : false, "suffix" : "" }, { "dropping-particle" : "", "family" : "Liu", "given" : "Yilu", "non-dropping-particle" : "", "parse-names" : false, "suffix" : "" } ], "container-title" : "T&amp;D Conference and Exposition", "id" : "ITEM-2", "issued" : { "date-parts" : [ [ "2016" ] ] }, "page" : "1-5", "publisher-place" : "Dallas, TX", "title" : "Application of Wide Area Power System Measurement for Digital Authentication", "type" : "paper-conference" }, "uris" : [ "http://www.mendeley.com/documents/?uuid=6f87ed95-a091-4dd5-9d49-78d3ff479318" ] }, { "id" : "ITEM-3", "itemData" : { "DOI" : "10.1109/TSG.2014.2350913", "ISSN" : "19493053", "abstract" : "Real-time situational awareness tools are of critical importance to power system operators, especially during emergencies. The availability of electric power has become a linchpin of most post-disaster response efforts, because public and private sector services depend upon it. Knowledge of the scope and extent of facilities impacted, as well as the duration of their dependence on backup power, enables emergency response officials to plan for contingencies and provide a better overall response. Based on the measurement data acquired by the frequency disturbance recorders deployed in the North American power grids, an off-grid detection method is proposed and implemented. This method monitors the critical electrical loads and detects the transition of these loads from an on-grid operation to an off-grid operation, during which the loads are fed by an uninterrupted power supply or a backup generation system. The details of the detection algorithm are presented, and some case studies and off-grid detection scenarios are also provided to verify the effectiveness and robustness. This paper also presents the real-time implementation of this method and several effectively detected off-grid situations. Moreover, two visualization tools are developed to display the real-time system operation condition in an intuitive manor.", "author" : [ { "dropping-particle" : "", "family" : "Guo", "given" : "Jiahui", "non-dropping-particle" : "", "parse-names" : false, "suffix" : "" }, { "dropping-particle" : "", "family" : "Zhang", "given" : "Ye", "non-dropping-particle" : "", "parse-names" : false, "suffix" : "" }, { "dropping-particle" : "", "family" : "Young", "given" : "Marcus A.", "non-dropping-particle" : "", "parse-names" : false, "suffix" : "" }, { "dropping-particle" : "", "family" : "Till", "given" : "Micah J.", "non-dropping-particle" : "", "parse-names" : false, "suffix" : "" }, { "dropping-particle" : "", "family" : "Dimitrovski", "given" : "Aleksandar", "non-dropping-particle" : "", "parse-names" : false, "suffix" : "" }, { "dropping-particle" : "", "family" : "Liu", "given" : "Yong", "non-dropping-particle" : "", "parse-names" : false, "suffix" : "" }, { "dropping-particle" : "", "family" : "Williging", "given" : "Patrick", "non-dropping-particle" : "", "parse-names" : false, "suffix" : "" }, { "dropping-particle" : "", "family" : "Liu", "given" : "Yilu", "non-dropping-particle" : "", "parse-names" : false, "suffix" : "" } ], "container-title" : "IEEE Transactions on Smart Grid", "id" : "ITEM-3", "issue" : "4", "issued" : { "date-parts" : [ [ "2014" ] ] }, "page" : "2080-2087", "title" : "Design and Implementation of a Real-Time Off-Grid Operation Detection Tool from a Wide-Area Measurements Perspective", "type" : "article-journal", "volume" : "6" }, "uris" : [ "http://www.mendeley.com/documents/?uuid=c909f793-8ad9-4f51-a1a0-b02f390e1e22" ] } ], "mendeley" : { "formattedCitation" : "[10]\u2013[12]", "plainTextFormattedCitation" : "[10]\u2013[12]", "previouslyFormattedCitation" : "[10]\u2013[12]" }, "properties" : { "noteIndex" : 0 }, "schema" : "https://github.com/citation-style-language/schema/raw/master/csl-citation.json" }</w:instrText>
      </w:r>
      <w:r w:rsidR="000E104C">
        <w:rPr>
          <w:lang w:eastAsia="zh-CN"/>
        </w:rPr>
        <w:fldChar w:fldCharType="separate"/>
      </w:r>
      <w:r w:rsidR="00D96671" w:rsidRPr="00D96671">
        <w:rPr>
          <w:noProof/>
          <w:lang w:eastAsia="zh-CN"/>
        </w:rPr>
        <w:t>[10]–[12]</w:t>
      </w:r>
      <w:r w:rsidR="000E104C">
        <w:rPr>
          <w:lang w:eastAsia="zh-CN"/>
        </w:rPr>
        <w:fldChar w:fldCharType="end"/>
      </w:r>
      <w:r w:rsidR="000E104C">
        <w:rPr>
          <w:rFonts w:hint="eastAsia"/>
          <w:lang w:eastAsia="zh-CN"/>
        </w:rPr>
        <w:t xml:space="preserve"> have enabled measurement-based tools for power system stability </w:t>
      </w:r>
      <w:r w:rsidR="00522F9E">
        <w:rPr>
          <w:lang w:eastAsia="zh-CN"/>
        </w:rPr>
        <w:t>assessment</w:t>
      </w:r>
      <w:r w:rsidR="00522F9E">
        <w:rPr>
          <w:rFonts w:hint="eastAsia"/>
          <w:lang w:eastAsia="zh-CN"/>
        </w:rPr>
        <w:t xml:space="preserve"> </w:t>
      </w:r>
      <w:r w:rsidR="000E104C">
        <w:rPr>
          <w:lang w:eastAsia="zh-CN"/>
        </w:rPr>
        <w:fldChar w:fldCharType="begin" w:fldLock="1"/>
      </w:r>
      <w:r w:rsidR="00A0417B">
        <w:rPr>
          <w:lang w:eastAsia="zh-CN"/>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"id" : "ITEM-2", "itemData" : { "DOI" : "10.1049/iet-gtd.2015.0184", "ISSN" : "1751-8687", "author" : [ { "dropping-particle" : "", "family" : "Jiang", "given" : "Tao", "non-dropping-particle" : "", "parse-names" : false, "suffix" : "" }, { "dropping-particle" : "", "family" : "Yuan", "given" : "Haoyu", "non-dropping-particle" : "", "parse-names" : false, "suffix" : "" }, { "dropping-particle" : "", "family" : "Jia", "given" : "Hongjie", "non-dropping-particle" : "", "parse-names" : false, "suffix" : "" }, { "dropping-particle" : "", "family" : "Zhou", "given" : "Ning", "non-dropping-particle" : "", "parse-names" : false, "suffix" : "" }, { "dropping-particle" : "", "family" : "Li", "given" : "Fangxing", "non-dropping-particle" : "", "parse-names" : false, "suffix" : "" } ], "container-title" : "IET Generation, Transmission &amp; Distribution", "id" : "ITEM-2", "issue" : "15", "issued" : { "date-parts" : [ [ "2015" ] ] }, "page" : "2409-2418", "title" : "Stochastic subspace identification-based approach for tracking inter-area oscillatory modes in bulk power system utilising synchrophasor measurements", "type" : "article-journal", "volume" : "9" }, "uris" : [ "http://www.mendeley.com/documents/?uuid=8c9b5202-8b36-41ec-b17d-3d3d4284de1c" ] }, { "id" : "ITEM-3", "itemData" : { "DOI" : "10.1049/iet-gtd.2014.1072", "ISSN" : "1751-8687", "author" : [ { "dropping-particle" : "", "family" : "Jiang", "given" : "Tao", "non-dropping-particle" : "", "parse-names" : false, "suffix" : "" }, { "dropping-particle" : "", "family" : "Bai", "given" : "Linquan", "non-dropping-particle" : "", "parse-names" : false, "suffix" : "" }, { "dropping-particle" : "", "family" : "Jia", "given" : "Hongjie", "non-dropping-particle" : "", "parse-names" : false, "suffix" : "" }, { "dropping-particle" : "", "family" : "Yuan", "given" : "Haoyu", "non-dropping-particle" : "", "parse-names" : false, "suffix" : "" }, { "dropping-particle" : "", "family" : "Li", "given" : "Fangxing", "non-dropping-particle" : "", "parse-names" : false, "suffix" : "" } ], "container-title" : "IET Generation, Transmission &amp; Distribution", "id" : "ITEM-3", "issue" : "7", "issued" : { "date-parts" : [ [ "2016" ] ] }, "page" : "1495-1503", "title" : "Identification of voltage stability critical injection region in bulk power systems based on the relative gain of voltage coupling", "type" : "article-journal", "volume" : "10" }, "uris" : [ "http://www.mendeley.com/documents/?uuid=d369ca13-9ff1-43ca-8699-5672ad5b9b6b" ] }, { "id" : "ITEM-4", "itemData" : { "author" : [ { "dropping-particle" : "", "family" : "Jiang", "given" : "Tao", "non-dropping-particle" : "", "parse-names" : false, "suffix" : "" }, { "dropping-particle" : "", "family" : "Jia", "given" : "Hongjie", "non-dropping-particle" : "", "parse-names" : false, "suffix" : "" }, { "dropping-particle" : "", "family" : "Yuan", "given" : "Haoyu", "non-dropping-particle" : "", "parse-names" : false, "suffix" : "" }, { "dropping-particle" : "", "family" : "Zhou", "given" : "Ning", "non-dropping-particle" : "", "parse-names" : false, "suffix" : "" }, { "dropping-particle" : "", "family" : "Li", "given" : "Fangxing", "non-dropping-particle" : "", "parse-names" : false, "suffix" : "" } ], "container-title" : "IEEE Transactions on Power Systems", "id" : "ITEM-4", "issued" : { "date-parts" : [ [ "2015" ] ] }, "page" : "1-11", "title" : "Projection Pursuit : A General Methodology of Wide-Area Coherency Detection in Bulk Power Grid", "type" : "article-journal" }, "uris" : [ "http://www.mendeley.com/documents/?uuid=2c60bb1e-bcef-4268-af23-5ac6e1427ffd" ] }, { "id" : "ITEM-5", "itemData" : { "DOI" : "10.1109/TSG.2016.2533621", "author" : [ { "dropping-particle" : "", "family" : "Jiang", "given" : "Tao", "non-dropping-particle" : "", "parse-names" : false, "suffix" : "" }, { "dropping-particle" : "", "family" : "Mu", "given" : "Yunfei", "non-dropping-particle" : "", "parse-names" : false, "suffix" : "" }, { "dropping-particle" : "", "family" : "Jia", "given" : "Hongjie", "non-dropping-particle" : "", "parse-names" : false, "suffix" : "" }, { "dropping-particle" : "", "family" : "Lu", "given" : "Ning", "non-dropping-particle" : "", "parse-names" : false, "suffix" : "" }, { "dropping-particle" : "", "family" : "Yuan", "given" : "Haoyu", "non-dropping-particle" : "", "parse-names" : false, "suffix" : "" }, { "dropping-particle" : "", "family" : "Yan", "given" : "Jiahong", "non-dropping-particle" : "", "parse-names" : false, "suffix" : "" }, { "dropping-particle" : "", "family" : "Li", "given" : "Weifeng", "non-dropping-particle" : "", "parse-names" : false, "suffix" : "" } ], "container-title" : "IEEE Transactions on Smart Grid", "id" : "ITEM-5", "issued" : { "date-parts" : [ [ "2016" ] ] }, "page" : "1-12", "title" : "A Novel Dominant Mode Estimation Method for Analyzing Inter-Area Oscillation in China Southern Power Grid", "type" : "article-journal" }, "uris" : [ "http://www.mendeley.com/documents/?uuid=695e95c6-d05a-4764-8da9-e7867295bca2" ] }, { "id" : "ITEM-6", "itemData" : { "ISBN" : "9781467380409", "author" : [ { "dropping-particle" : "", "family" : "Yuan", "given" : "Haoyu", "non-dropping-particle" : "", "parse-names" : false, "suffix" : "" }, { "dropping-particle" : "", "family" : "Jiang", "given" : "Tao", "non-dropping-particle" : "", "parse-names" : false, "suffix" : "" }, { "dropping-particle" : "", "family" : "Jia", "given" : "Hongjie", "non-dropping-particle" : "", "parse-names" : false, "suffix" : "" }, { "dropping-particle" : "", "family" : "Li", "given" : "Fangxing", "non-dropping-particle" : "", "parse-names" : false, "suffix" : "" }, { "dropping-particle" : "", "family" : "Mishra", "given" : "Yateendra", "non-dropping-particle" : "", "parse-names" : false, "suffix" : "" }, { "dropping-particle" : "", "family" : "Chen", "given" : "Houhe", "non-dropping-particle" : "", "parse-names" : false, "suffix" : "" }, { "dropping-particle" : "", "family" : "Li", "given" : "Guoqing", "non-dropping-particle" : "", "parse-names" : false, "suffix" : "" } ], "container-title" : "IEEE PES General Meeting", "id" : "ITEM-6", "issued" : { "date-parts" : [ [ "2015" ] ] }, "page" : "1-5", "title" : "Real-Time Wide-area Loading Margin Sensitivity ( WALMS ) in Power Systems", "type" : "paper-conference" }, "uris" : [ "http://www.mendeley.com/documents/?uuid=4ba41f46-e6eb-42c4-bb8a-6b794cb05de6" ] } ], "mendeley" : { "formattedCitation" : "[13]\u2013[18]", "plainTextFormattedCitation" : "[13]\u2013[18]", "previouslyFormattedCitation" : "[13]\u2013[18]" }, "properties" : { "noteIndex" : 0 }, "schema" : "https://github.com/citation-style-language/schema/raw/master/csl-citation.json" }</w:instrText>
      </w:r>
      <w:r w:rsidR="000E104C">
        <w:rPr>
          <w:lang w:eastAsia="zh-CN"/>
        </w:rPr>
        <w:fldChar w:fldCharType="separate"/>
      </w:r>
      <w:r w:rsidR="00D96671" w:rsidRPr="00D96671">
        <w:rPr>
          <w:noProof/>
          <w:lang w:eastAsia="zh-CN"/>
        </w:rPr>
        <w:t>[13]–[18]</w:t>
      </w:r>
      <w:r w:rsidR="000E104C">
        <w:rPr>
          <w:lang w:eastAsia="zh-CN"/>
        </w:rPr>
        <w:fldChar w:fldCharType="end"/>
      </w:r>
      <w:r w:rsidR="000E104C">
        <w:rPr>
          <w:rFonts w:hint="eastAsia"/>
          <w:lang w:eastAsia="zh-CN"/>
        </w:rPr>
        <w:t>.</w:t>
      </w:r>
      <w:r w:rsidR="005F6DF3">
        <w:rPr>
          <w:rFonts w:hint="eastAsia"/>
          <w:lang w:eastAsia="zh-CN"/>
        </w:rPr>
        <w:t xml:space="preserve"> </w:t>
      </w:r>
      <w:r w:rsidR="00522F9E">
        <w:rPr>
          <w:rFonts w:hint="eastAsia"/>
          <w:lang w:eastAsia="zh-CN"/>
        </w:rPr>
        <w:t>Th</w:t>
      </w:r>
      <w:r w:rsidR="00522F9E">
        <w:rPr>
          <w:lang w:eastAsia="zh-CN"/>
        </w:rPr>
        <w:t>e</w:t>
      </w:r>
      <w:r w:rsidR="00522F9E">
        <w:rPr>
          <w:rFonts w:hint="eastAsia"/>
          <w:lang w:eastAsia="zh-CN"/>
        </w:rPr>
        <w:t xml:space="preserve"> </w:t>
      </w:r>
      <w:r w:rsidR="005F6DF3">
        <w:rPr>
          <w:rFonts w:hint="eastAsia"/>
          <w:lang w:eastAsia="zh-CN"/>
        </w:rPr>
        <w:t xml:space="preserve">study </w:t>
      </w:r>
      <w:r w:rsidR="00522F9E">
        <w:rPr>
          <w:lang w:eastAsia="zh-CN"/>
        </w:rPr>
        <w:t xml:space="preserve">in this dissertation </w:t>
      </w:r>
      <w:r w:rsidR="005F6DF3">
        <w:rPr>
          <w:rFonts w:hint="eastAsia"/>
          <w:lang w:eastAsia="zh-CN"/>
        </w:rPr>
        <w:t xml:space="preserve">will focus on </w:t>
      </w:r>
      <w:r w:rsidR="005F6DF3">
        <w:rPr>
          <w:lang w:eastAsia="zh-CN"/>
        </w:rPr>
        <w:t>measurement</w:t>
      </w:r>
      <w:r w:rsidR="005F6DF3">
        <w:rPr>
          <w:rFonts w:hint="eastAsia"/>
          <w:lang w:eastAsia="zh-CN"/>
        </w:rPr>
        <w:t>-based voltage stability assessment and control.</w:t>
      </w:r>
      <w:r w:rsidR="00C803D2" w:rsidRPr="00A7750B">
        <w:rPr>
          <w:lang w:val="x-none"/>
        </w:rPr>
        <w:t xml:space="preserve"> </w:t>
      </w:r>
    </w:p>
    <w:p w14:paraId="7B3DD960" w14:textId="77777777" w:rsidR="00236E6D" w:rsidRDefault="004F38C3" w:rsidP="004F38C3">
      <w:pPr>
        <w:pStyle w:val="Heading2"/>
        <w:rPr>
          <w:lang w:eastAsia="zh-CN"/>
        </w:rPr>
      </w:pPr>
      <w:bookmarkStart w:id="1" w:name="_Toc459076526"/>
      <w:r>
        <w:rPr>
          <w:lang w:eastAsia="zh-CN"/>
        </w:rPr>
        <w:t xml:space="preserve">1.1 </w:t>
      </w:r>
      <w:r w:rsidR="00996BEA">
        <w:rPr>
          <w:rFonts w:hint="eastAsia"/>
          <w:lang w:eastAsia="zh-CN"/>
        </w:rPr>
        <w:t>Measurement-</w:t>
      </w:r>
      <w:r w:rsidR="005B3245">
        <w:rPr>
          <w:lang w:eastAsia="zh-CN"/>
        </w:rPr>
        <w:t>B</w:t>
      </w:r>
      <w:r w:rsidR="005B3245">
        <w:rPr>
          <w:rFonts w:hint="eastAsia"/>
          <w:lang w:eastAsia="zh-CN"/>
        </w:rPr>
        <w:t xml:space="preserve">ased </w:t>
      </w:r>
      <w:r w:rsidR="007618AB">
        <w:rPr>
          <w:lang w:eastAsia="zh-CN"/>
        </w:rPr>
        <w:t xml:space="preserve">Voltage </w:t>
      </w:r>
      <w:r w:rsidR="00996BEA">
        <w:rPr>
          <w:rFonts w:hint="eastAsia"/>
          <w:lang w:eastAsia="zh-CN"/>
        </w:rPr>
        <w:t>Stability A</w:t>
      </w:r>
      <w:r w:rsidR="00FD1EC6">
        <w:rPr>
          <w:rFonts w:hint="eastAsia"/>
          <w:lang w:eastAsia="zh-CN"/>
        </w:rPr>
        <w:t>ssessment</w:t>
      </w:r>
      <w:bookmarkEnd w:id="1"/>
    </w:p>
    <w:p w14:paraId="0EC940D9" w14:textId="123E29F6" w:rsidR="00A7750B" w:rsidRPr="00A7750B" w:rsidRDefault="00A7750B" w:rsidP="00A7750B">
      <w:r w:rsidRPr="00A7750B">
        <w:t>Voltage stability, also known as load stability, is often assessed using model-based static methods such as continuation power flow (CPF)</w:t>
      </w:r>
      <w:r w:rsidR="005F6DF3">
        <w:rPr>
          <w:rFonts w:hint="eastAsia"/>
          <w:lang w:eastAsia="zh-CN"/>
        </w:rPr>
        <w:t xml:space="preserve"> </w:t>
      </w:r>
      <w:r w:rsidR="005F6DF3">
        <w:rPr>
          <w:lang w:eastAsia="zh-CN"/>
        </w:rPr>
        <w:fldChar w:fldCharType="begin" w:fldLock="1"/>
      </w:r>
      <w:r w:rsidR="00D96671">
        <w:rPr>
          <w:lang w:eastAsia="zh-CN"/>
        </w:rPr>
        <w:instrText>ADDIN CSL_CITATION { "citationItems" : [ { "id" : "ITEM-1", "itemData" : { "DOI" : "10.1109/59.141737", "ISBN" : "0-87942-620-9", "ISSN" : "08858950", "abstract" : "A method of finding a continuum of power flow solutions starting\\nat some base load and leading to a steady-state voltage stability limit\\n(critical point) of a system is presented. A salient feature of the\\nso-called continuation power flow is that it remains well conditioned at\\nand around the critical point. As a consequence, divergence due to\\nill-conditioning is not encountered at the critical point, even when\\nsingle-precision computation is used. Intermediate results of the\\nprocess are used to develop a voltage stability index and identify areas\\nof the system most prone to voltage collapse. Examples are given wherein\\nthe voltage stability of a system is analyzed using several different\\nscenarios of load increase", "author" : [ { "dropping-particle" : "", "family" : "Ajjarapu", "given" : "Venkataramana", "non-dropping-particle" : "", "parse-names" : false, "suffix" : "" }, { "dropping-particle" : "", "family" : "Christy", "given" : "Colin", "non-dropping-particle" : "", "parse-names" : false, "suffix" : "" } ], "container-title" : "IEEE Transactions on Power Systems", "id" : "ITEM-1", "issue" : "1", "issued" : { "date-parts" : [ [ "1992" ] ] }, "page" : "416-423", "title" : "The continuation power flow: A tool for steady state voltage stability analysis", "type" : "article-journal", "volume" : "7" }, "uris" : [ "http://www.mendeley.com/documents/?uuid=d3cc312b-8762-4b74-9eed-bf080c052387" ] }, { "id" : "ITEM-2", "itemData" : { "DOI" : "10.1109/59.387897", "ISBN" : "0885-8950", "ISSN" : "08858950", "abstract" : "In this paper, a computer package called CPFLOW, which is a comprehensive tool for tracing power system steady-state stationary behavior due to parameter variations, is presented. The variations include general bus real and/or reactive loads, area real and/or reactive loads, or system-wide real and/or reactive loads, and real generation at P-V buses (e.g. determined by economic dispatch or participation factor). The main advantages of CPFLOW over repetitive power flow calculations are its computational speed and reliability as well as its wide applicability. A detailed description of the implementation regarding the predictor, corrector, step-size control and parameterizations employed in CPFLOW is presented. CPFLOW has comprehensive modeling capability and can handle power systems up to 12000 buses. For an illustrative purpose, CPFLOW is applied to a 3500-bus power system with a comprehensive set of operational limits and controls", "author" : [ { "dropping-particle" : "", "family" : "Chiang", "given" : "Hsiao Dong", "non-dropping-particle" : "", "parse-names" : false, "suffix" : "" }, { "dropping-particle" : "", "family" : "Flueck", "given" : "Alexander J.", "non-dropping-particle" : "", "parse-names" : false, "suffix" : "" }, { "dropping-particle" : "", "family" : "Shah", "given" : "Kirit S.", "non-dropping-particle" : "", "parse-names" : false, "suffix" : "" }, { "dropping-particle" : "", "family" : "Balu", "given" : "Neal", "non-dropping-particle" : "", "parse-names" : false, "suffix" : "" } ], "container-title" : "IEEE Transactions on Power Systems", "id" : "ITEM-2", "issue" : "2", "issued" : { "date-parts" : [ [ "1995" ] ] }, "page" : "623-634", "title" : "CPFLOW: a practical tool for tracing power system steady-state stationary behavior due to load and generation variations", "type" : "article-journal", "volume" : "10" }, "uris" : [ "http://www.mendeley.com/documents/?uuid=5295dbc5-df1e-4965-bd81-0b03ff1671b0" ] } ], "mendeley" : { "formattedCitation" : "[19], [20]", "plainTextFormattedCitation" : "[19], [20]", "previouslyFormattedCitation" : "[19], [20]" }, "properties" : { "noteIndex" : 0 }, "schema" : "https://github.com/citation-style-language/schema/raw/master/csl-citation.json" }</w:instrText>
      </w:r>
      <w:r w:rsidR="005F6DF3">
        <w:rPr>
          <w:lang w:eastAsia="zh-CN"/>
        </w:rPr>
        <w:fldChar w:fldCharType="separate"/>
      </w:r>
      <w:r w:rsidR="00D96671" w:rsidRPr="00D96671">
        <w:rPr>
          <w:noProof/>
          <w:lang w:eastAsia="zh-CN"/>
        </w:rPr>
        <w:t>[19], [20]</w:t>
      </w:r>
      <w:r w:rsidR="005F6DF3">
        <w:rPr>
          <w:lang w:eastAsia="zh-CN"/>
        </w:rPr>
        <w:fldChar w:fldCharType="end"/>
      </w:r>
      <w:r w:rsidR="00800282">
        <w:rPr>
          <w:lang w:eastAsia="zh-CN"/>
        </w:rPr>
        <w:t xml:space="preserve"> or optimization methods </w:t>
      </w:r>
      <w:r w:rsidR="00800282">
        <w:rPr>
          <w:lang w:eastAsia="zh-CN"/>
        </w:rPr>
        <w:fldChar w:fldCharType="begin" w:fldLock="1"/>
      </w:r>
      <w:r w:rsidR="00D96671">
        <w:rPr>
          <w:lang w:eastAsia="zh-CN"/>
        </w:rPr>
        <w:instrText>ADDIN CSL_CITATION { "citationItems" : [ { "id" : "ITEM-1", "itemData" : { "DOI" : "10.1109/NAPS.2015.7335183", "ISBN" : "9781467373890", "author" : [ { "dropping-particle" : "", "family" : "Fang", "given" : "Xin", "non-dropping-particle" : "", "parse-names" : false, "suffix" : "" }, { "dropping-particle" : "", "family" : "Li", "given" : "Fangxing", "non-dropping-particle" : "", "parse-names" : false, "suffix" : "" }, { "dropping-particle" : "", "family" : "Hu", "given" : "Qinran", "non-dropping-particle" : "", "parse-names" : false, "suffix" : "" }, { "dropping-particle" : "", "family" : "Gao", "given" : "Ningchao", "non-dropping-particle" : "", "parse-names" : false, "suffix" : "" } ], "container-title" : "2015 North American Power Symposium, NAPS 2015", "id" : "ITEM-1", "issued" : { "date-parts" : [ [ "2015" ] ] }, "page" : "1-6", "title" : "System load margin evaluation using mixed-integer conic optimization", "type" : "paper-conference" }, "uris" : [ "http://www.mendeley.com/documents/?uuid=fed758ce-7cf9-4688-bea1-bc864866f3e7" ] }, { "id" : "ITEM-2", "itemData" : { "ISBN" : "9781479935611", "author" : [ { "dropping-particle" : "", "family" : "Fang", "given" : "Xin", "non-dropping-particle" : "", "parse-names" : false, "suffix" : "" }, { "dropping-particle" : "", "family" : "Li", "given" : "Fangxing", "non-dropping-particle" : "", "parse-names" : false, "suffix" : "" }, { "dropping-particle" : "", "family" : "Gao", "given" : "Ningchao", "non-dropping-particle" : "", "parse-names" : false, "suffix" : "" } ], "container-title" : "13th International Conference on Probabilistic Methods Applied to Power Systems (PMAPS)", "id" : "ITEM-2", "issued" : { "date-parts" : [ [ "2014" ] ] }, "page" : "1-6", "title" : "Probabilistic Available Transfer Capability Evaluation for Power Systems with High-Penetration Wind Power", "type" : "paper-conference" }, "uris" : [ "http://www.mendeley.com/documents/?uuid=0625fe7b-212d-486b-94a9-c217e82debc4" ] }, { "id" : "ITEM-3", "itemData" : { "DOI" : "10.3390/en81212370", "ISSN" : "1996-1073", "abstract" : "Available transfer capability (ATC) is the transfer capability remaining in the physical transmission network for further commercial activity over and above already committed uses which needs to be posted in the electricity market to facilitate competition. ATC evaluation is a complicated task including the determination of total transfer capability (TTC) and existing transfer capability (ETC). In the deregulated electricity market, ETC is decided by the independent system operator\u2019s (ISO\u2019s) economic dispatch (ED). TTC can then be obtained by a continuation power flow (CPF) method or by an optimal power flow (OPF) method, based on the given ED solutions as well as the ETC. In this paper, a bi-level optimization framework for the ATC evaluation is proposed in which ATC results can be obtained simultaneously with the ED and ETC results in the deregulated electricity market. In this bi-level optimization model, ATC evaluation is formulated as the upper level problem and the ISO\u2019s ED is the lower level problem. The bi-level model is first converted to a mathematic program with equilibrium constraints (MPEC) by recasting the lower level problem as its Karush-Kuhn-Tucher (KKT) optimality condition. Then, the MPEC is transformed into a mixed-integer linear programming (MILP) problem, which can be solved with the help of available optimization software. In addition, case studies on PJM 5-bus, IEEE 30-bus, and IEEE 118-bus systems are presented to demonstrate the proposed methodology.", "author" : [ { "dropping-particle" : "", "family" : "Wang", "given" : "Beibei", "non-dropping-particle" : "", "parse-names" : false, "suffix" : "" }, { "dropping-particle" : "", "family" : "Fang", "given" : "Xin", "non-dropping-particle" : "", "parse-names" : false, "suffix" : "" }, { "dropping-particle" : "", "family" : "Zhao", "given" : "Xiayang", "non-dropping-particle" : "", "parse-names" : false, "suffix" : "" }, { "dropping-particle" : "", "family" : "Chen", "given" : "Houhe", "non-dropping-particle" : "", "parse-names" : false, "suffix" : "" } ], "container-title" : "Energies", "id" : "ITEM-3", "issue" : "12", "issued" : { "date-parts" : [ [ "2015" ] ] }, "page" : "12370", "title" : "Bi-Level Optimization for Available Transfer Capability Evaluation in Deregulated Electricity Market", "type" : "article-journal", "volume" : "8" }, "uris" : [ "http://www.mendeley.com/documents/?uuid=b2e43180-1024-4ddd-8f4b-fc2bc5390865" ] } ], "mendeley" : { "formattedCitation" : "[21]\u2013[23]", "plainTextFormattedCitation" : "[21]\u2013[23]", "previouslyFormattedCitation" : "[21]\u2013[23]" }, "properties" : { "noteIndex" : 0 }, "schema" : "https://github.com/citation-style-language/schema/raw/master/csl-citation.json" }</w:instrText>
      </w:r>
      <w:r w:rsidR="00800282">
        <w:rPr>
          <w:lang w:eastAsia="zh-CN"/>
        </w:rPr>
        <w:fldChar w:fldCharType="separate"/>
      </w:r>
      <w:r w:rsidR="00D96671" w:rsidRPr="00D96671">
        <w:rPr>
          <w:noProof/>
          <w:lang w:eastAsia="zh-CN"/>
        </w:rPr>
        <w:t>[21]–[23]</w:t>
      </w:r>
      <w:r w:rsidR="00800282">
        <w:rPr>
          <w:lang w:eastAsia="zh-CN"/>
        </w:rPr>
        <w:fldChar w:fldCharType="end"/>
      </w:r>
      <w:r w:rsidRPr="00A7750B">
        <w:t>. Such methods need detailed and accurate models of generators, transformers, transmission lines, and loads to a</w:t>
      </w:r>
      <w:r w:rsidR="00522F9E">
        <w:t>ss</w:t>
      </w:r>
      <w:r w:rsidRPr="00A7750B">
        <w:t xml:space="preserve">ess the system stability margin on a certain load increasing </w:t>
      </w:r>
      <w:r w:rsidR="00522F9E">
        <w:t>pattern</w:t>
      </w:r>
      <w:r w:rsidRPr="00A7750B">
        <w:t xml:space="preserve">. Based on the model and load increasing </w:t>
      </w:r>
      <w:r w:rsidR="00522F9E">
        <w:t>pattern</w:t>
      </w:r>
      <w:r w:rsidRPr="00A7750B">
        <w:t xml:space="preserve">, </w:t>
      </w:r>
      <w:r w:rsidRPr="00A7750B">
        <w:lastRenderedPageBreak/>
        <w:t xml:space="preserve">techniques such as CPF will also require a significant amount of computational efforts to solve the load margin. </w:t>
      </w:r>
      <w:r w:rsidR="00960C04">
        <w:t xml:space="preserve">Moreover, recent developments of renewable energy </w:t>
      </w:r>
      <w:r w:rsidR="00960C04">
        <w:fldChar w:fldCharType="begin" w:fldLock="1"/>
      </w:r>
      <w:r w:rsidR="00D96671">
        <w:instrText>ADDIN CSL_CITATION { "citationItems" : [ { "id" : "ITEM-1", "itemData" : { "DOI" : "10.1049/iet-gtd.2014.1117", "ISBN" : "1751-8687 VO  - 9", "author" : [ { "dropping-particle" : "", "family" : "Fang", "given" : "X", "non-dropping-particle" : "", "parse-names" : false, "suffix" : "" }, { "dropping-particle" : "", "family" : "Li", "given" : "F", "non-dropping-particle" : "", "parse-names" : false, "suffix" : "" }, { "dropping-particle" : "", "family" : "Wei", "given" : "Y", "non-dropping-particle" : "", "parse-names" : false, "suffix" : "" }, { "dropping-particle" : "", "family" : "Azim", "given" : "R", "non-dropping-particle" : "", "parse-names" : false, "suffix" : "" }, { "dropping-particle" : "", "family" : "Xu", "given" : "Y", "non-dropping-particle" : "", "parse-names" : false, "suffix" : "" } ], "container-title" : "IET Generation, Transmission &amp; Distribution", "id" : "ITEM-1", "issue" : "14", "issued" : { "date-parts" : [ [ "2015" ] ] }, "page" : "1835-1844", "title" : "Reactive power planning under high penetration of wind energy using Benders decomposition", "type" : "article", "volume" : "9" }, "uris" : [ "http://www.mendeley.com/documents/?uuid=f1d83619-ab02-406a-826d-380e097ab22e" ] }, { "id" : "ITEM-2", "itemData" : { "DOI" : "10.1109/TDC.2014.6863471", "ISBN" : "2160-8555 VO  -", "author" : [ { "dropping-particle" : "", "family" : "Fang", "given" : "X", "non-dropping-particle" : "", "parse-names" : false, "suffix" : "" }, { "dropping-particle" : "", "family" : "Li", "given" : "F", "non-dropping-particle" : "", "parse-names" : false, "suffix" : "" }, { "dropping-particle" : "", "family" : "Xu", "given" : "Y", "non-dropping-particle" : "", "parse-names" : false, "suffix" : "" } ], "container-title" : "2014 IEEE PES T&amp;D Conference and Exposition", "id" : "ITEM-2", "issued" : { "date-parts" : [ [ "2014" ] ] }, "page" : "1-5", "title" : "Reactive power planning considering high penetration of wind energy", "type" : "article" }, "uris" : [ "http://www.mendeley.com/documents/?uuid=beeb21d5-9141-45a3-8009-cc03758bf40b" ] }, { "id" : "ITEM-3", "itemData" : { "DOI" : "10.1109/TSG.2014.2331175", "ISSN" : "1949-3053", "abstract" : "The smart grid vision has resulted in many demand side innovations such as nonintrusive load monitoring techniques, residential micro-grids, and demand response programs. Many of these techniques need a detailed residential network model for their research, evaluation, and validation. In response to such a need, this paper presents a sequential Monte Carlo (SMC) simulation platform for modeling and simulating low voltage residential networks. This platform targets the simulation of the quasi-steady-state network condition over an extended period such as 24 h. It consists of two main components. The first is a multiphase network model with power flow, harmonic, and motor starting study capabilities. The second is a load/generation behavior model that establishes the operating characteristics of various loads and generators based on time-of-use probability curves. These two components are combined together through an SMC simulation scheme. Four case studies are presented to demonstrate the applications of the proposed platform.", "author" : [ { "dropping-particle" : "", "family" : "Torquato", "given" : "Ricardo", "non-dropping-particle" : "", "parse-names" : false, "suffix" : "" }, { "dropping-particle" : "", "family" : "Shi", "given" : "Qingxin", "non-dropping-particle" : "", "parse-names" : false, "suffix" : "" }, { "dropping-particle" : "", "family" : "Xu", "given" : "Wilsun", "non-dropping-particle" : "", "parse-names" : false, "suffix" : "" }, { "dropping-particle" : "", "family" : "Freitas", "given" : "Walmir", "non-dropping-particle" : "", "parse-names" : false, "suffix" : "" } ], "container-title" : "Smart Grid, IEEE Transactions on (Volume:5 , Issue: 6 )", "id" : "ITEM-3", "issue" : "6", "issued" : { "date-parts" : [ [ "2014" ] ] }, "page" : "2766-2776", "title" : "A Monte Carlo Simulation Platform for Studying Low Voltage Residential Networks", "type" : "article-journal", "volume" : "5" }, "uris" : [ "http://www.mendeley.com/documents/?uuid=71b28775-178a-4014-94e7-9389297f4ccd" ] } ], "mendeley" : { "formattedCitation" : "[24]\u2013[26]", "plainTextFormattedCitation" : "[24]\u2013[26]", "previouslyFormattedCitation" : "[24]\u2013[26]" }, "properties" : { "noteIndex" : 0 }, "schema" : "https://github.com/citation-style-language/schema/raw/master/csl-citation.json" }</w:instrText>
      </w:r>
      <w:r w:rsidR="00960C04">
        <w:fldChar w:fldCharType="separate"/>
      </w:r>
      <w:r w:rsidR="00D96671" w:rsidRPr="00D96671">
        <w:rPr>
          <w:noProof/>
        </w:rPr>
        <w:t>[24]–[26]</w:t>
      </w:r>
      <w:r w:rsidR="00960C04">
        <w:fldChar w:fldCharType="end"/>
      </w:r>
      <w:r w:rsidR="00960C04">
        <w:t xml:space="preserve">, energy storage </w:t>
      </w:r>
      <w:r w:rsidR="00960C04">
        <w:fldChar w:fldCharType="begin" w:fldLock="1"/>
      </w:r>
      <w:r w:rsidR="00D96671">
        <w:instrText>ADDIN CSL_CITATION { "citationItems" : [ { "id" : "ITEM-1", "itemData" : { "DOI" : "10.1049/iet-gtd.2015.0144", "ISBN" : "1751-8687 VO  - 10", "author" : [ { "dropping-particle" : "", "family" : "Fang", "given" : "X", "non-dropping-particle" : "", "parse-names" : false, "suffix" : "" }, { "dropping-particle" : "", "family" : "Li", "given" : "F", "non-dropping-particle" : "", "parse-names" : false, "suffix" : "" }, { "dropping-particle" : "", "family" : "Wei", "given" : "Y", "non-dropping-particle" : "", "parse-names" : false, "suffix" : "" }, { "dropping-particle" : "", "family" : "Cui", "given" : "H", "non-dropping-particle" : "", "parse-names" : false, "suffix" : "" } ], "container-title" : "IET Generation, Transmission &amp; Distribution", "id" : "ITEM-1", "issue" : "5", "issued" : { "date-parts" : [ [ "2016" ] ] }, "page" : "1258-1267", "title" : "Strategic scheduling of energy storage for load serving entities in locational marginal pricing market", "type" : "article", "volume" : "10" }, "uris" : [ "http://www.mendeley.com/documents/?uuid=c2492803-caa7-4a82-9b52-5ac7eed69aed" ] }, { "id" : "ITEM-2", "itemData" : { "DOI" : "10.1049/iet-gtd.2015.0410", "ISBN" : "1751-8687 VO  - 10", "author" : [ { "dropping-particle" : "", "family" : "Chen", "given" : "H", "non-dropping-particle" : "", "parse-names" : false, "suffix" : "" }, { "dropping-particle" : "", "family" : "Zhang", "given" : "R", "non-dropping-particle" : "", "parse-names" : false, "suffix" : "" }, { "dropping-particle" : "", "family" : "Li", "given" : "G", "non-dropping-particle" : "", "parse-names" : false, "suffix" : "" }, { "dropping-particle" : "", "family" : "Bai", "given" : "L", "non-dropping-particle" : "", "parse-names" : false, "suffix" : "" }, { "dropping-particle" : "", "family" : "Li", "given" : "F", "non-dropping-particle" : "", "parse-names" : false, "suffix" : "" } ], "container-title" : "IET Generation, Transmission &amp; Distribution", "id" : "ITEM-2", "issue" : "5", "issued" : { "date-parts" : [ [ "2016" ] ] }, "page" : "1294-1303", "title" : "Economic dispatch of wind integrated power systems with energy storage considering composite operating costs", "type" : "article", "volume" : "10" }, "uris" : [ "http://www.mendeley.com/documents/?uuid=79ce8ef4-aea3-4b93-9731-4725b30d1e23" ] } ], "mendeley" : { "formattedCitation" : "[7], [27]", "plainTextFormattedCitation" : "[7], [27]", "previouslyFormattedCitation" : "[7], [27]" }, "properties" : { "noteIndex" : 0 }, "schema" : "https://github.com/citation-style-language/schema/raw/master/csl-citation.json" }</w:instrText>
      </w:r>
      <w:r w:rsidR="00960C04">
        <w:fldChar w:fldCharType="separate"/>
      </w:r>
      <w:r w:rsidR="00D96671" w:rsidRPr="00D96671">
        <w:rPr>
          <w:noProof/>
        </w:rPr>
        <w:t>[7], [27]</w:t>
      </w:r>
      <w:r w:rsidR="00960C04">
        <w:fldChar w:fldCharType="end"/>
      </w:r>
      <w:r w:rsidR="00960C04">
        <w:t xml:space="preserve">, and demand response </w:t>
      </w:r>
      <w:r w:rsidR="00960C04">
        <w:fldChar w:fldCharType="begin" w:fldLock="1"/>
      </w:r>
      <w:r w:rsidR="00351740">
        <w:instrText>ADDIN CSL_CITATION { "citationItems" : [ { "id" : "ITEM-1", "itemData" : { "DOI" : "10.1109/TPWRS.2015.2431271", "ISBN" : "0885-8950 VO  - 31", "author" : [ { "dropping-particle" : "", "family" : "Fang", "given" : "X", "non-dropping-particle" : "", "parse-names" : false, "suffix" : "" }, { "dropping-particle" : "", "family" : "Hu", "given" : "Q", "non-dropping-particle" : "", "parse-names" : false, "suffix" : "" }, { "dropping-particle" : "", "family" : "Li", "given" : "F", "non-dropping-particle" : "", "parse-names" : false, "suffix" : "" }, { "dropping-particle" : "", "family" : "Wang", "given" : "B", "non-dropping-particle" : "", "parse-names" : false, "suffix" : "" }, { "dropping-particle" : "", "family" : "Li", "given" : "Y", "non-dropping-particle" : "", "parse-names" : false, "suffix" : "" } ], "container-title" : "IEEE Transactions on Power Systems", "id" : "ITEM-1", "issue" : "2", "issued" : { "date-parts" : [ [ "2016" ] ] }, "page" : "1025-1037", "title" : "Coupon-Based Demand Response Considering Wind Power Uncertainty: A Strategic Bidding Model for Load Serving Entities", "type" : "article", "volume" : "31" }, "uris" : [ "http://www.mendeley.com/documents/?uuid=ec5006a2-2fbd-4dd7-91f7-4ee1e08e8e83" ] }, { "id" : "ITEM-2", "itemData" : { "DOI" : "10.1109/COMST.2014.2341586", "ISBN" : "1553-877X", "ISSN" : "1553-877X", "abstract" : "The smart grid concept continues to evolve and various methods have been developed in order to enhance the energy efficiency of the electricity infrastructure. Demand Response (DR) is considered as the most cost-effective and reliable solution for the smoothing of the demand curve, when the system is under stress. DR refers to a procedure that is applied to motivate changes in the customers\u2019 power consumption habits, in response to incentives regarding the electricity prices. In this paper, we provide a comprehensive review of various DR schemes and programs, based on the motivations offered to the consumers in order to participate in the program.We classify the proposed DR schemes according to their control mechanism, to the motivations offered to reduce the power consumption and to the DR decision variable. We also present various optimization models for the optimal control of the DR strategies that have been proposed so far. These models are also categorized, based on the target of the optimization procedure. The key aspects that should be considered in the optimization problem are the system\u2019s constraints and the computational complexity of the applied optimization algorithm.", "author" : [ { "dropping-particle" : "", "family" : "Vardakas", "given" : "John S.", "non-dropping-particle" : "", "parse-names" : false, "suffix" : "" }, { "dropping-particle" : "", "family" : "Zorba", "given" : "Nizar", "non-dropping-particle" : "", "parse-names" : false, "suffix" : "" }, { "dropping-particle" : "V.", "family" : "Verikoukis", "given" : "Christos", "non-dropping-particle" : "", "parse-names" : false, "suffix" : "" } ], "container-title" : "IEEE Communications Surveys &amp; Tutorials", "id" : "ITEM-2", "issue" : "c", "issued" : { "date-parts" : [ [ "2014" ] ] }, "page" : "1-1", "title" : "A Survey on Demand Response Programs in Smart Grids: Pricing Methods and Optimization Algorithms", "type" : "article-journal", "volume" : "17" }, "uris" : [ "http://www.mendeley.com/documents/?uuid=7211802b-d945-4d22-a838-19a38709578f" ] }, { "id" : "ITEM-3", "itemData" : { "DOI" : "10.1016/j.apenergy.2016.05.007", "ISSN" : "03062619", "abstract" : "The steady-state coordinated operation of electricity networks and natural gas networks to maximize profits is investigated under market paradigm considering demand response. The components in its gas supply networks are modeled and linearized under steady-state operating conditions where combined cycle gas turbine (CCGT) generators consume natural gas and offer to the electricity market. Interruptible-load based and coupon-based demand response virtual power plants are considered trading in the market like physical generators. A bi-level programming optimization model is formulated with its upper-level representing the coordinated operation to maximize profits and its lower-level simulating the day-ahead market clearing process. This bi-level problem is formulated as a mathematical program with equilibrium constraints, and is linearized as a mixed-integer programming problem. Case studies on a 6-bus power system with a 7-node natural gas system and an IEEE 118-bus power system with a 14-node gas system verify the effectiveness of the coordinated operation model. The impacts of demand response based virtual power plants on the interactions between the two networks are also analyzed.", "author" : [ { "dropping-particle" : "", "family" : "Cui", "given" : "Hantao", "non-dropping-particle" : "", "parse-names" : false, "suffix" : "" }, { "dropping-particle" : "", "family" : "Li", "given" : "Fangxing", "non-dropping-particle" : "", "parse-names" : false, "suffix" : "" }, { "dropping-particle" : "", "family" : "Hu", "given" : "Qinran", "non-dropping-particle" : "", "parse-names" : false, "suffix" : "" }, { "dropping-particle" : "", "family" : "Bai", "given" : "Linquan", "non-dropping-particle" : "", "parse-names" : false, "suffix" : "" }, { "dropping-particle" : "", "family" : "Fang", "given" : "Xin", "non-dropping-particle" : "", "parse-names" : false, "suffix" : "" } ], "container-title" : "Applied Energy", "id" : "ITEM-3", "issued" : { "date-parts" : [ [ "2016" ] ] }, "page" : "183-195", "title" : "Day-ahead coordinated operation of utility-scale electricity and natural gas networks considering demand response based virtual power plants", "type" : "article-journal", "volume" : "176" }, "uris" : [ "http://www.mendeley.com/documents/?uuid=00ca04e3-0deb-3158-a06a-a5d0d14fb36c" ] } ], "mendeley" : { "formattedCitation" : "[28]\u2013[30]", "plainTextFormattedCitation" : "[28]\u2013[30]", "previouslyFormattedCitation" : "[28]\u2013[30]" }, "properties" : { "noteIndex" : 0 }, "schema" : "https://github.com/citation-style-language/schema/raw/master/csl-citation.json" }</w:instrText>
      </w:r>
      <w:r w:rsidR="00960C04">
        <w:fldChar w:fldCharType="separate"/>
      </w:r>
      <w:r w:rsidR="00DD7036" w:rsidRPr="00DD7036">
        <w:rPr>
          <w:noProof/>
        </w:rPr>
        <w:t>[28]–[30]</w:t>
      </w:r>
      <w:r w:rsidR="00960C04">
        <w:fldChar w:fldCharType="end"/>
      </w:r>
      <w:r w:rsidR="00960C04">
        <w:t xml:space="preserve"> bring more complexity to the modeling of modern power system</w:t>
      </w:r>
      <w:r w:rsidR="00552745">
        <w:t>s</w:t>
      </w:r>
      <w:r w:rsidR="00960C04">
        <w:t xml:space="preserve">. </w:t>
      </w:r>
      <w:r w:rsidRPr="00A7750B">
        <w:t xml:space="preserve">Therefore, for a practical system, such model-based static studies </w:t>
      </w:r>
      <w:r w:rsidR="00522F9E">
        <w:t>may</w:t>
      </w:r>
      <w:r w:rsidR="00522F9E" w:rsidRPr="00A7750B">
        <w:t xml:space="preserve"> </w:t>
      </w:r>
      <w:r w:rsidRPr="00A7750B">
        <w:t xml:space="preserve">not </w:t>
      </w:r>
      <w:r w:rsidR="00522F9E">
        <w:t xml:space="preserve">be highly </w:t>
      </w:r>
      <w:r w:rsidRPr="00A7750B">
        <w:t>suitable for online assessment, but are conducted off-line to assess the voltage stability.</w:t>
      </w:r>
    </w:p>
    <w:p w14:paraId="59C979CE" w14:textId="77777777" w:rsidR="00996BEA" w:rsidRDefault="00A7750B" w:rsidP="00A7750B">
      <w:pPr>
        <w:rPr>
          <w:lang w:eastAsia="zh-CN"/>
        </w:rPr>
      </w:pPr>
      <w:r w:rsidRPr="00A7750B">
        <w:t>With the availability of phasor measurement units (PMU</w:t>
      </w:r>
      <w:r w:rsidR="00552745">
        <w:t>s</w:t>
      </w:r>
      <w:r w:rsidRPr="00A7750B">
        <w:t xml:space="preserve">), measurement-based voltage stability assessment (VSA) approaches have been proposed </w:t>
      </w:r>
      <w:r w:rsidR="003E758E">
        <w:fldChar w:fldCharType="begin" w:fldLock="1"/>
      </w:r>
      <w:r w:rsidR="00351740">
        <w:instrText>ADDIN CSL_CITATION { "citationItems" : [ { "id" : "ITEM-1", "itemData" : { "abstract" : "Estimating the proximity of power systems to voltage collapse in real-time still faces difficulties. Beside the data management and computational issues, any central-control method is subject to the reliability of long-distance data communications. In the paper, the authors describe a new data-processing method to estimate the proximity to voltage collapse. The method (code-named SMARTDevice, for Stability Monitoring And Reference Tuning Device) employs only local measurements-bus voltage and load current-and calculates the strength of the transmission system relative to the bus. The collapse occurs when the local load approaches this value. The method is simple enough so that it can be implemented in a numerical relay. The performance of SMARTDevice is compared against the conventional undervoltage relays. It is shown that the latter can misoperate while the new device does not. SMARTDevice is in fact a new breed of voltage relay whose setpoint is automatically tuned to the power system condition", "author" : [ { "dropping-particle" : "", "family" : "Vu", "given" : "Khoi", "non-dropping-particle" : "", "parse-names" : false, "suffix" : "" }, { "dropping-particle" : "", "family" : "Begovic", "given" : "Miroslav M", "non-dropping-particle" : "", "parse-names" : false, "suffix" : "" }, { "dropping-particle" : "", "family" : "Novosel", "given" : "Damir", "non-dropping-particle" : "", "parse-names" : false, "suffix" : "" }, { "dropping-particle" : "", "family" : "Saha", "given" : "Murari Mohan", "non-dropping-particle" : "", "parse-names" : false, "suffix" : "" } ], "container-title" : "IEEE Transactions on Power Systems", "id" : "ITEM-1", "issue" : "3", "issued" : { "date-parts" : [ [ "1999" ] ] }, "page" : "1029-1035", "title" : "Use of local measurements to estimate voltage-stability margin", "type" : "article-journal", "volume" : "14" }, "uris" : [ "http://www.mendeley.com/documents/?uuid=0cf3a6d7-f61e-4f20-adf8-bfee972d3c51" ] }, { "id" : "ITEM-2", "itemData" : { "author" : [ { "dropping-particle" : "", "family" : "Smon", "given" : "Ivan", "non-dropping-particle" : "", "parse-names" : false, "suffix" : "" }, { "dropping-particle" : "", "family" : "Member", "given" : "Student", "non-dropping-particle" : "", "parse-names" : false, "suffix" : "" }, { "dropping-particle" : "", "family" : "Verbi\u02c7", "given" : "Gregor", "non-dropping-particle" : "", "parse-names" : false, "suffix" : "" } ], "id" : "ITEM-2", "issue" : "3", "issued" : { "date-parts" : [ [ "2006" ] ] }, "page" : "1267-1275", "title" : "Local Voltage-Stability Index Using Tellegen \u2019 s Theorem", "type" : "article-journal", "volume" : "21" }, "uris" : [ "http://www.mendeley.com/documents/?uuid=841d7233-a7c1-41c3-8d72-a1788f866d8b" ] }, { "id" : "ITEM-3", "itemData" : { "abstract" : "This paper proposes a new voltage instability risk indicator based on local phasor measurements at fast sampling rate. The effectiveness of the indicator is analyzed at EHV load and ldquotransitrdquo buses. The risk criterion is based on the real-time computation of the Thevenin equivalent impedance of the classic electrical circuit given by an equivalent generator connected to an equivalent load impedance through an equivalent connecting impedance. The main contribution of the paper is the innovating algorithm utilized on the real-time adaptive identification of the Thevenin voltage and impedance equivalents. The algorithm performance is shown through a detailed sensitivity analysis. The paper presents important numerical results from the actual Italian EHV network.", "author" : [ { "dropping-particle" : "", "family" : "Corsi", "given" : "Sandro", "non-dropping-particle" : "", "parse-names" : false, "suffix" : "" }, { "dropping-particle" : "", "family" : "Taranto", "given" : "Glauco N.", "non-dropping-particle" : "", "parse-names" : false, "suffix" : "" } ], "container-title" : "IEEE Transactions on Power Systems", "id" : "ITEM-3", "issue" : "3", "issued" : { "date-parts" : [ [ "2008" ] ] }, "page" : "1271-1279", "title" : "A real-time voltage instability identification algorithm based on local phasor measurements", "type" : "article-journal", "volume" : "23" }, "uris" : [ "http://www.mendeley.com/documents/?uuid=3217c462-66cc-4f46-911f-b0967b72f579" ] }, { "id" : "ITEM-4",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"ITEM-4", "issue" : "4", "issued" : { "date-parts" : [ [ "2011" ] ] }, "page" : "2154-2163", "title" : "Voltage stability monitoring based on the concept of coupled single-port circuit", "type" : "article-journal", "volume" : "26" }, "uris" : [ "http://www.mendeley.com/documents/?uuid=be83206a-cf18-49aa-bba5-04a00745600b" ] }, { "id" : "ITEM-5",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"ITEM-5", "issue" : "1", "issued" : { "date-parts" : [ [ "2003" ] ] }, "page" : "121-127", "title" : "Voltage-stability protection and control using a wide-area network of phasor measurements", "type" : "article-journal", "volume" : "18" }, "uris" : [ "http://www.mendeley.com/documents/?uuid=e20ca229-b0e9-4886-b334-24bceb3aff2d" ] }, { "id" : "ITEM-6", "itemData" : { "author" : [ { "dropping-particle" : "", "family" : "Abdelkader", "given" : "Sobhy M", "non-dropping-particle" : "", "parse-names" : false, "suffix" : "" }, { "dropping-particle" : "", "family" : "Morrow", "given" : "D John", "non-dropping-particle" : "", "parse-names" : false, "suffix" : "" } ], "id" : "ITEM-6", "issue" : "2", "issued" : { "date-parts" : [ [ "2012" ] ] }, "page" : "975-983", "title" : "Online Tracking of Th\u00e9venin Equivalent Parameters Using PMU Measurements", "type" : "article-journal", "volume" : "27" }, "uris" : [ "http://www.mendeley.com/documents/?uuid=efbec25b-7a2a-43a7-bdb7-f67496f51823" ] }, { "id" : "ITEM-7",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"ITEM-7", "issue" : "2", "issued" : { "date-parts" : [ [ "2014" ] ] }, "page" : "756-764", "title" : "Wide-Area Measurement-Based Voltage Stability Indicators by Modified Coupled Single-Port Models", "type" : "article-journal", "volume" : "29" }, "uris" : [ "http://www.mendeley.com/documents/?uuid=813102cc-c222-42f3-bd7c-b45a659f2d6a" ] }, { "id" : "ITEM-8", "itemData" : { "DOI" : "10.1109/ISGT-Asia.2014.6873795", "ISBN" : "2378-8534 VO  -", "author" : [ { "dropping-particle" : "", "family" : "Sun", "given" : "K", "non-dropping-particle" : "", "parse-names" : false, "suffix" : "" }, { "dropping-particle" : "", "family" : "Hu", "given" : "F", "non-dropping-particle" : "", "parse-names" : false, "suffix" : "" }, { "dropping-particle" : "", "family" : "Bhatt", "given" : "N", "non-dropping-particle" : "", "parse-names" : false, "suffix" : "" } ], "container-title" : "2014 IEEE Innovative Smart Grid Technologies - Asia (ISGT ASIA)", "id" : "ITEM-8", "issued" : { "date-parts" : [ [ "2014" ] ] }, "page" : "232-237", "title" : "A new approach for real-time voltage stability monitoring using PMUs", "type" : "article" }, "uris" : [ "http://www.mendeley.com/documents/?uuid=900b8623-4474-4b60-a63d-84f1b201c845" ] } ], "mendeley" : { "formattedCitation" : "[13], [31]\u2013[37]", "plainTextFormattedCitation" : "[13], [31]\u2013[37]", "previouslyFormattedCitation" : "[13], [31]\u2013[37]" }, "properties" : { "noteIndex" : 0 }, "schema" : "https://github.com/citation-style-language/schema/raw/master/csl-citation.json" }</w:instrText>
      </w:r>
      <w:r w:rsidR="003E758E">
        <w:fldChar w:fldCharType="separate"/>
      </w:r>
      <w:r w:rsidR="00DD7036" w:rsidRPr="00DD7036">
        <w:rPr>
          <w:noProof/>
        </w:rPr>
        <w:t>[13], [31]–[37]</w:t>
      </w:r>
      <w:r w:rsidR="003E758E">
        <w:fldChar w:fldCharType="end"/>
      </w:r>
      <w:r w:rsidRPr="00A7750B">
        <w:t>.</w:t>
      </w:r>
      <w:r w:rsidR="00996BEA">
        <w:rPr>
          <w:rFonts w:hint="eastAsia"/>
          <w:lang w:eastAsia="zh-CN"/>
        </w:rPr>
        <w:t xml:space="preserve"> Such measurement-based methods require no or little information of the complex system models</w:t>
      </w:r>
      <w:r w:rsidR="00522F9E">
        <w:rPr>
          <w:lang w:eastAsia="zh-CN"/>
        </w:rPr>
        <w:t xml:space="preserve">, </w:t>
      </w:r>
      <w:r w:rsidR="00996BEA">
        <w:rPr>
          <w:rFonts w:hint="eastAsia"/>
          <w:lang w:eastAsia="zh-CN"/>
        </w:rPr>
        <w:t>therefore</w:t>
      </w:r>
      <w:r w:rsidR="00522F9E">
        <w:rPr>
          <w:lang w:eastAsia="zh-CN"/>
        </w:rPr>
        <w:t>,</w:t>
      </w:r>
      <w:r w:rsidR="00996BEA">
        <w:rPr>
          <w:rFonts w:hint="eastAsia"/>
          <w:lang w:eastAsia="zh-CN"/>
        </w:rPr>
        <w:t xml:space="preserve"> </w:t>
      </w:r>
      <w:r w:rsidR="00522F9E">
        <w:rPr>
          <w:lang w:eastAsia="zh-CN"/>
        </w:rPr>
        <w:t xml:space="preserve">they </w:t>
      </w:r>
      <w:r w:rsidR="00996BEA">
        <w:rPr>
          <w:rFonts w:hint="eastAsia"/>
          <w:lang w:eastAsia="zh-CN"/>
        </w:rPr>
        <w:t>are highly efficient in terms of computation</w:t>
      </w:r>
      <w:r w:rsidR="00E03AD6">
        <w:rPr>
          <w:lang w:eastAsia="zh-CN"/>
        </w:rPr>
        <w:t xml:space="preserve"> </w:t>
      </w:r>
      <w:r w:rsidR="00E03AD6">
        <w:rPr>
          <w:lang w:eastAsia="zh-CN"/>
        </w:rPr>
        <w:fldChar w:fldCharType="begin" w:fldLock="1"/>
      </w:r>
      <w:r w:rsidR="00351740">
        <w:rPr>
          <w:lang w:eastAsia="zh-CN"/>
        </w:rPr>
        <w:instrText>ADDIN CSL_CITATION { "citationItems" : [ { "id" : "ITEM-1", "itemData" : { "DOI" : "10.1109/TSG.2016.2528895", "ISSN" : "19493053", "abstract" : "As synchrophasor data start to play a significant role in power system operation and dynamic study, data processing and data analysis capability are critical to wide-area measurement systems (WAMSs). The frequency monitoring network (FNET/GridEye) is a WAMS network that collects data from hundreds of frequency disturbance recorders at the distribution level. The previous FNET/GridEye data center is limited by its data storage capability and computation power. Targeting scalability, extensibility, concurrency, and robustness, a distributed data analytics platform is proposed in this paper to process large volume, high velocity dataset. A variety of real-time and non-real-time synchrophasor data analytics applications are hosted by this platform. The computation load is shared with balance by multiple nodes of the analytics cluster, and big data analytics tools such as Apache Spark are adopted to manage large volume data and to boost the data processing speed. Future data analytics applications can be easily developed and plugged into the system with simple configuration.", "author" : [ { "dropping-particle" : "", "family" : "Zhou", "given" : "Dao", "non-dropping-particle" : "", "parse-names" : false, "suffix" : "" }, { "dropping-particle" : "", "family" : "Guo", "given" : "Jiahui", "non-dropping-particle" : "", "parse-names" : false, "suffix" : "" }, { "dropping-particle" : "", "family" : "Zhang", "given" : "Ye", "non-dropping-particle" : "", "parse-names" : false, "suffix" : "" }, { "dropping-particle" : "", "family" : "Chai", "given" : "Jidong", "non-dropping-particle" : "", "parse-names" : false, "suffix" : "" }, { "dropping-particle" : "", "family" : "Liu", "given" : "Hesen", "non-dropping-particle" : "", "parse-names" : false, "suffix" : "" }, { "dropping-particle" : "", "family" : "Liu", "given" : "Yong", "non-dropping-particle" : "", "parse-names" : false, "suffix" : "" }, { "dropping-particle" : "", "family" : "Huang", "given" : "Can", "non-dropping-particle" : "", "parse-names" : false, "suffix" : "" }, { "dropping-particle" : "", "family" : "Gui", "given" : "Xun", "non-dropping-particle" : "", "parse-names" : false, "suffix" : "" }, { "dropping-particle" : "", "family" : "Liu", "given" : "Yilu", "non-dropping-particle" : "", "parse-names" : false, "suffix" : "" } ], "container-title" : "IEEE Transactions on Smart Grid", "id" : "ITEM-1", "issued" : { "date-parts" : [ [ "2016" ] ] }, "page" : "1-9", "title" : "Distributed Data Analytics Platform for Wide-Area Synchrophasor Measurement Systems", "type" : "article-journal" }, "uris" : [ "http://www.mendeley.com/documents/?uuid=f7471a0d-281f-49e6-90a1-41feb0523910" ] }, { "id" : "ITEM-2", "itemData" : { "DOI" : "10.1109/TPWRD.2015.2478380", "ISSN" : "08858977", "abstract" : "Electric power grid wide-area monitoring system (WAMS) have been extended from the transmission to distribution level. As the first WAMS deployed at the distribution level, the frequency monitoring network FNET/GridEye uses GPS-time-synchronized monitors called frequency disturbance recorders (FDRs) to capture dynamic grid behaviors. In this paper, the latest developments of monitor design and the state-of-the-art data analytics applications of FNET/GridEye are introduced. Its innovations and uniqueness are also discussed. Thanks to its low cost, easy installation and multi-functionalities, FNET/GridEye works as a cost-effective situational awareness tool for power grid operators and pioneers the development of WAMS in electric power grids.", "author" : [ { "dropping-particle" : "", "family" : "Liu", "given" : "Yong", "non-dropping-particle" : "", "parse-names" : false, "suffix" : "" }, { "dropping-particle" : "", "family" : "Zhan", "given" : "Lingwei", "non-dropping-particle" : "", "parse-names" : false, "suffix" : "" }, { "dropping-particle" : "", "family" : "Zhang", "given" : "Ye", "non-dropping-particle" : "", "parse-names" : false, "suffix" : "" }, { "dropping-particle" : "", "family" : "Markham", "given" : "Penn N.", "non-dropping-particle" : "", "parse-names" : false, "suffix" : "" }, { "dropping-particle" : "", "family" : "Zhou", "given" : "Dao", "non-dropping-particle" : "", "parse-names" : false, "suffix" : "" }, { "dropping-particle" : "", "family" : "Guo", "given" : "Jiahui", "non-dropping-particle" : "", "parse-names" : false, "suffix" : "" }, { "dropping-particle" : "", "family" : "Lei", "given" : "Yin", "non-dropping-particle" : "", "parse-names" : false, "suffix" : "" }, { "dropping-particle" : "", "family" : "Kou", "given" : "Gefei", "non-dropping-particle" : "", "parse-names" : false, "suffix" : "" }, { "dropping-particle" : "", "family" : "Yao", "given" : "Wenxuan", "non-dropping-particle" : "", "parse-names" : false, "suffix" : "" }, { "dropping-particle" : "", "family" : "Chai", "given" : "Jidong", "non-dropping-particle" : "", "parse-names" : false, "suffix" : "" }, { "dropping-particle" : "", "family" : "Liu", "given" : "Yilu", "non-dropping-particle" : "", "parse-names" : false, "suffix" : "" } ], "container-title" : "IEEE Transactions on Power Delivery", "id" : "ITEM-2", "issue" : "2", "issued" : { "date-parts" : [ [ "2016" ] ] }, "page" : "721-731", "title" : "Wide-Area-Measurement System Development at the Distribution Level: An FNET/GridEye Example", "type" : "article-journal", "volume" : "31" }, "uris" : [ "http://www.mendeley.com/documents/?uuid=f74e990a-67f6-42be-b654-3b00aa12c620" ] } ], "mendeley" : { "formattedCitation" : "[38], [39]", "plainTextFormattedCitation" : "[38], [39]", "previouslyFormattedCitation" : "[38], [39]" }, "properties" : { "noteIndex" : 0 }, "schema" : "https://github.com/citation-style-language/schema/raw/master/csl-citation.json" }</w:instrText>
      </w:r>
      <w:r w:rsidR="00E03AD6">
        <w:rPr>
          <w:lang w:eastAsia="zh-CN"/>
        </w:rPr>
        <w:fldChar w:fldCharType="separate"/>
      </w:r>
      <w:r w:rsidR="00DD7036" w:rsidRPr="00DD7036">
        <w:rPr>
          <w:noProof/>
          <w:lang w:eastAsia="zh-CN"/>
        </w:rPr>
        <w:t>[38], [39]</w:t>
      </w:r>
      <w:r w:rsidR="00E03AD6">
        <w:rPr>
          <w:lang w:eastAsia="zh-CN"/>
        </w:rPr>
        <w:fldChar w:fldCharType="end"/>
      </w:r>
      <w:r w:rsidR="00996BEA">
        <w:rPr>
          <w:rFonts w:hint="eastAsia"/>
          <w:lang w:eastAsia="zh-CN"/>
        </w:rPr>
        <w:t xml:space="preserve">. </w:t>
      </w:r>
      <w:r w:rsidR="00522F9E">
        <w:rPr>
          <w:lang w:eastAsia="zh-CN"/>
        </w:rPr>
        <w:t>However</w:t>
      </w:r>
      <w:r w:rsidR="00996BEA">
        <w:rPr>
          <w:rFonts w:hint="eastAsia"/>
          <w:lang w:eastAsia="zh-CN"/>
        </w:rPr>
        <w:t xml:space="preserve">, </w:t>
      </w:r>
      <w:r w:rsidR="00522F9E">
        <w:rPr>
          <w:lang w:eastAsia="zh-CN"/>
        </w:rPr>
        <w:t xml:space="preserve">measurement-based approaches are still in their early stage of development, </w:t>
      </w:r>
      <w:r w:rsidR="0037282E">
        <w:rPr>
          <w:lang w:eastAsia="zh-CN"/>
        </w:rPr>
        <w:t xml:space="preserve">and </w:t>
      </w:r>
      <w:r w:rsidR="00996BEA">
        <w:rPr>
          <w:rFonts w:hint="eastAsia"/>
          <w:lang w:eastAsia="zh-CN"/>
        </w:rPr>
        <w:t xml:space="preserve">the </w:t>
      </w:r>
      <w:r w:rsidR="00996BEA">
        <w:rPr>
          <w:lang w:eastAsia="zh-CN"/>
        </w:rPr>
        <w:t>applications</w:t>
      </w:r>
      <w:r w:rsidR="00996BEA">
        <w:rPr>
          <w:rFonts w:hint="eastAsia"/>
          <w:lang w:eastAsia="zh-CN"/>
        </w:rPr>
        <w:t xml:space="preserve"> of the measurement-based </w:t>
      </w:r>
      <w:r w:rsidR="00522F9E">
        <w:rPr>
          <w:lang w:eastAsia="zh-CN"/>
        </w:rPr>
        <w:t>VSA</w:t>
      </w:r>
      <w:r w:rsidR="00522F9E">
        <w:rPr>
          <w:rFonts w:hint="eastAsia"/>
          <w:lang w:eastAsia="zh-CN"/>
        </w:rPr>
        <w:t xml:space="preserve"> </w:t>
      </w:r>
      <w:r w:rsidR="00996BEA">
        <w:rPr>
          <w:rFonts w:hint="eastAsia"/>
          <w:lang w:eastAsia="zh-CN"/>
        </w:rPr>
        <w:t xml:space="preserve">are still </w:t>
      </w:r>
      <w:r w:rsidR="005263E6">
        <w:rPr>
          <w:lang w:eastAsia="zh-CN"/>
        </w:rPr>
        <w:t xml:space="preserve">mostly </w:t>
      </w:r>
      <w:r w:rsidR="00996BEA">
        <w:rPr>
          <w:rFonts w:hint="eastAsia"/>
          <w:lang w:eastAsia="zh-CN"/>
        </w:rPr>
        <w:t xml:space="preserve">limited to voltage </w:t>
      </w:r>
      <w:r w:rsidR="00FD1EC6">
        <w:rPr>
          <w:rFonts w:hint="eastAsia"/>
          <w:lang w:eastAsia="zh-CN"/>
        </w:rPr>
        <w:t>stability assessment.</w:t>
      </w:r>
      <w:r w:rsidRPr="00A7750B">
        <w:t xml:space="preserve"> </w:t>
      </w:r>
    </w:p>
    <w:p w14:paraId="2152BDC9" w14:textId="77777777" w:rsidR="00996BEA" w:rsidRDefault="00FD1EC6" w:rsidP="00FD1EC6">
      <w:pPr>
        <w:pStyle w:val="Heading3"/>
      </w:pPr>
      <w:bookmarkStart w:id="2" w:name="_Toc459076527"/>
      <w:r>
        <w:rPr>
          <w:rFonts w:hint="eastAsia"/>
          <w:lang w:eastAsia="zh-CN"/>
        </w:rPr>
        <w:t>1.1.1 Thevenin Identification Methods</w:t>
      </w:r>
      <w:bookmarkEnd w:id="2"/>
    </w:p>
    <w:p w14:paraId="7E479BB6" w14:textId="77777777" w:rsidR="00A7750B" w:rsidRPr="00A7750B" w:rsidRDefault="00A7750B" w:rsidP="00A7750B">
      <w:r w:rsidRPr="00A7750B">
        <w:t xml:space="preserve">For all the </w:t>
      </w:r>
      <w:r w:rsidR="00FD1EC6">
        <w:rPr>
          <w:rFonts w:hint="eastAsia"/>
          <w:lang w:eastAsia="zh-CN"/>
        </w:rPr>
        <w:t>measurement-based VSA</w:t>
      </w:r>
      <w:r w:rsidRPr="00A7750B">
        <w:t xml:space="preserve"> methods, the calculation of the Thevenin equivalence (TE) from measurement data is the most fundamental and time consuming step. Therefore, the performance of the TE identification method is crucial for these measurement-based methods to be implemented online. </w:t>
      </w:r>
    </w:p>
    <w:p w14:paraId="1C2D9133" w14:textId="75DC8BA5" w:rsidR="00A7750B" w:rsidRPr="00A7750B" w:rsidRDefault="00A7750B" w:rsidP="00A7750B">
      <w:pPr>
        <w:rPr>
          <w:lang w:eastAsia="zh-CN"/>
        </w:rPr>
      </w:pPr>
      <w:r w:rsidRPr="00A7750B">
        <w:t xml:space="preserve">Although these TE identification methods all achieve good accuracy in their respective test cases, they have not been compared explicitly with each other on the same test case. </w:t>
      </w:r>
      <w:r w:rsidR="0037282E">
        <w:t>Further</w:t>
      </w:r>
      <w:r w:rsidRPr="00A7750B">
        <w:t xml:space="preserve">, some of the methods </w:t>
      </w:r>
      <w:r w:rsidR="00FD1EC6">
        <w:fldChar w:fldCharType="begin" w:fldLock="1"/>
      </w:r>
      <w:r w:rsidR="00351740">
        <w:instrText>ADDIN CSL_CITATION { "citationItems" : [ { "id" : "ITEM-1", "itemData" : { "abstract" : "Estimating the proximity of power systems to voltage collapse in real-time still faces difficulties. Beside the data management and computational issues, any central-control method is subject to the reliability of long-distance data communications. In the paper, the authors describe a new data-processing method to estimate the proximity to voltage collapse. The method (code-named SMARTDevice, for Stability Monitoring And Reference Tuning Device) employs only local measurements-bus voltage and load current-and calculates the strength of the transmission system relative to the bus. The collapse occurs when the local load approaches this value. The method is simple enough so that it can be implemented in a numerical relay. The performance of SMARTDevice is compared against the conventional undervoltage relays. It is shown that the latter can misoperate while the new device does not. SMARTDevice is in fact a new breed of voltage relay whose setpoint is automatically tuned to the power system condition", "author" : [ { "dropping-particle" : "", "family" : "Vu", "given" : "Khoi", "non-dropping-particle" : "", "parse-names" : false, "suffix" : "" }, { "dropping-particle" : "", "family" : "Begovic", "given" : "Miroslav M", "non-dropping-particle" : "", "parse-names" : false, "suffix" : "" }, { "dropping-particle" : "", "family" : "Novosel", "given" : "Damir", "non-dropping-particle" : "", "parse-names" : false, "suffix" : "" }, { "dropping-particle" : "", "family" : "Saha", "given" : "Murari Mohan", "non-dropping-particle" : "", "parse-names" : false, "suffix" : "" } ], "container-title" : "IEEE Transactions on Power Systems", "id" : "ITEM-1", "issue" : "3", "issued" : { "date-parts" : [ [ "1999" ] ] }, "page" : "1029-1035", "title" : "Use of local measurements to estimate voltage-stability margin", "type" : "article-journal", "volume" : "14" }, "uris" : [ "http://www.mendeley.com/documents/?uuid=0cf3a6d7-f61e-4f20-adf8-bfee972d3c51" ] }, { "id" : "ITEM-2",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"ITEM-2",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"[31], [34]", "plainTextFormattedCitation" : "[31], [34]", "previouslyFormattedCitation" : "[31], [34]" }, "properties" : { "noteIndex" : 0 }, "schema" : "https://github.com/citation-style-language/schema/raw/master/csl-citation.json" }</w:instrText>
      </w:r>
      <w:r w:rsidR="00FD1EC6">
        <w:fldChar w:fldCharType="separate"/>
      </w:r>
      <w:r w:rsidR="00DD7036" w:rsidRPr="00DD7036">
        <w:rPr>
          <w:noProof/>
        </w:rPr>
        <w:t>[31], [34]</w:t>
      </w:r>
      <w:r w:rsidR="00FD1EC6">
        <w:fldChar w:fldCharType="end"/>
      </w:r>
      <w:r w:rsidRPr="00A7750B">
        <w:t xml:space="preserve"> are tested on pseudo-measurements </w:t>
      </w:r>
      <w:r w:rsidRPr="00A7750B">
        <w:lastRenderedPageBreak/>
        <w:t xml:space="preserve">from power flow results. It is stated that time domain simulations including slow dynamics of the system may better demonstrate the problem of voltage stability </w:t>
      </w:r>
      <w:r w:rsidR="00FD1EC6">
        <w:rPr>
          <w:lang w:val="x-none"/>
        </w:rPr>
        <w:fldChar w:fldCharType="begin" w:fldLock="1"/>
      </w:r>
      <w:r w:rsidR="00FD1EC6">
        <w:rPr>
          <w:lang w:val="x-none"/>
        </w:rPr>
        <w:instrText>ADDIN CSL_CITATION { "citationItems" : [ { "id" : "ITEM-1", "itemData" : { "author" : [ { "dropping-particle" : "", "family" : "Taylor", "given" : "C. W.", "non-dropping-particle" : "", "parse-names" : false, "suffix" : "" } ], "id" : "ITEM-1", "issued" : { "date-parts" : [ [ "1994" ] ] }, "publisher" : "McGraw Hill Education", "publisher-place" : "New York", "title" : "Power System Voltage Stability", "type" : "book" }, "uris" : [ "http://www.mendeley.com/documents/?uuid=f5ba7386-ccd1-43c4-a053-09089f1115ba" ] } ], "mendeley" : { "formattedCitation" : "[1]", "plainTextFormattedCitation" : "[1]", "previouslyFormattedCitation" : "[1]" }, "properties" : { "noteIndex" : 0 }, "schema" : "https://github.com/citation-style-language/schema/raw/master/csl-citation.json" }</w:instrText>
      </w:r>
      <w:r w:rsidR="00FD1EC6">
        <w:rPr>
          <w:lang w:val="x-none"/>
        </w:rPr>
        <w:fldChar w:fldCharType="separate"/>
      </w:r>
      <w:r w:rsidR="00FD1EC6" w:rsidRPr="00327697">
        <w:rPr>
          <w:noProof/>
          <w:lang w:val="x-none"/>
        </w:rPr>
        <w:t>[1]</w:t>
      </w:r>
      <w:r w:rsidR="00FD1EC6">
        <w:rPr>
          <w:lang w:val="x-none"/>
        </w:rPr>
        <w:fldChar w:fldCharType="end"/>
      </w:r>
      <w:r w:rsidR="00FD1EC6">
        <w:rPr>
          <w:rFonts w:hint="eastAsia"/>
          <w:lang w:val="x-none" w:eastAsia="zh-CN"/>
        </w:rPr>
        <w:t>.</w:t>
      </w:r>
    </w:p>
    <w:p w14:paraId="1B282394" w14:textId="77777777" w:rsidR="00A7750B" w:rsidRPr="00A7750B" w:rsidRDefault="00A7750B" w:rsidP="00A7750B">
      <w:r w:rsidRPr="00A7750B">
        <w:t>Tests of different TE identification methods on the same time domain simulated test case provide another perspective for evaluating these methods. In our study</w:t>
      </w:r>
      <w:r w:rsidR="005263E6">
        <w:t xml:space="preserve"> in Chapter 3</w:t>
      </w:r>
      <w:r w:rsidRPr="00A7750B">
        <w:t xml:space="preserve">, the test results of four existing methods from </w:t>
      </w:r>
      <w:r w:rsidR="00FD1EC6">
        <w:fldChar w:fldCharType="begin" w:fldLock="1"/>
      </w:r>
      <w:r w:rsidR="00351740">
        <w:instrText>ADDIN CSL_CITATION { "citationItems" : [ { "id" : "ITEM-1", "itemData" : { "abstract" : "Estimating the proximity of power systems to voltage collapse in real-time still faces difficulties. Beside the data management and computational issues, any central-control method is subject to the reliability of long-distance data communications. In the paper, the authors describe a new data-processing method to estimate the proximity to voltage collapse. The method (code-named SMARTDevice, for Stability Monitoring And Reference Tuning Device) employs only local measurements-bus voltage and load current-and calculates the strength of the transmission system relative to the bus. The collapse occurs when the local load approaches this value. The method is simple enough so that it can be implemented in a numerical relay. The performance of SMARTDevice is compared against the conventional undervoltage relays. It is shown that the latter can misoperate while the new device does not. SMARTDevice is in fact a new breed of voltage relay whose setpoint is automatically tuned to the power system condition", "author" : [ { "dropping-particle" : "", "family" : "Vu", "given" : "Khoi", "non-dropping-particle" : "", "parse-names" : false, "suffix" : "" }, { "dropping-particle" : "", "family" : "Begovic", "given" : "Miroslav M", "non-dropping-particle" : "", "parse-names" : false, "suffix" : "" }, { "dropping-particle" : "", "family" : "Novosel", "given" : "Damir", "non-dropping-particle" : "", "parse-names" : false, "suffix" : "" }, { "dropping-particle" : "", "family" : "Saha", "given" : "Murari Mohan", "non-dropping-particle" : "", "parse-names" : false, "suffix" : "" } ], "container-title" : "IEEE Transactions on Power Systems", "id" : "ITEM-1", "issue" : "3", "issued" : { "date-parts" : [ [ "1999" ] ] }, "page" : "1029-1035", "title" : "Use of local measurements to estimate voltage-stability margin", "type" : "article-journal", "volume" : "14" }, "uris" : [ "http://www.mendeley.com/documents/?uuid=0cf3a6d7-f61e-4f20-adf8-bfee972d3c51" ] }, { "id" : "ITEM-2", "itemData" : { "author" : [ { "dropping-particle" : "", "family" : "Smon", "given" : "Ivan", "non-dropping-particle" : "", "parse-names" : false, "suffix" : "" }, { "dropping-particle" : "", "family" : "Member", "given" : "Student", "non-dropping-particle" : "", "parse-names" : false, "suffix" : "" }, { "dropping-particle" : "", "family" : "Verbi\u02c7", "given" : "Gregor", "non-dropping-particle" : "", "parse-names" : false, "suffix" : "" } ], "id" : "ITEM-2", "issue" : "3", "issued" : { "date-parts" : [ [ "2006" ] ] }, "page" : "1267-1275", "title" : "Local Voltage-Stability Index Using Tellegen \u2019 s Theorem", "type" : "article-journal", "volume" : "21" }, "uris" : [ "http://www.mendeley.com/documents/?uuid=841d7233-a7c1-41c3-8d72-a1788f866d8b" ] }, { "id" : "ITEM-3", "itemData" : { "abstract" : "This paper proposes a new voltage instability risk indicator based on local phasor measurements at fast sampling rate. The effectiveness of the indicator is analyzed at EHV load and ldquotransitrdquo buses. The risk criterion is based on the real-time computation of the Thevenin equivalent impedance of the classic electrical circuit given by an equivalent generator connected to an equivalent load impedance through an equivalent connecting impedance. The main contribution of the paper is the innovating algorithm utilized on the real-time adaptive identification of the Thevenin voltage and impedance equivalents. The algorithm performance is shown through a detailed sensitivity analysis. The paper presents important numerical results from the actual Italian EHV network.", "author" : [ { "dropping-particle" : "", "family" : "Corsi", "given" : "Sandro", "non-dropping-particle" : "", "parse-names" : false, "suffix" : "" }, { "dropping-particle" : "", "family" : "Taranto", "given" : "Glauco N.", "non-dropping-particle" : "", "parse-names" : false, "suffix" : "" } ], "container-title" : "IEEE Transactions on Power Systems", "id" : "ITEM-3", "issue" : "3", "issued" : { "date-parts" : [ [ "2008" ] ] }, "page" : "1271-1279", "title" : "A real-time voltage instability identification algorithm based on local phasor measurements", "type" : "article-journal", "volume" : "23" }, "uris" : [ "http://www.mendeley.com/documents/?uuid=3217c462-66cc-4f46-911f-b0967b72f579" ] }, { "id" : "ITEM-4",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"ITEM-4",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"[31]\u2013[34]", "plainTextFormattedCitation" : "[31]\u2013[34]", "previouslyFormattedCitation" : "[31]\u2013[34]" }, "properties" : { "noteIndex" : 0 }, "schema" : "https://github.com/citation-style-language/schema/raw/master/csl-citation.json" }</w:instrText>
      </w:r>
      <w:r w:rsidR="00FD1EC6">
        <w:fldChar w:fldCharType="separate"/>
      </w:r>
      <w:r w:rsidR="00DD7036" w:rsidRPr="00DD7036">
        <w:rPr>
          <w:noProof/>
        </w:rPr>
        <w:t>[31]–[34]</w:t>
      </w:r>
      <w:r w:rsidR="00FD1EC6">
        <w:fldChar w:fldCharType="end"/>
      </w:r>
      <w:r w:rsidRPr="00A7750B">
        <w:t xml:space="preserve"> on the practical Northeast Power Coordinating Council (NPCC) 140-bus system discover some new characteristics of these methods that have never been mentioned in previous works.</w:t>
      </w:r>
    </w:p>
    <w:p w14:paraId="6DE99445" w14:textId="77777777" w:rsidR="00FD1EC6" w:rsidRDefault="00FD1EC6" w:rsidP="00FD1EC6">
      <w:pPr>
        <w:pStyle w:val="Heading3"/>
      </w:pPr>
      <w:bookmarkStart w:id="3" w:name="_Toc459076528"/>
      <w:r>
        <w:rPr>
          <w:rFonts w:hint="eastAsia"/>
          <w:lang w:eastAsia="zh-CN"/>
        </w:rPr>
        <w:t xml:space="preserve">1.1.2 </w:t>
      </w:r>
      <w:r w:rsidR="00DD5DB0">
        <w:rPr>
          <w:rFonts w:hint="eastAsia"/>
          <w:lang w:eastAsia="zh-CN"/>
        </w:rPr>
        <w:t xml:space="preserve">Hybrid </w:t>
      </w:r>
      <w:r>
        <w:rPr>
          <w:rFonts w:hint="eastAsia"/>
          <w:lang w:eastAsia="zh-CN"/>
        </w:rPr>
        <w:t>VSA for N-1 Contingency</w:t>
      </w:r>
      <w:bookmarkEnd w:id="3"/>
    </w:p>
    <w:p w14:paraId="34E9FB0D" w14:textId="77777777" w:rsidR="00127F60" w:rsidRDefault="00DD5DB0" w:rsidP="00127F60">
      <w:pPr>
        <w:rPr>
          <w:lang w:val="en-GB" w:eastAsia="zh-CN"/>
        </w:rPr>
      </w:pPr>
      <w:r>
        <w:rPr>
          <w:rFonts w:hint="eastAsia"/>
          <w:lang w:val="en-GB" w:eastAsia="zh-CN"/>
        </w:rPr>
        <w:t>To</w:t>
      </w:r>
      <w:r w:rsidR="00127F60" w:rsidRPr="00127F60">
        <w:rPr>
          <w:lang w:val="en-GB"/>
        </w:rPr>
        <w:t xml:space="preserve"> maintain the reliability of an electric power system</w:t>
      </w:r>
      <w:r>
        <w:rPr>
          <w:rFonts w:hint="eastAsia"/>
          <w:lang w:val="en-GB" w:eastAsia="zh-CN"/>
        </w:rPr>
        <w:t xml:space="preserve"> during operation</w:t>
      </w:r>
      <w:r w:rsidR="00127F60" w:rsidRPr="00127F60">
        <w:rPr>
          <w:lang w:val="en-GB"/>
        </w:rPr>
        <w:t xml:space="preserve">, it is </w:t>
      </w:r>
      <w:r w:rsidR="003508D7">
        <w:rPr>
          <w:lang w:val="en-GB"/>
        </w:rPr>
        <w:t>of significant importance</w:t>
      </w:r>
      <w:r w:rsidR="003508D7" w:rsidRPr="00127F60">
        <w:rPr>
          <w:lang w:val="en-GB"/>
        </w:rPr>
        <w:t xml:space="preserve"> </w:t>
      </w:r>
      <w:r w:rsidR="00127F60" w:rsidRPr="00127F60">
        <w:rPr>
          <w:lang w:val="en-GB"/>
        </w:rPr>
        <w:t xml:space="preserve">that the voltage stability margins for both normal and N-1 contingency status </w:t>
      </w:r>
      <w:r w:rsidR="003508D7">
        <w:rPr>
          <w:lang w:val="en-GB"/>
        </w:rPr>
        <w:t>should be</w:t>
      </w:r>
      <w:r w:rsidR="003508D7" w:rsidRPr="00127F60">
        <w:rPr>
          <w:lang w:val="en-GB"/>
        </w:rPr>
        <w:t xml:space="preserve"> </w:t>
      </w:r>
      <w:r w:rsidR="00127F60" w:rsidRPr="00127F60">
        <w:rPr>
          <w:lang w:val="en-GB"/>
        </w:rPr>
        <w:t>assessed accurately and timely</w:t>
      </w:r>
      <w:r>
        <w:rPr>
          <w:rFonts w:hint="eastAsia"/>
          <w:lang w:val="en-GB" w:eastAsia="zh-CN"/>
        </w:rPr>
        <w:t xml:space="preserve"> </w:t>
      </w:r>
      <w:r>
        <w:rPr>
          <w:lang w:val="en-GB" w:eastAsia="zh-CN"/>
        </w:rPr>
        <w:fldChar w:fldCharType="begin" w:fldLock="1"/>
      </w:r>
      <w:r w:rsidR="00351740">
        <w:rPr>
          <w:lang w:val="en-GB" w:eastAsia="zh-CN"/>
        </w:rPr>
        <w:instrText>ADDIN CSL_CITATION { "citationItems" : [ { "id" : "ITEM-1", "itemData" : { "DOI" : "10.1016/j.epsr.2014.12.022", "ISSN" : "03787796", "author" : [ { "dropping-particle" : "", "family" : "Yuan", "given" : "Haoyu", "non-dropping-particle" : "", "parse-names" : false, "suffix" : "" }, { "dropping-particle" : "", "family" : "Li", "given" : "Fangxing", "non-dropping-particle" : "", "parse-names" : false, "suffix" : "" } ], "container-title" : "Electric Power Systems Research", "id" : "ITEM-1", "issued" : { "date-parts" : [ [ "2015" ] ] }, "page" : "65-75", "publisher" : "Elsevier B.V.", "title" : "Hybrid voltage stability assessment (VSA) for N\u22121 contingency", "type" : "article-journal", "volume" : "122" }, "uris" : [ "http://www.mendeley.com/documents/?uuid=c716a3e4-300f-4e05-babe-0d607f164560" ] } ], "mendeley" : { "formattedCitation" : "[40]", "plainTextFormattedCitation" : "[40]", "previouslyFormattedCitation" : "[40]" }, "properties" : { "noteIndex" : 0 }, "schema" : "https://github.com/citation-style-language/schema/raw/master/csl-citation.json" }</w:instrText>
      </w:r>
      <w:r>
        <w:rPr>
          <w:lang w:val="en-GB" w:eastAsia="zh-CN"/>
        </w:rPr>
        <w:fldChar w:fldCharType="separate"/>
      </w:r>
      <w:r w:rsidR="00DD7036" w:rsidRPr="00DD7036">
        <w:rPr>
          <w:noProof/>
          <w:lang w:val="en-GB" w:eastAsia="zh-CN"/>
        </w:rPr>
        <w:t>[40]</w:t>
      </w:r>
      <w:r>
        <w:rPr>
          <w:lang w:val="en-GB" w:eastAsia="zh-CN"/>
        </w:rPr>
        <w:fldChar w:fldCharType="end"/>
      </w:r>
      <w:r w:rsidR="00127F60" w:rsidRPr="00127F60">
        <w:rPr>
          <w:lang w:val="en-GB"/>
        </w:rPr>
        <w:t>.</w:t>
      </w:r>
    </w:p>
    <w:p w14:paraId="0F50EF6D" w14:textId="77777777" w:rsidR="00DD5DB0" w:rsidRDefault="00DD5DB0" w:rsidP="00127F60">
      <w:pPr>
        <w:rPr>
          <w:lang w:val="en-GB" w:eastAsia="zh-CN"/>
        </w:rPr>
      </w:pPr>
      <w:r>
        <w:rPr>
          <w:rFonts w:hint="eastAsia"/>
          <w:lang w:val="en-GB" w:eastAsia="zh-CN"/>
        </w:rPr>
        <w:t xml:space="preserve">For a practical power system, the number of the </w:t>
      </w:r>
      <w:r>
        <w:rPr>
          <w:lang w:val="en-GB" w:eastAsia="zh-CN"/>
        </w:rPr>
        <w:t>contingencies</w:t>
      </w:r>
      <w:r>
        <w:rPr>
          <w:rFonts w:hint="eastAsia"/>
          <w:lang w:val="en-GB" w:eastAsia="zh-CN"/>
        </w:rPr>
        <w:t xml:space="preserve"> needed to be monitored usually </w:t>
      </w:r>
      <w:r w:rsidR="003508D7">
        <w:rPr>
          <w:lang w:val="en-GB" w:eastAsia="zh-CN"/>
        </w:rPr>
        <w:t>can be</w:t>
      </w:r>
      <w:r w:rsidR="003508D7">
        <w:rPr>
          <w:rFonts w:hint="eastAsia"/>
          <w:lang w:val="en-GB" w:eastAsia="zh-CN"/>
        </w:rPr>
        <w:t xml:space="preserve"> </w:t>
      </w:r>
      <w:r w:rsidR="003508D7">
        <w:rPr>
          <w:lang w:val="en-GB" w:eastAsia="zh-CN"/>
        </w:rPr>
        <w:t>in</w:t>
      </w:r>
      <w:r w:rsidR="003508D7">
        <w:rPr>
          <w:rFonts w:hint="eastAsia"/>
          <w:lang w:val="en-GB" w:eastAsia="zh-CN"/>
        </w:rPr>
        <w:t xml:space="preserve"> </w:t>
      </w:r>
      <w:r>
        <w:rPr>
          <w:rFonts w:hint="eastAsia"/>
          <w:lang w:val="en-GB" w:eastAsia="zh-CN"/>
        </w:rPr>
        <w:t xml:space="preserve">the </w:t>
      </w:r>
      <w:r w:rsidR="003508D7">
        <w:rPr>
          <w:lang w:val="en-GB" w:eastAsia="zh-CN"/>
        </w:rPr>
        <w:t xml:space="preserve">same </w:t>
      </w:r>
      <w:r>
        <w:rPr>
          <w:rFonts w:hint="eastAsia"/>
          <w:lang w:val="en-GB" w:eastAsia="zh-CN"/>
        </w:rPr>
        <w:t xml:space="preserve">order of </w:t>
      </w:r>
      <w:r w:rsidR="0037282E">
        <w:rPr>
          <w:lang w:val="en-GB" w:eastAsia="zh-CN"/>
        </w:rPr>
        <w:t xml:space="preserve">the </w:t>
      </w:r>
      <w:r>
        <w:rPr>
          <w:rFonts w:hint="eastAsia"/>
          <w:lang w:val="en-GB" w:eastAsia="zh-CN"/>
        </w:rPr>
        <w:t xml:space="preserve">system size. </w:t>
      </w:r>
      <w:r w:rsidR="003508D7">
        <w:rPr>
          <w:lang w:val="en-GB" w:eastAsia="zh-CN"/>
        </w:rPr>
        <w:t>That is</w:t>
      </w:r>
      <w:r>
        <w:rPr>
          <w:rFonts w:hint="eastAsia"/>
          <w:lang w:val="en-GB" w:eastAsia="zh-CN"/>
        </w:rPr>
        <w:t xml:space="preserve">, the computation burden of assessing the VSA of N-1 contingency is N times of the computation burden of assessing the VSA of </w:t>
      </w:r>
      <w:r>
        <w:rPr>
          <w:lang w:val="en-GB" w:eastAsia="zh-CN"/>
        </w:rPr>
        <w:t>normal</w:t>
      </w:r>
      <w:r>
        <w:rPr>
          <w:rFonts w:hint="eastAsia"/>
          <w:lang w:val="en-GB" w:eastAsia="zh-CN"/>
        </w:rPr>
        <w:t xml:space="preserve"> operating condition.</w:t>
      </w:r>
      <w:r w:rsidR="003508D7">
        <w:rPr>
          <w:lang w:val="en-GB" w:eastAsia="zh-CN"/>
        </w:rPr>
        <w:t xml:space="preserve"> Certainly, many heuristic rules such as identifying the root contingency cases are usually applied in practice to reduce the computational burden. However, the number of N-1 contingency cases is still a large number demanding significant computation efforts. </w:t>
      </w:r>
    </w:p>
    <w:p w14:paraId="2EFDE9F0" w14:textId="28E62B82" w:rsidR="00DD5DB0" w:rsidRPr="00127F60" w:rsidRDefault="0037282E" w:rsidP="00127F60">
      <w:pPr>
        <w:rPr>
          <w:lang w:val="en-GB" w:eastAsia="zh-CN"/>
        </w:rPr>
      </w:pPr>
      <w:r>
        <w:rPr>
          <w:lang w:val="en-GB" w:eastAsia="zh-CN"/>
        </w:rPr>
        <w:t>Unfortunately</w:t>
      </w:r>
      <w:r w:rsidR="00DD5DB0">
        <w:rPr>
          <w:rFonts w:hint="eastAsia"/>
          <w:lang w:val="en-GB" w:eastAsia="zh-CN"/>
        </w:rPr>
        <w:t>, in existing measurement-based approaches, the</w:t>
      </w:r>
      <w:r w:rsidR="003508D7">
        <w:rPr>
          <w:lang w:val="en-GB" w:eastAsia="zh-CN"/>
        </w:rPr>
        <w:t>re is no report in the literatures that</w:t>
      </w:r>
      <w:r w:rsidR="00DD5DB0">
        <w:rPr>
          <w:rFonts w:hint="eastAsia"/>
          <w:lang w:val="en-GB" w:eastAsia="zh-CN"/>
        </w:rPr>
        <w:t xml:space="preserve"> aimed </w:t>
      </w:r>
      <w:r w:rsidR="003508D7">
        <w:rPr>
          <w:lang w:val="en-GB" w:eastAsia="zh-CN"/>
        </w:rPr>
        <w:t>to</w:t>
      </w:r>
      <w:r w:rsidR="003508D7">
        <w:rPr>
          <w:rFonts w:hint="eastAsia"/>
          <w:lang w:val="en-GB" w:eastAsia="zh-CN"/>
        </w:rPr>
        <w:t xml:space="preserve"> </w:t>
      </w:r>
      <w:r w:rsidR="003508D7">
        <w:rPr>
          <w:lang w:val="en-GB" w:eastAsia="zh-CN"/>
        </w:rPr>
        <w:t xml:space="preserve">directly </w:t>
      </w:r>
      <w:r w:rsidR="00DD5DB0">
        <w:rPr>
          <w:rFonts w:hint="eastAsia"/>
          <w:lang w:val="en-GB" w:eastAsia="zh-CN"/>
        </w:rPr>
        <w:t xml:space="preserve">assessing the </w:t>
      </w:r>
      <w:r w:rsidR="003508D7">
        <w:rPr>
          <w:lang w:val="en-GB" w:eastAsia="zh-CN"/>
        </w:rPr>
        <w:t xml:space="preserve">voltage </w:t>
      </w:r>
      <w:r w:rsidR="00DD5DB0">
        <w:rPr>
          <w:rFonts w:hint="eastAsia"/>
          <w:lang w:val="en-GB" w:eastAsia="zh-CN"/>
        </w:rPr>
        <w:t xml:space="preserve">stability margin under </w:t>
      </w:r>
      <w:r w:rsidR="003508D7">
        <w:rPr>
          <w:lang w:val="en-GB" w:eastAsia="zh-CN"/>
        </w:rPr>
        <w:t xml:space="preserve">N-1 </w:t>
      </w:r>
      <w:r w:rsidR="00DD5DB0">
        <w:rPr>
          <w:rFonts w:hint="eastAsia"/>
          <w:lang w:val="en-GB" w:eastAsia="zh-CN"/>
        </w:rPr>
        <w:t>contingencies</w:t>
      </w:r>
      <w:r w:rsidR="003508D7">
        <w:rPr>
          <w:lang w:val="en-GB" w:eastAsia="zh-CN"/>
        </w:rPr>
        <w:t>. Thus, this is a much under-developed area if</w:t>
      </w:r>
      <w:r w:rsidR="00DD5DB0">
        <w:rPr>
          <w:rFonts w:hint="eastAsia"/>
          <w:lang w:val="en-GB" w:eastAsia="zh-CN"/>
        </w:rPr>
        <w:t xml:space="preserve"> compared with VSA for normal condition.</w:t>
      </w:r>
    </w:p>
    <w:p w14:paraId="5E045EA6" w14:textId="211FE9BA" w:rsidR="00127F60" w:rsidRPr="00127F60" w:rsidRDefault="00DD5DB0" w:rsidP="00127F60">
      <w:pPr>
        <w:rPr>
          <w:lang w:val="en-GB"/>
        </w:rPr>
      </w:pPr>
      <w:r>
        <w:rPr>
          <w:rFonts w:hint="eastAsia"/>
          <w:lang w:val="en-GB" w:eastAsia="zh-CN"/>
        </w:rPr>
        <w:lastRenderedPageBreak/>
        <w:t xml:space="preserve">In this </w:t>
      </w:r>
      <w:r w:rsidR="003508D7">
        <w:rPr>
          <w:lang w:val="en-GB" w:eastAsia="zh-CN"/>
        </w:rPr>
        <w:t>dissertation</w:t>
      </w:r>
      <w:r w:rsidR="00127F60" w:rsidRPr="00127F60">
        <w:rPr>
          <w:lang w:val="en-GB"/>
        </w:rPr>
        <w:t>, a hybrid VSA method is proposed</w:t>
      </w:r>
      <w:r w:rsidR="003508D7">
        <w:rPr>
          <w:lang w:val="en-GB"/>
        </w:rPr>
        <w:t xml:space="preserve"> in Chapter 4</w:t>
      </w:r>
      <w:r w:rsidR="00127F60" w:rsidRPr="00127F60">
        <w:rPr>
          <w:lang w:val="en-GB"/>
        </w:rPr>
        <w:t xml:space="preserve"> to perform N-1 contingency analysis at high accuracy and efficiency, which can be suitable for online applications. For contingency analysis, the hybrid approach integrates the model-based sensitivity which gives fast estimation of the post-contingency system status. A variety of studies discussed such sensitivity analysis in the literature </w:t>
      </w:r>
      <w:r w:rsidR="00537247">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"id" : "ITEM-2", "itemData" : { "author" : [ { "dropping-particle" : "", "family" : "Ruiz", "given" : "Pablo A.", "non-dropping-particle" : "", "parse-names" : false, "suffix" : "" }, { "dropping-particle" : "", "family" : "Sauer", "given" : "Peter W", "non-dropping-particle" : "", "parse-names" : false, "suffix" : "" } ], "id" : "ITEM-2",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"[41], [42]", "plainTextFormattedCitation" : "[41], [42]", "previouslyFormattedCitation" : "[41], [42]" }, "properties" : { "noteIndex" : 0 }, "schema" : "https://github.com/citation-style-language/schema/raw/master/csl-citation.json" }</w:instrText>
      </w:r>
      <w:r w:rsidR="00537247">
        <w:rPr>
          <w:lang w:val="en-GB"/>
        </w:rPr>
        <w:fldChar w:fldCharType="separate"/>
      </w:r>
      <w:r w:rsidR="00DD7036" w:rsidRPr="00DD7036">
        <w:rPr>
          <w:noProof/>
          <w:lang w:val="en-GB"/>
        </w:rPr>
        <w:t>[41], [42]</w:t>
      </w:r>
      <w:r w:rsidR="00537247">
        <w:rPr>
          <w:lang w:val="en-GB"/>
        </w:rPr>
        <w:fldChar w:fldCharType="end"/>
      </w:r>
      <w:r w:rsidR="00127F60" w:rsidRPr="00127F60">
        <w:rPr>
          <w:lang w:val="en-GB"/>
        </w:rPr>
        <w:t xml:space="preserve"> using different techniques. In</w:t>
      </w:r>
      <w:r w:rsidR="00537247">
        <w:rPr>
          <w:rFonts w:hint="eastAsia"/>
          <w:noProof/>
          <w:lang w:val="en-GB" w:eastAsia="zh-CN"/>
        </w:rPr>
        <w:t xml:space="preserve"> </w:t>
      </w:r>
      <w:r w:rsidR="00537247">
        <w:rPr>
          <w:noProof/>
          <w:lang w:val="en-GB" w:eastAsia="zh-CN"/>
        </w:rPr>
        <w:fldChar w:fldCharType="begin" w:fldLock="1"/>
      </w:r>
      <w:r w:rsidR="00351740">
        <w:rPr>
          <w:noProof/>
          <w:lang w:val="en-GB" w:eastAsia="zh-CN"/>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537247">
        <w:rPr>
          <w:noProof/>
          <w:lang w:val="en-GB" w:eastAsia="zh-CN"/>
        </w:rPr>
        <w:fldChar w:fldCharType="separate"/>
      </w:r>
      <w:r w:rsidR="00DD7036" w:rsidRPr="00DD7036">
        <w:rPr>
          <w:noProof/>
          <w:lang w:val="en-GB" w:eastAsia="zh-CN"/>
        </w:rPr>
        <w:t>[41]</w:t>
      </w:r>
      <w:r w:rsidR="00537247">
        <w:rPr>
          <w:noProof/>
          <w:lang w:val="en-GB" w:eastAsia="zh-CN"/>
        </w:rPr>
        <w:fldChar w:fldCharType="end"/>
      </w:r>
      <w:r w:rsidR="00127F60" w:rsidRPr="00127F60">
        <w:rPr>
          <w:lang w:val="en-GB"/>
        </w:rPr>
        <w:t xml:space="preserve">, the outage line was kept in the system, while it was transformed to two hypothetical, dummy buses in </w:t>
      </w:r>
      <w:r w:rsidR="00537247">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537247">
        <w:rPr>
          <w:lang w:val="en-GB"/>
        </w:rPr>
        <w:fldChar w:fldCharType="separate"/>
      </w:r>
      <w:r w:rsidR="00DD7036" w:rsidRPr="00DD7036">
        <w:rPr>
          <w:noProof/>
          <w:lang w:val="en-GB"/>
        </w:rPr>
        <w:t>[42]</w:t>
      </w:r>
      <w:r w:rsidR="00537247">
        <w:rPr>
          <w:lang w:val="en-GB"/>
        </w:rPr>
        <w:fldChar w:fldCharType="end"/>
      </w:r>
      <w:r w:rsidR="00127F60" w:rsidRPr="00127F60">
        <w:rPr>
          <w:lang w:val="en-GB"/>
        </w:rPr>
        <w:t xml:space="preserve">. Both approaches achieve decent results. Essentially, these sensitivity factors, a.k.a., distribution factors, are based on the Newton-Raphson Jacobian matrix to represent the contingencies as changes of nodal power injection. However, this work attempts to further advance the sensitivity analysis such that the topological transformation will be mathematically proven and a succinct model will be proposed (e.g., to eliminate the extra buses in the previous work that must be added into the network). </w:t>
      </w:r>
      <w:r w:rsidR="0037282E">
        <w:rPr>
          <w:lang w:val="en-GB"/>
        </w:rPr>
        <w:t>In addition</w:t>
      </w:r>
      <w:r w:rsidR="00127F60" w:rsidRPr="00127F60">
        <w:rPr>
          <w:lang w:val="en-GB"/>
        </w:rPr>
        <w:t xml:space="preserve">, estimated voltage angles, which are crucial for VSA but not studied/compared in the previous works, will be explored in this work. This is another important goal of this </w:t>
      </w:r>
      <w:r w:rsidR="00537247">
        <w:rPr>
          <w:rFonts w:hint="eastAsia"/>
          <w:lang w:val="en-GB" w:eastAsia="zh-CN"/>
        </w:rPr>
        <w:t>work</w:t>
      </w:r>
      <w:r w:rsidR="00127F60" w:rsidRPr="00127F60">
        <w:rPr>
          <w:lang w:val="en-GB"/>
        </w:rPr>
        <w:t>.</w:t>
      </w:r>
    </w:p>
    <w:p w14:paraId="68AFE490" w14:textId="77777777" w:rsidR="00FD1EC6" w:rsidRDefault="00FD1EC6" w:rsidP="004B5C30">
      <w:pPr>
        <w:pStyle w:val="Heading2"/>
        <w:rPr>
          <w:lang w:eastAsia="zh-CN"/>
        </w:rPr>
      </w:pPr>
      <w:bookmarkStart w:id="4" w:name="_Toc459076529"/>
      <w:r>
        <w:rPr>
          <w:rFonts w:hint="eastAsia"/>
          <w:lang w:eastAsia="zh-CN"/>
        </w:rPr>
        <w:t>1.2 Measurement-</w:t>
      </w:r>
      <w:r w:rsidR="005B3245">
        <w:rPr>
          <w:lang w:eastAsia="zh-CN"/>
        </w:rPr>
        <w:t>B</w:t>
      </w:r>
      <w:r w:rsidR="005B3245">
        <w:rPr>
          <w:rFonts w:hint="eastAsia"/>
          <w:lang w:eastAsia="zh-CN"/>
        </w:rPr>
        <w:t xml:space="preserve">ased </w:t>
      </w:r>
      <w:r>
        <w:rPr>
          <w:rFonts w:hint="eastAsia"/>
          <w:lang w:eastAsia="zh-CN"/>
        </w:rPr>
        <w:t>Voltage Stability Control</w:t>
      </w:r>
      <w:bookmarkEnd w:id="4"/>
    </w:p>
    <w:p w14:paraId="3EE0557C" w14:textId="77777777" w:rsidR="00537247" w:rsidRDefault="00537247" w:rsidP="00127F60">
      <w:pPr>
        <w:rPr>
          <w:lang w:eastAsia="zh-CN"/>
        </w:rPr>
      </w:pPr>
      <w:r>
        <w:rPr>
          <w:rFonts w:hint="eastAsia"/>
          <w:lang w:eastAsia="zh-CN"/>
        </w:rPr>
        <w:t xml:space="preserve">The development of measurement-based voltage stability assessment approaches has great potential in improving the situational awareness in the control rooms. With the proposed hybrid VSA approach for N-1 analysis, </w:t>
      </w:r>
      <w:r w:rsidR="005E21AD">
        <w:rPr>
          <w:rFonts w:hint="eastAsia"/>
          <w:lang w:eastAsia="zh-CN"/>
        </w:rPr>
        <w:t xml:space="preserve">insecure contingencies can be </w:t>
      </w:r>
      <w:r w:rsidR="005E21AD">
        <w:rPr>
          <w:lang w:eastAsia="zh-CN"/>
        </w:rPr>
        <w:t>efficiently</w:t>
      </w:r>
      <w:r w:rsidR="005E21AD">
        <w:rPr>
          <w:rFonts w:hint="eastAsia"/>
          <w:lang w:eastAsia="zh-CN"/>
        </w:rPr>
        <w:t xml:space="preserve"> identified. In the next step, effective control actions should be taken to improve the voltage stability margin as soon as the insecure alert is issued to the system operators. However, measurement-based voltage stability control </w:t>
      </w:r>
      <w:r w:rsidR="003508D7">
        <w:rPr>
          <w:lang w:eastAsia="zh-CN"/>
        </w:rPr>
        <w:t>has</w:t>
      </w:r>
      <w:r w:rsidR="003508D7">
        <w:rPr>
          <w:rFonts w:hint="eastAsia"/>
          <w:lang w:eastAsia="zh-CN"/>
        </w:rPr>
        <w:t xml:space="preserve"> </w:t>
      </w:r>
      <w:r w:rsidR="005E21AD">
        <w:rPr>
          <w:rFonts w:hint="eastAsia"/>
          <w:lang w:eastAsia="zh-CN"/>
        </w:rPr>
        <w:t xml:space="preserve">rarely </w:t>
      </w:r>
      <w:r w:rsidR="003508D7">
        <w:rPr>
          <w:lang w:eastAsia="zh-CN"/>
        </w:rPr>
        <w:t xml:space="preserve">been </w:t>
      </w:r>
      <w:r w:rsidR="005E21AD">
        <w:rPr>
          <w:rFonts w:hint="eastAsia"/>
          <w:lang w:eastAsia="zh-CN"/>
        </w:rPr>
        <w:lastRenderedPageBreak/>
        <w:t xml:space="preserve">explored. In this </w:t>
      </w:r>
      <w:r w:rsidR="003508D7">
        <w:rPr>
          <w:lang w:eastAsia="zh-CN"/>
        </w:rPr>
        <w:t>dissertation</w:t>
      </w:r>
      <w:r w:rsidR="005E21AD">
        <w:rPr>
          <w:rFonts w:hint="eastAsia"/>
          <w:lang w:eastAsia="zh-CN"/>
        </w:rPr>
        <w:t>, measurement-based loading margin sensitivity (LMS) is proposed</w:t>
      </w:r>
      <w:r w:rsidR="003508D7">
        <w:rPr>
          <w:lang w:eastAsia="zh-CN"/>
        </w:rPr>
        <w:t xml:space="preserve"> in Chapter 5</w:t>
      </w:r>
      <w:r w:rsidR="005E21AD">
        <w:rPr>
          <w:rFonts w:hint="eastAsia"/>
          <w:lang w:eastAsia="zh-CN"/>
        </w:rPr>
        <w:t>. A comprehensive control schemes based on the LMS</w:t>
      </w:r>
      <w:r>
        <w:rPr>
          <w:rFonts w:hint="eastAsia"/>
          <w:lang w:eastAsia="zh-CN"/>
        </w:rPr>
        <w:t xml:space="preserve"> </w:t>
      </w:r>
      <w:r w:rsidR="005E21AD">
        <w:rPr>
          <w:rFonts w:hint="eastAsia"/>
          <w:lang w:eastAsia="zh-CN"/>
        </w:rPr>
        <w:t>is also developed.</w:t>
      </w:r>
    </w:p>
    <w:p w14:paraId="3F3C4279" w14:textId="77777777" w:rsidR="00127F60" w:rsidRPr="00127F60" w:rsidRDefault="00127F60" w:rsidP="00127F60">
      <w:r w:rsidRPr="00127F60">
        <w:t xml:space="preserve">To ensure voltage stability, it is required that the systems are operated with a sufficient voltage stability margin. Among various indices, loading margin (LM) is a fundamental measure of voltage stability margin and is closely monitored by many utilities. It is defined as the amount of additional load in a specific pattern of load increase that would cause a voltage collapse </w:t>
      </w:r>
      <w:r w:rsidR="00537247">
        <w:fldChar w:fldCharType="begin" w:fldLock="1"/>
      </w:r>
      <w:r w:rsidR="00351740">
        <w:instrText>ADDIN CSL_CITATION { "citationItems" : [ { "id" : "ITEM-1", "itemData" : { "author" : [ { "dropping-particle" : "", "family" : "Greene", "given" : "Scott", "non-dropping-particle" : "", "parse-names" : false, "suffix" : "" }, { "dropping-particle" : "", "family" : "Dobson", "given" : "Ian", "non-dropping-particle" : "", "parse-names" : false, "suffix" : "" }, { "dropping-particle" : "", "family" : "Alvarado", "given" : "Fernando L", "non-dropping-particle" : "", "parse-names" : false, "suffix" : "" } ], "id" : "ITEM-1", "issue" : "1", "issued" : { "date-parts" : [ [ "1997" ] ] }, "title" : "Sensitivity Of The Loading Margin To Voltage Collapse With Respect To Arbitrary Parameters - Power Systems, IEEE Transactions on", "type" : "article-journal", "volume" : "12" }, "uris" : [ "http://www.mendeley.com/documents/?uuid=0cf37586-21c8-457a-aba7-5ae3b0cbbfbf" ] } ], "mendeley" : { "formattedCitation" : "[43]", "plainTextFormattedCitation" : "[43]", "previouslyFormattedCitation" : "[43]" }, "properties" : { "noteIndex" : 0 }, "schema" : "https://github.com/citation-style-language/schema/raw/master/csl-citation.json" }</w:instrText>
      </w:r>
      <w:r w:rsidR="00537247">
        <w:fldChar w:fldCharType="separate"/>
      </w:r>
      <w:r w:rsidR="00DD7036" w:rsidRPr="00DD7036">
        <w:rPr>
          <w:noProof/>
        </w:rPr>
        <w:t>[43]</w:t>
      </w:r>
      <w:r w:rsidR="00537247">
        <w:fldChar w:fldCharType="end"/>
      </w:r>
      <w:r w:rsidRPr="00127F60">
        <w:t xml:space="preserve">. </w:t>
      </w:r>
    </w:p>
    <w:p w14:paraId="05CF004A" w14:textId="77777777" w:rsidR="00127F60" w:rsidRPr="00127F60" w:rsidRDefault="00127F60" w:rsidP="00127F60">
      <w:r w:rsidRPr="00127F60">
        <w:t>Despite its straightforward definition, the computation of LM is complicated and time-consuming. For applications that need to update the LM frequently, loading margin sensitivity (LMS) is often utilized. LMS refers to the sensitivity of the LM w.r.t. the variation of system parameters or controls.</w:t>
      </w:r>
    </w:p>
    <w:p w14:paraId="714AD2AC" w14:textId="77777777" w:rsidR="00127F60" w:rsidRPr="00127F60" w:rsidRDefault="00127F60" w:rsidP="00127F60">
      <w:r w:rsidRPr="00127F60">
        <w:t xml:space="preserve">Though the efficiency of the computation of LM or similar voltage stability margins has been improved, the calculation of these model-based sensitivities requires detailed system model, Jacobian matrix, and calculation of eigenvalues. Therefore, such model-based sensitivities may not be good candidates for online applications. </w:t>
      </w:r>
    </w:p>
    <w:p w14:paraId="5E810EBD" w14:textId="77777777" w:rsidR="00127F60" w:rsidRDefault="00127F60" w:rsidP="00127F60">
      <w:r w:rsidRPr="00127F60">
        <w:t>With the motivation to develop a simple measurement-based sensitivity, a wide-area loading margin sensitivity (WALMS) model is proposed in this work based on the coupled single-port concept</w:t>
      </w:r>
      <w:r w:rsidR="00537247">
        <w:rPr>
          <w:rFonts w:hint="eastAsia"/>
          <w:lang w:eastAsia="zh-CN"/>
        </w:rPr>
        <w:t xml:space="preserve"> </w:t>
      </w:r>
      <w:r w:rsidR="00537247">
        <w:rPr>
          <w:lang w:eastAsia="zh-CN"/>
        </w:rPr>
        <w:fldChar w:fldCharType="begin" w:fldLock="1"/>
      </w:r>
      <w:r w:rsidR="00351740">
        <w:rPr>
          <w:lang w:eastAsia="zh-CN"/>
        </w:rPr>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537247">
        <w:rPr>
          <w:lang w:eastAsia="zh-CN"/>
        </w:rPr>
        <w:fldChar w:fldCharType="separate"/>
      </w:r>
      <w:r w:rsidR="00DD7036" w:rsidRPr="00DD7036">
        <w:rPr>
          <w:noProof/>
          <w:lang w:eastAsia="zh-CN"/>
        </w:rPr>
        <w:t>[34]</w:t>
      </w:r>
      <w:r w:rsidR="00537247">
        <w:rPr>
          <w:lang w:eastAsia="zh-CN"/>
        </w:rPr>
        <w:fldChar w:fldCharType="end"/>
      </w:r>
      <w:r w:rsidRPr="00127F60">
        <w:t xml:space="preserve">. The WALMS has been derived, with respect to real power injection, reactive power injection, and generator terminal voltage in this </w:t>
      </w:r>
      <w:r w:rsidR="00595875">
        <w:t>research work</w:t>
      </w:r>
      <w:r w:rsidRPr="00127F60">
        <w:t>. Inheriting the simplicity of measurement-based approach, the proposed WALMS requires no additional information and minimum calculation on top of the coupled single-</w:t>
      </w:r>
      <w:r w:rsidRPr="00127F60">
        <w:lastRenderedPageBreak/>
        <w:t>port circuit method. In addition, in contrast to the model-based counterparts, the WALMS model does not require that the Jacobian matrix is singular to calculate the dominant eigenvalue. Based on WALMS, a multi-step voltage stability control strategy is proposed for demonstrating the applicability of WALMS.</w:t>
      </w:r>
      <w:r w:rsidR="009E44A5">
        <w:t xml:space="preserve"> </w:t>
      </w:r>
    </w:p>
    <w:p w14:paraId="181F450D" w14:textId="77777777" w:rsidR="00E91ABD" w:rsidRDefault="00E91ABD" w:rsidP="004B5C30">
      <w:pPr>
        <w:pStyle w:val="Heading2"/>
      </w:pPr>
      <w:bookmarkStart w:id="5" w:name="_Toc459076530"/>
      <w:r>
        <w:t>1.3 Load Model in Voltage Stability Analysis and Control</w:t>
      </w:r>
      <w:bookmarkEnd w:id="5"/>
    </w:p>
    <w:p w14:paraId="02A8B5C7" w14:textId="77777777" w:rsidR="00E91ABD" w:rsidRDefault="00A76B1A" w:rsidP="00E91ABD">
      <w:r>
        <w:t xml:space="preserve">In most voltage stability and analysis applications, load model is considered as constant P and constant Q model, which is voltage independent. The constant PQ load model works fine under the assumption that the voltage of the load bus is close to nominal (1 p.u.). However, when system is operating close to its limit, such assumption </w:t>
      </w:r>
      <w:r w:rsidR="007A032F">
        <w:t>does</w:t>
      </w:r>
      <w:r>
        <w:t xml:space="preserve"> not hold well. If the voltage is below the nominal level, the consumption of the real and reactive power should accordingly reduce. Constant PQ load is not able to model such voltage dependence characteristics and will eventually lead to a more conservative operating margin</w:t>
      </w:r>
      <w:r w:rsidR="004A693A">
        <w:t xml:space="preserve"> </w:t>
      </w:r>
      <w:r w:rsidR="004A693A">
        <w:fldChar w:fldCharType="begin" w:fldLock="1"/>
      </w:r>
      <w:r w:rsidR="00351740">
        <w:instrText>ADDIN CSL_CITATION { "citationItems" : [ { "id" : "ITEM-1", "itemData" : { "ISBN" : "0780355695", "abstract" : "The P-V Curve, Q-V Curve, or P-Q-V Curve have been widely used to analyze power system behaviors under varying loading conditions. These curves have been generated under the condition that tire constant P-Q load component of a bus (or a collection of buses) varies, with the constant current load and constant impedance load being kept indeed &amp;amp;ldquo;constant&amp;amp;rdquo;. As such, the physical meaning of these curves can be easily explained. Motivated by the facts that load models have profound impacts on power system behaviors and that the nonlinear load model ZIP-model is popular in modeling nonlinear behaviors of loads, this paper proposes a new class of curves, called ZIP-V curves, to better trace power system steady-state stationary behavior due to load and generation variations. The ZIP-V curves encompass the traditional P-V, Q-V, P-Q-V curves (constant P-Q load), I-V curve (constant current load), Z-V curve (constant impedance load), or generalized curves such as IP-V (constant current and constant power load), ZP-V (constant impedance and constant power load) or IZ-V (constant current and constant impedance load) curve when the values of corresponding components are kept constant. A tool based on the continuation power flow (CPFLOW) method useful for generating the ZIP-V curves is developed and its application to generate ZIP-V curves of a 4561-bus interconnected power system is illustrated", "author" : [ { "dropping-particle" : "", "family" : "Li", "given" : "Hua", "non-dropping-particle" : "", "parse-names" : false, "suffix" : "" }, { "dropping-particle" : "", "family" : "Chiang", "given" : "Hsiao-Dong", "non-dropping-particle" : "", "parse-names" : false, "suffix" : "" }, { "dropping-particle" : "", "family" : "Yoshida", "given" : "H.", "non-dropping-particle" : "", "parse-names" : false, "suffix" : "" }, { "dropping-particle" : "", "family" : "Fukuyama", "given" : "Y.", "non-dropping-particle" : "", "parse-names" : false, "suffix" : "" }, { "dropping-particle" : "", "family" : "Nakanishi", "given" : "Y.", "non-dropping-particle" : "", "parse-names" : false, "suffix" : "" } ], "container-title" : "1999 IEEE Power Engineering Society Summer Meeting. Conference Proceedings", "id" : "ITEM-1", "issued" : { "date-parts" : [ [ "1999" ] ] }, "page" : "1-5", "title" : "The generation of ZIP-V curves for tracing power system steady state stationary behavior due to load and generation variations", "type" : "paper-conference", "volume" : "2" }, "uris" : [ "http://www.mendeley.com/documents/?uuid=4a0058db-5d2a-4f60-9cfb-0b854e0948d2" ] }, { "id" : "ITEM-2", "itemData" : { "ISBN" : "1424401119", "abstract" : "While it has been widely accepted that the constant P-Q leads to conservative load margin calculation of voltage stability, lately the studies show that induction motor loads can lead to an even more conservative load margin calculation. This paper analyzes the impacts of the composite load model (the composite of ZIP and induction motor load models) on the load margin of voltage stability. In order to take into consideration the composite load model, a new set of parameterized power flow equations is derived. A procedure of integrating the composite load model is integrated into CPFLOW to model the load increase. Numerical studies on test system are conducted and numerical results indicate that the load margin with the composite load model can be significantly less than that with the constant P-Q load model. These numerical results are contradicted to the belief that the constant P-Q leads to conservative load margin calculation of voltage stability.", "author" : [ { "dropping-particle" : "", "family" : "Li", "given" : "Shao Hua", "non-dropping-particle" : "", "parse-names" : false, "suffix" : "" }, { "dropping-particle" : "", "family" : "Chiang", "given" : "Hsiao Dong", "non-dropping-particle" : "", "parse-names" : false, "suffix" : "" }, { "dropping-particle" : "", "family" : "Liu", "given" : "Sheng", "non-dropping-particle" : "", "parse-names" : false, "suffix" : "" } ], "container-title" : "International Conference on Power System Technology,", "id" : "ITEM-2", "issued" : { "date-parts" : [ [ "2006" ] ] }, "page" : "1-7", "title" : "Analysis of composite load models on load margin of voltage stability", "type" : "paper-conference" }, "uris" : [ "http://www.mendeley.com/documents/?uuid=2589f6fb-4701-40e8-9fbf-77bf06a34ea6" ] }, { "id" : "ITEM-3",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"ITEM-3",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[44], [45]", "plainTextFormattedCitation" : "[13], [44], [45]", "previouslyFormattedCitation" : "[13], [44], [45]" }, "properties" : { "noteIndex" : 0 }, "schema" : "https://github.com/citation-style-language/schema/raw/master/csl-citation.json" }</w:instrText>
      </w:r>
      <w:r w:rsidR="004A693A">
        <w:fldChar w:fldCharType="separate"/>
      </w:r>
      <w:r w:rsidR="00DD7036" w:rsidRPr="00DD7036">
        <w:rPr>
          <w:noProof/>
        </w:rPr>
        <w:t>[13], [44], [45]</w:t>
      </w:r>
      <w:r w:rsidR="004A693A">
        <w:fldChar w:fldCharType="end"/>
      </w:r>
      <w:r>
        <w:t>.</w:t>
      </w:r>
    </w:p>
    <w:p w14:paraId="1D5253A9" w14:textId="77777777" w:rsidR="00A76B1A" w:rsidRDefault="00A76B1A" w:rsidP="00E91ABD">
      <w:r>
        <w:t xml:space="preserve">A </w:t>
      </w:r>
      <w:r w:rsidR="00772569">
        <w:t>widely-used</w:t>
      </w:r>
      <w:r>
        <w:t xml:space="preserve"> load model that incorporates the voltage dependence is the ZIP load model. Under this load model, </w:t>
      </w:r>
      <w:r w:rsidR="00772569">
        <w:t>100% of the real power is partitioned into constant impedance (Z) load, constant current (I) load, and constant power (P) load. The reactive power is also divided into Z, I, and P load model and the distribution may be different than the real power consumption. The power consumption of constant impedance (Z) load is quadratically dependent on voltage magnitude; the power consumption of constant current (I) load is linear dependent on the voltage magnitude; the power consumption of the constant power (P) load is independent of the voltage magnitude.</w:t>
      </w:r>
    </w:p>
    <w:p w14:paraId="7A602EFE" w14:textId="77777777" w:rsidR="00827BD5" w:rsidRDefault="00827BD5" w:rsidP="00E91ABD">
      <w:r>
        <w:lastRenderedPageBreak/>
        <w:t>In this dissertation, the impact of ZIP load model to voltage stability margin is studied. A novel measurement-based voltage stability indicator is developed to incorporate the impact of ZIP load model. This work is described in details in Chapter 7.</w:t>
      </w:r>
    </w:p>
    <w:p w14:paraId="56F7CABF" w14:textId="77777777" w:rsidR="00A046F0" w:rsidRDefault="00A046F0" w:rsidP="004B5C30">
      <w:pPr>
        <w:pStyle w:val="Heading2"/>
        <w:rPr>
          <w:lang w:eastAsia="zh-CN"/>
        </w:rPr>
      </w:pPr>
      <w:bookmarkStart w:id="6" w:name="_Toc459076531"/>
      <w:r>
        <w:rPr>
          <w:rFonts w:hint="eastAsia"/>
          <w:lang w:eastAsia="zh-CN"/>
        </w:rPr>
        <w:t>1.</w:t>
      </w:r>
      <w:r w:rsidR="00E91ABD">
        <w:rPr>
          <w:lang w:eastAsia="zh-CN"/>
        </w:rPr>
        <w:t>4</w:t>
      </w:r>
      <w:r>
        <w:rPr>
          <w:rFonts w:hint="eastAsia"/>
          <w:lang w:eastAsia="zh-CN"/>
        </w:rPr>
        <w:t xml:space="preserve"> </w:t>
      </w:r>
      <w:r>
        <w:rPr>
          <w:lang w:eastAsia="zh-CN"/>
        </w:rPr>
        <w:t xml:space="preserve">The Structure of </w:t>
      </w:r>
      <w:r>
        <w:rPr>
          <w:rFonts w:hint="eastAsia"/>
          <w:lang w:eastAsia="zh-CN"/>
        </w:rPr>
        <w:t>Measurement-</w:t>
      </w:r>
      <w:r w:rsidR="007C1ACD">
        <w:rPr>
          <w:lang w:eastAsia="zh-CN"/>
        </w:rPr>
        <w:t>B</w:t>
      </w:r>
      <w:r w:rsidR="007C1ACD">
        <w:rPr>
          <w:rFonts w:hint="eastAsia"/>
          <w:lang w:eastAsia="zh-CN"/>
        </w:rPr>
        <w:t xml:space="preserve">ased </w:t>
      </w:r>
      <w:r>
        <w:rPr>
          <w:lang w:eastAsia="zh-CN"/>
        </w:rPr>
        <w:t>VSA and</w:t>
      </w:r>
      <w:r>
        <w:rPr>
          <w:rFonts w:hint="eastAsia"/>
          <w:lang w:eastAsia="zh-CN"/>
        </w:rPr>
        <w:t xml:space="preserve"> Control</w:t>
      </w:r>
      <w:bookmarkEnd w:id="6"/>
    </w:p>
    <w:p w14:paraId="7B29E09E" w14:textId="77777777" w:rsidR="00A046F0" w:rsidRDefault="00A046F0" w:rsidP="00127F60">
      <w:r>
        <w:t xml:space="preserve">In order to better illustrate the wide-area measurement-based voltage stability assessment and control, a structure or framework is proposed as shown in </w:t>
      </w:r>
      <w:r>
        <w:fldChar w:fldCharType="begin"/>
      </w:r>
      <w:r>
        <w:instrText xml:space="preserve"> REF _Ref432412988 \h </w:instrText>
      </w:r>
      <w:r>
        <w:fldChar w:fldCharType="separate"/>
      </w:r>
      <w:r w:rsidR="00656B13">
        <w:t xml:space="preserve">Figure </w:t>
      </w:r>
      <w:r w:rsidR="00656B13">
        <w:rPr>
          <w:noProof/>
        </w:rPr>
        <w:t>1</w:t>
      </w:r>
      <w:r>
        <w:fldChar w:fldCharType="end"/>
      </w:r>
      <w:r>
        <w:t>. The process starts from the data input from PMU measurement as well as EMS.</w:t>
      </w:r>
      <w:r w:rsidR="00361DCA">
        <w:t xml:space="preserve"> The data is passed to a data center where various applications can extract useful information.</w:t>
      </w:r>
    </w:p>
    <w:p w14:paraId="109B086F" w14:textId="77777777" w:rsidR="003140A9" w:rsidRDefault="003140A9" w:rsidP="003140A9">
      <w:r>
        <w:t xml:space="preserve">Then, online voltage stability assessment should be first conducted to ensure that the system is operated in a stable condition with sufficient margin. In this step, the Thevenin equivalent (TE) identification which is discussed in Chapter 3 will be used. </w:t>
      </w:r>
    </w:p>
    <w:p w14:paraId="269F47B1" w14:textId="77777777" w:rsidR="003140A9" w:rsidRDefault="003140A9" w:rsidP="003140A9">
      <w:r>
        <w:t xml:space="preserve">The work in Chapter 6 and Chapter 7 also fall into the category of online VSA. Chapter 6 discusses the overestimation of coupled single-port circuit which is also introduced in Chapter 3. Chapter 7 then introduces ZIP load model into the assessment. </w:t>
      </w:r>
    </w:p>
    <w:p w14:paraId="478E2213" w14:textId="77777777" w:rsidR="003140A9" w:rsidRDefault="003140A9" w:rsidP="003140A9">
      <w:r>
        <w:t>If the system is stable, then the N-1 contingency analysis should also be conducted. If not, corrective control should be applied.</w:t>
      </w:r>
    </w:p>
    <w:p w14:paraId="32BE0566" w14:textId="77777777" w:rsidR="003140A9" w:rsidRDefault="003140A9" w:rsidP="003140A9">
      <w:r>
        <w:t>For online voltage security assessment, the proposed hybrid VSA for N-1 contingency in Chapter 4 can be applied. If the system is also secure, no control action is needed. Otherwise, preventive control shall be applied.</w:t>
      </w:r>
    </w:p>
    <w:p w14:paraId="7D424AC4" w14:textId="6FCF7FCA" w:rsidR="003140A9" w:rsidRDefault="003140A9" w:rsidP="009D0201">
      <w:r>
        <w:t>The wide-area loading margin sensitivity introduced in Chapter 5 can be used for both corrective and preventive control to guide the system operators’ decisions.</w:t>
      </w:r>
    </w:p>
    <w:p w14:paraId="4132CF6D" w14:textId="77777777" w:rsidR="00E008F2" w:rsidRDefault="00E008F2" w:rsidP="00E008F2">
      <w:pPr>
        <w:pStyle w:val="ListParagraph"/>
        <w:keepNext/>
        <w:spacing w:line="240" w:lineRule="auto"/>
        <w:ind w:left="0"/>
        <w:jc w:val="center"/>
      </w:pPr>
      <w:r w:rsidRPr="003140A9">
        <w:rPr>
          <w:noProof/>
          <w:lang w:eastAsia="zh-CN"/>
        </w:rPr>
        <w:lastRenderedPageBreak/>
        <w:drawing>
          <wp:inline distT="0" distB="0" distL="0" distR="0" wp14:anchorId="25EFC7FF" wp14:editId="7AD856D4">
            <wp:extent cx="5486400" cy="461696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616962"/>
                    </a:xfrm>
                    <a:prstGeom prst="rect">
                      <a:avLst/>
                    </a:prstGeom>
                    <a:noFill/>
                    <a:ln>
                      <a:noFill/>
                    </a:ln>
                  </pic:spPr>
                </pic:pic>
              </a:graphicData>
            </a:graphic>
          </wp:inline>
        </w:drawing>
      </w:r>
    </w:p>
    <w:p w14:paraId="554C5C24" w14:textId="77777777" w:rsidR="00E008F2" w:rsidRDefault="00E008F2" w:rsidP="00E008F2">
      <w:pPr>
        <w:pStyle w:val="Caption"/>
      </w:pPr>
      <w:bookmarkStart w:id="7" w:name="_Ref432412988"/>
      <w:bookmarkStart w:id="8" w:name="_Toc459076452"/>
      <w:r>
        <w:t xml:space="preserve">Figure </w:t>
      </w:r>
      <w:r>
        <w:fldChar w:fldCharType="begin"/>
      </w:r>
      <w:r>
        <w:instrText xml:space="preserve"> SEQ Figure \* ARABIC </w:instrText>
      </w:r>
      <w:r>
        <w:fldChar w:fldCharType="separate"/>
      </w:r>
      <w:r>
        <w:rPr>
          <w:noProof/>
        </w:rPr>
        <w:t>1</w:t>
      </w:r>
      <w:r>
        <w:rPr>
          <w:noProof/>
        </w:rPr>
        <w:fldChar w:fldCharType="end"/>
      </w:r>
      <w:bookmarkEnd w:id="7"/>
      <w:r>
        <w:t>. Framework of wide-area measurement-based VSA.</w:t>
      </w:r>
      <w:bookmarkEnd w:id="8"/>
    </w:p>
    <w:p w14:paraId="6D77BF38" w14:textId="77777777" w:rsidR="00E008F2" w:rsidRPr="009D0201" w:rsidRDefault="00E008F2" w:rsidP="00E008F2">
      <w:pPr>
        <w:pStyle w:val="ListParagraph"/>
        <w:numPr>
          <w:ilvl w:val="0"/>
          <w:numId w:val="26"/>
        </w:numPr>
        <w:rPr>
          <w:bCs/>
          <w:szCs w:val="20"/>
        </w:rPr>
      </w:pPr>
      <w:r>
        <w:br w:type="page"/>
      </w:r>
    </w:p>
    <w:p w14:paraId="5010CB51" w14:textId="77777777" w:rsidR="003140A9" w:rsidRPr="00361DCA" w:rsidRDefault="003140A9" w:rsidP="003140A9">
      <w:r>
        <w:lastRenderedPageBreak/>
        <w:t xml:space="preserve">The future work will be associated with composite load modeling and demand response from measurements which will be beneficial for voltage stability assessment and controls. Indeed, the load composition identification will be input to voltage stability assessment as indicated in </w:t>
      </w:r>
      <w:r>
        <w:fldChar w:fldCharType="begin"/>
      </w:r>
      <w:r>
        <w:instrText xml:space="preserve"> REF _Ref432412988 \h </w:instrText>
      </w:r>
      <w:r>
        <w:fldChar w:fldCharType="separate"/>
      </w:r>
      <w:r>
        <w:t xml:space="preserve">Figure </w:t>
      </w:r>
      <w:r>
        <w:rPr>
          <w:noProof/>
        </w:rPr>
        <w:t>1</w:t>
      </w:r>
      <w:r>
        <w:fldChar w:fldCharType="end"/>
      </w:r>
      <w:r>
        <w:t xml:space="preserve">. The proposed VSI in Chapter 7 will need such information for VSA. </w:t>
      </w:r>
    </w:p>
    <w:p w14:paraId="2F54B2D3" w14:textId="77777777" w:rsidR="00A97B14" w:rsidRPr="00127F60" w:rsidRDefault="00A97B14" w:rsidP="004B5C30">
      <w:pPr>
        <w:pStyle w:val="Heading2"/>
        <w:rPr>
          <w:lang w:eastAsia="zh-CN"/>
        </w:rPr>
      </w:pPr>
      <w:bookmarkStart w:id="9" w:name="_Toc459076532"/>
      <w:r>
        <w:rPr>
          <w:rFonts w:hint="eastAsia"/>
          <w:lang w:eastAsia="zh-CN"/>
        </w:rPr>
        <w:t>1.</w:t>
      </w:r>
      <w:r w:rsidR="00E91ABD">
        <w:rPr>
          <w:lang w:eastAsia="zh-CN"/>
        </w:rPr>
        <w:t>5</w:t>
      </w:r>
      <w:r>
        <w:rPr>
          <w:rFonts w:hint="eastAsia"/>
          <w:lang w:eastAsia="zh-CN"/>
        </w:rPr>
        <w:t xml:space="preserve"> Contributions of This Work</w:t>
      </w:r>
      <w:bookmarkEnd w:id="9"/>
    </w:p>
    <w:p w14:paraId="5F5D1EAB" w14:textId="77777777" w:rsidR="00A97B14" w:rsidRDefault="00935474" w:rsidP="00127F60">
      <w:pPr>
        <w:rPr>
          <w:lang w:eastAsia="zh-CN"/>
        </w:rPr>
      </w:pPr>
      <w:r>
        <w:rPr>
          <w:rFonts w:hint="eastAsia"/>
          <w:lang w:eastAsia="zh-CN"/>
        </w:rPr>
        <w:t>This work studies measurement-based voltage stability assessment and control. The contributions can be summarized into three aspects.</w:t>
      </w:r>
    </w:p>
    <w:p w14:paraId="126E740B" w14:textId="215A0BF4" w:rsidR="00935474" w:rsidRDefault="00935474" w:rsidP="003F78D5">
      <w:pPr>
        <w:pStyle w:val="ListParagraph"/>
        <w:numPr>
          <w:ilvl w:val="0"/>
          <w:numId w:val="26"/>
        </w:numPr>
        <w:ind w:left="720" w:hanging="270"/>
        <w:rPr>
          <w:lang w:eastAsia="zh-CN"/>
        </w:rPr>
      </w:pPr>
      <w:r w:rsidRPr="00935474">
        <w:rPr>
          <w:lang w:eastAsia="zh-CN"/>
        </w:rPr>
        <w:t xml:space="preserve">This work presents an </w:t>
      </w:r>
      <w:r w:rsidR="00595875">
        <w:rPr>
          <w:lang w:eastAsia="zh-CN"/>
        </w:rPr>
        <w:t>analytical</w:t>
      </w:r>
      <w:r w:rsidR="00595875" w:rsidRPr="00935474">
        <w:rPr>
          <w:lang w:eastAsia="zh-CN"/>
        </w:rPr>
        <w:t xml:space="preserve"> </w:t>
      </w:r>
      <w:r w:rsidRPr="00935474">
        <w:rPr>
          <w:lang w:eastAsia="zh-CN"/>
        </w:rPr>
        <w:t>comparative study of four different</w:t>
      </w:r>
      <w:r>
        <w:rPr>
          <w:rFonts w:hint="eastAsia"/>
          <w:lang w:eastAsia="zh-CN"/>
        </w:rPr>
        <w:t xml:space="preserve"> measurement-based</w:t>
      </w:r>
      <w:r w:rsidRPr="00935474">
        <w:rPr>
          <w:lang w:eastAsia="zh-CN"/>
        </w:rPr>
        <w:t xml:space="preserve"> </w:t>
      </w:r>
      <w:r>
        <w:rPr>
          <w:rFonts w:hint="eastAsia"/>
          <w:lang w:eastAsia="zh-CN"/>
        </w:rPr>
        <w:t xml:space="preserve">Thevenin Equivalents </w:t>
      </w:r>
      <w:r w:rsidR="009E44A5">
        <w:rPr>
          <w:lang w:eastAsia="zh-CN"/>
        </w:rPr>
        <w:t>(TE) i</w:t>
      </w:r>
      <w:r>
        <w:rPr>
          <w:rFonts w:hint="eastAsia"/>
          <w:lang w:eastAsia="zh-CN"/>
        </w:rPr>
        <w:t xml:space="preserve">dentification </w:t>
      </w:r>
      <w:r w:rsidRPr="00935474">
        <w:rPr>
          <w:lang w:eastAsia="zh-CN"/>
        </w:rPr>
        <w:t>methods.</w:t>
      </w:r>
      <w:r>
        <w:rPr>
          <w:rFonts w:hint="eastAsia"/>
          <w:lang w:eastAsia="zh-CN"/>
        </w:rPr>
        <w:t xml:space="preserve"> The detailed algorithm analysis and performance comparison on the measurements generated from time-domain simulation can serve as a general guidance on choosing the TE identification methods.</w:t>
      </w:r>
    </w:p>
    <w:p w14:paraId="32668F61" w14:textId="77777777" w:rsidR="003F78D5" w:rsidRDefault="003F78D5" w:rsidP="003F78D5">
      <w:pPr>
        <w:pStyle w:val="ListParagraph"/>
        <w:numPr>
          <w:ilvl w:val="0"/>
          <w:numId w:val="26"/>
        </w:numPr>
        <w:ind w:left="720" w:hanging="270"/>
        <w:rPr>
          <w:lang w:eastAsia="zh-CN"/>
        </w:rPr>
      </w:pPr>
      <w:r>
        <w:rPr>
          <w:rFonts w:hint="eastAsia"/>
          <w:lang w:eastAsia="zh-CN"/>
        </w:rPr>
        <w:t>The proposed hybrid voltage stability assessment for N-1 contingency broadens the practical application of measurement-based VSA to contingency analysis, which greatly improves the situational awareness in the control room.</w:t>
      </w:r>
    </w:p>
    <w:p w14:paraId="23975DB9" w14:textId="16894ECF" w:rsidR="00935474" w:rsidRDefault="003F78D5" w:rsidP="003F78D5">
      <w:pPr>
        <w:pStyle w:val="ListParagraph"/>
        <w:numPr>
          <w:ilvl w:val="0"/>
          <w:numId w:val="26"/>
        </w:numPr>
        <w:ind w:left="720" w:hanging="270"/>
        <w:rPr>
          <w:lang w:eastAsia="zh-CN"/>
        </w:rPr>
      </w:pPr>
      <w:r>
        <w:rPr>
          <w:rFonts w:hint="eastAsia"/>
          <w:lang w:eastAsia="zh-CN"/>
        </w:rPr>
        <w:t xml:space="preserve">The proposed measurement-based wide-area loading margin sensitivity provides an efficient and effective sensitivity which aids the decisions of operators for improving the voltage stability. The proposed comprehensive control scheme provides a measurement-based online control algorithm for enhancing the </w:t>
      </w:r>
      <w:r w:rsidR="009E44A5">
        <w:rPr>
          <w:lang w:eastAsia="zh-CN"/>
        </w:rPr>
        <w:t xml:space="preserve">system </w:t>
      </w:r>
      <w:r>
        <w:rPr>
          <w:rFonts w:hint="eastAsia"/>
          <w:lang w:eastAsia="zh-CN"/>
        </w:rPr>
        <w:t>voltage stability.</w:t>
      </w:r>
      <w:r w:rsidR="00935474">
        <w:rPr>
          <w:rFonts w:hint="eastAsia"/>
          <w:lang w:eastAsia="zh-CN"/>
        </w:rPr>
        <w:t xml:space="preserve"> </w:t>
      </w:r>
    </w:p>
    <w:p w14:paraId="00F341C0" w14:textId="77777777" w:rsidR="00827BD5" w:rsidRDefault="00827BD5" w:rsidP="003F78D5">
      <w:pPr>
        <w:pStyle w:val="ListParagraph"/>
        <w:numPr>
          <w:ilvl w:val="0"/>
          <w:numId w:val="26"/>
        </w:numPr>
        <w:ind w:left="720" w:hanging="270"/>
        <w:rPr>
          <w:lang w:eastAsia="zh-CN"/>
        </w:rPr>
      </w:pPr>
      <w:r>
        <w:rPr>
          <w:lang w:eastAsia="zh-CN"/>
        </w:rPr>
        <w:lastRenderedPageBreak/>
        <w:t>The two mitigation approaches introduced in Chapter 6 successfully mitigate the overestimation of voltage stability margin introduced in Coupled Single-Port Circuit method.</w:t>
      </w:r>
    </w:p>
    <w:p w14:paraId="0F2E176E" w14:textId="2CA11366" w:rsidR="00827BD5" w:rsidRPr="00127F60" w:rsidRDefault="00827BD5" w:rsidP="003F78D5">
      <w:pPr>
        <w:pStyle w:val="ListParagraph"/>
        <w:numPr>
          <w:ilvl w:val="0"/>
          <w:numId w:val="26"/>
        </w:numPr>
        <w:ind w:left="720" w:hanging="270"/>
        <w:rPr>
          <w:lang w:eastAsia="zh-CN"/>
        </w:rPr>
      </w:pPr>
      <w:r>
        <w:rPr>
          <w:lang w:eastAsia="zh-CN"/>
        </w:rPr>
        <w:t>A novel measurement-based voltage stability indicator is proposed which can incorporate the ZIP load model into measurement-based VSA study. With the proposed indicator, the voltage stability margin can be assessed close</w:t>
      </w:r>
      <w:r w:rsidR="009E44A5">
        <w:rPr>
          <w:lang w:eastAsia="zh-CN"/>
        </w:rPr>
        <w:t>r</w:t>
      </w:r>
      <w:r>
        <w:rPr>
          <w:lang w:eastAsia="zh-CN"/>
        </w:rPr>
        <w:t xml:space="preserve"> to actual system behavior.</w:t>
      </w:r>
    </w:p>
    <w:p w14:paraId="76457EAC" w14:textId="77777777" w:rsidR="00FD1EC6" w:rsidRPr="00127F60" w:rsidRDefault="00A97B14" w:rsidP="004B5C30">
      <w:pPr>
        <w:pStyle w:val="Heading2"/>
        <w:rPr>
          <w:lang w:eastAsia="zh-CN"/>
        </w:rPr>
      </w:pPr>
      <w:bookmarkStart w:id="10" w:name="_Toc459076533"/>
      <w:r>
        <w:rPr>
          <w:rFonts w:hint="eastAsia"/>
          <w:lang w:eastAsia="zh-CN"/>
        </w:rPr>
        <w:t>1.</w:t>
      </w:r>
      <w:r w:rsidR="00E91ABD">
        <w:rPr>
          <w:lang w:eastAsia="zh-CN"/>
        </w:rPr>
        <w:t>6</w:t>
      </w:r>
      <w:r w:rsidR="00FD1EC6">
        <w:rPr>
          <w:rFonts w:hint="eastAsia"/>
          <w:lang w:eastAsia="zh-CN"/>
        </w:rPr>
        <w:t xml:space="preserve"> </w:t>
      </w:r>
      <w:r>
        <w:rPr>
          <w:rFonts w:hint="eastAsia"/>
          <w:lang w:eastAsia="zh-CN"/>
        </w:rPr>
        <w:t>Organizations of the Dissertation</w:t>
      </w:r>
      <w:bookmarkEnd w:id="10"/>
    </w:p>
    <w:p w14:paraId="63197C2A" w14:textId="3A71EC5F" w:rsidR="00620AB1" w:rsidRDefault="00A97B14" w:rsidP="00620AB1">
      <w:pPr>
        <w:rPr>
          <w:lang w:eastAsia="zh-CN"/>
        </w:rPr>
      </w:pPr>
      <w:r>
        <w:rPr>
          <w:rFonts w:hint="eastAsia"/>
          <w:lang w:eastAsia="zh-CN"/>
        </w:rPr>
        <w:t xml:space="preserve">In Chapter 2, existing works on measurement-based voltage stability assessment and control are comprehensively reviewed. In Chapter 3, a comparative study on </w:t>
      </w:r>
      <w:r w:rsidR="00595875">
        <w:rPr>
          <w:lang w:eastAsia="zh-CN"/>
        </w:rPr>
        <w:t xml:space="preserve">various </w:t>
      </w:r>
      <w:r>
        <w:rPr>
          <w:rFonts w:hint="eastAsia"/>
          <w:lang w:eastAsia="zh-CN"/>
        </w:rPr>
        <w:t xml:space="preserve">measurement-based Thevenin Equivalent </w:t>
      </w:r>
      <w:r w:rsidR="00595875">
        <w:rPr>
          <w:lang w:eastAsia="zh-CN"/>
        </w:rPr>
        <w:t>i</w:t>
      </w:r>
      <w:r>
        <w:rPr>
          <w:rFonts w:hint="eastAsia"/>
          <w:lang w:eastAsia="zh-CN"/>
        </w:rPr>
        <w:t xml:space="preserve">dentification </w:t>
      </w:r>
      <w:r w:rsidR="00595875">
        <w:rPr>
          <w:lang w:eastAsia="zh-CN"/>
        </w:rPr>
        <w:t>m</w:t>
      </w:r>
      <w:r w:rsidR="00595875">
        <w:rPr>
          <w:rFonts w:hint="eastAsia"/>
          <w:lang w:eastAsia="zh-CN"/>
        </w:rPr>
        <w:t xml:space="preserve">ethods </w:t>
      </w:r>
      <w:r>
        <w:rPr>
          <w:rFonts w:hint="eastAsia"/>
          <w:lang w:eastAsia="zh-CN"/>
        </w:rPr>
        <w:t xml:space="preserve">is presented. Chapter 4 introduces the proposed hybrid voltage stability assessment for N-1 contingency. Chapter 5 introduces the wide-area measurement-based loading margin sensitivity and the voltage stability control scheme based on the proposed LMS. </w:t>
      </w:r>
      <w:r w:rsidR="00827BD5">
        <w:rPr>
          <w:lang w:eastAsia="zh-CN"/>
        </w:rPr>
        <w:t xml:space="preserve">Chapter 6 introduces the overestimation of voltage stability margin </w:t>
      </w:r>
      <w:r w:rsidR="00357744">
        <w:rPr>
          <w:lang w:eastAsia="zh-CN"/>
        </w:rPr>
        <w:t xml:space="preserve">using coupled single-port circuit under a special condition and proposes two mitigation methods. In Chapter 7, the impact of ZIP load model to voltage stability analysis is studied and a novel measurement-based voltage stability indicator is proposed to incorporate the ZIP load model. </w:t>
      </w:r>
      <w:r>
        <w:rPr>
          <w:rFonts w:hint="eastAsia"/>
          <w:lang w:eastAsia="zh-CN"/>
        </w:rPr>
        <w:t xml:space="preserve">Chapter </w:t>
      </w:r>
      <w:r w:rsidR="00827BD5">
        <w:rPr>
          <w:lang w:eastAsia="zh-CN"/>
        </w:rPr>
        <w:t>8</w:t>
      </w:r>
      <w:r w:rsidR="00595875">
        <w:rPr>
          <w:lang w:eastAsia="zh-CN"/>
        </w:rPr>
        <w:t xml:space="preserve"> </w:t>
      </w:r>
      <w:r>
        <w:rPr>
          <w:rFonts w:hint="eastAsia"/>
          <w:lang w:eastAsia="zh-CN"/>
        </w:rPr>
        <w:t xml:space="preserve">concludes the </w:t>
      </w:r>
      <w:r w:rsidR="00595875">
        <w:rPr>
          <w:lang w:eastAsia="zh-CN"/>
        </w:rPr>
        <w:t>entire dissertation</w:t>
      </w:r>
      <w:r w:rsidR="00595875">
        <w:rPr>
          <w:rFonts w:hint="eastAsia"/>
          <w:lang w:eastAsia="zh-CN"/>
        </w:rPr>
        <w:t xml:space="preserve"> </w:t>
      </w:r>
      <w:r>
        <w:rPr>
          <w:rFonts w:hint="eastAsia"/>
          <w:lang w:eastAsia="zh-CN"/>
        </w:rPr>
        <w:t>and discusses the potential future works.</w:t>
      </w:r>
    </w:p>
    <w:p w14:paraId="63BD3A3C" w14:textId="77777777" w:rsidR="00F631BD" w:rsidRDefault="00F631BD" w:rsidP="00620AB1"/>
    <w:p w14:paraId="6D700DF9" w14:textId="77777777" w:rsidR="00031FEF" w:rsidRDefault="00031FEF">
      <w:pPr>
        <w:spacing w:line="240" w:lineRule="auto"/>
        <w:ind w:firstLine="0"/>
        <w:jc w:val="left"/>
      </w:pPr>
      <w:r>
        <w:br w:type="page"/>
      </w:r>
    </w:p>
    <w:p w14:paraId="7ED50529" w14:textId="77777777" w:rsidR="00031FEF" w:rsidRDefault="00031FEF" w:rsidP="00CC759C">
      <w:pPr>
        <w:pStyle w:val="Heading1"/>
      </w:pPr>
      <w:bookmarkStart w:id="11" w:name="_Toc459076534"/>
      <w:r>
        <w:lastRenderedPageBreak/>
        <w:t>C</w:t>
      </w:r>
      <w:r w:rsidR="0001493C">
        <w:t>HAPTER 2</w:t>
      </w:r>
      <w:r w:rsidRPr="004D734D">
        <w:br/>
      </w:r>
      <w:r w:rsidR="0001493C">
        <w:t>LITERATURE REVIEW</w:t>
      </w:r>
      <w:bookmarkEnd w:id="11"/>
    </w:p>
    <w:p w14:paraId="4D33F1E6" w14:textId="77777777" w:rsidR="00031FEF" w:rsidRDefault="00031FEF" w:rsidP="00031FEF">
      <w:pPr>
        <w:rPr>
          <w:rFonts w:eastAsiaTheme="minorEastAsia"/>
          <w:bCs/>
          <w:iCs/>
          <w:lang w:eastAsia="zh-CN"/>
        </w:rPr>
      </w:pPr>
      <w:r w:rsidRPr="00422395">
        <w:t xml:space="preserve">This chapter presents the review of past and on-going research findings relevant to </w:t>
      </w:r>
      <w:r>
        <w:rPr>
          <w:rFonts w:hint="eastAsia"/>
          <w:lang w:eastAsia="zh-CN"/>
        </w:rPr>
        <w:t xml:space="preserve">the </w:t>
      </w:r>
      <w:r w:rsidR="003811F4">
        <w:rPr>
          <w:rFonts w:hint="eastAsia"/>
          <w:lang w:eastAsia="zh-CN"/>
        </w:rPr>
        <w:t xml:space="preserve">measurement-based approaches </w:t>
      </w:r>
      <w:r w:rsidR="003F78D5">
        <w:rPr>
          <w:rFonts w:hint="eastAsia"/>
          <w:lang w:eastAsia="zh-CN"/>
        </w:rPr>
        <w:t>voltage stability assessment and control</w:t>
      </w:r>
      <w:r>
        <w:rPr>
          <w:rFonts w:eastAsiaTheme="minorEastAsia" w:hint="eastAsia"/>
          <w:bCs/>
          <w:iCs/>
          <w:lang w:eastAsia="zh-CN"/>
        </w:rPr>
        <w:t>.</w:t>
      </w:r>
    </w:p>
    <w:p w14:paraId="5CD3F612" w14:textId="77777777" w:rsidR="00031FEF" w:rsidRDefault="00FA716A" w:rsidP="004B5C30">
      <w:pPr>
        <w:pStyle w:val="Heading2"/>
        <w:rPr>
          <w:lang w:eastAsia="zh-CN"/>
        </w:rPr>
      </w:pPr>
      <w:bookmarkStart w:id="12" w:name="_Toc459076535"/>
      <w:r>
        <w:t>2.1</w:t>
      </w:r>
      <w:r w:rsidR="00031FEF">
        <w:t xml:space="preserve"> </w:t>
      </w:r>
      <w:r w:rsidR="00595875">
        <w:t>Measurement-</w:t>
      </w:r>
      <w:r w:rsidR="005B3245">
        <w:t xml:space="preserve">Based </w:t>
      </w:r>
      <w:r w:rsidR="003F78D5">
        <w:rPr>
          <w:rFonts w:hint="eastAsia"/>
          <w:lang w:eastAsia="zh-CN"/>
        </w:rPr>
        <w:t>Voltage Stability Assessment</w:t>
      </w:r>
      <w:bookmarkEnd w:id="12"/>
    </w:p>
    <w:p w14:paraId="4A93F17F" w14:textId="37AEAAF9" w:rsidR="00260151" w:rsidRPr="003811F4" w:rsidRDefault="003811F4" w:rsidP="003811F4">
      <w:pPr>
        <w:rPr>
          <w:lang w:eastAsia="zh-CN"/>
        </w:rPr>
      </w:pPr>
      <w:r>
        <w:rPr>
          <w:rFonts w:hint="eastAsia"/>
          <w:lang w:eastAsia="zh-CN"/>
        </w:rPr>
        <w:t>Enabled by synchronized phasor measurement units (PMUs)</w:t>
      </w:r>
      <w:r w:rsidRPr="003811F4">
        <w:t xml:space="preserve">, measurement-based voltage stability assessment (VSA) approaches have been </w:t>
      </w:r>
      <w:r>
        <w:rPr>
          <w:rFonts w:hint="eastAsia"/>
          <w:lang w:eastAsia="zh-CN"/>
        </w:rPr>
        <w:t>widely discussed in the recent decade</w:t>
      </w:r>
      <w:r w:rsidRPr="003811F4">
        <w:t>. In an early work</w:t>
      </w:r>
      <w:r>
        <w:t xml:space="preserve"> </w:t>
      </w:r>
      <w:r>
        <w:fldChar w:fldCharType="begin" w:fldLock="1"/>
      </w:r>
      <w:r w:rsidR="00351740">
        <w:instrText>ADDIN CSL_CITATION { "citationItems" : [ { "id" : "ITEM-1", "itemData" : { "abstract" : "Estimating the proximity of power systems to voltage collapse in real-time still faces difficulties. Beside the data management and computational issues, any central-control method is subject to the reliability of long-distance data communications. In the paper, the authors describe a new data-processing method to estimate the proximity to voltage collapse. The method (code-named SMARTDevice, for Stability Monitoring And Reference Tuning Device) employs only local measurements-bus voltage and load current-and calculates the strength of the transmission system relative to the bus. The collapse occurs when the local load approaches this value. The method is simple enough so that it can be implemented in a numerical relay. The performance of SMARTDevice is compared against the conventional undervoltage relays. It is shown that the latter can misoperate while the new device does not. SMARTDevice is in fact a new breed of voltage relay whose setpoint is automatically tuned to the power system condition", "author" : [ { "dropping-particle" : "", "family" : "Vu", "given" : "Khoi", "non-dropping-particle" : "", "parse-names" : false, "suffix" : "" }, { "dropping-particle" : "", "family" : "Begovic", "given" : "Miroslav M", "non-dropping-particle" : "", "parse-names" : false, "suffix" : "" }, { "dropping-particle" : "", "family" : "Novosel", "given" : "Damir", "non-dropping-particle" : "", "parse-names" : false, "suffix" : "" }, { "dropping-particle" : "", "family" : "Saha", "given" : "Murari Mohan", "non-dropping-particle" : "", "parse-names" : false, "suffix" : "" } ], "container-title" : "IEEE Transactions on Power Systems", "id" : "ITEM-1", "issue" : "3", "issued" : { "date-parts" : [ [ "1999" ] ] }, "page" : "1029-1035", "title" : "Use of local measurements to estimate voltage-stability margin", "type" : "article-journal", "volume" : "14" }, "uris" : [ "http://www.mendeley.com/documents/?uuid=0cf3a6d7-f61e-4f20-adf8-bfee972d3c51" ] } ], "mendeley" : { "formattedCitation" : "[31]", "plainTextFormattedCitation" : "[31]", "previouslyFormattedCitation" : "[31]" }, "properties" : { "noteIndex" : 0 }, "schema" : "https://github.com/citation-style-language/schema/raw/master/csl-citation.json" }</w:instrText>
      </w:r>
      <w:r>
        <w:fldChar w:fldCharType="separate"/>
      </w:r>
      <w:r w:rsidR="00DD7036" w:rsidRPr="00DD7036">
        <w:rPr>
          <w:noProof/>
        </w:rPr>
        <w:t>[31]</w:t>
      </w:r>
      <w:r>
        <w:fldChar w:fldCharType="end"/>
      </w:r>
      <w:r w:rsidRPr="003811F4">
        <w:t xml:space="preserve">, Vu et al. proposed to use local phasor measurements to estimate the voltage stability margin. </w:t>
      </w:r>
      <w:r>
        <w:t xml:space="preserve">In </w:t>
      </w:r>
      <w:r>
        <w:fldChar w:fldCharType="begin" w:fldLock="1"/>
      </w:r>
      <w:r w:rsidR="00351740">
        <w:instrText>ADDIN CSL_CITATION { "citationItems" : [ { "id" : "ITEM-1", "itemData" : { "author" : [ { "dropping-particle" : "", "family" : "Smon", "given" : "Ivan", "non-dropping-particle" : "", "parse-names" : false, "suffix" : "" }, { "dropping-particle" : "", "family" : "Member", "given" : "Student", "non-dropping-particle" : "", "parse-names" : false, "suffix" : "" }, { "dropping-particle" : "", "family" : "Verbi\u02c7", "given" : "Gregor", "non-dropping-particle" : "", "parse-names" : false, "suffix" : "" } ], "id" : "ITEM-1", "issue" : "3", "issued" : { "date-parts" : [ [ "2006" ] ] }, "page" : "1267-1275", "title" : "Local Voltage-Stability Index Using Tellegen \u2019 s Theorem", "type" : "article-journal", "volume" : "21" }, "uris" : [ "http://www.mendeley.com/documents/?uuid=841d7233-a7c1-41c3-8d72-a1788f866d8b" ] } ], "mendeley" : { "formattedCitation" : "[32]", "plainTextFormattedCitation" : "[32]", "previouslyFormattedCitation" : "[32]" }, "properties" : { "noteIndex" : 0 }, "schema" : "https://github.com/citation-style-language/schema/raw/master/csl-citation.json" }</w:instrText>
      </w:r>
      <w:r>
        <w:fldChar w:fldCharType="separate"/>
      </w:r>
      <w:r w:rsidR="00DD7036" w:rsidRPr="00DD7036">
        <w:rPr>
          <w:noProof/>
        </w:rPr>
        <w:t>[32]</w:t>
      </w:r>
      <w:r>
        <w:fldChar w:fldCharType="end"/>
      </w:r>
      <w:r w:rsidRPr="003811F4">
        <w:t>, a local voltage-stability index using Tellegen's theorem is proposed. Corsi and Taranto proposed a real-time identification algorithm based</w:t>
      </w:r>
      <w:r>
        <w:t xml:space="preserve"> on an adaptive method </w:t>
      </w:r>
      <w:r>
        <w:fldChar w:fldCharType="begin" w:fldLock="1"/>
      </w:r>
      <w:r w:rsidR="00351740">
        <w:instrText>ADDIN CSL_CITATION { "citationItems" : [ { "id" : "ITEM-1", "itemData" : { "abstract" : "This paper proposes a new voltage instability risk indicator based on local phasor measurements at fast sampling rate. The effectiveness of the indicator is analyzed at EHV load and ldquotransitrdquo buses. The risk criterion is based on the real-time computation of the Thevenin equivalent impedance of the classic electrical circuit given by an equivalent generator connected to an equivalent load impedance through an equivalent connecting impedance. The main contribution of the paper is the innovating algorithm utilized on the real-time adaptive identification of the Thevenin voltage and impedance equivalents. The algorithm performance is shown through a detailed sensitivity analysis. The paper presents important numerical results from the actual Italian EHV network.", "author" : [ { "dropping-particle" : "", "family" : "Corsi", "given" : "Sandro", "non-dropping-particle" : "", "parse-names" : false, "suffix" : "" }, { "dropping-particle" : "", "family" : "Taranto", "given" : "Glauco N.", "non-dropping-particle" : "", "parse-names" : false, "suffix" : "" } ], "container-title" : "IEEE Transactions on Power Systems", "id" : "ITEM-1", "issue" : "3", "issued" : { "date-parts" : [ [ "2008" ] ] }, "page" : "1271-1279", "title" : "A real-time voltage instability identification algorithm based on local phasor measurements", "type" : "article-journal", "volume" : "23" }, "uris" : [ "http://www.mendeley.com/documents/?uuid=3217c462-66cc-4f46-911f-b0967b72f579" ] } ], "mendeley" : { "formattedCitation" : "[33]", "plainTextFormattedCitation" : "[33]", "previouslyFormattedCitation" : "[33]" }, "properties" : { "noteIndex" : 0 }, "schema" : "https://github.com/citation-style-language/schema/raw/master/csl-citation.json" }</w:instrText>
      </w:r>
      <w:r>
        <w:fldChar w:fldCharType="separate"/>
      </w:r>
      <w:r w:rsidR="00DD7036" w:rsidRPr="00DD7036">
        <w:rPr>
          <w:noProof/>
        </w:rPr>
        <w:t>[33]</w:t>
      </w:r>
      <w:r>
        <w:fldChar w:fldCharType="end"/>
      </w:r>
      <w:r w:rsidRPr="003811F4">
        <w:t xml:space="preserve">. </w:t>
      </w:r>
      <w:r w:rsidRPr="00A0417B">
        <w:t>In</w:t>
      </w:r>
      <w:r w:rsidR="009E44A5" w:rsidRPr="00A0417B">
        <w:t xml:space="preserve"> </w:t>
      </w:r>
      <w:r w:rsidR="00A0417B">
        <w:fldChar w:fldCharType="begin" w:fldLock="1"/>
      </w:r>
      <w:r w:rsidR="00A0417B">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 "properties" : { "noteIndex" : 0 }, "schema" : "https://github.com/citation-style-language/schema/raw/master/csl-citation.json" }</w:instrText>
      </w:r>
      <w:r w:rsidR="00A0417B">
        <w:fldChar w:fldCharType="separate"/>
      </w:r>
      <w:r w:rsidR="00A0417B" w:rsidRPr="00A0417B">
        <w:rPr>
          <w:noProof/>
        </w:rPr>
        <w:t>[34]</w:t>
      </w:r>
      <w:r w:rsidR="00A0417B">
        <w:fldChar w:fldCharType="end"/>
      </w:r>
      <w:r w:rsidRPr="003811F4">
        <w:t>, the concept of a coupled single-port circuit is proposed for considering voltage stability of a load area.</w:t>
      </w:r>
      <w:r w:rsidR="009E44A5">
        <w:t xml:space="preserve"> </w:t>
      </w:r>
      <w:r w:rsidR="00260151" w:rsidRPr="00260151">
        <w:rPr>
          <w:lang w:val="en-GB" w:eastAsia="zh-CN"/>
        </w:rPr>
        <w:t xml:space="preserve">The idea proposed in </w:t>
      </w:r>
      <w:r w:rsidR="00260151">
        <w:rPr>
          <w:rFonts w:hint="eastAsia"/>
          <w:lang w:val="en-GB" w:eastAsia="zh-CN"/>
        </w:rPr>
        <w:t xml:space="preserve"> </w:t>
      </w:r>
      <w:r w:rsidR="00260151">
        <w:rPr>
          <w:lang w:val="en-GB" w:eastAsia="zh-CN"/>
        </w:rPr>
        <w:fldChar w:fldCharType="begin" w:fldLock="1"/>
      </w:r>
      <w:r w:rsidR="00351740">
        <w:rPr>
          <w:lang w:val="en-GB" w:eastAsia="zh-CN"/>
        </w:rPr>
        <w:instrText>ADDIN CSL_CITATION { "citationItems" : [ { "id" : "ITEM-1", "itemData" : { "abstract" : "Estimating the proximity of power systems to voltage collapse in real-time still faces difficulties. Beside the data management and computational issues, any central-control method is subject to the reliability of long-distance data communications. In the paper, the authors describe a new data-processing method to estimate the proximity to voltage collapse. The method (code-named SMARTDevice, for Stability Monitoring And Reference Tuning Device) employs only local measurements-bus voltage and load current-and calculates the strength of the transmission system relative to the bus. The collapse occurs when the local load approaches this value. The method is simple enough so that it can be implemented in a numerical relay. The performance of SMARTDevice is compared against the conventional undervoltage relays. It is shown that the latter can misoperate while the new device does not. SMARTDevice is in fact a new breed of voltage relay whose setpoint is automatically tuned to the power system condition", "author" : [ { "dropping-particle" : "", "family" : "Vu", "given" : "Khoi", "non-dropping-particle" : "", "parse-names" : false, "suffix" : "" }, { "dropping-particle" : "", "family" : "Begovic", "given" : "Miroslav M", "non-dropping-particle" : "", "parse-names" : false, "suffix" : "" }, { "dropping-particle" : "", "family" : "Novosel", "given" : "Damir", "non-dropping-particle" : "", "parse-names" : false, "suffix" : "" }, { "dropping-particle" : "", "family" : "Saha", "given" : "Murari Mohan", "non-dropping-particle" : "", "parse-names" : false, "suffix" : "" } ], "container-title" : "IEEE Transactions on Power Systems", "id" : "ITEM-1", "issue" : "3", "issued" : { "date-parts" : [ [ "1999" ] ] }, "page" : "1029-1035", "title" : "Use of local measurements to estimate voltage-stability margin", "type" : "article-journal", "volume" : "14" }, "uris" : [ "http://www.mendeley.com/documents/?uuid=0cf3a6d7-f61e-4f20-adf8-bfee972d3c51" ] }, { "id" : "ITEM-2", "itemData" : { "author" : [ { "dropping-particle" : "", "family" : "Smon", "given" : "Ivan", "non-dropping-particle" : "", "parse-names" : false, "suffix" : "" }, { "dropping-particle" : "", "family" : "Member", "given" : "Student", "non-dropping-particle" : "", "parse-names" : false, "suffix" : "" }, { "dropping-particle" : "", "family" : "Verbi\u02c7", "given" : "Gregor", "non-dropping-particle" : "", "parse-names" : false, "suffix" : "" } ], "id" : "ITEM-2", "issue" : "3", "issued" : { "date-parts" : [ [ "2006" ] ] }, "page" : "1267-1275", "title" : "Local Voltage-Stability Index Using Tellegen \u2019 s Theorem", "type" : "article-journal", "volume" : "21" }, "uris" : [ "http://www.mendeley.com/documents/?uuid=841d7233-a7c1-41c3-8d72-a1788f866d8b" ] }, { "id" : "ITEM-3", "itemData" : { "abstract" : "This paper proposes a new voltage instability risk indicator based on local phasor measurements at fast sampling rate. The effectiveness of the indicator is analyzed at EHV load and ldquotransitrdquo buses. The risk criterion is based on the real-time computation of the Thevenin equivalent impedance of the classic electrical circuit given by an equivalent generator connected to an equivalent load impedance through an equivalent connecting impedance. The main contribution of the paper is the innovating algorithm utilized on the real-time adaptive identification of the Thevenin voltage and impedance equivalents. The algorithm performance is shown through a detailed sensitivity analysis. The paper presents important numerical results from the actual Italian EHV network.", "author" : [ { "dropping-particle" : "", "family" : "Corsi", "given" : "Sandro", "non-dropping-particle" : "", "parse-names" : false, "suffix" : "" }, { "dropping-particle" : "", "family" : "Taranto", "given" : "Glauco N.", "non-dropping-particle" : "", "parse-names" : false, "suffix" : "" } ], "container-title" : "IEEE Transactions on Power Systems", "id" : "ITEM-3", "issue" : "3", "issued" : { "date-parts" : [ [ "2008" ] ] }, "page" : "1271-1279", "title" : "A real-time voltage instability identification algorithm based on local phasor measurements", "type" : "article-journal", "volume" : "23" }, "uris" : [ "http://www.mendeley.com/documents/?uuid=3217c462-66cc-4f46-911f-b0967b72f579" ] } ], "mendeley" : { "formattedCitation" : "[31]\u2013[33]", "plainTextFormattedCitation" : "[31]\u2013[33]", "previouslyFormattedCitation" : "[31]\u2013[33]"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[31]–[33]</w:t>
      </w:r>
      <w:r w:rsidR="00260151">
        <w:rPr>
          <w:lang w:val="en-GB" w:eastAsia="zh-CN"/>
        </w:rPr>
        <w:fldChar w:fldCharType="end"/>
      </w:r>
      <w:r w:rsidR="00260151">
        <w:rPr>
          <w:rFonts w:hint="eastAsia"/>
          <w:lang w:val="en-GB" w:eastAsia="zh-CN"/>
        </w:rPr>
        <w:t xml:space="preserve"> </w:t>
      </w:r>
      <w:r w:rsidR="00260151" w:rsidRPr="00260151">
        <w:rPr>
          <w:lang w:val="en-GB" w:eastAsia="zh-CN"/>
        </w:rPr>
        <w:t xml:space="preserve">uses local measurements to identify the system Thevenin Equivalent “seen” from the bus of interest. The critical point for voltage instability is reached when the absolute value of the load impedance is equal to the Thevenin equivalent impedance </w:t>
      </w:r>
      <w:r w:rsidR="00260151">
        <w:rPr>
          <w:lang w:val="en-GB" w:eastAsia="zh-CN"/>
        </w:rPr>
        <w:fldChar w:fldCharType="begin" w:fldLock="1"/>
      </w:r>
      <w:r w:rsidR="00351740">
        <w:rPr>
          <w:lang w:val="en-GB" w:eastAsia="zh-CN"/>
        </w:rPr>
        <w:instrText>ADDIN CSL_CITATION { "citationItems" : [ { "id" : "ITEM-1", "itemData" : { "DOI" : "10.1016/j.epsr.2010.01.015", "ISSN" : "03787796", "abstract" : "This paper investigates the relationship between the impedance matching and the maximum power transfer problems, and presents a predictor-corrector framework for fast estimation of the maximum powertransfer limit for the load increase pattern with acommonscaling factor. First, a network equivalent technique is presented and a \"decoupled\" equivalent network is obtained for every load bus. Second, a special form of impedance matching condition is derived for the maximum power transfer problem with an unlimited load variation pattern. Though this is an unrealistic case in power systems, it might have a profound physical mechanism and lead to an interesting explanation and application for the presented equivalent technique. Third, this paper discusses the relationship between the impedance matching and the maximum power transfer problem for the load increase pattern with a common scaling factor. Finally, a predictor-corrector framework is introduced for fast estimation of the maximum power transfer limit for the load increase pattern with a common scaling factor. ?? 2010 Elsevier B.V. All rights reserved.", "author" : [ { "dropping-particle" : "", "family" : "Li", "given" : "Weixing", "non-dropping-particle" : "", "parse-names" : false, "suffix" : "" }, { "dropping-particle" : "", "family" : "Chen", "given" : "Tongwen", "non-dropping-particle" : "", "parse-names" : false, "suffix" : "" }, { "dropping-particle" : "", "family" : "Xu", "given" : "Wilsun", "non-dropping-particle" : "", "parse-names" : false, "suffix" : "" } ], "container-title" : "Electric Power Systems Research", "id" : "ITEM-1", "issue" : "9", "issued" : { "date-parts" : [ [ "2010", "9" ] ] }, "page" : "1082-1088", "publisher" : "Elsevier B.V.", "title" : "On impedance matching and maximum power transfer", "type" : "article-journal", "volume" : "80" }, "uris" : [ "http://www.mendeley.com/documents/?uuid=085ed139-3e0d-4cd1-b37d-aee879cbbead" ] } ], "mendeley" : { "formattedCitation" : "[46]", "plainTextFormattedCitation" : "[46]", "previouslyFormattedCitation" : "[46]"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[46]</w:t>
      </w:r>
      <w:r w:rsidR="00260151">
        <w:rPr>
          <w:lang w:val="en-GB" w:eastAsia="zh-CN"/>
        </w:rPr>
        <w:fldChar w:fldCharType="end"/>
      </w:r>
      <w:r w:rsidR="00260151" w:rsidRPr="00260151">
        <w:rPr>
          <w:lang w:val="en-GB" w:eastAsia="zh-CN"/>
        </w:rPr>
        <w:t>. Besides the impedance matching criterion, several voltage instability indicator</w:t>
      </w:r>
      <w:r w:rsidR="009E44A5">
        <w:rPr>
          <w:lang w:val="en-GB" w:eastAsia="zh-CN"/>
        </w:rPr>
        <w:t>s</w:t>
      </w:r>
      <w:r w:rsidR="00260151" w:rsidRPr="00260151">
        <w:rPr>
          <w:lang w:val="en-GB" w:eastAsia="zh-CN"/>
        </w:rPr>
        <w:t xml:space="preserve"> based on local measurements have been proposed </w:t>
      </w:r>
      <w:r w:rsidR="00260151">
        <w:rPr>
          <w:lang w:val="en-GB" w:eastAsia="zh-CN"/>
        </w:rPr>
        <w:fldChar w:fldCharType="begin" w:fldLock="1"/>
      </w:r>
      <w:r w:rsidR="00351740">
        <w:rPr>
          <w:lang w:val="en-GB" w:eastAsia="zh-CN"/>
        </w:rPr>
        <w:instrText>ADDIN CSL_CITATION { "citationItems" : [ { "id" : "ITEM-1", "itemData" : { "DOI" : "10.1016/j.epsr.2008.06.010", "ISSN" : "03787796", "abstract" : "The paper proposes an equivalent system model (ESM), which includes effects of both local network and system outside the local network. A new node voltage stability index called the equivalent node voltage collapse index (ENVCI), which is based on ESM and uses only local voltage phasors, is presented. The main advantages of ENVCI are accuracy in modeling and calculations, and ease in real time or on-line applications. The simulation results show that the ENVCI can identify not only the weakest node (bus) causing system instability but also the system voltage collapse point when it is near zero. This feature enables us to set an index threshold to monitor and predict system stability on-line so that a proper action can be taken to prevent the system from collapse. Crown Copyright ?? 2008.", "author" : [ { "dropping-particle" : "", "family" : "Wang", "given" : "Yang", "non-dropping-particle" : "", "parse-names" : false, "suffix" : "" }, { "dropping-particle" : "", "family" : "Li", "given" : "Wenyuan", "non-dropping-particle" : "", "parse-names" : false, "suffix" : "" }, { "dropping-particle" : "", "family" : "Lu", "given" : "Jiping", "non-dropping-particle" : "", "parse-names" : false, "suffix" : "" } ], "container-title" : "Electric Power Systems Research", "id" : "ITEM-1", "issue" : "1", "issued" : { "date-parts" : [ [ "2009", "1" ] ] }, "page" : "265-271", "title" : "A new node voltage stability index based on local voltage phasors", "type" : "article-journal", "volume" : "79" }, "uris" : [ "http://www.mendeley.com/documents/?uuid=91da85eb-190e-429d-bb70-cc4696a4aada" ] }, { "id" : "ITEM-2", "itemData" : { "DOI" : "10.1016/j.epsr.2005.10.007", "ISSN" : "03787796", "abstract" : "The paper proposes a new concept for assessing vulnerably of a power system in terms of voltage stability. The concept is based on the apparent-power losses and uses only local data, i.e. voltage and current phasors at every line end in the system. In the paper, we prove that, at the voltage-collapse point, the entire increase in loading of the most critical line is due to increased transmission losses, which also coincides with the singularity of the Jacobian matrix. It is shown that this information can be used as an indication of a voltage-instability proximity. The proposed local method has several advantages over the existing static and dynamic methods, which is also shown in the paper.", "author" : [ { "dropping-particle" : "", "family" : "Verbi\u010d", "given" : "Gregor", "non-dropping-particle" : "", "parse-names" : false, "suffix" : "" }, { "dropping-particle" : "", "family" : "Panto\u0161", "given" : "Milo\u0161", "non-dropping-particle" : "", "parse-names" : false, "suffix" : "" }, { "dropping-particle" : "", "family" : "Gubina", "given" : "Ferdinand", "non-dropping-particle" : "", "parse-names" : false, "suffix" : "" } ], "container-title" : "Electric Power Systems Research", "id" : "ITEM-2", "issue" : "9-10", "issued" : { "date-parts" : [ [ "2006", "6" ] ] }, "page" : "760-767", "title" : "On voltage collapse and apparent-power losses", "type" : "article-journal", "volume" : "76" }, "uris" : [ "http://www.mendeley.com/documents/?uuid=4c06c3bd-91d9-467b-a96d-76c9798b72bd" ] } ], "mendeley" : { "formattedCitation" : "[47], [48]", "plainTextFormattedCitation" : "[47], [48]", "previouslyFormattedCitation" : "[47], [48]"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[47], [48]</w:t>
      </w:r>
      <w:r w:rsidR="00260151">
        <w:rPr>
          <w:lang w:val="en-GB" w:eastAsia="zh-CN"/>
        </w:rPr>
        <w:fldChar w:fldCharType="end"/>
      </w:r>
      <w:r w:rsidR="00260151" w:rsidRPr="00260151">
        <w:rPr>
          <w:lang w:val="en-GB" w:eastAsia="zh-CN"/>
        </w:rPr>
        <w:t xml:space="preserve">. In some follow-up works </w:t>
      </w:r>
      <w:r w:rsidR="00260151">
        <w:rPr>
          <w:lang w:val="en-GB" w:eastAsia="zh-CN"/>
        </w:rPr>
        <w:fldChar w:fldCharType="begin" w:fldLock="1"/>
      </w:r>
      <w:r w:rsidR="00351740">
        <w:rPr>
          <w:lang w:val="en-GB" w:eastAsia="zh-CN"/>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"id" : "ITEM-2", "itemData" : { "abstract" : "This two-part paper deals with the early detection of an impending voltage instability from the system states provided by synchronized phasor measurements. Recognizing that voltage instability detection requires assessing a multidimensional system, the method fits a set of algebraic equations to the sampled states, and performs an efficient sensitivity in order to identify when a combination of load powers has passed through a maximum. This second part of the paper presents simulation results obtained from detailed time-domain simulation of the Nordic32 test system, without and with measurement noise, respectively. Several practical improvements are described such as anticipation of overexcitation limiter activation, and use of a moving average filter. Robustness to load behavior, non-updated topology and unobservability is also shown. Finally a comparison with Thevenin impedance matching criterion is provided.", "author" : [ { "dropping-particle" : "", "family" : "Glavic", "given" : "Mevludin", "non-dropping-particle" : "", "parse-names" : false, "suffix" : "" }, { "dropping-particle" : "", "family" : "Cutsem", "given" : "Thierry", "non-dropping-particle" : "Van", "parse-names" : false, "suffix" : "" } ], "container-title" : "IEEE Transactions on Power Systems", "id" : "ITEM-2", "issue" : "3", "issued" : { "date-parts" : [ [ "2009" ] ] }, "page" : "1417-1425", "title" : "Wide-area detection of voltage instability from synchronized phasor measurements. Part II: Simulation Results", "type" : "article-journal", "volume" : "24" }, "uris" : [ "http://www.mendeley.com/documents/?uuid=96a837d8-0096-45d4-8729-ace3dc53f936" ] }, { "id" : "ITEM-3",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"ITEM-3", "issue" : "4", "issued" : { "date-parts" : [ [ "2011" ] ] }, "page" : "2154-2163", "title" : "Voltage stability monitoring based on the concept of coupled single-port circuit", "type" : "article-journal", "volume" : "26" }, "uris" : [ "http://www.mendeley.com/documents/?uuid=be83206a-cf18-49aa-bba5-04a00745600b" ] } ], "mendeley" : { "formattedCitation" : "[13], [34], [49]", "plainTextFormattedCitation" : "[13], [34], [49]", "previouslyFormattedCitation" : "[13], [34], [49]"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[13], [34], [49]</w:t>
      </w:r>
      <w:r w:rsidR="00260151">
        <w:rPr>
          <w:lang w:val="en-GB" w:eastAsia="zh-CN"/>
        </w:rPr>
        <w:fldChar w:fldCharType="end"/>
      </w:r>
      <w:r w:rsidR="00260151" w:rsidRPr="00260151">
        <w:rPr>
          <w:lang w:val="en-GB" w:eastAsia="zh-CN"/>
        </w:rPr>
        <w:t xml:space="preserve">, the Thevenin equivalent model is employed for measurement-based VSA. In </w:t>
      </w:r>
      <w:r w:rsidR="00260151">
        <w:rPr>
          <w:lang w:val="en-GB" w:eastAsia="zh-CN"/>
        </w:rPr>
        <w:fldChar w:fldCharType="begin" w:fldLock="1"/>
      </w:r>
      <w:r w:rsidR="00D96671">
        <w:rPr>
          <w:lang w:val="en-GB" w:eastAsia="zh-CN"/>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"plainTextFormattedCitation" : "[13]", "previouslyFormattedCitation" : "[13]" }, "properties" : { "noteIndex" : 0 }, "schema" : "https://github.com/citation-style-language/schema/raw/master/csl-citation.json" }</w:instrText>
      </w:r>
      <w:r w:rsidR="00260151">
        <w:rPr>
          <w:lang w:val="en-GB" w:eastAsia="zh-CN"/>
        </w:rPr>
        <w:fldChar w:fldCharType="separate"/>
      </w:r>
      <w:r w:rsidR="00D96671" w:rsidRPr="00D96671">
        <w:rPr>
          <w:noProof/>
          <w:lang w:val="en-GB" w:eastAsia="zh-CN"/>
        </w:rPr>
        <w:t>[13]</w:t>
      </w:r>
      <w:r w:rsidR="00260151">
        <w:rPr>
          <w:lang w:val="en-GB" w:eastAsia="zh-CN"/>
        </w:rPr>
        <w:fldChar w:fldCharType="end"/>
      </w:r>
      <w:r w:rsidR="00260151" w:rsidRPr="00260151">
        <w:rPr>
          <w:lang w:val="en-GB" w:eastAsia="zh-CN"/>
        </w:rPr>
        <w:t xml:space="preserve">, the ZIP load model is considered and a wide-area PMU network, rather than local measurements, is required for the proposed control scheme. In </w:t>
      </w:r>
      <w:r w:rsidR="00260151">
        <w:rPr>
          <w:lang w:val="en-GB" w:eastAsia="zh-CN"/>
        </w:rPr>
        <w:fldChar w:fldCharType="begin" w:fldLock="1"/>
      </w:r>
      <w:r w:rsidR="00351740">
        <w:rPr>
          <w:lang w:val="en-GB" w:eastAsia="zh-CN"/>
        </w:rPr>
        <w:instrText>ADDIN CSL_CITATION { "citationItems" : [ { "id" : "ITEM-1", "itemData" : { "abstract" : "This two-part paper deals with the early detection of an impending voltage instability from the system states provided by synchronized phasor measurements. Recognizing that voltage instability detection requires assessing a multidimensional system, the method fits a set of algebraic equations to the sampled states, and performs an efficient sensitivity in order to identify when a combination of load powers has passed through a maximum. This second part of the paper presents simulation results obtained from detailed time-domain simulation of the Nordic32 test system, without and with measurement noise, respectively. Several practical improvements are described such as anticipation of overexcitation limiter activation, and use of a moving average filter. Robustness to load behavior, non-updated topology and unobservability is also shown. Finally a comparison with Thevenin impedance matching criterion is provided.", "author" : [ { "dropping-particle" : "", "family" : "Glavic", "given" : "Mevludin", "non-dropping-particle" : "", "parse-names" : false, "suffix" : "" }, { "dropping-particle" : "", "family" : "Cutsem", "given" : "Thierry", "non-dropping-particle" : "Van", "parse-names" : false, "suffix" : "" } ], "container-title" : "IEEE Transactions on Power Systems", "id" : "ITEM-1", "issue" : "3", "issued" : { "date-parts" : [ [ "2009" ] ] }, "page" : "1417-1425", "title" : "Wide-area detection of voltage instability from synchronized phasor measurements. Part II: Simulation Results", "type" : "article-journal", "volume" : "24" }, "uris" : [ "http://www.mendeley.com/documents/?uuid=96a837d8-0096-45d4-8729-ace3dc53f936" ] } ], "mendeley" : { "formattedCitation" : "[49]", "plainTextFormattedCitation" : "[49]", "previouslyFormattedCitation" : "[49]"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[49]</w:t>
      </w:r>
      <w:r w:rsidR="00260151">
        <w:rPr>
          <w:lang w:val="en-GB" w:eastAsia="zh-CN"/>
        </w:rPr>
        <w:fldChar w:fldCharType="end"/>
      </w:r>
      <w:r w:rsidR="00260151" w:rsidRPr="00260151">
        <w:rPr>
          <w:lang w:val="en-GB" w:eastAsia="zh-CN"/>
        </w:rPr>
        <w:t xml:space="preserve">, a wide-area detection scheme combining load flow is proposed. In </w:t>
      </w:r>
      <w:r w:rsidR="00260151">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260151">
        <w:fldChar w:fldCharType="separate"/>
      </w:r>
      <w:r w:rsidR="00DD7036" w:rsidRPr="00DD7036">
        <w:rPr>
          <w:noProof/>
        </w:rPr>
        <w:t>[34]</w:t>
      </w:r>
      <w:r w:rsidR="00260151">
        <w:fldChar w:fldCharType="end"/>
      </w:r>
      <w:r w:rsidR="00260151" w:rsidRPr="00260151">
        <w:rPr>
          <w:lang w:val="en-GB" w:eastAsia="zh-CN"/>
        </w:rPr>
        <w:t xml:space="preserve">, the concept of coupled single-port circuit is proposed for considering voltage stability of a load area. </w:t>
      </w:r>
      <w:r w:rsidR="00371CD3">
        <w:rPr>
          <w:rFonts w:hint="eastAsia"/>
          <w:lang w:val="en-GB" w:eastAsia="zh-CN"/>
        </w:rPr>
        <w:t xml:space="preserve">In </w:t>
      </w:r>
      <w:r w:rsidR="00371CD3">
        <w:rPr>
          <w:lang w:val="en-GB" w:eastAsia="zh-CN"/>
        </w:rPr>
        <w:fldChar w:fldCharType="begin" w:fldLock="1"/>
      </w:r>
      <w:r w:rsidR="00351740">
        <w:rPr>
          <w:lang w:val="en-GB" w:eastAsia="zh-CN"/>
        </w:rPr>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00371CD3">
        <w:rPr>
          <w:lang w:val="en-GB" w:eastAsia="zh-CN"/>
        </w:rPr>
        <w:fldChar w:fldCharType="separate"/>
      </w:r>
      <w:r w:rsidR="00DD7036" w:rsidRPr="00DD7036">
        <w:rPr>
          <w:noProof/>
          <w:lang w:val="en-GB" w:eastAsia="zh-CN"/>
        </w:rPr>
        <w:t>[36]</w:t>
      </w:r>
      <w:r w:rsidR="00371CD3">
        <w:rPr>
          <w:lang w:val="en-GB" w:eastAsia="zh-CN"/>
        </w:rPr>
        <w:fldChar w:fldCharType="end"/>
      </w:r>
      <w:r w:rsidR="00371CD3">
        <w:rPr>
          <w:rFonts w:hint="eastAsia"/>
          <w:lang w:val="en-GB" w:eastAsia="zh-CN"/>
        </w:rPr>
        <w:t xml:space="preserve">, a mitigation </w:t>
      </w:r>
      <w:r w:rsidR="00371CD3">
        <w:rPr>
          <w:lang w:val="en-GB" w:eastAsia="zh-CN"/>
        </w:rPr>
        <w:lastRenderedPageBreak/>
        <w:t>factor</w:t>
      </w:r>
      <w:r w:rsidR="00371CD3">
        <w:rPr>
          <w:rFonts w:hint="eastAsia"/>
          <w:lang w:val="en-GB" w:eastAsia="zh-CN"/>
        </w:rPr>
        <w:t xml:space="preserve"> is </w:t>
      </w:r>
      <w:r w:rsidR="00371CD3">
        <w:rPr>
          <w:lang w:val="en-GB" w:eastAsia="zh-CN"/>
        </w:rPr>
        <w:t>introduced</w:t>
      </w:r>
      <w:r w:rsidR="00371CD3">
        <w:rPr>
          <w:rFonts w:hint="eastAsia"/>
          <w:lang w:val="en-GB" w:eastAsia="zh-CN"/>
        </w:rPr>
        <w:t xml:space="preserve"> </w:t>
      </w:r>
      <w:r w:rsidR="002B4032">
        <w:rPr>
          <w:rFonts w:hint="eastAsia"/>
          <w:lang w:val="en-GB" w:eastAsia="zh-CN"/>
        </w:rPr>
        <w:t xml:space="preserve">on top of the coupled single-port circuit in order to address the </w:t>
      </w:r>
      <w:r w:rsidR="002B4032">
        <w:rPr>
          <w:lang w:val="en-GB" w:eastAsia="zh-CN"/>
        </w:rPr>
        <w:t>situation</w:t>
      </w:r>
      <w:r w:rsidR="002B4032">
        <w:rPr>
          <w:rFonts w:hint="eastAsia"/>
          <w:lang w:val="en-GB" w:eastAsia="zh-CN"/>
        </w:rPr>
        <w:t xml:space="preserve"> where the load is not proportionally increased</w:t>
      </w:r>
      <w:r w:rsidR="00371CD3">
        <w:rPr>
          <w:rFonts w:hint="eastAsia"/>
          <w:lang w:val="en-GB" w:eastAsia="zh-CN"/>
        </w:rPr>
        <w:t xml:space="preserve">. </w:t>
      </w:r>
      <w:r w:rsidR="00260151" w:rsidRPr="00260151">
        <w:rPr>
          <w:lang w:val="en-GB" w:eastAsia="zh-CN"/>
        </w:rPr>
        <w:t xml:space="preserve">In </w:t>
      </w:r>
      <w:r w:rsidR="00260151">
        <w:rPr>
          <w:lang w:val="en-GB" w:eastAsia="zh-CN"/>
        </w:rPr>
        <w:fldChar w:fldCharType="begin" w:fldLock="1"/>
      </w:r>
      <w:r w:rsidR="00351740">
        <w:rPr>
          <w:lang w:val="en-GB" w:eastAsia="zh-CN"/>
        </w:rPr>
        <w:instrText>ADDIN CSL_CITATION { "citationItems" : [ { "id" : "ITEM-1", "itemData" : { "abstract" : "Voltage stability is a security concern for modern power systems. It can be analyzed using detailed or equivalent models. In this paper a new approach is presented for voltage stability analysis using synchronized phasor measurement data. Simple equivalent models of the interconnected system and load side at a measurement point are estimated from the data, and then used for calculating PV curves and predicting the stability limit. Two different models are proposed, and compared based on the analyses performed on the event recordings from US western power system. Minimal modeling and formulation makes the method suitable for online calculations. The models are continuously updated to reflect the effects of different system components and changes", "author" : [ { "dropping-particle" : "", "family" : "Parniani", "given" : "Mostafa", "non-dropping-particle" : "", "parse-names" : false, "suffix" : "" }, { "dropping-particle" : "", "family" : "Chow", "given" : "Joe H.", "non-dropping-particle" : "", "parse-names" : false, "suffix" : "" }, { "dropping-particle" : "", "family" : "Vanfretti", "given" : "Luigi", "non-dropping-particle" : "", "parse-names" : false, "suffix" : "" }, { "dropping-particle" : "", "family" : "Bhargava", "given" : "Bharat", "non-dropping-particle" : "", "parse-names" : false, "suffix" : "" }, { "dropping-particle" : "", "family" : "Salazar", "given" : "Armando", "non-dropping-particle" : "", "parse-names" : false, "suffix" : "" } ], "container-title" : "2006 IEEE PES Power Systems Conference and Exposition, PSCE 2006 - Proceedings", "id" : "ITEM-1", "issued" : { "date-parts" : [ [ "2006" ] ] }, "page" : "1299-1305", "title" : "Voltage stability analysis of a multiple-infeed load center using phasor measurement data", "type" : "article-journal" }, "uris" : [ "http://www.mendeley.com/documents/?uuid=66ffd778-e156-46ba-be5e-3494b2227fa4" ] } ], "mendeley" : { "formattedCitation" : "[50]", "plainTextFormattedCitation" : "[50]", "previouslyFormattedCitation" : "[50]" }, "properties" : { "noteIndex" : 0 }, "schema" : "https://github.com/citation-style-language/schema/raw/master/csl-citation.json" }</w:instrText>
      </w:r>
      <w:r w:rsidR="00260151">
        <w:rPr>
          <w:lang w:val="en-GB" w:eastAsia="zh-CN"/>
        </w:rPr>
        <w:fldChar w:fldCharType="separate"/>
      </w:r>
      <w:r w:rsidR="00DD7036" w:rsidRPr="00DD7036">
        <w:rPr>
          <w:noProof/>
          <w:lang w:val="en-GB" w:eastAsia="zh-CN"/>
        </w:rPr>
        <w:t>[50]</w:t>
      </w:r>
      <w:r w:rsidR="00260151">
        <w:rPr>
          <w:lang w:val="en-GB" w:eastAsia="zh-CN"/>
        </w:rPr>
        <w:fldChar w:fldCharType="end"/>
      </w:r>
      <w:r w:rsidR="00260151" w:rsidRPr="00260151">
        <w:rPr>
          <w:lang w:val="en-GB" w:eastAsia="zh-CN"/>
        </w:rPr>
        <w:t xml:space="preserve">, a double voltage source is proposed to </w:t>
      </w:r>
      <w:r w:rsidR="009E44A5" w:rsidRPr="00260151">
        <w:rPr>
          <w:lang w:val="en-GB" w:eastAsia="zh-CN"/>
        </w:rPr>
        <w:t>analy</w:t>
      </w:r>
      <w:r w:rsidR="009E44A5">
        <w:rPr>
          <w:lang w:val="en-GB" w:eastAsia="zh-CN"/>
        </w:rPr>
        <w:t>z</w:t>
      </w:r>
      <w:r w:rsidR="009E44A5" w:rsidRPr="00260151">
        <w:rPr>
          <w:lang w:val="en-GB" w:eastAsia="zh-CN"/>
        </w:rPr>
        <w:t xml:space="preserve">e </w:t>
      </w:r>
      <w:r w:rsidR="00260151" w:rsidRPr="00260151">
        <w:rPr>
          <w:lang w:val="en-GB" w:eastAsia="zh-CN"/>
        </w:rPr>
        <w:t>multi-feed load</w:t>
      </w:r>
      <w:r w:rsidR="00260151" w:rsidRPr="00371CD3">
        <w:rPr>
          <w:lang w:eastAsia="zh-CN"/>
        </w:rPr>
        <w:t xml:space="preserve"> center</w:t>
      </w:r>
      <w:r w:rsidR="00260151" w:rsidRPr="00260151">
        <w:rPr>
          <w:lang w:val="en-GB" w:eastAsia="zh-CN"/>
        </w:rPr>
        <w:t>.</w:t>
      </w:r>
      <w:r w:rsidR="00371CD3">
        <w:rPr>
          <w:rFonts w:hint="eastAsia"/>
          <w:lang w:val="en-GB" w:eastAsia="zh-CN"/>
        </w:rPr>
        <w:t xml:space="preserve"> In </w:t>
      </w:r>
      <w:r w:rsidR="00371CD3">
        <w:rPr>
          <w:lang w:val="en-GB" w:eastAsia="zh-CN"/>
        </w:rPr>
        <w:fldChar w:fldCharType="begin" w:fldLock="1"/>
      </w:r>
      <w:r w:rsidR="00351740">
        <w:rPr>
          <w:lang w:val="en-GB" w:eastAsia="zh-CN"/>
        </w:rPr>
        <w:instrText>ADDIN CSL_CITATION { "citationItems" : [ { "id" : "ITEM-1", "itemData" : { "DOI" : "10.1109/TPWRS.2015.2477080", "ISSN" : "0885-8950", "author" : [ { "dropping-particle" : "", "family" : "Hu", "given" : "Fengkai", "non-dropping-particle" : "", "parse-names" : false, "suffix" : "" }, { "dropping-particle" : "", "family" : "Sun", "given" : "Kai", "non-dropping-particle" : "", "parse-names" : false, "suffix" : "" }, { "dropping-particle" : "", "family" : "Rosso", "given" : "Alberto", "non-dropping-particle" : "Del", "parse-names" : false, "suffix" : "" }, { "dropping-particle" : "", "family" : "Farantatos", "given" : "Evangelos", "non-dropping-particle" : "", "parse-names" : false, "suffix" : "" }, { "dropping-particle" : "", "family" : "Bhatt", "given" : "Navin", "non-dropping-particle" : "", "parse-names" : false, "suffix" : "" } ], "container-title" : "IEEE Transactions on Power Systems", "id" : "ITEM-1", "issued" : { "date-parts" : [ [ "2015" ] ] }, "title" : "Measurement-Based Real-Time Voltage Stability Monitoring for Load Areas", "type" : "article-journal" }, "uris" : [ "http://www.mendeley.com/documents/?uuid=c72e85a5-02b0-4e92-a9f1-e0ac2581808b" ] } ], "mendeley" : { "formattedCitation" : "[51]", "plainTextFormattedCitation" : "[51]", "previouslyFormattedCitation" : "[51]" }, "properties" : { "noteIndex" : 0 }, "schema" : "https://github.com/citation-style-language/schema/raw/master/csl-citation.json" }</w:instrText>
      </w:r>
      <w:r w:rsidR="00371CD3">
        <w:rPr>
          <w:lang w:val="en-GB" w:eastAsia="zh-CN"/>
        </w:rPr>
        <w:fldChar w:fldCharType="separate"/>
      </w:r>
      <w:r w:rsidR="00DD7036" w:rsidRPr="00DD7036">
        <w:rPr>
          <w:noProof/>
          <w:lang w:val="en-GB" w:eastAsia="zh-CN"/>
        </w:rPr>
        <w:t>[51]</w:t>
      </w:r>
      <w:r w:rsidR="00371CD3">
        <w:rPr>
          <w:lang w:val="en-GB" w:eastAsia="zh-CN"/>
        </w:rPr>
        <w:fldChar w:fldCharType="end"/>
      </w:r>
      <w:r w:rsidR="00371CD3">
        <w:rPr>
          <w:rFonts w:hint="eastAsia"/>
          <w:lang w:val="en-GB" w:eastAsia="zh-CN"/>
        </w:rPr>
        <w:t xml:space="preserve">, a measurement-based monitoring method for a load area fed by N tie lines is proposed which monitors the transfer limits of the </w:t>
      </w:r>
      <w:r w:rsidR="00371CD3" w:rsidRPr="00371CD3">
        <w:rPr>
          <w:rFonts w:hint="eastAsia"/>
          <w:i/>
          <w:lang w:val="en-GB" w:eastAsia="zh-CN"/>
        </w:rPr>
        <w:t>N</w:t>
      </w:r>
      <w:r w:rsidR="00371CD3">
        <w:rPr>
          <w:rFonts w:hint="eastAsia"/>
          <w:lang w:val="en-GB" w:eastAsia="zh-CN"/>
        </w:rPr>
        <w:t xml:space="preserve"> infeed lines.</w:t>
      </w:r>
    </w:p>
    <w:p w14:paraId="28A470A0" w14:textId="77777777" w:rsidR="002B4032" w:rsidRPr="002B4032" w:rsidRDefault="002B4032" w:rsidP="002B4032">
      <w:pPr>
        <w:rPr>
          <w:lang w:val="en-GB" w:eastAsia="zh-CN"/>
        </w:rPr>
      </w:pPr>
      <w:r w:rsidRPr="002B4032">
        <w:rPr>
          <w:lang w:val="en-GB" w:eastAsia="zh-CN"/>
        </w:rPr>
        <w:t>Among the above works, VSA for N-1 contingency, especially the transmission contingency, has not been addressed despite its important role in da</w:t>
      </w:r>
      <w:r>
        <w:rPr>
          <w:lang w:val="en-GB" w:eastAsia="zh-CN"/>
        </w:rPr>
        <w:t xml:space="preserve">ily operation and control. In </w:t>
      </w:r>
      <w:r>
        <w:rPr>
          <w:lang w:val="en-GB" w:eastAsia="zh-CN"/>
        </w:rPr>
        <w:fldChar w:fldCharType="begin" w:fldLock="1"/>
      </w:r>
      <w:r w:rsidR="00351740">
        <w:rPr>
          <w:lang w:val="en-GB" w:eastAsia="zh-CN"/>
        </w:rPr>
        <w:instrText>ADDIN CSL_CITATION { "citationItems" : [ { "id" : "ITEM-1", "itemData" : { "author" : [ { "dropping-particle" : "", "family" : "Zhou", "given" : "Debbie Q", "non-dropping-particle" : "", "parse-names" : false, "suffix" : "" }, { "dropping-particle" : "", "family" : "Member", "given" : "Student", "non-dropping-particle" : "", "parse-names" : false, "suffix" : "" }, { "dropping-particle" : "", "family" : "Annakkage", "given" : "U D", "non-dropping-particle" : "", "parse-names" : false, "suffix" : "" }, { "dropping-particle" : "", "family" : "Member", "given" : "Senior", "non-dropping-particle" : "", "parse-names" : false, "suffix" : "" }, { "dropping-particle" : "", "family" : "Rajapakse", "given" : "Athula D", "non-dropping-particle" : "", "parse-names" : false, "suffix" : "" } ], "id" : "ITEM-1", "issue" : "3", "issued" : { "date-parts" : [ [ "2010" ] ] }, "page" : "1566-1574", "title" : "Online Monitoring of Voltage Stability Margin Using an Artificial Neural Network", "type" : "article-journal", "volume" : "25" }, "uris" : [ "http://www.mendeley.com/documents/?uuid=6e77cdfa-1661-421f-934c-41a5ea643422" ] } ], "mendeley" : { "formattedCitation" : "[52]", "plainTextFormattedCitation" : "[52]", "previouslyFormattedCitation" : "[52]" }, "properties" : { "noteIndex" : 0 }, "schema" : "https://github.com/citation-style-language/schema/raw/master/csl-citation.json" }</w:instrText>
      </w:r>
      <w:r>
        <w:rPr>
          <w:lang w:val="en-GB" w:eastAsia="zh-CN"/>
        </w:rPr>
        <w:fldChar w:fldCharType="separate"/>
      </w:r>
      <w:r w:rsidR="00DD7036" w:rsidRPr="00DD7036">
        <w:rPr>
          <w:noProof/>
          <w:lang w:val="en-GB" w:eastAsia="zh-CN"/>
        </w:rPr>
        <w:t>[52]</w:t>
      </w:r>
      <w:r>
        <w:rPr>
          <w:lang w:val="en-GB" w:eastAsia="zh-CN"/>
        </w:rPr>
        <w:fldChar w:fldCharType="end"/>
      </w:r>
      <w:r w:rsidRPr="002B4032">
        <w:rPr>
          <w:lang w:val="en-GB" w:eastAsia="zh-CN"/>
        </w:rPr>
        <w:t xml:space="preserve">, contingency analysis is provided with artificial neural network with the requirement of a large amount of training based on CPF results. </w:t>
      </w:r>
    </w:p>
    <w:p w14:paraId="4D715AC2" w14:textId="77777777" w:rsidR="00FA716A" w:rsidRDefault="00FA716A" w:rsidP="004B5C30">
      <w:pPr>
        <w:pStyle w:val="Heading2"/>
        <w:rPr>
          <w:lang w:eastAsia="zh-CN"/>
        </w:rPr>
      </w:pPr>
      <w:bookmarkStart w:id="13" w:name="_Toc459076536"/>
      <w:r>
        <w:t xml:space="preserve">2.2 </w:t>
      </w:r>
      <w:r w:rsidR="003F78D5">
        <w:rPr>
          <w:rFonts w:hint="eastAsia"/>
          <w:lang w:eastAsia="zh-CN"/>
        </w:rPr>
        <w:t>Voltage Stability Control</w:t>
      </w:r>
      <w:bookmarkEnd w:id="13"/>
    </w:p>
    <w:p w14:paraId="10B39AF2" w14:textId="469AB0A0" w:rsidR="003811F4" w:rsidRPr="003811F4" w:rsidRDefault="003811F4" w:rsidP="003811F4">
      <w:pPr>
        <w:rPr>
          <w:lang w:eastAsia="zh-CN"/>
        </w:rPr>
      </w:pPr>
      <w:r w:rsidRPr="003811F4">
        <w:rPr>
          <w:lang w:eastAsia="zh-CN"/>
        </w:rPr>
        <w:t>Sensitivity analyses for voltage stability assessment (VSA) and control have been widely discussed in the literature</w:t>
      </w:r>
      <w:r w:rsidR="005E5C2B">
        <w:rPr>
          <w:lang w:eastAsia="zh-CN"/>
        </w:rPr>
        <w:t xml:space="preserve">. In </w:t>
      </w:r>
      <w:r w:rsidR="005E5C2B">
        <w:rPr>
          <w:lang w:eastAsia="zh-CN"/>
        </w:rPr>
        <w:fldChar w:fldCharType="begin" w:fldLock="1"/>
      </w:r>
      <w:r w:rsidR="00351740">
        <w:rPr>
          <w:lang w:eastAsia="zh-CN"/>
        </w:rPr>
        <w:instrText>ADDIN CSL_CITATION { "citationItems" : [ { "id" : "ITEM-1", "itemData" : { "author" : [ { "dropping-particle" : "", "family" : "Begovic", "given" : "Miroslav M", "non-dropping-particle" : "", "parse-names" : false, "suffix" : "" }, { "dropping-particle" : "", "family" : "Phadke", "given" : "Arun G.", "non-dropping-particle" : "", "parse-names" : false, "suffix" : "" } ], "container-title" : "IEEE Transactions on Power Systems", "id" : "ITEM-1", "issue" : "1", "issued" : { "date-parts" : [ [ "1992" ] ] }, "title" : "CONTROL OF VOLTAGE STABILITY USING SENSITIVITY ANALYSIS", "type" : "article-journal", "volume" : "7" }, "uris" : [ "http://www.mendeley.com/documents/?uuid=74c3592e-6e11-4338-b37e-cd699f216c29" ] } ], "mendeley" : { "formattedCitation" : "[53]", "plainTextFormattedCitation" : "[53]", "previouslyFormattedCitation" : "[53]" }, "properties" : { "noteIndex" : 0 }, "schema" : "https://github.com/citation-style-language/schema/raw/master/csl-citation.json" }</w:instrText>
      </w:r>
      <w:r w:rsidR="005E5C2B">
        <w:rPr>
          <w:lang w:eastAsia="zh-CN"/>
        </w:rPr>
        <w:fldChar w:fldCharType="separate"/>
      </w:r>
      <w:r w:rsidR="00DD7036" w:rsidRPr="00DD7036">
        <w:rPr>
          <w:noProof/>
          <w:lang w:eastAsia="zh-CN"/>
        </w:rPr>
        <w:t>[53]</w:t>
      </w:r>
      <w:r w:rsidR="005E5C2B">
        <w:rPr>
          <w:lang w:eastAsia="zh-CN"/>
        </w:rPr>
        <w:fldChar w:fldCharType="end"/>
      </w:r>
      <w:r w:rsidRPr="003811F4">
        <w:rPr>
          <w:lang w:eastAsia="zh-CN"/>
        </w:rPr>
        <w:t>, Begovic and Phadke derived the sensitivities of total generated reactive power w.r.t. power inject</w:t>
      </w:r>
      <w:r w:rsidR="005E5C2B">
        <w:rPr>
          <w:lang w:eastAsia="zh-CN"/>
        </w:rPr>
        <w:t xml:space="preserve">ion at various locations. In </w:t>
      </w:r>
      <w:r w:rsidR="005E5C2B">
        <w:rPr>
          <w:lang w:eastAsia="zh-CN"/>
        </w:rPr>
        <w:fldChar w:fldCharType="begin" w:fldLock="1"/>
      </w:r>
      <w:r w:rsidR="00351740">
        <w:rPr>
          <w:lang w:eastAsia="zh-CN"/>
        </w:rPr>
        <w:instrText>ADDIN CSL_CITATION { "citationItems" : [ { "id" : "ITEM-1", "itemData" : { "author" : [ { "dropping-particle" : "", "family" : "Greene", "given" : "Scott", "non-dropping-particle" : "", "parse-names" : false, "suffix" : "" }, { "dropping-particle" : "", "family" : "Dobson", "given" : "Ian", "non-dropping-particle" : "", "parse-names" : false, "suffix" : "" }, { "dropping-particle" : "", "family" : "Alvarado", "given" : "Fernando L", "non-dropping-particle" : "", "parse-names" : false, "suffix" : "" } ], "id" : "ITEM-1", "issue" : "1", "issued" : { "date-parts" : [ [ "1997" ] ] }, "title" : "Sensitivity Of The Loading Margin To Voltage Collapse With Respect To Arbitrary Parameters - Power Systems, IEEE Transactions on", "type" : "article-journal", "volume" : "12" }, "uris" : [ "http://www.mendeley.com/documents/?uuid=0cf37586-21c8-457a-aba7-5ae3b0cbbfbf" ] } ], "mendeley" : { "formattedCitation" : "[43]", "plainTextFormattedCitation" : "[43]", "previouslyFormattedCitation" : "[43]" }, "properties" : { "noteIndex" : 0 }, "schema" : "https://github.com/citation-style-language/schema/raw/master/csl-citation.json" }</w:instrText>
      </w:r>
      <w:r w:rsidR="005E5C2B">
        <w:rPr>
          <w:lang w:eastAsia="zh-CN"/>
        </w:rPr>
        <w:fldChar w:fldCharType="separate"/>
      </w:r>
      <w:r w:rsidR="00DD7036" w:rsidRPr="00DD7036">
        <w:rPr>
          <w:noProof/>
          <w:lang w:eastAsia="zh-CN"/>
        </w:rPr>
        <w:t>[43]</w:t>
      </w:r>
      <w:r w:rsidR="005E5C2B">
        <w:rPr>
          <w:lang w:eastAsia="zh-CN"/>
        </w:rPr>
        <w:fldChar w:fldCharType="end"/>
      </w:r>
      <w:r w:rsidRPr="003811F4">
        <w:rPr>
          <w:lang w:eastAsia="zh-CN"/>
        </w:rPr>
        <w:t xml:space="preserve">, Greene, Dobson, and Alvarado propose a general formula of LMS w.r.t. arbitrary parameters (including load shedding, reactive compensation, and generator re-dispatch). The same authors present a computationally efficient sensitivity of the transfer capability w.r.t. the arbitrary parameters in </w:t>
      </w:r>
      <w:r w:rsidR="005E5C2B">
        <w:rPr>
          <w:lang w:eastAsia="zh-CN"/>
        </w:rPr>
        <w:fldChar w:fldCharType="begin" w:fldLock="1"/>
      </w:r>
      <w:r w:rsidR="00351740">
        <w:rPr>
          <w:lang w:eastAsia="zh-CN"/>
        </w:rPr>
        <w:instrText>ADDIN CSL_CITATION { "citationItems" : [ { "id" : "ITEM-1", "itemData" : { "author" : [ { "dropping-particle" : "", "family" : "Greene", "given" : "Scott", "non-dropping-particle" : "", "parse-names" : false, "suffix" : "" }, { "dropping-particle" : "", "family" : "Dobson", "given" : "Ian", "non-dropping-particle" : "", "parse-names" : false, "suffix" : "" }, { "dropping-particle" : "", "family" : "Member", "given" : "Senior", "non-dropping-particle" : "", "parse-names" : false, "suffix" : "" }, { "dropping-particle" : "", "family" : "Alvarado", "given" : "Fernando L", "non-dropping-particle" : "", "parse-names" : false, "suffix" : "" } ], "id" : "ITEM-1", "issue" : "1", "issued" : { "date-parts" : [ [ "2002" ] ] }, "page" : "34-40", "title" : "Sensitivity of Transfer Capability Margins With a Fast Formula", "type" : "article-journal", "volume" : "17" }, "uris" : [ "http://www.mendeley.com/documents/?uuid=9b9875a1-ee28-4adb-bf32-3c4abbdb4b5a" ] } ], "mendeley" : { "formattedCitation" : "[54]", "plainTextFormattedCitation" : "[54]", "previouslyFormattedCitation" : "[54]" }, "properties" : { "noteIndex" : 0 }, "schema" : "https://github.com/citation-style-language/schema/raw/master/csl-citation.json" }</w:instrText>
      </w:r>
      <w:r w:rsidR="005E5C2B">
        <w:rPr>
          <w:lang w:eastAsia="zh-CN"/>
        </w:rPr>
        <w:fldChar w:fldCharType="separate"/>
      </w:r>
      <w:r w:rsidR="00DD7036" w:rsidRPr="00DD7036">
        <w:rPr>
          <w:noProof/>
          <w:lang w:eastAsia="zh-CN"/>
        </w:rPr>
        <w:t>[54]</w:t>
      </w:r>
      <w:r w:rsidR="005E5C2B">
        <w:rPr>
          <w:lang w:eastAsia="zh-CN"/>
        </w:rPr>
        <w:fldChar w:fldCharType="end"/>
      </w:r>
      <w:r w:rsidR="005E5C2B">
        <w:rPr>
          <w:lang w:eastAsia="zh-CN"/>
        </w:rPr>
        <w:t xml:space="preserve">. In more recent work </w:t>
      </w:r>
      <w:r w:rsidR="005E5C2B">
        <w:rPr>
          <w:lang w:eastAsia="zh-CN"/>
        </w:rPr>
        <w:fldChar w:fldCharType="begin" w:fldLock="1"/>
      </w:r>
      <w:r w:rsidR="00351740">
        <w:rPr>
          <w:lang w:eastAsia="zh-CN"/>
        </w:rPr>
        <w:instrText>ADDIN CSL_CITATION { "citationItems" : [ { "id" : "ITEM-1", "itemData" : { "author" : [ { "dropping-particle" : "", "family" : "Capitanescu", "given" : "Florin", "non-dropping-particle" : "", "parse-names" : false, "suffix" : "" }, { "dropping-particle" : "Van", "family" : "Cutsem", "given" : "Thierry", "non-dropping-particle" : "", "parse-names" : false, "suffix" : "" }, { "dropping-particle" : "", "family" : "Member", "given" : "Senior", "non-dropping-particle" : "", "parse-names" : false, "suffix" : "" } ], "container-title" : "IEEE Transactions on Power Systems", "id" : "ITEM-1", "issue" : "1", "issued" : { "date-parts" : [ [ "2005" ] ] }, "page" : "321-329", "title" : "Unified Sensitivity Analysis of Unstable or Low Voltages Caused by Load Increases or Contingencies", "type" : "article-journal", "volume" : "20" }, "uris" : [ "http://www.mendeley.com/documents/?uuid=bd533fcc-8b5b-4f38-baa0-dd4784e6cd50" ] } ], "mendeley" : { "formattedCitation" : "[55]", "plainTextFormattedCitation" : "[55]", "previouslyFormattedCitation" : "[55]" }, "properties" : { "noteIndex" : 0 }, "schema" : "https://github.com/citation-style-language/schema/raw/master/csl-citation.json" }</w:instrText>
      </w:r>
      <w:r w:rsidR="005E5C2B">
        <w:rPr>
          <w:lang w:eastAsia="zh-CN"/>
        </w:rPr>
        <w:fldChar w:fldCharType="separate"/>
      </w:r>
      <w:r w:rsidR="00DD7036" w:rsidRPr="00DD7036">
        <w:rPr>
          <w:noProof/>
          <w:lang w:eastAsia="zh-CN"/>
        </w:rPr>
        <w:t>[55]</w:t>
      </w:r>
      <w:r w:rsidR="005E5C2B">
        <w:rPr>
          <w:lang w:eastAsia="zh-CN"/>
        </w:rPr>
        <w:fldChar w:fldCharType="end"/>
      </w:r>
      <w:r w:rsidRPr="003811F4">
        <w:rPr>
          <w:lang w:eastAsia="zh-CN"/>
        </w:rPr>
        <w:t>, Capitanescu and Van Cutsem proposes a unified sensitivity analysis of voltage and extends applicable</w:t>
      </w:r>
      <w:r w:rsidRPr="003811F4" w:rsidDel="00B7310B">
        <w:rPr>
          <w:lang w:eastAsia="zh-CN"/>
        </w:rPr>
        <w:t xml:space="preserve"> </w:t>
      </w:r>
      <w:r w:rsidRPr="003811F4">
        <w:rPr>
          <w:lang w:eastAsia="zh-CN"/>
        </w:rPr>
        <w:t>sensitivity to not only bifurcation points, but also low yet stable voltages. A novel LM to MVA sensitivity rank</w:t>
      </w:r>
      <w:r w:rsidR="005E5C2B">
        <w:rPr>
          <w:lang w:eastAsia="zh-CN"/>
        </w:rPr>
        <w:t xml:space="preserve">ing algorithm is proposed in </w:t>
      </w:r>
      <w:r w:rsidR="005E5C2B">
        <w:rPr>
          <w:lang w:eastAsia="zh-CN"/>
        </w:rPr>
        <w:fldChar w:fldCharType="begin" w:fldLock="1"/>
      </w:r>
      <w:r w:rsidR="00351740">
        <w:rPr>
          <w:lang w:eastAsia="zh-CN"/>
        </w:rPr>
        <w:instrText>ADDIN CSL_CITATION { "citationItems" : [ { "id" : "ITEM-1", "itemData" : { "DOI" : "10.1109/TPWRS.2002.1007891", "ISSN" : "08858950", "abstract" : "The objective of this paper is to present a powerful procedure for identifying severe single branch outage contingencies with respect to saddle-mode bifurcation induced voltage collapse, given a power system operating point, a load demand forecast, and a generation dispatch. The new power sensitivity ranking algorithm for voltage collapse, called &amp;lambda;/MVA sensitivity, provides more accurate \"distance to collapse\" estimates than linear admittance sensitivity, yet requires only slightly more computation time. The distinguishing features are the ability (1) to rank all branches in a large-scale power system quickly, and (2) to estimate the outage contingency bifurcation values accurately. As an illustration, the new &amp;lambda;/MVA sensitivity ranking algorithm can estimate all 6689 single branch outage contingency bifurcation points (&amp;lambda;*&lt;sub&gt;ctgc&lt;/sub&gt;) of a 3493 bus power system within 3% relative error, except for two branches within 7%, in less than 4 min on a 180 MHz PentiumPro PC", "author" : [ { "dropping-particle" : "", "family" : "Flueck", "given" : "Alexander J.", "non-dropping-particle" : "", "parse-names" : false, "suffix" : "" }, { "dropping-particle" : "", "family" : "Gonella", "given" : "Renuka", "non-dropping-particle" : "", "parse-names" : false, "suffix" : "" }, { "dropping-particle" : "", "family" : "Dondeti", "given" : "Jayabharath R.", "non-dropping-particle" : "", "parse-names" : false, "suffix" : "" } ], "container-title" : "IEEE Transactions on Power Systems", "id" : "ITEM-1", "issue" : "2", "issued" : { "date-parts" : [ [ "2002" ] ] }, "page" : "265-270", "title" : "A new power sensitivity method of ranking branch outage contingencies for voltage collapse", "type" : "article-journal", "volume" : "17" }, "uris" : [ "http://www.mendeley.com/documents/?uuid=771553cb-ff28-482c-8796-a98b6606c31c" ] } ], "mendeley" : { "formattedCitation" : "[56]", "plainTextFormattedCitation" : "[56]", "previouslyFormattedCitation" : "[56]" }, "properties" : { "noteIndex" : 0 }, "schema" : "https://github.com/citation-style-language/schema/raw/master/csl-citation.json" }</w:instrText>
      </w:r>
      <w:r w:rsidR="005E5C2B">
        <w:rPr>
          <w:lang w:eastAsia="zh-CN"/>
        </w:rPr>
        <w:fldChar w:fldCharType="separate"/>
      </w:r>
      <w:r w:rsidR="00DD7036" w:rsidRPr="00DD7036">
        <w:rPr>
          <w:noProof/>
          <w:lang w:eastAsia="zh-CN"/>
        </w:rPr>
        <w:t>[56]</w:t>
      </w:r>
      <w:r w:rsidR="005E5C2B">
        <w:rPr>
          <w:lang w:eastAsia="zh-CN"/>
        </w:rPr>
        <w:fldChar w:fldCharType="end"/>
      </w:r>
      <w:r w:rsidRPr="003811F4">
        <w:rPr>
          <w:lang w:eastAsia="zh-CN"/>
        </w:rPr>
        <w:t>, which will identify severe single branch outages. In</w:t>
      </w:r>
      <w:r w:rsidR="005E5C2B">
        <w:rPr>
          <w:rFonts w:hint="eastAsia"/>
          <w:lang w:eastAsia="zh-CN"/>
        </w:rPr>
        <w:t xml:space="preserve"> </w:t>
      </w:r>
      <w:r w:rsidR="005E5C2B">
        <w:rPr>
          <w:lang w:eastAsia="zh-CN"/>
        </w:rPr>
        <w:fldChar w:fldCharType="begin" w:fldLock="1"/>
      </w:r>
      <w:r w:rsidR="00351740">
        <w:rPr>
          <w:lang w:eastAsia="zh-CN"/>
        </w:rPr>
        <w:instrText>ADDIN CSL_CITATION { "citationItems" : [ { "id" : "ITEM-1", "itemData" : { "DOI" : "10.1109/TPWRS.2005.846088", "ISSN" : "0885-8950", "author" : [ { "dropping-particle" : "", "family" : "Amjady", "given" : "N.", "non-dropping-particle" : "", "parse-names" : false, "suffix" : "" }, { "dropping-particle" : "", "family" : "Esmaili", "given" : "M.", "non-dropping-particle" : "", "parse-names" : false, "suffix" : "" } ], "container-title" : "IEEE Transactions on Power Systems", "id" : "ITEM-1", "issue" : "2", "issued" : { "date-parts" : [ [ "2005", "5" ] ] }, "page" : "973-983", "title" : "Application of a New Sensitivity Analysis Framework for Voltage Contingency Ranking", "type" : "article-journal", "volume" : "20" }, "uris" : [ "http://www.mendeley.com/documents/?uuid=b464c4e5-5cf9-4a7f-8624-aac65f8035b1" ] } ], "mendeley" : { "formattedCitation" : "[57]", "plainTextFormattedCitation" : "[57]", "previouslyFormattedCitation" : "[57]" }, "properties" : { "noteIndex" : 0 }, "schema" : "https://github.com/citation-style-language/schema/raw/master/csl-citation.json" }</w:instrText>
      </w:r>
      <w:r w:rsidR="005E5C2B">
        <w:rPr>
          <w:lang w:eastAsia="zh-CN"/>
        </w:rPr>
        <w:fldChar w:fldCharType="separate"/>
      </w:r>
      <w:r w:rsidR="00DD7036" w:rsidRPr="00DD7036">
        <w:rPr>
          <w:noProof/>
          <w:lang w:eastAsia="zh-CN"/>
        </w:rPr>
        <w:t>[57]</w:t>
      </w:r>
      <w:r w:rsidR="005E5C2B">
        <w:rPr>
          <w:lang w:eastAsia="zh-CN"/>
        </w:rPr>
        <w:fldChar w:fldCharType="end"/>
      </w:r>
      <w:r w:rsidRPr="003811F4">
        <w:rPr>
          <w:lang w:eastAsia="zh-CN"/>
        </w:rPr>
        <w:t>, sensitivity analysis</w:t>
      </w:r>
      <w:r w:rsidR="00B540E5">
        <w:rPr>
          <w:lang w:eastAsia="zh-CN"/>
        </w:rPr>
        <w:t xml:space="preserve"> </w:t>
      </w:r>
      <w:r w:rsidRPr="003811F4">
        <w:rPr>
          <w:lang w:eastAsia="zh-CN"/>
        </w:rPr>
        <w:t xml:space="preserve">combing linear sensitivities and eigenvalue analyses </w:t>
      </w:r>
      <w:r w:rsidR="00B540E5">
        <w:rPr>
          <w:lang w:eastAsia="zh-CN"/>
        </w:rPr>
        <w:t>is</w:t>
      </w:r>
      <w:r w:rsidR="00B540E5" w:rsidRPr="003811F4">
        <w:rPr>
          <w:lang w:eastAsia="zh-CN"/>
        </w:rPr>
        <w:t xml:space="preserve"> </w:t>
      </w:r>
      <w:r w:rsidRPr="003811F4">
        <w:rPr>
          <w:lang w:eastAsia="zh-CN"/>
        </w:rPr>
        <w:t xml:space="preserve">studied for the purpose of voltage contingency rankings. Sensitivities are most useful for </w:t>
      </w:r>
      <w:r w:rsidRPr="003811F4">
        <w:rPr>
          <w:lang w:eastAsia="zh-CN"/>
        </w:rPr>
        <w:lastRenderedPageBreak/>
        <w:t xml:space="preserve">voltage stability control applications </w:t>
      </w:r>
      <w:r w:rsidR="005E5C2B">
        <w:rPr>
          <w:lang w:eastAsia="zh-CN"/>
        </w:rPr>
        <w:fldChar w:fldCharType="begin" w:fldLock="1"/>
      </w:r>
      <w:r w:rsidR="00351740">
        <w:rPr>
          <w:lang w:eastAsia="zh-CN"/>
        </w:rPr>
        <w:instrText>ADDIN CSL_CITATION { "citationItems" : [ { "id" : "ITEM-1", "itemData" : { "DOI" : "10.1109/TPWRS.2002.1007904", "ISSN" : "0885-8950", "author" : [ { "dropping-particle" : "", "family" : "Capitanescu", "given" : "F.", "non-dropping-particle" : "", "parse-names" : false, "suffix" : "" }, { "dropping-particle" : "", "family" : "Cutsem", "given" : "T.", "non-dropping-particle" : "Van", "parse-names" : false, "suffix" : "" } ], "container-title" : "IEEE Transactions on Power Systems", "id" : "ITEM-1", "issue" : "2", "issued" : { "date-parts" : [ [ "2002", "5" ] ] }, "page" : "358-364", "title" : "Preventive control of voltage security margins: a multicontingency sensitivity-based approach", "type" : "article-journal", "volume" : "17" }, "uris" : [ "http://www.mendeley.com/documents/?uuid=38cbd14d-64d5-49af-87ef-71774c1ce683" ] }, { "id" : "ITEM-2", "itemData" : { "DOI" : "10.1016/j.ijepes.2005.10.002", "ISSN" : "01420615", "author" : [ { "dropping-particle" : "", "family" : "Echavarren", "given" : "F.M.", "non-dropping-particle" : "", "parse-names" : false, "suffix" : "" }, { "dropping-particle" : "", "family" : "Lobato", "given" : "E.", "non-dropping-particle" : "", "parse-names" : false, "suffix" : "" }, { "dropping-particle" : "", "family" : "Rouco", "given" : "L.", "non-dropping-particle" : "", "parse-names" : false, "suffix" : "" } ], "container-title" : "International Journal of Electrical Power &amp; Energy Systems", "id" : "ITEM-2", "issue" : "1", "issued" : { "date-parts" : [ [ "2006", "1" ] ] }, "page" : "58-64", "title" : "A corrective load shedding scheme to mitigate voltage collapse", "type" : "article-journal", "volume" : "28" }, "uris" : [ "http://www.mendeley.com/documents/?uuid=d734fe7e-8ba9-42d1-88e6-39e05b9b3064" ] }, { "id" : "ITEM-3", "itemData" : { "DOI" : "10.1109/TPWRS.2008.919242", "ISSN" : "08858950", "author" : [ { "dropping-particle" : "", "family" : "Nikolaidis", "given" : "Vassilis C.", "non-dropping-particle" : "", "parse-names" : false, "suffix" : "" }, { "dropping-particle" : "", "family" : "Vournas", "given" : "Costas D.", "non-dropping-particle" : "", "parse-names" : false, "suffix" : "" } ], "container-title" : "IEEE Transactions on Power Systems", "id" : "ITEM-3", "issue" : "2", "issued" : { "date-parts" : [ [ "2008" ] ] }, "page" : "582-591", "title" : "Design strategies for load-shedding schemes against voltage collapse in the Hellenic System", "type" : "article-journal", "volume" : "23" }, "uris" : [ "http://www.mendeley.com/documents/?uuid=11188fca-a5ba-4858-a8d4-9529aa539035" ] }, { "id" : "ITEM-4", "itemData" : { "DOI" : "10.1016/j.epsr.2006.09.005", "ISSN" : "03787796", "author" : [ { "dropping-particle" : "", "family" : "Amraee", "given" : "T.", "non-dropping-particle" : "", "parse-names" : false, "suffix" : "" }, { "dropping-particle" : "", "family" : "Ranjbar", "given" : "a.M.", "non-dropping-particle" : "", "parse-names" : false, "suffix" : "" }, { "dropping-particle" : "", "family" : "Mozafari", "given" : "B.", "non-dropping-particle" : "", "parse-names" : false, "suffix" : "" }, { "dropping-particle" : "", "family" : "Sadati", "given" : "N.", "non-dropping-particle" : "", "parse-names" : false, "suffix" : "" } ], "container-title" : "Electric Power Systems Research", "id" : "ITEM-4", "issue" : "8", "issued" : { "date-parts" : [ [ "2007", "6" ] ] }, "page" : "1038-1046", "title" : "An enhanced under-voltage load-shedding scheme to provide voltage stability", "type" : "article-journal", "volume" : "77" }, "uris" : [ "http://www.mendeley.com/documents/?uuid=c7e2b2c8-a114-4c0f-b269-50fc82280d67" ] } ], "mendeley" : { "formattedCitation" : "[58]\u2013[61]", "plainTextFormattedCitation" : "[58]\u2013[61]", "previouslyFormattedCitation" : "[58]\u2013[61]" }, "properties" : { "noteIndex" : 0 }, "schema" : "https://github.com/citation-style-language/schema/raw/master/csl-citation.json" }</w:instrText>
      </w:r>
      <w:r w:rsidR="005E5C2B">
        <w:rPr>
          <w:lang w:eastAsia="zh-CN"/>
        </w:rPr>
        <w:fldChar w:fldCharType="separate"/>
      </w:r>
      <w:r w:rsidR="00DD7036" w:rsidRPr="00DD7036">
        <w:rPr>
          <w:noProof/>
          <w:lang w:eastAsia="zh-CN"/>
        </w:rPr>
        <w:t>[58]–[61]</w:t>
      </w:r>
      <w:r w:rsidR="005E5C2B">
        <w:rPr>
          <w:lang w:eastAsia="zh-CN"/>
        </w:rPr>
        <w:fldChar w:fldCharType="end"/>
      </w:r>
      <w:r w:rsidRPr="003811F4">
        <w:rPr>
          <w:lang w:eastAsia="zh-CN"/>
        </w:rPr>
        <w:t xml:space="preserve"> where the sensitivities w.r.t. control actions greatly simplify the nonlinear optimal control problems by linear</w:t>
      </w:r>
      <w:r w:rsidR="00232FAE">
        <w:rPr>
          <w:lang w:eastAsia="zh-CN"/>
        </w:rPr>
        <w:t>ized</w:t>
      </w:r>
      <w:r w:rsidRPr="003811F4">
        <w:rPr>
          <w:lang w:eastAsia="zh-CN"/>
        </w:rPr>
        <w:t xml:space="preserve"> model of voltage stability/security constraints.</w:t>
      </w:r>
    </w:p>
    <w:p w14:paraId="554C00EB" w14:textId="77777777" w:rsidR="003811F4" w:rsidRPr="003811F4" w:rsidRDefault="003811F4" w:rsidP="003811F4">
      <w:pPr>
        <w:rPr>
          <w:lang w:eastAsia="zh-CN"/>
        </w:rPr>
      </w:pPr>
      <w:r w:rsidRPr="003811F4">
        <w:rPr>
          <w:lang w:eastAsia="zh-CN"/>
        </w:rPr>
        <w:t xml:space="preserve">Though the efficiency of the computation of LM or similar voltage stability margins has been improved, the calculation of these model-based sensitivities requires detailed system model, Jacobian matrix, and calculation of eigenvalues. Therefore, such model-based sensitivities may not be good candidates for online applications. </w:t>
      </w:r>
    </w:p>
    <w:p w14:paraId="5FCC0A64" w14:textId="3776D63F" w:rsidR="003811F4" w:rsidRPr="003811F4" w:rsidRDefault="003811F4" w:rsidP="003811F4">
      <w:pPr>
        <w:rPr>
          <w:lang w:eastAsia="zh-CN"/>
        </w:rPr>
      </w:pPr>
      <w:r w:rsidRPr="003811F4">
        <w:rPr>
          <w:lang w:eastAsia="zh-CN"/>
        </w:rPr>
        <w:t xml:space="preserve">Recently, measurement-based VSA and control methods utilizing phasor measurement units (PMU) have demonstrated </w:t>
      </w:r>
      <w:r w:rsidR="00232FAE">
        <w:rPr>
          <w:lang w:eastAsia="zh-CN"/>
        </w:rPr>
        <w:t>great</w:t>
      </w:r>
      <w:r w:rsidR="00232FAE" w:rsidRPr="003811F4">
        <w:rPr>
          <w:lang w:eastAsia="zh-CN"/>
        </w:rPr>
        <w:t xml:space="preserve"> </w:t>
      </w:r>
      <w:r w:rsidRPr="003811F4">
        <w:rPr>
          <w:lang w:eastAsia="zh-CN"/>
        </w:rPr>
        <w:t>potentials f</w:t>
      </w:r>
      <w:r w:rsidR="005E5C2B">
        <w:rPr>
          <w:lang w:eastAsia="zh-CN"/>
        </w:rPr>
        <w:t>or online applications</w:t>
      </w:r>
      <w:r w:rsidRPr="003811F4">
        <w:rPr>
          <w:lang w:eastAsia="zh-CN"/>
        </w:rPr>
        <w:t xml:space="preserve">. These methods estimate the Thevenin equivalent (TE) circuits for individual load buses directly from measurements and assess the stability margins; otherwise, these actions take control based on simplified TE circuits. The efficiency is significantly improved when compared with model-based VSAs. However, an efficient measurement-based LMS has not yet been studied.    </w:t>
      </w:r>
    </w:p>
    <w:p w14:paraId="2DFD3F34" w14:textId="77777777" w:rsidR="00C10B2C" w:rsidRPr="003F78D5" w:rsidRDefault="00C10B2C" w:rsidP="003F78D5">
      <w:pPr>
        <w:spacing w:line="240" w:lineRule="auto"/>
        <w:ind w:firstLine="0"/>
        <w:jc w:val="left"/>
      </w:pPr>
      <w:r>
        <w:rPr>
          <w:color w:val="000000"/>
          <w:szCs w:val="20"/>
        </w:rPr>
        <w:br w:type="page"/>
      </w:r>
    </w:p>
    <w:p w14:paraId="676E8734" w14:textId="77777777" w:rsidR="00D7679B" w:rsidRDefault="00D7679B" w:rsidP="00CC759C">
      <w:pPr>
        <w:pStyle w:val="Heading1"/>
      </w:pPr>
      <w:bookmarkStart w:id="14" w:name="_Toc459076537"/>
      <w:r>
        <w:lastRenderedPageBreak/>
        <w:t>CHAPTER 3</w:t>
      </w:r>
      <w:r w:rsidRPr="004D734D">
        <w:br/>
      </w:r>
      <w:r w:rsidR="001C09CE" w:rsidRPr="00C10B2C">
        <w:t>A COMPARATIVE STUDY OF MEASUREMENT-BASED THEVENIN EQUIVALENTS IDENTIFICATION METHODS</w:t>
      </w:r>
      <w:bookmarkEnd w:id="14"/>
    </w:p>
    <w:p w14:paraId="1645C383" w14:textId="77777777" w:rsidR="000F6944" w:rsidRDefault="00D7679B" w:rsidP="00D7679B">
      <w:r>
        <w:t xml:space="preserve">This </w:t>
      </w:r>
      <w:r w:rsidRPr="00EA7CE6">
        <w:t xml:space="preserve">chapter presents </w:t>
      </w:r>
      <w:r w:rsidR="00085510" w:rsidRPr="00085510">
        <w:t xml:space="preserve">a comparative study of measurement-based </w:t>
      </w:r>
      <w:r w:rsidR="00085510">
        <w:t>T</w:t>
      </w:r>
      <w:r w:rsidR="00085510" w:rsidRPr="00085510">
        <w:t>hevenin equivalents identification methods</w:t>
      </w:r>
      <w:r w:rsidRPr="00EA7CE6">
        <w:t xml:space="preserve">. </w:t>
      </w:r>
      <w:r w:rsidR="00085510" w:rsidRPr="00085510">
        <w:t>For various measurement-based techniques, the fundamental idea behind them is to identify the Thevenin equivalents (TE) of the outer system seen from the nodes/areas of interests, and then assess the voltage stability margin based on the equivalent circuits. Therefore, fast and accurate identification of the TE is crucial for such online monitoring applications. Though several identification methods have been proposed claiming to achieve good performance, they have not been explicitly compared with each other. This work presents an analogous comparative study of four different methods. After a brief introduction, the four methods are compared in the aspects of time complexity and measurement needed by using an algorithm analysis. Then they are tested on the measurements generated from time domain simulations of the Northeast Power Coordinating Council (NPCC) 140-bus system. Following the case study, a detailed performance analysis is given, and the results can serve as a general guidance on choosing the TE identification methods and the corresponding parameters.</w:t>
      </w:r>
    </w:p>
    <w:p w14:paraId="5F8555D9" w14:textId="77777777" w:rsidR="004F5721" w:rsidRPr="00085510" w:rsidRDefault="004F5721" w:rsidP="004F5721">
      <w:pPr>
        <w:spacing w:line="240" w:lineRule="auto"/>
        <w:ind w:firstLine="0"/>
        <w:jc w:val="center"/>
        <w:rPr>
          <w:lang w:val="x-none"/>
        </w:rPr>
      </w:pPr>
      <w:r w:rsidRPr="00085510">
        <w:rPr>
          <w:noProof/>
          <w:lang w:eastAsia="zh-CN"/>
        </w:rPr>
        <w:drawing>
          <wp:inline distT="0" distB="0" distL="0" distR="0" wp14:anchorId="113FF893" wp14:editId="4CD0997F">
            <wp:extent cx="1839685" cy="711419"/>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5230" cy="713563"/>
                    </a:xfrm>
                    <a:prstGeom prst="rect">
                      <a:avLst/>
                    </a:prstGeom>
                    <a:noFill/>
                    <a:ln>
                      <a:noFill/>
                    </a:ln>
                  </pic:spPr>
                </pic:pic>
              </a:graphicData>
            </a:graphic>
          </wp:inline>
        </w:drawing>
      </w:r>
    </w:p>
    <w:p w14:paraId="193B412C" w14:textId="77777777" w:rsidR="004F5721" w:rsidRDefault="004F5721" w:rsidP="004F5721">
      <w:pPr>
        <w:pStyle w:val="Caption"/>
      </w:pPr>
      <w:bookmarkStart w:id="15" w:name="_Ref431837396"/>
      <w:bookmarkStart w:id="16" w:name="_Toc459076453"/>
      <w:r w:rsidRPr="008C2F7C">
        <w:t xml:space="preserve">Figure </w:t>
      </w:r>
      <w:fldSimple w:instr=" SEQ Figure \* ARABIC ">
        <w:r>
          <w:rPr>
            <w:noProof/>
          </w:rPr>
          <w:t>2</w:t>
        </w:r>
      </w:fldSimple>
      <w:bookmarkEnd w:id="15"/>
      <w:r>
        <w:t xml:space="preserve">. </w:t>
      </w:r>
      <w:r w:rsidRPr="008C2F7C">
        <w:t>Simple 2-bus electric system</w:t>
      </w:r>
      <w:r>
        <w:t>.</w:t>
      </w:r>
      <w:bookmarkEnd w:id="16"/>
    </w:p>
    <w:p w14:paraId="1FB3205D" w14:textId="77777777" w:rsidR="004F5721" w:rsidRPr="004F5721" w:rsidRDefault="004F5721" w:rsidP="004F5721">
      <w:pPr>
        <w:rPr>
          <w:sz w:val="4"/>
        </w:rPr>
      </w:pPr>
    </w:p>
    <w:p w14:paraId="0D6A4878" w14:textId="77777777" w:rsidR="0038490A" w:rsidRDefault="00787522" w:rsidP="004B5C30">
      <w:pPr>
        <w:pStyle w:val="Heading2"/>
      </w:pPr>
      <w:bookmarkStart w:id="17" w:name="_Toc403954356"/>
      <w:bookmarkStart w:id="18" w:name="_Toc459076538"/>
      <w:r>
        <w:t>3</w:t>
      </w:r>
      <w:r w:rsidR="00CE2A0F">
        <w:t xml:space="preserve">.1 </w:t>
      </w:r>
      <w:bookmarkEnd w:id="17"/>
      <w:r w:rsidR="00B41FF9" w:rsidRPr="00B41FF9">
        <w:t>Thevenin Equivalence and Impedance</w:t>
      </w:r>
      <w:bookmarkEnd w:id="18"/>
    </w:p>
    <w:p w14:paraId="6ACE1E03" w14:textId="35ED643B" w:rsidR="004F5721" w:rsidRDefault="00085510" w:rsidP="004F5721">
      <w:pPr>
        <w:jc w:val="distribute"/>
      </w:pPr>
      <w:r w:rsidRPr="00085510">
        <w:t xml:space="preserve">Consider a simple 2-bus </w:t>
      </w:r>
      <w:r w:rsidR="008C2F7C">
        <w:t xml:space="preserve">electric circuit shown in </w:t>
      </w:r>
      <w:r w:rsidR="008C2F7C">
        <w:fldChar w:fldCharType="begin"/>
      </w:r>
      <w:r w:rsidR="008C2F7C">
        <w:instrText xml:space="preserve"> REF _Ref431837396 \h </w:instrText>
      </w:r>
      <w:r w:rsidR="004F5721">
        <w:instrText xml:space="preserve"> \* MERGEFORMAT </w:instrText>
      </w:r>
      <w:r w:rsidR="008C2F7C">
        <w:fldChar w:fldCharType="separate"/>
      </w:r>
      <w:r w:rsidR="00656B13" w:rsidRPr="008C2F7C">
        <w:t xml:space="preserve">Figure </w:t>
      </w:r>
      <w:r w:rsidR="00656B13">
        <w:rPr>
          <w:noProof/>
        </w:rPr>
        <w:t>2</w:t>
      </w:r>
      <w:r w:rsidR="008C2F7C">
        <w:fldChar w:fldCharType="end"/>
      </w:r>
      <w:r w:rsidRPr="00085510">
        <w:t xml:space="preserve"> The load bus k is </w:t>
      </w:r>
    </w:p>
    <w:p w14:paraId="416AC8D5" w14:textId="00625181" w:rsidR="00085510" w:rsidRPr="00085510" w:rsidRDefault="00085510" w:rsidP="004F5721">
      <w:pPr>
        <w:ind w:firstLine="0"/>
      </w:pPr>
      <w:r w:rsidRPr="00085510">
        <w:lastRenderedPageBreak/>
        <w:t xml:space="preserve">connected with a load of </w:t>
      </w:r>
      <w:r w:rsidR="009B3A91" w:rsidRPr="009B3A91">
        <w:rPr>
          <w:position w:val="-10"/>
        </w:rPr>
        <w:object w:dxaOrig="1460" w:dyaOrig="380" w14:anchorId="25DA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73.65pt;height:19.65pt" o:ole="">
            <v:imagedata r:id="rId12" o:title=""/>
          </v:shape>
          <o:OLEObject Type="Embed" ProgID="Equation.3" ShapeID="_x0000_i1103" DrawAspect="Content" ObjectID="_1532825593" r:id="rId13"/>
        </w:object>
      </w:r>
      <w:r w:rsidR="009B3A91">
        <w:t xml:space="preserve"> </w:t>
      </w:r>
      <w:r w:rsidRPr="00085510">
        <w:t xml:space="preserve">and has a voltage of </w:t>
      </w:r>
      <w:r w:rsidR="009B3A91" w:rsidRPr="009B3A91">
        <w:rPr>
          <w:position w:val="-6"/>
        </w:rPr>
        <w:object w:dxaOrig="340" w:dyaOrig="340" w14:anchorId="4E27A7EF">
          <v:shape id="_x0000_i1104" type="#_x0000_t75" style="width:17.45pt;height:17.45pt" o:ole="">
            <v:imagedata r:id="rId14" o:title=""/>
          </v:shape>
          <o:OLEObject Type="Embed" ProgID="Equation.3" ShapeID="_x0000_i1104" DrawAspect="Content" ObjectID="_1532825594" r:id="rId15"/>
        </w:object>
      </w:r>
      <w:r w:rsidRPr="00085510">
        <w:t xml:space="preserve">. The generator bus has a voltage of </w:t>
      </w:r>
      <w:r w:rsidRPr="00085510">
        <w:rPr>
          <w:i/>
        </w:rPr>
        <w:t xml:space="preserve"> </w:t>
      </w:r>
      <w:r w:rsidR="009B3A91" w:rsidRPr="009B3A91">
        <w:rPr>
          <w:position w:val="-6"/>
        </w:rPr>
        <w:object w:dxaOrig="400" w:dyaOrig="340" w14:anchorId="62625E81">
          <v:shape id="_x0000_i1105" type="#_x0000_t75" style="width:19.65pt;height:17.45pt" o:ole="">
            <v:imagedata r:id="rId16" o:title=""/>
          </v:shape>
          <o:OLEObject Type="Embed" ProgID="Equation.3" ShapeID="_x0000_i1105" DrawAspect="Content" ObjectID="_1532825595" r:id="rId17"/>
        </w:object>
      </w:r>
      <w:r w:rsidRPr="00085510">
        <w:t xml:space="preserve"> and is a connected bus through Thevenin impedance </w:t>
      </w:r>
      <w:r w:rsidR="009B3A91" w:rsidRPr="009B3A91">
        <w:rPr>
          <w:position w:val="-6"/>
        </w:rPr>
        <w:object w:dxaOrig="400" w:dyaOrig="340" w14:anchorId="72D05D2B">
          <v:shape id="_x0000_i1106" type="#_x0000_t75" style="width:19.65pt;height:17.45pt" o:ole="">
            <v:imagedata r:id="rId18" o:title=""/>
          </v:shape>
          <o:OLEObject Type="Embed" ProgID="Equation.3" ShapeID="_x0000_i1106" DrawAspect="Content" ObjectID="_1532825596" r:id="rId19"/>
        </w:object>
      </w:r>
      <w:r w:rsidRPr="00085510">
        <w:t xml:space="preserve"> with the load.</w:t>
      </w:r>
    </w:p>
    <w:p w14:paraId="3E7BF86D" w14:textId="77777777" w:rsidR="00085510" w:rsidRPr="00085510" w:rsidRDefault="00085510" w:rsidP="004F5721">
      <w:r w:rsidRPr="00085510">
        <w:t>The following equation holds for the circuit.</w:t>
      </w:r>
    </w:p>
    <w:p w14:paraId="34F64A49" w14:textId="77777777" w:rsidR="00085510" w:rsidRPr="00085510" w:rsidRDefault="00085510" w:rsidP="008C2F7C">
      <w:pPr>
        <w:jc w:val="right"/>
      </w:pPr>
      <w:r w:rsidRPr="00085510">
        <w:rPr>
          <w:lang w:val="x-none"/>
        </w:rPr>
        <w:tab/>
      </w:r>
      <w:r w:rsidRPr="00085510">
        <w:rPr>
          <w:lang w:val="x-none"/>
        </w:rPr>
        <w:object w:dxaOrig="2460" w:dyaOrig="320" w14:anchorId="0B79C9E7">
          <v:shape id="_x0000_i1107" type="#_x0000_t75" style="width:139.65pt;height:19.65pt" o:ole="">
            <v:imagedata r:id="rId20" o:title=""/>
          </v:shape>
          <o:OLEObject Type="Embed" ProgID="Equation.DSMT4" ShapeID="_x0000_i1107" DrawAspect="Content" ObjectID="_1532825597" r:id="rId21"/>
        </w:object>
      </w:r>
      <w:r w:rsidRPr="00085510">
        <w:rPr>
          <w:lang w:val="x-none"/>
        </w:rPr>
        <w:t xml:space="preserve"> </w:t>
      </w:r>
      <w:r w:rsidRPr="00085510">
        <w:rPr>
          <w:lang w:val="x-none"/>
        </w:rPr>
        <w:tab/>
      </w:r>
      <w:r w:rsidR="008C2F7C">
        <w:tab/>
      </w:r>
      <w:r w:rsidR="008C2F7C">
        <w:tab/>
      </w:r>
      <w:r w:rsidR="008C2F7C">
        <w:tab/>
      </w:r>
      <w:r w:rsidRPr="00085510">
        <w:t>(</w:t>
      </w:r>
      <w:r>
        <w:t>3-</w:t>
      </w:r>
      <w:r w:rsidRPr="00085510">
        <w:t>1)</w:t>
      </w:r>
    </w:p>
    <w:p w14:paraId="678CA071" w14:textId="77777777" w:rsidR="00085510" w:rsidRPr="00085510" w:rsidRDefault="00085510" w:rsidP="00085510">
      <w:r w:rsidRPr="00085510">
        <w:t>It can be rewritten as</w:t>
      </w:r>
    </w:p>
    <w:p w14:paraId="18F40BA9" w14:textId="77777777" w:rsidR="00085510" w:rsidRPr="00085510" w:rsidRDefault="00085510" w:rsidP="008C2F7C">
      <w:pPr>
        <w:jc w:val="right"/>
      </w:pPr>
      <w:r w:rsidRPr="00085510">
        <w:rPr>
          <w:lang w:val="x-none"/>
        </w:rPr>
        <w:tab/>
      </w:r>
      <w:r w:rsidR="008C2F7C" w:rsidRPr="00085510">
        <w:rPr>
          <w:lang w:val="x-none"/>
        </w:rPr>
        <w:object w:dxaOrig="2120" w:dyaOrig="320" w14:anchorId="5A435C3D">
          <v:shape id="_x0000_i1108" type="#_x0000_t75" style="width:139.65pt;height:22.35pt" o:ole="">
            <v:imagedata r:id="rId22" o:title=""/>
          </v:shape>
          <o:OLEObject Type="Embed" ProgID="Equation.DSMT4" ShapeID="_x0000_i1108" DrawAspect="Content" ObjectID="_1532825598" r:id="rId23"/>
        </w:object>
      </w:r>
      <w:r w:rsidRPr="00085510">
        <w:rPr>
          <w:lang w:val="x-none"/>
        </w:rPr>
        <w:object w:dxaOrig="160" w:dyaOrig="240" w14:anchorId="65366846">
          <v:shape id="_x0000_i1109" type="#_x0000_t75" style="width:8.2pt;height:11.45pt" o:ole="">
            <v:imagedata r:id="rId24" o:title=""/>
          </v:shape>
          <o:OLEObject Type="Embed" ProgID="Equation.DSMT4" ShapeID="_x0000_i1109" DrawAspect="Content" ObjectID="_1532825599" r:id="rId25"/>
        </w:object>
      </w:r>
      <w:r w:rsidRPr="00085510">
        <w:rPr>
          <w:lang w:val="x-none"/>
        </w:rPr>
        <w:t xml:space="preserve"> </w:t>
      </w:r>
      <w:r w:rsidRPr="00085510">
        <w:rPr>
          <w:lang w:val="x-none"/>
        </w:rPr>
        <w:tab/>
      </w:r>
      <w:r w:rsidR="008C2F7C">
        <w:tab/>
      </w:r>
      <w:r w:rsidR="008C2F7C">
        <w:tab/>
      </w:r>
      <w:r w:rsidRPr="00085510">
        <w:t>(</w:t>
      </w:r>
      <w:r>
        <w:t>3-</w:t>
      </w:r>
      <w:r w:rsidRPr="00085510">
        <w:t>2)</w:t>
      </w:r>
    </w:p>
    <w:p w14:paraId="6570087E" w14:textId="77777777" w:rsidR="00085510" w:rsidRPr="00085510" w:rsidRDefault="00085510" w:rsidP="00085510">
      <w:r w:rsidRPr="00085510">
        <w:t>For a given load, there are, at most, 2 voltage solutions for bus k. If you continue increasing the load from 0, maximum transfer will occur when there is only one voltage solution. It is when</w:t>
      </w:r>
    </w:p>
    <w:p w14:paraId="1602A929" w14:textId="77777777" w:rsidR="00085510" w:rsidRPr="00085510" w:rsidRDefault="00085510" w:rsidP="008C2F7C">
      <w:pPr>
        <w:jc w:val="right"/>
      </w:pPr>
      <w:r w:rsidRPr="00085510">
        <w:rPr>
          <w:lang w:val="x-none"/>
        </w:rPr>
        <w:object w:dxaOrig="960" w:dyaOrig="320" w14:anchorId="734B36A5">
          <v:shape id="_x0000_i1110" type="#_x0000_t75" style="width:65.45pt;height:22.35pt" o:ole="">
            <v:imagedata r:id="rId26" o:title=""/>
          </v:shape>
          <o:OLEObject Type="Embed" ProgID="Equation.DSMT4" ShapeID="_x0000_i1110" DrawAspect="Content" ObjectID="_1532825600" r:id="rId27"/>
        </w:object>
      </w:r>
      <w:r w:rsidRPr="00085510">
        <w:rPr>
          <w:lang w:val="x-none"/>
        </w:rPr>
        <w:object w:dxaOrig="160" w:dyaOrig="240" w14:anchorId="277C4364">
          <v:shape id="_x0000_i1111" type="#_x0000_t75" style="width:8.2pt;height:11.45pt" o:ole="">
            <v:imagedata r:id="rId24" o:title=""/>
          </v:shape>
          <o:OLEObject Type="Embed" ProgID="Equation.DSMT4" ShapeID="_x0000_i1111" DrawAspect="Content" ObjectID="_1532825601" r:id="rId28"/>
        </w:object>
      </w:r>
      <w:r w:rsidRPr="00085510">
        <w:rPr>
          <w:lang w:val="x-none"/>
        </w:rPr>
        <w:t xml:space="preserve"> </w:t>
      </w:r>
      <w:r w:rsidRPr="00085510">
        <w:rPr>
          <w:lang w:val="x-none"/>
        </w:rPr>
        <w:tab/>
      </w:r>
      <w:r w:rsidR="008C2F7C">
        <w:tab/>
      </w:r>
      <w:r w:rsidR="008C2F7C">
        <w:tab/>
      </w:r>
      <w:r w:rsidR="008C2F7C">
        <w:tab/>
      </w:r>
      <w:r w:rsidRPr="00085510">
        <w:t>(3</w:t>
      </w:r>
      <w:r>
        <w:t>-3</w:t>
      </w:r>
      <w:r w:rsidRPr="00085510">
        <w:t>)</w:t>
      </w:r>
    </w:p>
    <w:p w14:paraId="7F204622" w14:textId="77777777" w:rsidR="00085510" w:rsidRPr="00085510" w:rsidRDefault="00085510" w:rsidP="008C2F7C">
      <w:pPr>
        <w:jc w:val="right"/>
      </w:pPr>
      <w:r w:rsidRPr="00085510">
        <w:rPr>
          <w:lang w:val="x-none"/>
        </w:rPr>
        <w:object w:dxaOrig="1500" w:dyaOrig="320" w14:anchorId="65321916">
          <v:shape id="_x0000_i1112" type="#_x0000_t75" style="width:96pt;height:21.25pt" o:ole="">
            <v:imagedata r:id="rId29" o:title=""/>
          </v:shape>
          <o:OLEObject Type="Embed" ProgID="Equation.DSMT4" ShapeID="_x0000_i1112" DrawAspect="Content" ObjectID="_1532825602" r:id="rId30"/>
        </w:object>
      </w:r>
      <w:r w:rsidRPr="00085510">
        <w:rPr>
          <w:lang w:val="x-none"/>
        </w:rPr>
        <w:object w:dxaOrig="160" w:dyaOrig="240" w14:anchorId="4DF93EF4">
          <v:shape id="_x0000_i1113" type="#_x0000_t75" style="width:8.2pt;height:11.45pt" o:ole="">
            <v:imagedata r:id="rId24" o:title=""/>
          </v:shape>
          <o:OLEObject Type="Embed" ProgID="Equation.DSMT4" ShapeID="_x0000_i1113" DrawAspect="Content" ObjectID="_1532825603" r:id="rId31"/>
        </w:object>
      </w:r>
      <w:r w:rsidRPr="00085510">
        <w:rPr>
          <w:lang w:val="x-none"/>
        </w:rPr>
        <w:t xml:space="preserve"> </w:t>
      </w:r>
      <w:r w:rsidR="008C2F7C">
        <w:tab/>
      </w:r>
      <w:r w:rsidR="008C2F7C">
        <w:tab/>
      </w:r>
      <w:r w:rsidR="008C2F7C">
        <w:tab/>
      </w:r>
      <w:r w:rsidRPr="00085510">
        <w:rPr>
          <w:lang w:val="x-none"/>
        </w:rPr>
        <w:tab/>
      </w:r>
      <w:r w:rsidRPr="00085510">
        <w:t>(</w:t>
      </w:r>
      <w:r>
        <w:t>3-</w:t>
      </w:r>
      <w:r w:rsidRPr="00085510">
        <w:t>4)</w:t>
      </w:r>
    </w:p>
    <w:p w14:paraId="142F880E" w14:textId="77777777" w:rsidR="00085510" w:rsidRPr="00085510" w:rsidRDefault="00085510" w:rsidP="00085510">
      <w:r w:rsidRPr="00085510">
        <w:t>Equation (</w:t>
      </w:r>
      <w:r w:rsidR="008C2F7C">
        <w:t>3-</w:t>
      </w:r>
      <w:r w:rsidRPr="00085510">
        <w:t xml:space="preserve">4) indicates that when the system reaches the maximum transfer limit, the load impedance matches the Thevenin impedance. Beyond this point, the system is voltage </w:t>
      </w:r>
      <w:r w:rsidR="008566B4">
        <w:t>unstable</w:t>
      </w:r>
      <w:r w:rsidRPr="00085510">
        <w:t>. With regard to a load bus in a more complex power system, if the TE circuit of the rest of the system can be identified, the impedance matching criterion derived from the simple 2-bus system can be used to assess the voltage stability margin.</w:t>
      </w:r>
    </w:p>
    <w:p w14:paraId="7E8344BE" w14:textId="77777777" w:rsidR="00C10B2C" w:rsidRDefault="00C10B2C" w:rsidP="004B5C30">
      <w:pPr>
        <w:pStyle w:val="Heading2"/>
      </w:pPr>
      <w:bookmarkStart w:id="19" w:name="_Toc459076539"/>
      <w:r>
        <w:t xml:space="preserve">3.2 </w:t>
      </w:r>
      <w:r w:rsidR="00B41FF9" w:rsidRPr="00B41FF9">
        <w:t>Thevenin Equivalents Identification Methods</w:t>
      </w:r>
      <w:bookmarkEnd w:id="19"/>
    </w:p>
    <w:p w14:paraId="6C54604C" w14:textId="77777777" w:rsidR="004F5721" w:rsidRDefault="00085510" w:rsidP="004F5721">
      <w:pPr>
        <w:jc w:val="distribute"/>
      </w:pPr>
      <w:r w:rsidRPr="00085510">
        <w:t>Given the set of measurements, there is more than one method to identify the TEs</w:t>
      </w:r>
      <w:r w:rsidRPr="00085510">
        <w:rPr>
          <w:lang w:val="x-none"/>
        </w:rPr>
        <w:t>.</w:t>
      </w:r>
      <w:r w:rsidRPr="00085510">
        <w:t xml:space="preserve">  In this section, four of the various identification methods are introduced in the order of </w:t>
      </w:r>
    </w:p>
    <w:p w14:paraId="0CF12E0E" w14:textId="7BFF38F2" w:rsidR="00085510" w:rsidRPr="00085510" w:rsidRDefault="00085510" w:rsidP="004F5721">
      <w:pPr>
        <w:ind w:firstLine="0"/>
      </w:pPr>
      <w:r w:rsidRPr="00085510">
        <w:lastRenderedPageBreak/>
        <w:t>the time they first appeared in literature.</w:t>
      </w:r>
    </w:p>
    <w:p w14:paraId="1B807A79" w14:textId="77777777" w:rsidR="00085510" w:rsidRPr="00085510" w:rsidRDefault="00085510" w:rsidP="00085510">
      <w:pPr>
        <w:pStyle w:val="Heading3"/>
      </w:pPr>
      <w:bookmarkStart w:id="20" w:name="_Toc459076540"/>
      <w:r>
        <w:t xml:space="preserve">3.2.1 </w:t>
      </w:r>
      <w:r w:rsidRPr="00085510">
        <w:t>Least Squares (LS) Method</w:t>
      </w:r>
      <w:bookmarkEnd w:id="20"/>
    </w:p>
    <w:p w14:paraId="2AE72DF4" w14:textId="77777777" w:rsidR="00085510" w:rsidRPr="00085510" w:rsidRDefault="00085510" w:rsidP="00085510">
      <w:r w:rsidRPr="00085510">
        <w:t>Rewrite equation (</w:t>
      </w:r>
      <w:r w:rsidR="008C2F7C">
        <w:t>3-</w:t>
      </w:r>
      <w:r w:rsidRPr="00085510">
        <w:t>1) as:</w:t>
      </w:r>
    </w:p>
    <w:p w14:paraId="01DAB3C0" w14:textId="77777777" w:rsidR="00085510" w:rsidRPr="00085510" w:rsidRDefault="00085510" w:rsidP="008C2F7C">
      <w:pPr>
        <w:jc w:val="right"/>
      </w:pPr>
      <w:r w:rsidRPr="00085510">
        <w:rPr>
          <w:lang w:val="x-none"/>
        </w:rPr>
        <w:tab/>
      </w:r>
      <w:r w:rsidR="008C2F7C" w:rsidRPr="00085510">
        <w:rPr>
          <w:lang w:val="x-none"/>
        </w:rPr>
        <w:object w:dxaOrig="1380" w:dyaOrig="320" w14:anchorId="6DF0E7EF">
          <v:shape id="_x0000_i1114" type="#_x0000_t75" style="width:76.5pt;height:19.5pt" o:ole="">
            <v:imagedata r:id="rId32" o:title=""/>
          </v:shape>
          <o:OLEObject Type="Embed" ProgID="Equation.DSMT4" ShapeID="_x0000_i1114" DrawAspect="Content" ObjectID="_1532825604" r:id="rId33"/>
        </w:object>
      </w:r>
      <w:r w:rsidRPr="00085510">
        <w:rPr>
          <w:lang w:val="x-none"/>
        </w:rPr>
        <w:t xml:space="preserve"> </w:t>
      </w:r>
      <w:r w:rsidRPr="00085510">
        <w:rPr>
          <w:lang w:val="x-none"/>
        </w:rPr>
        <w:tab/>
      </w:r>
      <w:r w:rsidR="008C2F7C">
        <w:tab/>
      </w:r>
      <w:r w:rsidR="008C2F7C">
        <w:tab/>
      </w:r>
      <w:r w:rsidR="008C2F7C">
        <w:tab/>
      </w:r>
      <w:r w:rsidRPr="00085510">
        <w:t>(</w:t>
      </w:r>
      <w:r w:rsidR="008C2F7C">
        <w:t>3-</w:t>
      </w:r>
      <w:r w:rsidRPr="00085510">
        <w:t>5)</w:t>
      </w:r>
    </w:p>
    <w:p w14:paraId="3E2E7284" w14:textId="77777777" w:rsidR="00085510" w:rsidRPr="00085510" w:rsidRDefault="00085510" w:rsidP="00085510">
      <w:r w:rsidRPr="00085510">
        <w:t xml:space="preserve">Denote </w:t>
      </w:r>
      <w:r w:rsidR="00E7080E" w:rsidRPr="00E7080E">
        <w:rPr>
          <w:position w:val="-12"/>
        </w:rPr>
        <w:object w:dxaOrig="1500" w:dyaOrig="400" w14:anchorId="4DFEBF19">
          <v:shape id="_x0000_i1115" type="#_x0000_t75" style="width:75pt;height:19.5pt" o:ole="">
            <v:imagedata r:id="rId34" o:title=""/>
          </v:shape>
          <o:OLEObject Type="Embed" ProgID="Equation.3" ShapeID="_x0000_i1115" DrawAspect="Content" ObjectID="_1532825605" r:id="rId35"/>
        </w:object>
      </w:r>
      <w:r w:rsidRPr="00085510">
        <w:t xml:space="preserve">, </w:t>
      </w:r>
      <w:r w:rsidR="00E7080E" w:rsidRPr="00E7080E">
        <w:rPr>
          <w:position w:val="-10"/>
        </w:rPr>
        <w:object w:dxaOrig="1240" w:dyaOrig="380" w14:anchorId="40F604EA">
          <v:shape id="_x0000_i1116" type="#_x0000_t75" style="width:61.5pt;height:19.5pt" o:ole="">
            <v:imagedata r:id="rId36" o:title=""/>
          </v:shape>
          <o:OLEObject Type="Embed" ProgID="Equation.3" ShapeID="_x0000_i1116" DrawAspect="Content" ObjectID="_1532825606" r:id="rId37"/>
        </w:object>
      </w:r>
      <w:r w:rsidRPr="00085510">
        <w:t xml:space="preserve">, and </w:t>
      </w:r>
      <w:r w:rsidR="00E7080E" w:rsidRPr="00E7080E">
        <w:rPr>
          <w:position w:val="-10"/>
        </w:rPr>
        <w:object w:dxaOrig="1180" w:dyaOrig="380" w14:anchorId="39274EE3">
          <v:shape id="_x0000_i1117" type="#_x0000_t75" style="width:58.5pt;height:19.5pt" o:ole="">
            <v:imagedata r:id="rId38" o:title=""/>
          </v:shape>
          <o:OLEObject Type="Embed" ProgID="Equation.3" ShapeID="_x0000_i1117" DrawAspect="Content" ObjectID="_1532825607" r:id="rId39"/>
        </w:object>
      </w:r>
      <w:r w:rsidRPr="00085510">
        <w:t>. Equation (</w:t>
      </w:r>
      <w:r w:rsidR="008C2F7C">
        <w:t>3-</w:t>
      </w:r>
      <w:r w:rsidRPr="00085510">
        <w:t>5) can be expressed in matrix form</w:t>
      </w:r>
    </w:p>
    <w:p w14:paraId="16EBFA6A" w14:textId="77777777" w:rsidR="00085510" w:rsidRPr="00085510" w:rsidRDefault="00085510" w:rsidP="008C2F7C">
      <w:pPr>
        <w:jc w:val="right"/>
      </w:pPr>
      <w:r w:rsidRPr="00085510">
        <w:rPr>
          <w:lang w:val="x-none"/>
        </w:rPr>
        <w:tab/>
      </w:r>
      <w:r w:rsidR="008C2F7C" w:rsidRPr="00085510">
        <w:rPr>
          <w:lang w:val="x-none"/>
        </w:rPr>
        <w:object w:dxaOrig="2640" w:dyaOrig="1219" w14:anchorId="340A380D">
          <v:shape id="_x0000_i1118" type="#_x0000_t75" style="width:151.5pt;height:70.5pt" o:ole="">
            <v:imagedata r:id="rId40" o:title=""/>
          </v:shape>
          <o:OLEObject Type="Embed" ProgID="Equation.DSMT4" ShapeID="_x0000_i1118" DrawAspect="Content" ObjectID="_1532825608" r:id="rId41"/>
        </w:object>
      </w:r>
      <w:r w:rsidRPr="00085510">
        <w:rPr>
          <w:lang w:val="x-none"/>
        </w:rPr>
        <w:t xml:space="preserve"> </w:t>
      </w:r>
      <w:r w:rsidRPr="00085510">
        <w:rPr>
          <w:lang w:val="x-none"/>
        </w:rPr>
        <w:tab/>
      </w:r>
      <w:r w:rsidR="008C2F7C">
        <w:tab/>
      </w:r>
      <w:r w:rsidR="008C2F7C">
        <w:tab/>
      </w:r>
      <w:r w:rsidRPr="00085510">
        <w:t>(</w:t>
      </w:r>
      <w:r w:rsidR="008C2F7C">
        <w:t>3-</w:t>
      </w:r>
      <w:r w:rsidRPr="00085510">
        <w:t>6)</w:t>
      </w:r>
    </w:p>
    <w:p w14:paraId="75F2716C" w14:textId="77777777" w:rsidR="00085510" w:rsidRPr="00085510" w:rsidRDefault="00085510" w:rsidP="00085510">
      <w:r w:rsidRPr="00085510">
        <w:t>In (</w:t>
      </w:r>
      <w:r w:rsidR="008C2F7C">
        <w:t>3-</w:t>
      </w:r>
      <w:r w:rsidRPr="00085510">
        <w:t xml:space="preserve">6), </w:t>
      </w:r>
      <w:r w:rsidRPr="00085510">
        <w:rPr>
          <w:i/>
        </w:rPr>
        <w:t>g, h, u</w:t>
      </w:r>
      <w:r w:rsidRPr="00085510">
        <w:t xml:space="preserve">, and </w:t>
      </w:r>
      <w:r w:rsidRPr="00085510">
        <w:rPr>
          <w:i/>
        </w:rPr>
        <w:t>w</w:t>
      </w:r>
      <w:r w:rsidRPr="00085510">
        <w:t xml:space="preserve"> are known variables from the measurement. </w:t>
      </w:r>
      <w:r w:rsidRPr="00085510">
        <w:rPr>
          <w:i/>
        </w:rPr>
        <w:t>E</w:t>
      </w:r>
      <w:r w:rsidRPr="00085510">
        <w:rPr>
          <w:i/>
          <w:vertAlign w:val="subscript"/>
        </w:rPr>
        <w:t>r</w:t>
      </w:r>
      <w:r w:rsidRPr="00085510">
        <w:t xml:space="preserve">, </w:t>
      </w:r>
      <w:r w:rsidRPr="00085510">
        <w:rPr>
          <w:i/>
        </w:rPr>
        <w:t>E</w:t>
      </w:r>
      <w:r w:rsidRPr="00085510">
        <w:rPr>
          <w:i/>
          <w:vertAlign w:val="subscript"/>
        </w:rPr>
        <w:t>i</w:t>
      </w:r>
      <w:r w:rsidRPr="00085510">
        <w:t xml:space="preserve">, </w:t>
      </w:r>
      <w:r w:rsidRPr="00085510">
        <w:rPr>
          <w:i/>
        </w:rPr>
        <w:t>R</w:t>
      </w:r>
      <w:r w:rsidRPr="00085510">
        <w:rPr>
          <w:i/>
          <w:vertAlign w:val="subscript"/>
        </w:rPr>
        <w:t>Th</w:t>
      </w:r>
      <w:r w:rsidRPr="00085510">
        <w:t xml:space="preserve">, and </w:t>
      </w:r>
      <w:r w:rsidRPr="00085510">
        <w:rPr>
          <w:i/>
        </w:rPr>
        <w:t>X</w:t>
      </w:r>
      <w:r w:rsidRPr="00085510">
        <w:rPr>
          <w:i/>
          <w:vertAlign w:val="subscript"/>
        </w:rPr>
        <w:t>Th</w:t>
      </w:r>
      <w:r w:rsidRPr="00085510">
        <w:t xml:space="preserve"> are unknowns representing the TE. The format in (</w:t>
      </w:r>
      <w:r w:rsidR="008C2F7C">
        <w:t>3-</w:t>
      </w:r>
      <w:r w:rsidRPr="00085510">
        <w:t>6) resembles the basic state estimation problem. However, one set of measure (</w:t>
      </w:r>
      <w:r w:rsidRPr="00085510">
        <w:rPr>
          <w:i/>
        </w:rPr>
        <w:t>g, h, u</w:t>
      </w:r>
      <w:r w:rsidRPr="00085510">
        <w:t xml:space="preserve">, </w:t>
      </w:r>
      <w:r w:rsidRPr="00085510">
        <w:rPr>
          <w:i/>
        </w:rPr>
        <w:t>w</w:t>
      </w:r>
      <w:r w:rsidRPr="00085510">
        <w:t>) will not give an estimation of TEs since there are four unknowns and two equations.</w:t>
      </w:r>
    </w:p>
    <w:p w14:paraId="70F62FEC" w14:textId="73A9AAE1" w:rsidR="00085510" w:rsidRPr="00085510" w:rsidRDefault="00085510" w:rsidP="00085510">
      <w:r w:rsidRPr="00085510">
        <w:t>The assumption that the TE remains constant for a short time window is made for solving (</w:t>
      </w:r>
      <w:r w:rsidR="008C2F7C">
        <w:t>3-</w:t>
      </w:r>
      <w:r w:rsidRPr="00085510">
        <w:t>6). When there are N sets of measurements in the time window, th</w:t>
      </w:r>
      <w:r w:rsidR="008C2F7C">
        <w:t xml:space="preserve">ere are 2N equations and still </w:t>
      </w:r>
      <w:r w:rsidR="00A0417B">
        <w:t xml:space="preserve">four </w:t>
      </w:r>
      <w:r w:rsidRPr="00085510">
        <w:t>unknown variables. Least squares (LS) method is often used to solve the TE.</w:t>
      </w:r>
    </w:p>
    <w:p w14:paraId="2F995BF5" w14:textId="77777777" w:rsidR="00085510" w:rsidRPr="00085510" w:rsidRDefault="008C2F7C" w:rsidP="008C2F7C">
      <w:pPr>
        <w:pStyle w:val="Heading3"/>
      </w:pPr>
      <w:bookmarkStart w:id="21" w:name="_Toc459076541"/>
      <w:r>
        <w:t xml:space="preserve">3.2.2 </w:t>
      </w:r>
      <w:r w:rsidR="00085510" w:rsidRPr="00085510">
        <w:t xml:space="preserve">Method </w:t>
      </w:r>
      <w:r w:rsidR="007C1ACD">
        <w:t>B</w:t>
      </w:r>
      <w:r w:rsidR="007C1ACD" w:rsidRPr="00085510">
        <w:t xml:space="preserve">ased </w:t>
      </w:r>
      <w:r w:rsidR="00085510" w:rsidRPr="00085510">
        <w:t>on Tellegen’s Theorem (TT)</w:t>
      </w:r>
      <w:bookmarkEnd w:id="21"/>
    </w:p>
    <w:p w14:paraId="29699D26" w14:textId="77777777" w:rsidR="00085510" w:rsidRPr="00085510" w:rsidRDefault="00085510" w:rsidP="00085510">
      <w:r w:rsidRPr="00085510">
        <w:t>This method is derived based on Tellegen’s theorem (TT), or more precisely based on the different forms of TT.</w:t>
      </w:r>
    </w:p>
    <w:p w14:paraId="53BE77CC" w14:textId="77777777" w:rsidR="00085510" w:rsidRPr="00085510" w:rsidRDefault="00085510" w:rsidP="008C2F7C">
      <w:pPr>
        <w:jc w:val="right"/>
      </w:pPr>
      <w:r w:rsidRPr="00085510">
        <w:rPr>
          <w:lang w:val="x-none"/>
        </w:rPr>
        <w:tab/>
      </w:r>
      <w:r w:rsidR="008C2F7C" w:rsidRPr="00085510">
        <w:rPr>
          <w:lang w:val="x-none"/>
        </w:rPr>
        <w:object w:dxaOrig="1480" w:dyaOrig="300" w14:anchorId="07151F8C">
          <v:shape id="_x0000_i1119" type="#_x0000_t75" style="width:88.5pt;height:19.5pt" o:ole="">
            <v:imagedata r:id="rId42" o:title=""/>
          </v:shape>
          <o:OLEObject Type="Embed" ProgID="Equation.DSMT4" ShapeID="_x0000_i1119" DrawAspect="Content" ObjectID="_1532825609" r:id="rId43"/>
        </w:object>
      </w:r>
      <w:r w:rsidRPr="00085510">
        <w:rPr>
          <w:lang w:val="x-none"/>
        </w:rPr>
        <w:t xml:space="preserve"> </w:t>
      </w:r>
      <w:r w:rsidRPr="00085510">
        <w:rPr>
          <w:lang w:val="x-none"/>
        </w:rPr>
        <w:tab/>
      </w:r>
      <w:r w:rsidR="008C2F7C">
        <w:tab/>
      </w:r>
      <w:r w:rsidR="008C2F7C">
        <w:tab/>
      </w:r>
      <w:r w:rsidR="008C2F7C">
        <w:tab/>
      </w:r>
      <w:r w:rsidRPr="00085510">
        <w:t>(</w:t>
      </w:r>
      <w:r w:rsidR="008C2F7C">
        <w:t>3-</w:t>
      </w:r>
      <w:r w:rsidRPr="00085510">
        <w:t>7)</w:t>
      </w:r>
    </w:p>
    <w:p w14:paraId="4D06A167" w14:textId="77777777" w:rsidR="00085510" w:rsidRPr="00085510" w:rsidRDefault="00085510" w:rsidP="00E7080E">
      <w:pPr>
        <w:ind w:firstLine="0"/>
      </w:pPr>
      <w:r w:rsidRPr="00085510">
        <w:lastRenderedPageBreak/>
        <w:t xml:space="preserve">where </w:t>
      </w:r>
      <w:r w:rsidR="00E7080E" w:rsidRPr="00E7080E">
        <w:rPr>
          <w:position w:val="-6"/>
        </w:rPr>
        <w:object w:dxaOrig="420" w:dyaOrig="279" w14:anchorId="5067E2A6">
          <v:shape id="_x0000_i1120" type="#_x0000_t75" style="width:21pt;height:13.5pt" o:ole="">
            <v:imagedata r:id="rId44" o:title=""/>
          </v:shape>
          <o:OLEObject Type="Embed" ProgID="Equation.3" ShapeID="_x0000_i1120" DrawAspect="Content" ObjectID="_1532825610" r:id="rId45"/>
        </w:object>
      </w:r>
      <w:r w:rsidRPr="00085510">
        <w:t xml:space="preserve">and </w:t>
      </w:r>
      <w:r w:rsidR="00E7080E" w:rsidRPr="00E7080E">
        <w:rPr>
          <w:position w:val="-4"/>
        </w:rPr>
        <w:object w:dxaOrig="320" w:dyaOrig="260" w14:anchorId="3C6EDB43">
          <v:shape id="_x0000_i1121" type="#_x0000_t75" style="width:15pt;height:13.5pt" o:ole="">
            <v:imagedata r:id="rId46" o:title=""/>
          </v:shape>
          <o:OLEObject Type="Embed" ProgID="Equation.3" ShapeID="_x0000_i1121" DrawAspect="Content" ObjectID="_1532825611" r:id="rId47"/>
        </w:object>
      </w:r>
      <w:r w:rsidRPr="00085510">
        <w:t xml:space="preserve">represent the changes in the voltage and current phasors of all the branches and buses of the incremented network, and </w:t>
      </w:r>
      <w:r w:rsidR="00E7080E" w:rsidRPr="00E7080E">
        <w:rPr>
          <w:position w:val="-6"/>
        </w:rPr>
        <w:object w:dxaOrig="260" w:dyaOrig="340" w14:anchorId="03DE74D5">
          <v:shape id="_x0000_i1122" type="#_x0000_t75" style="width:13.5pt;height:18pt" o:ole="">
            <v:imagedata r:id="rId48" o:title=""/>
          </v:shape>
          <o:OLEObject Type="Embed" ProgID="Equation.3" ShapeID="_x0000_i1122" DrawAspect="Content" ObjectID="_1532825612" r:id="rId49"/>
        </w:object>
      </w:r>
      <w:r w:rsidR="00E7080E">
        <w:t xml:space="preserve"> </w:t>
      </w:r>
      <w:r w:rsidRPr="00085510">
        <w:t>and</w:t>
      </w:r>
      <w:r w:rsidR="00E7080E">
        <w:t xml:space="preserve"> </w:t>
      </w:r>
      <w:r w:rsidR="00E7080E" w:rsidRPr="00E7080E">
        <w:rPr>
          <w:position w:val="-4"/>
        </w:rPr>
        <w:object w:dxaOrig="200" w:dyaOrig="320" w14:anchorId="0834BA8B">
          <v:shape id="_x0000_i1123" type="#_x0000_t75" style="width:10.5pt;height:15pt" o:ole="">
            <v:imagedata r:id="rId50" o:title=""/>
          </v:shape>
          <o:OLEObject Type="Embed" ProgID="Equation.3" ShapeID="_x0000_i1123" DrawAspect="Content" ObjectID="_1532825613" r:id="rId51"/>
        </w:object>
      </w:r>
      <w:r w:rsidRPr="00085510">
        <w:t xml:space="preserve"> are the voltage and current phasors of all the branches and buses of the adjoint network. The incremented network is a base-case network subject to either: 1) power change in a given bus, or 2) power system network modification. The adjoint network should be topologically identical to the increment network for (</w:t>
      </w:r>
      <w:r w:rsidR="008C2F7C">
        <w:t>3-</w:t>
      </w:r>
      <w:r w:rsidRPr="00085510">
        <w:t>7) to hold.</w:t>
      </w:r>
    </w:p>
    <w:p w14:paraId="126AD386" w14:textId="77777777" w:rsidR="00085510" w:rsidRPr="00085510" w:rsidRDefault="00085510" w:rsidP="00085510">
      <w:r w:rsidRPr="00085510">
        <w:t xml:space="preserve">A two-bus adjoined network </w:t>
      </w:r>
      <w:r w:rsidR="00E7080E" w:rsidRPr="00E7080E">
        <w:rPr>
          <w:position w:val="-6"/>
        </w:rPr>
        <w:object w:dxaOrig="279" w:dyaOrig="340" w14:anchorId="69E50B95">
          <v:shape id="_x0000_i1124" type="#_x0000_t75" style="width:13.5pt;height:18pt" o:ole="">
            <v:imagedata r:id="rId52" o:title=""/>
          </v:shape>
          <o:OLEObject Type="Embed" ProgID="Equation.3" ShapeID="_x0000_i1124" DrawAspect="Content" ObjectID="_1532825614" r:id="rId53"/>
        </w:object>
      </w:r>
      <w:r w:rsidRPr="00085510">
        <w:t xml:space="preserve"> may be constructed as in </w:t>
      </w:r>
      <w:r w:rsidR="00CA4726">
        <w:fldChar w:fldCharType="begin"/>
      </w:r>
      <w:r w:rsidR="00CA4726">
        <w:instrText xml:space="preserve"> REF _Ref431837396 \h </w:instrText>
      </w:r>
      <w:r w:rsidR="00CA4726">
        <w:fldChar w:fldCharType="separate"/>
      </w:r>
      <w:r w:rsidR="00656B13" w:rsidRPr="008C2F7C">
        <w:t xml:space="preserve">Figure </w:t>
      </w:r>
      <w:r w:rsidR="00656B13">
        <w:rPr>
          <w:noProof/>
        </w:rPr>
        <w:t>2</w:t>
      </w:r>
      <w:r w:rsidR="00CA4726">
        <w:fldChar w:fldCharType="end"/>
      </w:r>
      <w:r w:rsidRPr="00085510">
        <w:t xml:space="preserve">. The original Thevenin network, </w:t>
      </w:r>
      <w:r w:rsidRPr="00085510">
        <w:rPr>
          <w:i/>
        </w:rPr>
        <w:t>N</w:t>
      </w:r>
      <w:r w:rsidRPr="00085510">
        <w:t>, is obviously topologically identical to</w:t>
      </w:r>
      <w:r w:rsidR="00E7080E" w:rsidRPr="00E7080E">
        <w:rPr>
          <w:position w:val="-6"/>
        </w:rPr>
        <w:object w:dxaOrig="279" w:dyaOrig="340" w14:anchorId="12FA4FF6">
          <v:shape id="_x0000_i1125" type="#_x0000_t75" style="width:13.5pt;height:18pt" o:ole="">
            <v:imagedata r:id="rId54" o:title=""/>
          </v:shape>
          <o:OLEObject Type="Embed" ProgID="Equation.3" ShapeID="_x0000_i1125" DrawAspect="Content" ObjectID="_1532825615" r:id="rId55"/>
        </w:object>
      </w:r>
      <w:r w:rsidRPr="00085510">
        <w:t>. Therefore, (</w:t>
      </w:r>
      <w:r w:rsidR="008C2F7C">
        <w:t>3-</w:t>
      </w:r>
      <w:r w:rsidRPr="00085510">
        <w:t>7) can be applied to the artificially constructed adjoint network and to the TE circuit. Furthermore, let the adjoint network have the measurements of the base-case network. By simple substitution, maximum transfer limit of the adjoint network is reached when</w:t>
      </w:r>
    </w:p>
    <w:p w14:paraId="27416CC2" w14:textId="77777777" w:rsidR="00085510" w:rsidRPr="00085510" w:rsidRDefault="00085510" w:rsidP="008C2F7C">
      <w:pPr>
        <w:jc w:val="right"/>
      </w:pPr>
      <w:r w:rsidRPr="00085510">
        <w:rPr>
          <w:lang w:val="x-none"/>
        </w:rPr>
        <w:tab/>
      </w:r>
      <w:r w:rsidR="008C2F7C" w:rsidRPr="00085510">
        <w:rPr>
          <w:lang w:val="x-none"/>
        </w:rPr>
        <w:object w:dxaOrig="1719" w:dyaOrig="680" w14:anchorId="27DA5B5F">
          <v:shape id="_x0000_i1126" type="#_x0000_t75" style="width:96pt;height:39pt" o:ole="">
            <v:imagedata r:id="rId56" o:title=""/>
          </v:shape>
          <o:OLEObject Type="Embed" ProgID="Equation.DSMT4" ShapeID="_x0000_i1126" DrawAspect="Content" ObjectID="_1532825616" r:id="rId57"/>
        </w:object>
      </w:r>
      <w:r w:rsidRPr="00085510">
        <w:rPr>
          <w:lang w:val="x-none"/>
        </w:rPr>
        <w:t xml:space="preserve"> </w:t>
      </w:r>
      <w:r w:rsidR="008C2F7C">
        <w:tab/>
      </w:r>
      <w:r w:rsidR="008C2F7C">
        <w:tab/>
      </w:r>
      <w:r w:rsidR="008C2F7C">
        <w:tab/>
      </w:r>
      <w:r w:rsidRPr="00085510">
        <w:rPr>
          <w:lang w:val="x-none"/>
        </w:rPr>
        <w:tab/>
      </w:r>
      <w:r w:rsidRPr="00085510">
        <w:t>(</w:t>
      </w:r>
      <w:r w:rsidR="008C2F7C">
        <w:t>3-</w:t>
      </w:r>
      <w:r w:rsidRPr="00085510">
        <w:t>8)</w:t>
      </w:r>
    </w:p>
    <w:p w14:paraId="13F62758" w14:textId="77777777" w:rsidR="00085510" w:rsidRPr="00085510" w:rsidRDefault="00085510" w:rsidP="00085510">
      <w:r w:rsidRPr="00085510">
        <w:t xml:space="preserve">In order to avoid the case </w:t>
      </w:r>
      <w:r w:rsidR="00E7080E" w:rsidRPr="00E7080E">
        <w:rPr>
          <w:position w:val="-4"/>
        </w:rPr>
        <w:object w:dxaOrig="320" w:dyaOrig="260" w14:anchorId="7EF01E87">
          <v:shape id="_x0000_i1127" type="#_x0000_t75" style="width:15pt;height:13.5pt" o:ole="">
            <v:imagedata r:id="rId46" o:title=""/>
          </v:shape>
          <o:OLEObject Type="Embed" ProgID="Equation.3" ShapeID="_x0000_i1127" DrawAspect="Content" ObjectID="_1532825617" r:id="rId58"/>
        </w:object>
      </w:r>
      <w:r w:rsidRPr="00085510">
        <w:t xml:space="preserve">becoming close to zero, a threshold of ε is introduced. If </w:t>
      </w:r>
      <w:r w:rsidR="00E7080E" w:rsidRPr="00E7080E">
        <w:rPr>
          <w:position w:val="-4"/>
        </w:rPr>
        <w:object w:dxaOrig="320" w:dyaOrig="260" w14:anchorId="5CD02B22">
          <v:shape id="_x0000_i1128" type="#_x0000_t75" style="width:15pt;height:13.5pt" o:ole="">
            <v:imagedata r:id="rId46" o:title=""/>
          </v:shape>
          <o:OLEObject Type="Embed" ProgID="Equation.3" ShapeID="_x0000_i1128" DrawAspect="Content" ObjectID="_1532825618" r:id="rId59"/>
        </w:object>
      </w:r>
      <w:r w:rsidRPr="00085510">
        <w:t xml:space="preserve">is greater than ε, Thevenin impedance is updated. If not, the Thevenin impedance remains unchanged. </w:t>
      </w:r>
    </w:p>
    <w:p w14:paraId="65501EC7" w14:textId="77777777" w:rsidR="00085510" w:rsidRPr="00085510" w:rsidRDefault="00085510" w:rsidP="00085510">
      <w:r w:rsidRPr="00085510">
        <w:t>A simple normalized impedance-stability index (ISI) is defined according to (8) in [5]. In our comparative study, simply comparing the magnitude of the impedance should be sufficient.</w:t>
      </w:r>
    </w:p>
    <w:p w14:paraId="4DB9A0E4" w14:textId="77777777" w:rsidR="00085510" w:rsidRPr="00085510" w:rsidRDefault="008C2F7C" w:rsidP="008C2F7C">
      <w:pPr>
        <w:pStyle w:val="Heading3"/>
      </w:pPr>
      <w:bookmarkStart w:id="22" w:name="_Toc459076542"/>
      <w:r>
        <w:t xml:space="preserve">3.2.3 </w:t>
      </w:r>
      <w:r w:rsidR="00085510" w:rsidRPr="00085510">
        <w:t>Adaptive Method (AD)</w:t>
      </w:r>
      <w:bookmarkEnd w:id="22"/>
    </w:p>
    <w:p w14:paraId="2327A623" w14:textId="77777777" w:rsidR="009D0201" w:rsidRDefault="00085510" w:rsidP="009D0201">
      <w:pPr>
        <w:jc w:val="distribute"/>
      </w:pPr>
      <w:r w:rsidRPr="00085510">
        <w:t xml:space="preserve">This method was proposed by Corsi </w:t>
      </w:r>
      <w:r w:rsidRPr="00085510">
        <w:rPr>
          <w:i/>
        </w:rPr>
        <w:t>et al</w:t>
      </w:r>
      <w:r w:rsidRPr="00085510">
        <w:t xml:space="preserve">. in 2008 </w:t>
      </w:r>
      <w:r w:rsidR="009B3A91">
        <w:fldChar w:fldCharType="begin" w:fldLock="1"/>
      </w:r>
      <w:r w:rsidR="00351740">
        <w:instrText>ADDIN CSL_CITATION { "citationItems" : [ { "id" : "ITEM-1", "itemData" : { "abstract" : "This paper proposes a new voltage instability risk indicator based on local phasor measurements at fast sampling rate. The effectiveness of the indicator is analyzed at EHV load and ldquotransitrdquo buses. The risk criterion is based on the real-time computation of the Thevenin equivalent impedance of the classic electrical circuit given by an equivalent generator connected to an equivalent load impedance through an equivalent connecting impedance. The main contribution of the paper is the innovating algorithm utilized on the real-time adaptive identification of the Thevenin voltage and impedance equivalents. The algorithm performance is shown through a detailed sensitivity analysis. The paper presents important numerical results from the actual Italian EHV network.", "author" : [ { "dropping-particle" : "", "family" : "Corsi", "given" : "Sandro", "non-dropping-particle" : "", "parse-names" : false, "suffix" : "" }, { "dropping-particle" : "", "family" : "Taranto", "given" : "Glauco N.", "non-dropping-particle" : "", "parse-names" : false, "suffix" : "" } ], "container-title" : "IEEE Transactions on Power Systems", "id" : "ITEM-1", "issue" : "3", "issued" : { "date-parts" : [ [ "2008" ] ] }, "page" : "1271-1279", "title" : "A real-time voltage instability identification algorithm based on local phasor measurements", "type" : "article-journal", "volume" : "23" }, "uris" : [ "http://www.mendeley.com/documents/?uuid=3217c462-66cc-4f46-911f-b0967b72f579" ] } ], "mendeley" : { "formattedCitation" : "[33]", "plainTextFormattedCitation" : "[33]", "previouslyFormattedCitation" : "[33]" }, "properties" : { "noteIndex" : 0 }, "schema" : "https://github.com/citation-style-language/schema/raw/master/csl-citation.json" }</w:instrText>
      </w:r>
      <w:r w:rsidR="009B3A91">
        <w:fldChar w:fldCharType="separate"/>
      </w:r>
      <w:r w:rsidR="00DD7036" w:rsidRPr="00DD7036">
        <w:rPr>
          <w:noProof/>
        </w:rPr>
        <w:t>[33]</w:t>
      </w:r>
      <w:r w:rsidR="009B3A91">
        <w:fldChar w:fldCharType="end"/>
      </w:r>
      <w:r w:rsidR="009B3A91">
        <w:t>. The assumption</w:t>
      </w:r>
      <w:r w:rsidR="00CA4726">
        <w:t xml:space="preserve"> </w:t>
      </w:r>
      <w:r w:rsidRPr="00085510">
        <w:t xml:space="preserve">of </w:t>
      </w:r>
    </w:p>
    <w:p w14:paraId="655E3A8B" w14:textId="431D52FF" w:rsidR="00085510" w:rsidRPr="00085510" w:rsidRDefault="00E7080E" w:rsidP="009D0201">
      <w:pPr>
        <w:ind w:firstLine="0"/>
      </w:pPr>
      <w:r w:rsidRPr="00E7080E">
        <w:rPr>
          <w:position w:val="-12"/>
        </w:rPr>
        <w:object w:dxaOrig="780" w:dyaOrig="360" w14:anchorId="3913AE90">
          <v:shape id="_x0000_i1129" type="#_x0000_t75" style="width:39pt;height:16.5pt" o:ole="">
            <v:imagedata r:id="rId60" o:title=""/>
          </v:shape>
          <o:OLEObject Type="Embed" ProgID="Equation.3" ShapeID="_x0000_i1129" DrawAspect="Content" ObjectID="_1532825619" r:id="rId61"/>
        </w:object>
      </w:r>
      <w:r w:rsidR="00085510" w:rsidRPr="00085510">
        <w:t xml:space="preserve">  is made for the reason that </w:t>
      </w:r>
      <w:r w:rsidR="00085510" w:rsidRPr="00085510">
        <w:rPr>
          <w:i/>
        </w:rPr>
        <w:t>X</w:t>
      </w:r>
      <w:r w:rsidR="00085510" w:rsidRPr="00085510">
        <w:rPr>
          <w:i/>
          <w:vertAlign w:val="subscript"/>
        </w:rPr>
        <w:t>Th</w:t>
      </w:r>
      <m:oMath>
        <m:r>
          <w:rPr>
            <w:rFonts w:ascii="Cambria Math" w:hAnsi="Cambria Math"/>
            <w:vertAlign w:val="subscript"/>
          </w:rPr>
          <m:t xml:space="preserve"> </m:t>
        </m:r>
        <m:r>
          <w:rPr>
            <w:rFonts w:ascii="Cambria Math" w:hAnsi="Cambria Math"/>
          </w:rPr>
          <m:t>≫</m:t>
        </m:r>
      </m:oMath>
      <w:r w:rsidR="00085510" w:rsidRPr="00085510">
        <w:t xml:space="preserve"> </w:t>
      </w:r>
      <w:r w:rsidR="00085510" w:rsidRPr="00085510">
        <w:rPr>
          <w:i/>
        </w:rPr>
        <w:t>R</w:t>
      </w:r>
      <w:r w:rsidR="00085510" w:rsidRPr="00085510">
        <w:rPr>
          <w:i/>
          <w:vertAlign w:val="subscript"/>
        </w:rPr>
        <w:t>Th</w:t>
      </w:r>
      <w:r w:rsidR="00085510" w:rsidRPr="00085510">
        <w:t xml:space="preserve"> for high voltage level buses. By neglecting </w:t>
      </w:r>
      <w:r w:rsidR="00085510" w:rsidRPr="00085510">
        <w:rPr>
          <w:i/>
        </w:rPr>
        <w:t>R</w:t>
      </w:r>
      <w:r w:rsidR="00085510" w:rsidRPr="00085510">
        <w:rPr>
          <w:i/>
          <w:vertAlign w:val="subscript"/>
        </w:rPr>
        <w:t>Th</w:t>
      </w:r>
      <w:r w:rsidR="00085510" w:rsidRPr="00085510">
        <w:t>, (</w:t>
      </w:r>
      <w:r w:rsidR="008C2F7C">
        <w:t>3-</w:t>
      </w:r>
      <w:r w:rsidR="00085510" w:rsidRPr="00085510">
        <w:t>5) can be rewritten into two equations.</w:t>
      </w:r>
    </w:p>
    <w:p w14:paraId="6AF8E007" w14:textId="77777777" w:rsidR="00085510" w:rsidRPr="00085510" w:rsidRDefault="00085510" w:rsidP="008C2F7C">
      <w:pPr>
        <w:jc w:val="right"/>
      </w:pPr>
      <w:r w:rsidRPr="00085510">
        <w:rPr>
          <w:lang w:val="x-none"/>
        </w:rPr>
        <w:tab/>
      </w:r>
      <w:r w:rsidR="00E7080E" w:rsidRPr="00085510">
        <w:rPr>
          <w:lang w:val="x-none"/>
        </w:rPr>
        <w:object w:dxaOrig="1620" w:dyaOrig="300" w14:anchorId="431CA3C7">
          <v:shape id="_x0000_i1130" type="#_x0000_t75" style="width:96pt;height:19.5pt" o:ole="">
            <v:imagedata r:id="rId62" o:title=""/>
          </v:shape>
          <o:OLEObject Type="Embed" ProgID="Equation.DSMT4" ShapeID="_x0000_i1130" DrawAspect="Content" ObjectID="_1532825620" r:id="rId63"/>
        </w:object>
      </w:r>
      <w:r w:rsidRPr="00085510">
        <w:rPr>
          <w:lang w:val="x-none"/>
        </w:rPr>
        <w:t xml:space="preserve"> </w:t>
      </w:r>
      <w:r w:rsidRPr="00085510">
        <w:rPr>
          <w:lang w:val="x-none"/>
        </w:rPr>
        <w:tab/>
      </w:r>
      <w:r w:rsidR="008C2F7C">
        <w:tab/>
      </w:r>
      <w:r w:rsidR="008C2F7C">
        <w:tab/>
      </w:r>
      <w:r w:rsidR="008C2F7C">
        <w:tab/>
      </w:r>
      <w:r w:rsidRPr="00085510">
        <w:t>(</w:t>
      </w:r>
      <w:r w:rsidR="008C2F7C">
        <w:t>3-</w:t>
      </w:r>
      <w:r w:rsidRPr="00085510">
        <w:t>9)</w:t>
      </w:r>
    </w:p>
    <w:p w14:paraId="68B75E35" w14:textId="77777777" w:rsidR="00085510" w:rsidRPr="00085510" w:rsidRDefault="00085510" w:rsidP="008C2F7C">
      <w:pPr>
        <w:jc w:val="right"/>
      </w:pPr>
      <w:r w:rsidRPr="00085510">
        <w:rPr>
          <w:lang w:val="x-none"/>
        </w:rPr>
        <w:tab/>
      </w:r>
      <w:r w:rsidR="00E7080E" w:rsidRPr="00085510">
        <w:rPr>
          <w:lang w:val="x-none"/>
        </w:rPr>
        <w:object w:dxaOrig="2200" w:dyaOrig="300" w14:anchorId="3CC3DE7D">
          <v:shape id="_x0000_i1131" type="#_x0000_t75" style="width:130.5pt;height:19.5pt" o:ole="">
            <v:imagedata r:id="rId64" o:title=""/>
          </v:shape>
          <o:OLEObject Type="Embed" ProgID="Equation.DSMT4" ShapeID="_x0000_i1131" DrawAspect="Content" ObjectID="_1532825621" r:id="rId65"/>
        </w:object>
      </w:r>
      <w:r w:rsidRPr="00085510">
        <w:rPr>
          <w:lang w:val="x-none"/>
        </w:rPr>
        <w:tab/>
      </w:r>
      <w:r w:rsidR="008C2F7C">
        <w:tab/>
      </w:r>
      <w:r w:rsidR="008C2F7C">
        <w:tab/>
      </w:r>
      <w:r w:rsidRPr="00085510">
        <w:t>(</w:t>
      </w:r>
      <w:r w:rsidR="008C2F7C">
        <w:t>3-</w:t>
      </w:r>
      <w:r w:rsidRPr="00085510">
        <w:t>10)</w:t>
      </w:r>
    </w:p>
    <w:p w14:paraId="5DA60639" w14:textId="77777777" w:rsidR="00085510" w:rsidRPr="00085510" w:rsidRDefault="00085510" w:rsidP="00085510">
      <w:r w:rsidRPr="00085510">
        <w:t xml:space="preserve">However, there are still three unknown variables, but only two equations. The idea behind the adaptive method is to first give an estimation of </w:t>
      </w:r>
      <w:r w:rsidRPr="00085510">
        <w:rPr>
          <w:i/>
        </w:rPr>
        <w:t>E</w:t>
      </w:r>
      <w:r w:rsidRPr="00085510">
        <w:rPr>
          <w:i/>
          <w:vertAlign w:val="subscript"/>
        </w:rPr>
        <w:t>Th</w:t>
      </w:r>
      <w:r w:rsidRPr="00085510">
        <w:t xml:space="preserve">; second, solve the Thevenin equivalent accordingly; then adaptively update the </w:t>
      </w:r>
      <w:r w:rsidRPr="00085510">
        <w:rPr>
          <w:i/>
        </w:rPr>
        <w:t>E</w:t>
      </w:r>
      <w:r w:rsidRPr="00085510">
        <w:rPr>
          <w:i/>
          <w:vertAlign w:val="subscript"/>
        </w:rPr>
        <w:t>Th</w:t>
      </w:r>
      <w:r w:rsidRPr="00085510">
        <w:t xml:space="preserve">, depending on the difference between </w:t>
      </w:r>
      <w:r w:rsidRPr="00085510">
        <w:rPr>
          <w:i/>
        </w:rPr>
        <w:t>X</w:t>
      </w:r>
      <w:r w:rsidRPr="00085510">
        <w:rPr>
          <w:i/>
          <w:vertAlign w:val="subscript"/>
        </w:rPr>
        <w:t>Th</w:t>
      </w:r>
      <w:r w:rsidRPr="00085510">
        <w:t xml:space="preserve"> of two consecutive time stamps.</w:t>
      </w:r>
    </w:p>
    <w:p w14:paraId="454992EC" w14:textId="77777777" w:rsidR="00085510" w:rsidRPr="00085510" w:rsidRDefault="00085510" w:rsidP="00085510">
      <w:r w:rsidRPr="00085510">
        <w:t xml:space="preserve">To give an initial estimation of </w:t>
      </w:r>
      <w:r w:rsidRPr="00085510">
        <w:rPr>
          <w:i/>
        </w:rPr>
        <w:t>E</w:t>
      </w:r>
      <w:r w:rsidRPr="00085510">
        <w:rPr>
          <w:i/>
          <w:vertAlign w:val="subscript"/>
        </w:rPr>
        <w:t>Th</w:t>
      </w:r>
      <w:r w:rsidRPr="00085510">
        <w:t xml:space="preserve">, two upper and lower bound are calculated. </w:t>
      </w:r>
    </w:p>
    <w:p w14:paraId="329635E3" w14:textId="77777777" w:rsidR="00085510" w:rsidRPr="00085510" w:rsidRDefault="00085510" w:rsidP="008C2F7C">
      <w:pPr>
        <w:jc w:val="right"/>
      </w:pPr>
      <w:r w:rsidRPr="00085510">
        <w:rPr>
          <w:lang w:val="x-none"/>
        </w:rPr>
        <w:tab/>
      </w:r>
      <w:r w:rsidR="00E7080E" w:rsidRPr="00085510">
        <w:rPr>
          <w:lang w:val="x-none"/>
        </w:rPr>
        <w:object w:dxaOrig="1820" w:dyaOrig="320" w14:anchorId="413B290B">
          <v:shape id="_x0000_i1132" type="#_x0000_t75" style="width:111pt;height:19.5pt" o:ole="">
            <v:imagedata r:id="rId66" o:title=""/>
          </v:shape>
          <o:OLEObject Type="Embed" ProgID="Equation.DSMT4" ShapeID="_x0000_i1132" DrawAspect="Content" ObjectID="_1532825622" r:id="rId67"/>
        </w:object>
      </w:r>
      <w:r w:rsidRPr="00085510">
        <w:rPr>
          <w:lang w:val="x-none"/>
        </w:rPr>
        <w:t xml:space="preserve"> </w:t>
      </w:r>
      <w:r w:rsidR="00E7080E">
        <w:tab/>
      </w:r>
      <w:r w:rsidR="00E7080E">
        <w:tab/>
      </w:r>
      <w:r w:rsidRPr="00085510">
        <w:rPr>
          <w:lang w:val="x-none"/>
        </w:rPr>
        <w:tab/>
      </w:r>
      <w:r w:rsidRPr="00085510">
        <w:t>(</w:t>
      </w:r>
      <w:r w:rsidR="008C2F7C">
        <w:t>3-</w:t>
      </w:r>
      <w:r w:rsidRPr="00085510">
        <w:t>11)</w:t>
      </w:r>
    </w:p>
    <w:p w14:paraId="479E0A40" w14:textId="77777777" w:rsidR="00085510" w:rsidRPr="00085510" w:rsidRDefault="00E7080E" w:rsidP="008C2F7C">
      <w:pPr>
        <w:ind w:firstLine="0"/>
      </w:pPr>
      <w:r>
        <w:t>where</w:t>
      </w:r>
      <w:r w:rsidR="00085510" w:rsidRPr="00085510">
        <w:t xml:space="preserve"> </w:t>
      </w:r>
      <w:r w:rsidRPr="00E7080E">
        <w:rPr>
          <w:position w:val="-12"/>
        </w:rPr>
        <w:object w:dxaOrig="980" w:dyaOrig="380" w14:anchorId="15A2575A">
          <v:shape id="_x0000_i1133" type="#_x0000_t75" style="width:48pt;height:19.5pt" o:ole="">
            <v:imagedata r:id="rId68" o:title=""/>
          </v:shape>
          <o:OLEObject Type="Embed" ProgID="Equation.3" ShapeID="_x0000_i1133" DrawAspect="Content" ObjectID="_1532825623" r:id="rId69"/>
        </w:object>
      </w:r>
      <w:r w:rsidR="00085510" w:rsidRPr="00085510">
        <w:t>and</w:t>
      </w:r>
      <w:r>
        <w:t xml:space="preserve"> </w:t>
      </w:r>
      <w:r w:rsidRPr="00E7080E">
        <w:rPr>
          <w:position w:val="-12"/>
        </w:rPr>
        <w:object w:dxaOrig="2200" w:dyaOrig="380" w14:anchorId="0FFDCEB2">
          <v:shape id="_x0000_i1134" type="#_x0000_t75" style="width:109.5pt;height:19.5pt" o:ole="">
            <v:imagedata r:id="rId70" o:title=""/>
          </v:shape>
          <o:OLEObject Type="Embed" ProgID="Equation.3" ShapeID="_x0000_i1134" DrawAspect="Content" ObjectID="_1532825624" r:id="rId71"/>
        </w:object>
      </w:r>
      <w:r w:rsidR="00085510" w:rsidRPr="00085510">
        <w:t>.</w:t>
      </w:r>
    </w:p>
    <w:p w14:paraId="14FC095A" w14:textId="77777777" w:rsidR="00085510" w:rsidRPr="00085510" w:rsidRDefault="00085510" w:rsidP="00085510">
      <w:r w:rsidRPr="00085510">
        <w:t>The algorithm can be expressed as follows:</w:t>
      </w:r>
    </w:p>
    <w:p w14:paraId="23FF7BD7" w14:textId="77777777" w:rsidR="00085510" w:rsidRPr="00085510" w:rsidRDefault="00085510" w:rsidP="00085510">
      <w:r w:rsidRPr="00085510">
        <w:rPr>
          <w:b/>
        </w:rPr>
        <w:t>Step 1)</w:t>
      </w:r>
      <w:r w:rsidRPr="00085510">
        <w:t xml:space="preserve"> Estimate </w:t>
      </w:r>
      <w:r w:rsidR="00E7080E" w:rsidRPr="00E7080E">
        <w:rPr>
          <w:position w:val="-12"/>
        </w:rPr>
        <w:object w:dxaOrig="380" w:dyaOrig="380" w14:anchorId="16EF4295">
          <v:shape id="_x0000_i1135" type="#_x0000_t75" style="width:19.5pt;height:19.5pt" o:ole="">
            <v:imagedata r:id="rId72" o:title=""/>
          </v:shape>
          <o:OLEObject Type="Embed" ProgID="Equation.3" ShapeID="_x0000_i1135" DrawAspect="Content" ObjectID="_1532825625" r:id="rId73"/>
        </w:object>
      </w:r>
      <w:r w:rsidRPr="00085510">
        <w:t>according to (</w:t>
      </w:r>
      <w:r w:rsidR="008C2F7C">
        <w:t>3-</w:t>
      </w:r>
      <w:r w:rsidRPr="00085510">
        <w:t>11)</w:t>
      </w:r>
    </w:p>
    <w:p w14:paraId="1B3EBF26" w14:textId="77777777" w:rsidR="00085510" w:rsidRPr="00085510" w:rsidRDefault="00085510" w:rsidP="00085510">
      <w:r w:rsidRPr="00085510">
        <w:rPr>
          <w:b/>
        </w:rPr>
        <w:t>Step 2)</w:t>
      </w:r>
      <w:r w:rsidRPr="00085510">
        <w:t xml:space="preserve"> Calculate </w:t>
      </w:r>
      <w:r w:rsidR="00E7080E" w:rsidRPr="00E7080E">
        <w:rPr>
          <w:position w:val="-12"/>
        </w:rPr>
        <w:object w:dxaOrig="420" w:dyaOrig="380" w14:anchorId="73D9FF47">
          <v:shape id="_x0000_i1136" type="#_x0000_t75" style="width:21pt;height:19.5pt" o:ole="">
            <v:imagedata r:id="rId74" o:title=""/>
          </v:shape>
          <o:OLEObject Type="Embed" ProgID="Equation.3" ShapeID="_x0000_i1136" DrawAspect="Content" ObjectID="_1532825626" r:id="rId75"/>
        </w:object>
      </w:r>
      <w:r w:rsidRPr="00085510">
        <w:t xml:space="preserve"> and </w:t>
      </w:r>
      <w:r w:rsidR="00E7080E" w:rsidRPr="00E7080E">
        <w:rPr>
          <w:position w:val="-14"/>
        </w:rPr>
        <w:object w:dxaOrig="340" w:dyaOrig="400" w14:anchorId="0D234CFE">
          <v:shape id="_x0000_i1137" type="#_x0000_t75" style="width:18pt;height:19.5pt" o:ole="">
            <v:imagedata r:id="rId76" o:title=""/>
          </v:shape>
          <o:OLEObject Type="Embed" ProgID="Equation.3" ShapeID="_x0000_i1137" DrawAspect="Content" ObjectID="_1532825627" r:id="rId77"/>
        </w:object>
      </w:r>
    </w:p>
    <w:p w14:paraId="5137D8B0" w14:textId="77777777" w:rsidR="00085510" w:rsidRPr="00085510" w:rsidRDefault="00085510" w:rsidP="00085510">
      <w:r w:rsidRPr="00085510">
        <w:rPr>
          <w:b/>
        </w:rPr>
        <w:t>Step 3)</w:t>
      </w:r>
      <w:r w:rsidRPr="00085510">
        <w:t xml:space="preserve"> Calculate </w:t>
      </w:r>
      <w:r w:rsidR="00E7080E" w:rsidRPr="00E7080E">
        <w:rPr>
          <w:position w:val="-12"/>
        </w:rPr>
        <w:object w:dxaOrig="380" w:dyaOrig="380" w14:anchorId="1E4D6C0A">
          <v:shape id="_x0000_i1138" type="#_x0000_t75" style="width:19.5pt;height:19.5pt" o:ole="">
            <v:imagedata r:id="rId78" o:title=""/>
          </v:shape>
          <o:OLEObject Type="Embed" ProgID="Equation.3" ShapeID="_x0000_i1138" DrawAspect="Content" ObjectID="_1532825628" r:id="rId79"/>
        </w:object>
      </w:r>
      <w:r w:rsidRPr="00085510">
        <w:t>according to the conditions:</w:t>
      </w:r>
    </w:p>
    <w:p w14:paraId="6680C781" w14:textId="77777777" w:rsidR="00085510" w:rsidRPr="00085510" w:rsidRDefault="00085510" w:rsidP="00085510">
      <w:r w:rsidRPr="00085510">
        <w:t xml:space="preserve">If </w:t>
      </w:r>
      <w:r w:rsidR="00E7080E" w:rsidRPr="00E7080E">
        <w:rPr>
          <w:position w:val="-12"/>
        </w:rPr>
        <w:object w:dxaOrig="1440" w:dyaOrig="380" w14:anchorId="1B368537">
          <v:shape id="_x0000_i1139" type="#_x0000_t75" style="width:1in;height:19.5pt" o:ole="">
            <v:imagedata r:id="rId80" o:title=""/>
          </v:shape>
          <o:OLEObject Type="Embed" ProgID="Equation.3" ShapeID="_x0000_i1139" DrawAspect="Content" ObjectID="_1532825629" r:id="rId81"/>
        </w:object>
      </w:r>
      <w:r w:rsidRPr="00085510">
        <w:t xml:space="preserve">then </w:t>
      </w:r>
      <w:r w:rsidR="00B278D5" w:rsidRPr="00E7080E">
        <w:rPr>
          <w:position w:val="-12"/>
        </w:rPr>
        <w:object w:dxaOrig="1460" w:dyaOrig="380" w14:anchorId="15A150B2">
          <v:shape id="_x0000_i1140" type="#_x0000_t75" style="width:73.5pt;height:19.5pt" o:ole="">
            <v:imagedata r:id="rId82" o:title=""/>
          </v:shape>
          <o:OLEObject Type="Embed" ProgID="Equation.3" ShapeID="_x0000_i1140" DrawAspect="Content" ObjectID="_1532825630" r:id="rId83"/>
        </w:object>
      </w:r>
    </w:p>
    <w:p w14:paraId="75728B75" w14:textId="77777777" w:rsidR="00085510" w:rsidRPr="00085510" w:rsidRDefault="00085510" w:rsidP="00085510">
      <w:r w:rsidRPr="00085510">
        <w:t xml:space="preserve">If </w:t>
      </w:r>
      <w:r w:rsidR="00B278D5" w:rsidRPr="00E7080E">
        <w:rPr>
          <w:position w:val="-12"/>
        </w:rPr>
        <w:object w:dxaOrig="1440" w:dyaOrig="380" w14:anchorId="68A17B9A">
          <v:shape id="_x0000_i1141" type="#_x0000_t75" style="width:1in;height:19.5pt" o:ole="">
            <v:imagedata r:id="rId84" o:title=""/>
          </v:shape>
          <o:OLEObject Type="Embed" ProgID="Equation.3" ShapeID="_x0000_i1141" DrawAspect="Content" ObjectID="_1532825631" r:id="rId85"/>
        </w:object>
      </w:r>
      <w:r w:rsidRPr="00085510">
        <w:t xml:space="preserve">then </w:t>
      </w:r>
      <w:r w:rsidR="00B278D5" w:rsidRPr="00E7080E">
        <w:rPr>
          <w:position w:val="-12"/>
        </w:rPr>
        <w:object w:dxaOrig="1460" w:dyaOrig="380" w14:anchorId="160FB2F7">
          <v:shape id="_x0000_i1142" type="#_x0000_t75" style="width:73.5pt;height:19.5pt" o:ole="">
            <v:imagedata r:id="rId86" o:title=""/>
          </v:shape>
          <o:OLEObject Type="Embed" ProgID="Equation.3" ShapeID="_x0000_i1142" DrawAspect="Content" ObjectID="_1532825632" r:id="rId87"/>
        </w:object>
      </w:r>
    </w:p>
    <w:p w14:paraId="465D016A" w14:textId="77777777" w:rsidR="00085510" w:rsidRPr="00085510" w:rsidRDefault="00085510" w:rsidP="00085510">
      <w:r w:rsidRPr="00085510">
        <w:t xml:space="preserve">If </w:t>
      </w:r>
      <w:r w:rsidR="00B278D5" w:rsidRPr="00E7080E">
        <w:rPr>
          <w:position w:val="-12"/>
        </w:rPr>
        <w:object w:dxaOrig="840" w:dyaOrig="380" w14:anchorId="73517668">
          <v:shape id="_x0000_i1143" type="#_x0000_t75" style="width:40.5pt;height:19.5pt" o:ole="">
            <v:imagedata r:id="rId88" o:title=""/>
          </v:shape>
          <o:OLEObject Type="Embed" ProgID="Equation.3" ShapeID="_x0000_i1143" DrawAspect="Content" ObjectID="_1532825633" r:id="rId89"/>
        </w:object>
      </w:r>
      <w:r w:rsidRPr="00085510">
        <w:t xml:space="preserve">then </w:t>
      </w:r>
      <w:r w:rsidR="00E7080E" w:rsidRPr="00E7080E">
        <w:rPr>
          <w:position w:val="-12"/>
        </w:rPr>
        <w:object w:dxaOrig="980" w:dyaOrig="380" w14:anchorId="17387B54">
          <v:shape id="_x0000_i1144" type="#_x0000_t75" style="width:48pt;height:19.5pt" o:ole="">
            <v:imagedata r:id="rId90" o:title=""/>
          </v:shape>
          <o:OLEObject Type="Embed" ProgID="Equation.3" ShapeID="_x0000_i1144" DrawAspect="Content" ObjectID="_1532825634" r:id="rId91"/>
        </w:object>
      </w:r>
    </w:p>
    <w:p w14:paraId="790C075C" w14:textId="77777777" w:rsidR="00085510" w:rsidRPr="00085510" w:rsidRDefault="00085510" w:rsidP="00085510">
      <w:r w:rsidRPr="00085510">
        <w:rPr>
          <w:b/>
        </w:rPr>
        <w:t>Step 4)</w:t>
      </w:r>
      <w:r w:rsidRPr="00085510">
        <w:t xml:space="preserve"> Calculate </w:t>
      </w:r>
      <w:r w:rsidR="00E7080E" w:rsidRPr="00E7080E">
        <w:rPr>
          <w:position w:val="-12"/>
        </w:rPr>
        <w:object w:dxaOrig="420" w:dyaOrig="380" w14:anchorId="6CE00F9E">
          <v:shape id="_x0000_i1145" type="#_x0000_t75" style="width:21pt;height:19.5pt" o:ole="">
            <v:imagedata r:id="rId92" o:title=""/>
          </v:shape>
          <o:OLEObject Type="Embed" ProgID="Equation.3" ShapeID="_x0000_i1145" DrawAspect="Content" ObjectID="_1532825635" r:id="rId93"/>
        </w:object>
      </w:r>
      <w:r w:rsidRPr="00085510">
        <w:t xml:space="preserve"> and </w:t>
      </w:r>
      <w:r w:rsidR="00E7080E" w:rsidRPr="00E7080E">
        <w:rPr>
          <w:position w:val="-14"/>
        </w:rPr>
        <w:object w:dxaOrig="300" w:dyaOrig="400" w14:anchorId="6AC412E3">
          <v:shape id="_x0000_i1146" type="#_x0000_t75" style="width:15pt;height:19.5pt" o:ole="">
            <v:imagedata r:id="rId94" o:title=""/>
          </v:shape>
          <o:OLEObject Type="Embed" ProgID="Equation.3" ShapeID="_x0000_i1146" DrawAspect="Content" ObjectID="_1532825636" r:id="rId95"/>
        </w:object>
      </w:r>
    </w:p>
    <w:p w14:paraId="5D835C0A" w14:textId="77777777" w:rsidR="00085510" w:rsidRPr="00085510" w:rsidRDefault="00085510" w:rsidP="00085510">
      <w:r w:rsidRPr="00085510">
        <w:rPr>
          <w:b/>
        </w:rPr>
        <w:t>Step 5)</w:t>
      </w:r>
      <w:r w:rsidRPr="00085510">
        <w:t xml:space="preserve"> Increment </w:t>
      </w:r>
      <w:r w:rsidRPr="00085510">
        <w:rPr>
          <w:i/>
        </w:rPr>
        <w:t>i</w:t>
      </w:r>
      <w:r w:rsidRPr="00085510">
        <w:t xml:space="preserve"> and go to Step 3</w:t>
      </w:r>
    </w:p>
    <w:p w14:paraId="136EE325" w14:textId="77777777" w:rsidR="00085510" w:rsidRPr="00085510" w:rsidRDefault="00B278D5" w:rsidP="008C2F7C">
      <w:pPr>
        <w:ind w:firstLine="0"/>
      </w:pPr>
      <w:r>
        <w:lastRenderedPageBreak/>
        <w:t>where</w:t>
      </w:r>
      <w:r w:rsidR="00085510" w:rsidRPr="00085510">
        <w:t xml:space="preserve"> </w:t>
      </w:r>
      <w:r w:rsidRPr="00B278D5">
        <w:rPr>
          <w:position w:val="-12"/>
        </w:rPr>
        <w:object w:dxaOrig="1579" w:dyaOrig="380" w14:anchorId="7F157D48">
          <v:shape id="_x0000_i1147" type="#_x0000_t75" style="width:78pt;height:19.5pt" o:ole="">
            <v:imagedata r:id="rId96" o:title=""/>
          </v:shape>
          <o:OLEObject Type="Embed" ProgID="Equation.3" ShapeID="_x0000_i1147" DrawAspect="Content" ObjectID="_1532825637" r:id="rId97"/>
        </w:object>
      </w:r>
      <w:r w:rsidR="00085510" w:rsidRPr="00085510">
        <w:t xml:space="preserve">and </w:t>
      </w:r>
      <w:r w:rsidRPr="00B278D5">
        <w:rPr>
          <w:position w:val="-12"/>
        </w:rPr>
        <w:object w:dxaOrig="1820" w:dyaOrig="380" w14:anchorId="767425CB">
          <v:shape id="_x0000_i1148" type="#_x0000_t75" style="width:91.5pt;height:19.5pt" o:ole="">
            <v:imagedata r:id="rId98" o:title=""/>
          </v:shape>
          <o:OLEObject Type="Embed" ProgID="Equation.3" ShapeID="_x0000_i1148" DrawAspect="Content" ObjectID="_1532825638" r:id="rId99"/>
        </w:object>
      </w:r>
      <w:r>
        <w:t>.</w:t>
      </w:r>
      <w:r w:rsidR="00085510" w:rsidRPr="00085510">
        <w:t xml:space="preserve"> </w:t>
      </w:r>
      <w:r w:rsidRPr="00B278D5">
        <w:rPr>
          <w:position w:val="-12"/>
        </w:rPr>
        <w:object w:dxaOrig="420" w:dyaOrig="380" w14:anchorId="60DAD9A6">
          <v:shape id="_x0000_i1149" type="#_x0000_t75" style="width:21pt;height:19.5pt" o:ole="">
            <v:imagedata r:id="rId100" o:title=""/>
          </v:shape>
          <o:OLEObject Type="Embed" ProgID="Equation.3" ShapeID="_x0000_i1149" DrawAspect="Content" ObjectID="_1532825639" r:id="rId101"/>
        </w:object>
      </w:r>
      <w:r w:rsidR="00085510" w:rsidRPr="00085510">
        <w:t xml:space="preserve">is an intermediate evaluation of </w:t>
      </w:r>
      <w:r w:rsidRPr="00B278D5">
        <w:rPr>
          <w:position w:val="-12"/>
        </w:rPr>
        <w:object w:dxaOrig="420" w:dyaOrig="380" w14:anchorId="46DCADB7">
          <v:shape id="_x0000_i1150" type="#_x0000_t75" style="width:21pt;height:19.5pt" o:ole="">
            <v:imagedata r:id="rId102" o:title=""/>
          </v:shape>
          <o:OLEObject Type="Embed" ProgID="Equation.3" ShapeID="_x0000_i1150" DrawAspect="Content" ObjectID="_1532825640" r:id="rId103"/>
        </w:object>
      </w:r>
      <w:r w:rsidR="00085510" w:rsidRPr="00085510">
        <w:t xml:space="preserve">that takes into account the </w:t>
      </w:r>
      <w:r w:rsidRPr="00B278D5">
        <w:rPr>
          <w:position w:val="-12"/>
        </w:rPr>
        <w:object w:dxaOrig="300" w:dyaOrig="380" w14:anchorId="1B011B5A">
          <v:shape id="_x0000_i1151" type="#_x0000_t75" style="width:15pt;height:19.5pt" o:ole="">
            <v:imagedata r:id="rId104" o:title=""/>
          </v:shape>
          <o:OLEObject Type="Embed" ProgID="Equation.3" ShapeID="_x0000_i1151" DrawAspect="Content" ObjectID="_1532825641" r:id="rId105"/>
        </w:object>
      </w:r>
      <w:r w:rsidR="00085510" w:rsidRPr="00085510">
        <w:t xml:space="preserve">, </w:t>
      </w:r>
      <w:r w:rsidRPr="00B278D5">
        <w:rPr>
          <w:position w:val="-12"/>
        </w:rPr>
        <w:object w:dxaOrig="260" w:dyaOrig="380" w14:anchorId="14830551">
          <v:shape id="_x0000_i1152" type="#_x0000_t75" style="width:13.5pt;height:19.5pt" o:ole="">
            <v:imagedata r:id="rId106" o:title=""/>
          </v:shape>
          <o:OLEObject Type="Embed" ProgID="Equation.3" ShapeID="_x0000_i1152" DrawAspect="Content" ObjectID="_1532825642" r:id="rId107"/>
        </w:object>
      </w:r>
      <w:r w:rsidR="00085510" w:rsidRPr="00085510">
        <w:t xml:space="preserve">, </w:t>
      </w:r>
      <w:r w:rsidRPr="00B278D5">
        <w:rPr>
          <w:position w:val="-12"/>
        </w:rPr>
        <w:object w:dxaOrig="480" w:dyaOrig="380" w14:anchorId="016FC20E">
          <v:shape id="_x0000_i1153" type="#_x0000_t75" style="width:24pt;height:19.5pt" o:ole="">
            <v:imagedata r:id="rId108" o:title=""/>
          </v:shape>
          <o:OLEObject Type="Embed" ProgID="Equation.3" ShapeID="_x0000_i1153" DrawAspect="Content" ObjectID="_1532825643" r:id="rId109"/>
        </w:object>
      </w:r>
      <w:r w:rsidR="00085510" w:rsidRPr="00085510">
        <w:t xml:space="preserve">, and </w:t>
      </w:r>
      <w:r w:rsidRPr="00E7080E">
        <w:rPr>
          <w:position w:val="-14"/>
        </w:rPr>
        <w:object w:dxaOrig="440" w:dyaOrig="400" w14:anchorId="37744D75">
          <v:shape id="_x0000_i1154" type="#_x0000_t75" style="width:22.5pt;height:19.5pt" o:ole="">
            <v:imagedata r:id="rId110" o:title=""/>
          </v:shape>
          <o:OLEObject Type="Embed" ProgID="Equation.3" ShapeID="_x0000_i1154" DrawAspect="Content" ObjectID="_1532825644" r:id="rId111"/>
        </w:object>
      </w:r>
      <w:r>
        <w:t>,</w:t>
      </w:r>
      <w:r w:rsidR="00085510" w:rsidRPr="00085510">
        <w:t xml:space="preserve"> </w:t>
      </w:r>
      <w:r w:rsidRPr="00B278D5">
        <w:rPr>
          <w:position w:val="-16"/>
        </w:rPr>
        <w:object w:dxaOrig="4040" w:dyaOrig="440" w14:anchorId="03CC4817">
          <v:shape id="_x0000_i1155" type="#_x0000_t75" style="width:202.5pt;height:22.5pt" o:ole="">
            <v:imagedata r:id="rId112" o:title=""/>
          </v:shape>
          <o:OLEObject Type="Embed" ProgID="Equation.3" ShapeID="_x0000_i1155" DrawAspect="Content" ObjectID="_1532825645" r:id="rId113"/>
        </w:object>
      </w:r>
      <w:r w:rsidR="00085510" w:rsidRPr="00085510">
        <w:t xml:space="preserve">, with </w:t>
      </w:r>
      <w:r w:rsidR="00085510" w:rsidRPr="00085510">
        <w:rPr>
          <w:i/>
        </w:rPr>
        <w:t>k</w:t>
      </w:r>
      <w:r w:rsidR="00085510" w:rsidRPr="00085510">
        <w:t xml:space="preserve"> b</w:t>
      </w:r>
      <w:r w:rsidR="008C2F7C">
        <w:t>eing a pre-specified parameter.</w:t>
      </w:r>
    </w:p>
    <w:p w14:paraId="200CD16B" w14:textId="77777777" w:rsidR="00085510" w:rsidRPr="00085510" w:rsidRDefault="008C2F7C" w:rsidP="008C2F7C">
      <w:pPr>
        <w:pStyle w:val="Heading3"/>
      </w:pPr>
      <w:bookmarkStart w:id="23" w:name="_Toc459076543"/>
      <w:r>
        <w:t xml:space="preserve">3.2.4 </w:t>
      </w:r>
      <w:r w:rsidR="00085510" w:rsidRPr="00085510">
        <w:t xml:space="preserve">Method </w:t>
      </w:r>
      <w:r w:rsidR="007C1ACD">
        <w:t>B</w:t>
      </w:r>
      <w:r w:rsidR="007C1ACD" w:rsidRPr="00085510">
        <w:t xml:space="preserve">ased </w:t>
      </w:r>
      <w:r w:rsidR="00085510" w:rsidRPr="00085510">
        <w:t>on Coupled Single-</w:t>
      </w:r>
      <w:r w:rsidR="00E55F77">
        <w:t>P</w:t>
      </w:r>
      <w:r w:rsidR="00E55F77" w:rsidRPr="00085510">
        <w:t xml:space="preserve">ort </w:t>
      </w:r>
      <w:r w:rsidR="00085510" w:rsidRPr="00085510">
        <w:t>Circuit (CP)</w:t>
      </w:r>
      <w:bookmarkEnd w:id="23"/>
    </w:p>
    <w:p w14:paraId="26CABA95" w14:textId="77777777" w:rsidR="00085510" w:rsidRPr="00085510" w:rsidRDefault="00085510" w:rsidP="00085510">
      <w:r w:rsidRPr="00085510">
        <w:t>In [7], the power system is modeled as a multi-port network. All the generators and load buses are brought outside of the network. The branches and the tie bus—the buses with no current injection—are modeled inside the network. The system can be described by</w:t>
      </w:r>
    </w:p>
    <w:p w14:paraId="4A64AF42" w14:textId="77777777" w:rsidR="00085510" w:rsidRPr="00085510" w:rsidRDefault="00085510" w:rsidP="008C2F7C">
      <w:pPr>
        <w:jc w:val="right"/>
      </w:pPr>
      <w:r w:rsidRPr="00085510">
        <w:rPr>
          <w:lang w:val="x-none"/>
        </w:rPr>
        <w:tab/>
      </w:r>
      <w:r w:rsidR="00E7080E" w:rsidRPr="00085510">
        <w:rPr>
          <w:lang w:val="x-none"/>
        </w:rPr>
        <w:object w:dxaOrig="3400" w:dyaOrig="940" w14:anchorId="4EF65D57">
          <v:shape id="_x0000_i1156" type="#_x0000_t75" style="width:220.5pt;height:61.5pt" o:ole="">
            <v:imagedata r:id="rId114" o:title=""/>
          </v:shape>
          <o:OLEObject Type="Embed" ProgID="Equation.DSMT4" ShapeID="_x0000_i1156" DrawAspect="Content" ObjectID="_1532825646" r:id="rId115"/>
        </w:object>
      </w:r>
      <w:r w:rsidRPr="00085510">
        <w:rPr>
          <w:lang w:val="x-none"/>
        </w:rPr>
        <w:t xml:space="preserve"> </w:t>
      </w:r>
      <w:r w:rsidRPr="00085510">
        <w:rPr>
          <w:lang w:val="x-none"/>
        </w:rPr>
        <w:tab/>
      </w:r>
      <w:r w:rsidR="008C2F7C">
        <w:tab/>
      </w:r>
      <w:r w:rsidRPr="00085510">
        <w:t>(</w:t>
      </w:r>
      <w:r w:rsidR="008C2F7C">
        <w:t>3-</w:t>
      </w:r>
      <w:r w:rsidRPr="00085510">
        <w:t>12)</w:t>
      </w:r>
    </w:p>
    <w:p w14:paraId="13A45B9C" w14:textId="77777777" w:rsidR="00085510" w:rsidRPr="00085510" w:rsidRDefault="00085510" w:rsidP="00085510">
      <w:r w:rsidRPr="00085510">
        <w:t xml:space="preserve">where the </w:t>
      </w:r>
      <w:r w:rsidRPr="00085510">
        <w:rPr>
          <w:i/>
        </w:rPr>
        <w:t>Y</w:t>
      </w:r>
      <w:r w:rsidRPr="00085510">
        <w:t xml:space="preserve"> matrix is the system admittance matrix, </w:t>
      </w:r>
      <w:r w:rsidRPr="00085510">
        <w:rPr>
          <w:i/>
        </w:rPr>
        <w:t>V</w:t>
      </w:r>
      <w:r w:rsidRPr="00085510">
        <w:t xml:space="preserve"> and </w:t>
      </w:r>
      <w:r w:rsidRPr="00085510">
        <w:rPr>
          <w:i/>
        </w:rPr>
        <w:t>I</w:t>
      </w:r>
      <w:r w:rsidRPr="00085510">
        <w:t xml:space="preserve"> are vectors of voltage and current phasors, and the subscript </w:t>
      </w:r>
      <w:r w:rsidRPr="00085510">
        <w:rPr>
          <w:i/>
        </w:rPr>
        <w:t>L</w:t>
      </w:r>
      <w:r w:rsidRPr="00085510">
        <w:t xml:space="preserve">, </w:t>
      </w:r>
      <w:r w:rsidRPr="00085510">
        <w:rPr>
          <w:i/>
        </w:rPr>
        <w:t>T</w:t>
      </w:r>
      <w:r w:rsidRPr="00085510">
        <w:t xml:space="preserve">, and </w:t>
      </w:r>
      <w:r w:rsidRPr="00085510">
        <w:rPr>
          <w:i/>
        </w:rPr>
        <w:t>G</w:t>
      </w:r>
      <w:r w:rsidRPr="00085510">
        <w:t xml:space="preserve"> represent load bus, tie bus, and generator bus, respectively.</w:t>
      </w:r>
    </w:p>
    <w:p w14:paraId="235B20FA" w14:textId="77777777" w:rsidR="00085510" w:rsidRPr="00085510" w:rsidRDefault="00085510" w:rsidP="00085510">
      <w:r w:rsidRPr="00085510">
        <w:t>Eliminate the voltage vectors of the tie buses by</w:t>
      </w:r>
    </w:p>
    <w:p w14:paraId="7A0CDE39" w14:textId="77777777" w:rsidR="00085510" w:rsidRPr="00085510" w:rsidRDefault="00085510" w:rsidP="008C2F7C">
      <w:pPr>
        <w:jc w:val="right"/>
      </w:pPr>
      <w:r w:rsidRPr="00085510">
        <w:rPr>
          <w:lang w:val="x-none"/>
        </w:rPr>
        <w:tab/>
      </w:r>
      <w:r w:rsidR="008C2F7C" w:rsidRPr="00085510">
        <w:rPr>
          <w:lang w:val="x-none"/>
        </w:rPr>
        <w:object w:dxaOrig="2079" w:dyaOrig="980" w14:anchorId="5C67BB47">
          <v:shape id="_x0000_i1157" type="#_x0000_t75" style="width:124.5pt;height:58.5pt" o:ole="">
            <v:imagedata r:id="rId116" o:title=""/>
          </v:shape>
          <o:OLEObject Type="Embed" ProgID="Equation.DSMT4" ShapeID="_x0000_i1157" DrawAspect="Content" ObjectID="_1532825647" r:id="rId117"/>
        </w:object>
      </w:r>
      <w:r w:rsidR="008C2F7C">
        <w:tab/>
      </w:r>
      <w:r w:rsidR="008C2F7C">
        <w:tab/>
      </w:r>
      <w:r w:rsidRPr="00085510">
        <w:rPr>
          <w:lang w:val="x-none"/>
        </w:rPr>
        <w:t xml:space="preserve"> </w:t>
      </w:r>
      <w:r w:rsidRPr="00085510">
        <w:rPr>
          <w:lang w:val="x-none"/>
        </w:rPr>
        <w:tab/>
      </w:r>
      <w:r w:rsidRPr="00085510">
        <w:t>(</w:t>
      </w:r>
      <w:r w:rsidR="008C2F7C">
        <w:t>3-</w:t>
      </w:r>
      <w:r w:rsidRPr="00085510">
        <w:t>13)</w:t>
      </w:r>
    </w:p>
    <w:p w14:paraId="5AB634E1" w14:textId="77777777" w:rsidR="00085510" w:rsidRPr="00085510" w:rsidRDefault="00085510" w:rsidP="00085510">
      <w:r w:rsidRPr="00085510">
        <w:t xml:space="preserve">For load bus </w:t>
      </w:r>
      <w:r w:rsidRPr="00085510">
        <w:rPr>
          <w:i/>
        </w:rPr>
        <w:t>k</w:t>
      </w:r>
      <w:r w:rsidRPr="00085510">
        <w:t>, we can obtain</w:t>
      </w:r>
    </w:p>
    <w:p w14:paraId="1B178577" w14:textId="77777777" w:rsidR="00085510" w:rsidRPr="00085510" w:rsidRDefault="00085510" w:rsidP="008C2F7C">
      <w:pPr>
        <w:jc w:val="right"/>
      </w:pPr>
      <w:r w:rsidRPr="00085510">
        <w:rPr>
          <w:lang w:val="x-none"/>
        </w:rPr>
        <w:tab/>
      </w:r>
      <w:r w:rsidRPr="00085510">
        <w:rPr>
          <w:lang w:val="x-none"/>
        </w:rPr>
        <w:object w:dxaOrig="4060" w:dyaOrig="940" w14:anchorId="1288897C">
          <v:shape id="_x0000_i1158" type="#_x0000_t75" style="width:202.5pt;height:48pt" o:ole="">
            <v:imagedata r:id="rId118" o:title=""/>
          </v:shape>
          <o:OLEObject Type="Embed" ProgID="Equation.DSMT4" ShapeID="_x0000_i1158" DrawAspect="Content" ObjectID="_1532825648" r:id="rId119"/>
        </w:object>
      </w:r>
      <w:r w:rsidRPr="00085510">
        <w:rPr>
          <w:lang w:val="x-none"/>
        </w:rPr>
        <w:t xml:space="preserve"> </w:t>
      </w:r>
      <w:r w:rsidRPr="00085510">
        <w:rPr>
          <w:lang w:val="x-none"/>
        </w:rPr>
        <w:tab/>
      </w:r>
      <w:r w:rsidR="008C2F7C">
        <w:tab/>
      </w:r>
      <w:r w:rsidRPr="00085510">
        <w:t>(</w:t>
      </w:r>
      <w:r w:rsidR="008C2F7C">
        <w:t>3-</w:t>
      </w:r>
      <w:r w:rsidRPr="00085510">
        <w:t>14)</w:t>
      </w:r>
    </w:p>
    <w:p w14:paraId="7067E505" w14:textId="77777777" w:rsidR="00085510" w:rsidRPr="00085510" w:rsidRDefault="00085510" w:rsidP="00085510">
      <w:r w:rsidRPr="00085510">
        <w:lastRenderedPageBreak/>
        <w:t xml:space="preserve">By modeling the coupling effect of other loads into </w:t>
      </w:r>
      <w:r w:rsidRPr="00085510">
        <w:rPr>
          <w:i/>
        </w:rPr>
        <w:t>Z</w:t>
      </w:r>
      <w:r w:rsidRPr="00085510">
        <w:rPr>
          <w:i/>
          <w:vertAlign w:val="subscript"/>
        </w:rPr>
        <w:t>couple-k</w:t>
      </w:r>
      <w:r w:rsidRPr="00085510">
        <w:t>, the TE can be found through the first equation in (</w:t>
      </w:r>
      <w:r w:rsidR="008C2F7C">
        <w:t>3-</w:t>
      </w:r>
      <w:r w:rsidRPr="00085510">
        <w:t xml:space="preserve">14). The Thevenin voltage is determined by the generator terminal voltage through matrix </w:t>
      </w:r>
      <w:r w:rsidRPr="00085510">
        <w:rPr>
          <w:i/>
        </w:rPr>
        <w:t>K</w:t>
      </w:r>
      <w:r w:rsidRPr="00085510">
        <w:t xml:space="preserve">. The Thevenin impedance is determined by the diagonal element of </w:t>
      </w:r>
      <w:r w:rsidRPr="00085510">
        <w:rPr>
          <w:i/>
        </w:rPr>
        <w:t>Z</w:t>
      </w:r>
      <w:r w:rsidRPr="00085510">
        <w:rPr>
          <w:i/>
          <w:vertAlign w:val="subscript"/>
        </w:rPr>
        <w:t>LL</w:t>
      </w:r>
      <w:r w:rsidRPr="00085510">
        <w:t xml:space="preserve"> and the coupling of other loads through the network.</w:t>
      </w:r>
    </w:p>
    <w:p w14:paraId="5CC9D2E5" w14:textId="77777777" w:rsidR="00085510" w:rsidRPr="00085510" w:rsidRDefault="00085510" w:rsidP="00085510">
      <w:r w:rsidRPr="00085510">
        <w:t xml:space="preserve">Assume measurements of voltage phasors at all generator terminals, as well as voltage and current phasors at load bus </w:t>
      </w:r>
      <w:r w:rsidRPr="00085510">
        <w:rPr>
          <w:i/>
        </w:rPr>
        <w:t>k</w:t>
      </w:r>
      <w:r w:rsidRPr="00085510">
        <w:t xml:space="preserve">, are available from PMUs, and that the system admittance matrix is also available. The TE seen from bus </w:t>
      </w:r>
      <w:r w:rsidRPr="00085510">
        <w:rPr>
          <w:i/>
        </w:rPr>
        <w:t>k</w:t>
      </w:r>
      <w:r w:rsidRPr="00085510">
        <w:t xml:space="preserve"> can be calculated using (</w:t>
      </w:r>
      <w:r w:rsidR="008C2F7C">
        <w:t>3-</w:t>
      </w:r>
      <w:r w:rsidRPr="00085510">
        <w:t>14).</w:t>
      </w:r>
    </w:p>
    <w:p w14:paraId="45AC928D" w14:textId="65060CD8" w:rsidR="00085510" w:rsidRPr="00085510" w:rsidRDefault="00085510" w:rsidP="00085510">
      <w:r w:rsidRPr="00085510">
        <w:t>For equation (</w:t>
      </w:r>
      <w:r w:rsidR="008C2F7C">
        <w:t>3-</w:t>
      </w:r>
      <w:r w:rsidRPr="00085510">
        <w:t>14) to hold, it is assumed that all the loads are increasing at the same rate, which will leave the current ratio of two load buses at nearly constant.</w:t>
      </w:r>
    </w:p>
    <w:p w14:paraId="087F12A1" w14:textId="77777777" w:rsidR="00B41FF9" w:rsidRPr="00B41FF9" w:rsidRDefault="00C10B2C" w:rsidP="004B5C30">
      <w:pPr>
        <w:pStyle w:val="Heading2"/>
      </w:pPr>
      <w:bookmarkStart w:id="24" w:name="_Toc459076544"/>
      <w:r>
        <w:t xml:space="preserve">3.3 </w:t>
      </w:r>
      <w:r w:rsidR="00B41FF9" w:rsidRPr="00B41FF9">
        <w:t>Analysis of Algorithms</w:t>
      </w:r>
      <w:bookmarkEnd w:id="24"/>
    </w:p>
    <w:p w14:paraId="0DFA5114" w14:textId="3427B221" w:rsidR="00B41FF9" w:rsidRPr="00B41FF9" w:rsidRDefault="00522A76" w:rsidP="00B41FF9">
      <w:r>
        <w:t>If c</w:t>
      </w:r>
      <w:r w:rsidRPr="00B41FF9">
        <w:t xml:space="preserve">ompared </w:t>
      </w:r>
      <w:r w:rsidR="00B41FF9" w:rsidRPr="00B41FF9">
        <w:t>with traditional model-based analyses, all the methods introduced in Section II obviously need less computation effort. They all have simple computation processes and are good candidates for online implementation. In this section, the time complexity and measurement needed of the four methods will be analyzed and compared with each other.</w:t>
      </w:r>
    </w:p>
    <w:p w14:paraId="570534A5" w14:textId="77777777" w:rsidR="00B41FF9" w:rsidRPr="00B41FF9" w:rsidRDefault="00B41FF9" w:rsidP="00B41FF9">
      <w:r w:rsidRPr="00B41FF9">
        <w:t xml:space="preserve">Without loss of generality, we assume the systems of interest have </w:t>
      </w:r>
      <w:r w:rsidRPr="00B41FF9">
        <w:rPr>
          <w:i/>
        </w:rPr>
        <w:t>N</w:t>
      </w:r>
      <w:r w:rsidRPr="00B41FF9">
        <w:t xml:space="preserve"> buses. There are </w:t>
      </w:r>
      <w:r w:rsidRPr="00B41FF9">
        <w:rPr>
          <w:i/>
        </w:rPr>
        <w:t>N</w:t>
      </w:r>
      <w:r w:rsidRPr="00B41FF9">
        <w:rPr>
          <w:i/>
          <w:vertAlign w:val="subscript"/>
        </w:rPr>
        <w:t>G</w:t>
      </w:r>
      <w:r w:rsidRPr="00B41FF9">
        <w:t xml:space="preserve"> generator buses, </w:t>
      </w:r>
      <w:r w:rsidRPr="00B41FF9">
        <w:rPr>
          <w:i/>
        </w:rPr>
        <w:t>N</w:t>
      </w:r>
      <w:r w:rsidRPr="00B41FF9">
        <w:rPr>
          <w:i/>
          <w:vertAlign w:val="subscript"/>
        </w:rPr>
        <w:t>T</w:t>
      </w:r>
      <w:r w:rsidRPr="00B41FF9">
        <w:rPr>
          <w:vertAlign w:val="subscript"/>
        </w:rPr>
        <w:t xml:space="preserve"> </w:t>
      </w:r>
      <w:r w:rsidRPr="00B41FF9">
        <w:t xml:space="preserve">tie buses, and </w:t>
      </w:r>
      <w:r w:rsidRPr="00B41FF9">
        <w:rPr>
          <w:i/>
        </w:rPr>
        <w:t>N</w:t>
      </w:r>
      <w:r w:rsidRPr="00B41FF9">
        <w:rPr>
          <w:i/>
          <w:vertAlign w:val="subscript"/>
        </w:rPr>
        <w:t>L</w:t>
      </w:r>
      <w:r w:rsidRPr="00B41FF9">
        <w:t xml:space="preserve"> load buses, respectively. The measurements needed and the time complexities to calculate the TE for </w:t>
      </w:r>
      <w:r w:rsidRPr="00B41FF9">
        <w:rPr>
          <w:i/>
        </w:rPr>
        <w:t>M</w:t>
      </w:r>
      <w:r w:rsidRPr="00B41FF9">
        <w:t xml:space="preserve"> load buses at one time step are considered.</w:t>
      </w:r>
    </w:p>
    <w:p w14:paraId="7DC1899C" w14:textId="77777777" w:rsidR="00B41FF9" w:rsidRPr="00B41FF9" w:rsidRDefault="00B41FF9" w:rsidP="00B41FF9">
      <w:pPr>
        <w:pStyle w:val="Heading3"/>
      </w:pPr>
      <w:bookmarkStart w:id="25" w:name="_Toc459076545"/>
      <w:r>
        <w:t xml:space="preserve">3.3.1 </w:t>
      </w:r>
      <w:r w:rsidRPr="00B41FF9">
        <w:t>Least Squares (LS)</w:t>
      </w:r>
      <w:r w:rsidR="00E55F77">
        <w:t xml:space="preserve"> Method</w:t>
      </w:r>
      <w:bookmarkEnd w:id="25"/>
    </w:p>
    <w:p w14:paraId="665C9751" w14:textId="77777777" w:rsidR="009D0201" w:rsidRDefault="00B41FF9" w:rsidP="009D0201">
      <w:pPr>
        <w:jc w:val="distribute"/>
      </w:pPr>
      <w:r w:rsidRPr="00B41FF9">
        <w:t xml:space="preserve">To calculate the TE of </w:t>
      </w:r>
      <w:r w:rsidRPr="00B41FF9">
        <w:rPr>
          <w:i/>
        </w:rPr>
        <w:t>M</w:t>
      </w:r>
      <w:r w:rsidRPr="00B41FF9">
        <w:t xml:space="preserve"> load buses, all the </w:t>
      </w:r>
      <w:r w:rsidRPr="00B41FF9">
        <w:rPr>
          <w:i/>
        </w:rPr>
        <w:t>M</w:t>
      </w:r>
      <w:r w:rsidRPr="00B41FF9">
        <w:t xml:space="preserve"> load buses should be equipped </w:t>
      </w:r>
    </w:p>
    <w:p w14:paraId="04C9268D" w14:textId="0925F80A" w:rsidR="00B41FF9" w:rsidRPr="00B41FF9" w:rsidRDefault="00B41FF9" w:rsidP="009D0201">
      <w:pPr>
        <w:ind w:firstLine="0"/>
      </w:pPr>
      <w:r w:rsidRPr="00B41FF9">
        <w:lastRenderedPageBreak/>
        <w:t>with PMUs.</w:t>
      </w:r>
    </w:p>
    <w:p w14:paraId="33D8B2E2" w14:textId="77777777" w:rsidR="00B41FF9" w:rsidRPr="00B41FF9" w:rsidRDefault="00B41FF9" w:rsidP="00B41FF9">
      <w:r w:rsidRPr="00B41FF9">
        <w:t xml:space="preserve">The computation time is closely related to the size of the time window, </w:t>
      </w:r>
      <w:r w:rsidRPr="00B41FF9">
        <w:rPr>
          <w:i/>
        </w:rPr>
        <w:t>W</w:t>
      </w:r>
      <w:r w:rsidRPr="00B41FF9">
        <w:t xml:space="preserve">.  Typically, the time window will be several seconds. If there are 30 measurements per second, </w:t>
      </w:r>
      <w:r w:rsidRPr="00B41FF9">
        <w:rPr>
          <w:i/>
        </w:rPr>
        <w:t>W</w:t>
      </w:r>
      <w:r w:rsidRPr="00B41FF9">
        <w:t xml:space="preserve"> will be around 100. The core of LS is to calculate the over-determined linear system represented in (</w:t>
      </w:r>
      <w:r>
        <w:t xml:space="preserve">3-6). </w:t>
      </w:r>
      <w:r w:rsidRPr="00B41FF9">
        <w:t>Rewrite (</w:t>
      </w:r>
      <w:r>
        <w:t>3-</w:t>
      </w:r>
      <w:r w:rsidRPr="00B41FF9">
        <w:t xml:space="preserve">6) as </w:t>
      </w:r>
      <w:r w:rsidRPr="00B41FF9">
        <w:rPr>
          <w:position w:val="-6"/>
        </w:rPr>
        <w:object w:dxaOrig="700" w:dyaOrig="279" w14:anchorId="1B0F02BC">
          <v:shape id="_x0000_i1159" type="#_x0000_t75" style="width:35.45pt;height:14.2pt" o:ole="">
            <v:imagedata r:id="rId120" o:title=""/>
          </v:shape>
          <o:OLEObject Type="Embed" ProgID="Equation.3" ShapeID="_x0000_i1159" DrawAspect="Content" ObjectID="_1532825649" r:id="rId121"/>
        </w:object>
      </w:r>
      <w:r w:rsidRPr="00B41FF9">
        <w:t xml:space="preserve">, where </w:t>
      </w:r>
      <w:r w:rsidRPr="00B41FF9">
        <w:rPr>
          <w:i/>
        </w:rPr>
        <w:t>A</w:t>
      </w:r>
      <w:r w:rsidRPr="00B41FF9">
        <w:t xml:space="preserve"> is a 2</w:t>
      </w:r>
      <w:r w:rsidRPr="00B41FF9">
        <w:rPr>
          <w:i/>
        </w:rPr>
        <w:t>W</w:t>
      </w:r>
      <w:r w:rsidRPr="00B41FF9">
        <w:t xml:space="preserve">×4 matrix, </w:t>
      </w:r>
      <w:r w:rsidRPr="00B41FF9">
        <w:rPr>
          <w:i/>
        </w:rPr>
        <w:t>x</w:t>
      </w:r>
      <w:r w:rsidRPr="00B41FF9">
        <w:t xml:space="preserve">  is a 4×1 vector, and b is a 2</w:t>
      </w:r>
      <w:r w:rsidRPr="00B41FF9">
        <w:rPr>
          <w:i/>
        </w:rPr>
        <w:t>W</w:t>
      </w:r>
      <w:r w:rsidRPr="00B41FF9">
        <w:t xml:space="preserve">×1 vector. Using LS, </w:t>
      </w:r>
      <w:r w:rsidRPr="00B41FF9">
        <w:rPr>
          <w:i/>
        </w:rPr>
        <w:t>x</w:t>
      </w:r>
      <w:r w:rsidRPr="00B41FF9">
        <w:t xml:space="preserve"> = (</w:t>
      </w:r>
      <w:r w:rsidRPr="00B41FF9">
        <w:rPr>
          <w:i/>
        </w:rPr>
        <w:t>A</w:t>
      </w:r>
      <w:r w:rsidRPr="00B41FF9">
        <w:rPr>
          <w:i/>
          <w:vertAlign w:val="superscript"/>
        </w:rPr>
        <w:t>T</w:t>
      </w:r>
      <w:r w:rsidRPr="00B41FF9">
        <w:rPr>
          <w:i/>
        </w:rPr>
        <w:t>A</w:t>
      </w:r>
      <w:r w:rsidRPr="00B41FF9">
        <w:t>)</w:t>
      </w:r>
      <w:r w:rsidRPr="00B41FF9">
        <w:rPr>
          <w:vertAlign w:val="superscript"/>
        </w:rPr>
        <w:t>-1</w:t>
      </w:r>
      <w:r w:rsidRPr="00B41FF9">
        <w:rPr>
          <w:i/>
        </w:rPr>
        <w:t>A</w:t>
      </w:r>
      <w:r w:rsidRPr="00B41FF9">
        <w:rPr>
          <w:i/>
          <w:vertAlign w:val="superscript"/>
        </w:rPr>
        <w:t>T</w:t>
      </w:r>
      <w:r w:rsidRPr="00B41FF9">
        <w:rPr>
          <w:i/>
        </w:rPr>
        <w:t>b</w:t>
      </w:r>
      <w:r w:rsidRPr="00B41FF9">
        <w:t>. It takes</w:t>
      </w:r>
      <w:r>
        <w:t xml:space="preserve"> </w:t>
      </w:r>
      <w:r w:rsidRPr="00B41FF9">
        <w:rPr>
          <w:position w:val="-10"/>
        </w:rPr>
        <w:object w:dxaOrig="1180" w:dyaOrig="320" w14:anchorId="29E8B1FA">
          <v:shape id="_x0000_i1160" type="#_x0000_t75" style="width:49.65pt;height:12.55pt" o:ole="">
            <v:imagedata r:id="rId122" o:title=""/>
          </v:shape>
          <o:OLEObject Type="Embed" ProgID="Equation.3" ShapeID="_x0000_i1160" DrawAspect="Content" ObjectID="_1532825650" r:id="rId123"/>
        </w:object>
      </w:r>
      <w:r w:rsidRPr="00B41FF9">
        <w:t xml:space="preserve"> to multiply </w:t>
      </w:r>
      <w:r w:rsidRPr="00B41FF9">
        <w:rPr>
          <w:i/>
        </w:rPr>
        <w:t>A</w:t>
      </w:r>
      <w:r w:rsidRPr="00B41FF9">
        <w:rPr>
          <w:i/>
          <w:vertAlign w:val="superscript"/>
        </w:rPr>
        <w:t>T</w:t>
      </w:r>
      <w:r w:rsidRPr="00B41FF9">
        <w:t xml:space="preserve"> by </w:t>
      </w:r>
      <w:r w:rsidRPr="00B41FF9">
        <w:rPr>
          <w:i/>
        </w:rPr>
        <w:t>A</w:t>
      </w:r>
      <w:r w:rsidRPr="00B41FF9">
        <w:t xml:space="preserve">, </w:t>
      </w:r>
      <w:r w:rsidRPr="00B41FF9">
        <w:rPr>
          <w:position w:val="-10"/>
        </w:rPr>
        <w:object w:dxaOrig="940" w:dyaOrig="320" w14:anchorId="5F0088D4">
          <v:shape id="_x0000_i1161" type="#_x0000_t75" style="width:39.8pt;height:12.55pt" o:ole="">
            <v:imagedata r:id="rId124" o:title=""/>
          </v:shape>
          <o:OLEObject Type="Embed" ProgID="Equation.3" ShapeID="_x0000_i1161" DrawAspect="Content" ObjectID="_1532825651" r:id="rId125"/>
        </w:object>
      </w:r>
      <w:r w:rsidRPr="00B41FF9">
        <w:t>to multiply</w:t>
      </w:r>
      <w:r w:rsidRPr="00B41FF9">
        <w:rPr>
          <w:i/>
        </w:rPr>
        <w:t xml:space="preserve"> A</w:t>
      </w:r>
      <w:r w:rsidRPr="00B41FF9">
        <w:rPr>
          <w:i/>
          <w:vertAlign w:val="superscript"/>
        </w:rPr>
        <w:t>T</w:t>
      </w:r>
      <w:r w:rsidRPr="00B41FF9">
        <w:t xml:space="preserve"> by </w:t>
      </w:r>
      <w:r w:rsidRPr="00B41FF9">
        <w:rPr>
          <w:i/>
        </w:rPr>
        <w:t>b</w:t>
      </w:r>
      <w:r w:rsidRPr="00B41FF9">
        <w:t xml:space="preserve">, and </w:t>
      </w:r>
      <w:r w:rsidRPr="00B41FF9">
        <w:rPr>
          <w:position w:val="-10"/>
        </w:rPr>
        <w:object w:dxaOrig="660" w:dyaOrig="360" w14:anchorId="328E1205">
          <v:shape id="_x0000_i1162" type="#_x0000_t75" style="width:28.35pt;height:15.8pt" o:ole="">
            <v:imagedata r:id="rId126" o:title=""/>
          </v:shape>
          <o:OLEObject Type="Embed" ProgID="Equation.3" ShapeID="_x0000_i1162" DrawAspect="Content" ObjectID="_1532825652" r:id="rId127"/>
        </w:object>
      </w:r>
      <w:r w:rsidRPr="00B41FF9">
        <w:t xml:space="preserve">to compute the LU factorization of </w:t>
      </w:r>
      <w:r w:rsidRPr="00B41FF9">
        <w:rPr>
          <w:i/>
        </w:rPr>
        <w:t>A</w:t>
      </w:r>
      <w:r w:rsidRPr="00B41FF9">
        <w:rPr>
          <w:i/>
          <w:vertAlign w:val="superscript"/>
        </w:rPr>
        <w:t>T</w:t>
      </w:r>
      <w:r w:rsidRPr="00B41FF9">
        <w:rPr>
          <w:i/>
        </w:rPr>
        <w:t>A</w:t>
      </w:r>
      <w:r w:rsidRPr="00B41FF9">
        <w:t xml:space="preserve"> and use that to compute the last product. Asymptotically, the run time is O(</w:t>
      </w:r>
      <w:r w:rsidRPr="00B41FF9">
        <w:rPr>
          <w:i/>
        </w:rPr>
        <w:t>W</w:t>
      </w:r>
      <w:r w:rsidRPr="00B41FF9">
        <w:t>). Therefore, the time complexity for calculating M load buses are O(</w:t>
      </w:r>
      <w:r w:rsidRPr="00B41FF9">
        <w:rPr>
          <w:i/>
        </w:rPr>
        <w:t>MW</w:t>
      </w:r>
      <w:r w:rsidRPr="00B41FF9">
        <w:t>).</w:t>
      </w:r>
    </w:p>
    <w:p w14:paraId="1B5362C4" w14:textId="32653BEA" w:rsidR="00B41FF9" w:rsidRPr="00B41FF9" w:rsidRDefault="00B41FF9" w:rsidP="00B41FF9">
      <w:pPr>
        <w:pStyle w:val="Heading3"/>
      </w:pPr>
      <w:bookmarkStart w:id="26" w:name="_Toc459076546"/>
      <w:r>
        <w:t xml:space="preserve">3.3.2 </w:t>
      </w:r>
      <w:r w:rsidR="00205542">
        <w:t>Method</w:t>
      </w:r>
      <w:r w:rsidRPr="00B41FF9">
        <w:t xml:space="preserve"> </w:t>
      </w:r>
      <w:r w:rsidR="007C1ACD">
        <w:t>B</w:t>
      </w:r>
      <w:r w:rsidR="007C1ACD" w:rsidRPr="00B41FF9">
        <w:t xml:space="preserve">ased </w:t>
      </w:r>
      <w:r w:rsidRPr="00B41FF9">
        <w:t>on Tellegen’s Theorem (TT)</w:t>
      </w:r>
      <w:bookmarkEnd w:id="26"/>
    </w:p>
    <w:p w14:paraId="6900CACC" w14:textId="77777777" w:rsidR="00B41FF9" w:rsidRPr="00B41FF9" w:rsidRDefault="00B41FF9" w:rsidP="00B41FF9">
      <w:r w:rsidRPr="00B41FF9">
        <w:rPr>
          <w:lang w:val="x-none"/>
        </w:rPr>
        <w:t xml:space="preserve">This method is also based on local measurements and will need </w:t>
      </w:r>
      <w:r w:rsidRPr="00B41FF9">
        <w:rPr>
          <w:i/>
        </w:rPr>
        <w:t>M</w:t>
      </w:r>
      <w:r w:rsidRPr="00B41FF9">
        <w:t xml:space="preserve"> PMUs to be installed on the </w:t>
      </w:r>
      <w:r w:rsidRPr="00B41FF9">
        <w:rPr>
          <w:i/>
        </w:rPr>
        <w:t>M</w:t>
      </w:r>
      <w:r w:rsidRPr="00B41FF9">
        <w:t xml:space="preserve"> load buses.</w:t>
      </w:r>
    </w:p>
    <w:p w14:paraId="5E70ECE4" w14:textId="24CFF263" w:rsidR="00B41FF9" w:rsidRPr="00B41FF9" w:rsidRDefault="00B41FF9" w:rsidP="00B41FF9">
      <w:r w:rsidRPr="00B41FF9">
        <w:t>Despite pages of theorems and proofs behind this method, it simply uses the equations in (</w:t>
      </w:r>
      <w:r>
        <w:t>3-</w:t>
      </w:r>
      <w:r w:rsidRPr="00B41FF9">
        <w:t>8) to calculate Thevenin impedance from measurements, and then calculates the Thevenin voltage using (</w:t>
      </w:r>
      <w:r>
        <w:t>3-</w:t>
      </w:r>
      <w:r w:rsidRPr="00B41FF9">
        <w:t>5). The run time of one load bus is O(1</w:t>
      </w:r>
      <w:r w:rsidR="00522A76" w:rsidRPr="00B41FF9">
        <w:t>)</w:t>
      </w:r>
      <w:r w:rsidR="00522A76">
        <w:t>, a</w:t>
      </w:r>
      <w:r w:rsidRPr="00B41FF9">
        <w:t xml:space="preserve">nd the run time of </w:t>
      </w:r>
      <w:r w:rsidRPr="00B41FF9">
        <w:rPr>
          <w:i/>
        </w:rPr>
        <w:t>M</w:t>
      </w:r>
      <w:r w:rsidRPr="00B41FF9">
        <w:t xml:space="preserve"> load buses will be O(</w:t>
      </w:r>
      <w:r w:rsidRPr="00B41FF9">
        <w:rPr>
          <w:i/>
        </w:rPr>
        <w:t>M</w:t>
      </w:r>
      <w:r w:rsidRPr="00B41FF9">
        <w:t>).</w:t>
      </w:r>
    </w:p>
    <w:p w14:paraId="2D3CDF8A" w14:textId="77777777" w:rsidR="00B41FF9" w:rsidRPr="00B41FF9" w:rsidRDefault="00B41FF9" w:rsidP="00B41FF9">
      <w:pPr>
        <w:pStyle w:val="Heading3"/>
      </w:pPr>
      <w:bookmarkStart w:id="27" w:name="_Toc459076547"/>
      <w:r>
        <w:t xml:space="preserve">3.3.3 </w:t>
      </w:r>
      <w:r w:rsidRPr="00B41FF9">
        <w:t>Adaptive Method (AD)</w:t>
      </w:r>
      <w:bookmarkEnd w:id="27"/>
    </w:p>
    <w:p w14:paraId="13587C84" w14:textId="589289EB" w:rsidR="00B41FF9" w:rsidRPr="00B41FF9" w:rsidRDefault="00B41FF9" w:rsidP="00B41FF9">
      <w:r w:rsidRPr="00B41FF9">
        <w:t xml:space="preserve">Similarly </w:t>
      </w:r>
      <w:r w:rsidR="00522A76">
        <w:t>to</w:t>
      </w:r>
      <w:r w:rsidR="00522A76" w:rsidRPr="00B41FF9">
        <w:t xml:space="preserve"> </w:t>
      </w:r>
      <w:r w:rsidRPr="00B41FF9">
        <w:t>the previous two methods, AD</w:t>
      </w:r>
      <w:r w:rsidRPr="00B41FF9">
        <w:rPr>
          <w:lang w:val="x-none"/>
        </w:rPr>
        <w:t xml:space="preserve"> will</w:t>
      </w:r>
      <w:r w:rsidRPr="00B41FF9">
        <w:t xml:space="preserve"> also</w:t>
      </w:r>
      <w:r w:rsidRPr="00B41FF9">
        <w:rPr>
          <w:lang w:val="x-none"/>
        </w:rPr>
        <w:t xml:space="preserve"> need </w:t>
      </w:r>
      <w:r w:rsidRPr="00B41FF9">
        <w:rPr>
          <w:i/>
        </w:rPr>
        <w:t>M</w:t>
      </w:r>
      <w:r w:rsidRPr="00B41FF9">
        <w:t xml:space="preserve"> PMUs to be installed on the </w:t>
      </w:r>
      <w:r w:rsidRPr="00B41FF9">
        <w:rPr>
          <w:i/>
        </w:rPr>
        <w:t>M</w:t>
      </w:r>
      <w:r w:rsidRPr="00B41FF9">
        <w:t xml:space="preserve"> load buses.</w:t>
      </w:r>
    </w:p>
    <w:p w14:paraId="10A9438B" w14:textId="77777777" w:rsidR="009D0201" w:rsidRDefault="00B41FF9" w:rsidP="009D0201">
      <w:pPr>
        <w:jc w:val="distribute"/>
      </w:pPr>
      <w:r w:rsidRPr="00B41FF9">
        <w:t xml:space="preserve">Though, in every time step, </w:t>
      </w:r>
      <w:r w:rsidRPr="00B41FF9">
        <w:rPr>
          <w:position w:val="-12"/>
        </w:rPr>
        <w:object w:dxaOrig="520" w:dyaOrig="380" w14:anchorId="0F561DF7">
          <v:shape id="_x0000_i1163" type="#_x0000_t75" style="width:22.35pt;height:17.45pt" o:ole="">
            <v:imagedata r:id="rId128" o:title=""/>
          </v:shape>
          <o:OLEObject Type="Embed" ProgID="Equation.3" ShapeID="_x0000_i1163" DrawAspect="Content" ObjectID="_1532825653" r:id="rId129"/>
        </w:object>
      </w:r>
      <w:r>
        <w:t xml:space="preserve"> </w:t>
      </w:r>
      <w:r w:rsidRPr="00B41FF9">
        <w:t xml:space="preserve">will be calculated and there are a few conditional statements to update the </w:t>
      </w:r>
      <w:r w:rsidRPr="00B41FF9">
        <w:rPr>
          <w:i/>
        </w:rPr>
        <w:t>E</w:t>
      </w:r>
      <w:r w:rsidRPr="00B41FF9">
        <w:rPr>
          <w:i/>
          <w:vertAlign w:val="subscript"/>
        </w:rPr>
        <w:t>Th</w:t>
      </w:r>
      <w:r w:rsidR="00522A76">
        <w:t>.</w:t>
      </w:r>
      <w:r w:rsidR="00522A76" w:rsidRPr="00B41FF9">
        <w:t xml:space="preserve"> </w:t>
      </w:r>
      <w:r w:rsidR="00522A76">
        <w:t>T</w:t>
      </w:r>
      <w:r w:rsidR="00522A76" w:rsidRPr="00B41FF9">
        <w:t xml:space="preserve">he </w:t>
      </w:r>
      <w:r w:rsidRPr="00B41FF9">
        <w:t xml:space="preserve">run time for one load bus is still O(1), and </w:t>
      </w:r>
    </w:p>
    <w:p w14:paraId="44AD7D17" w14:textId="4890EFE8" w:rsidR="00B41FF9" w:rsidRPr="00B41FF9" w:rsidRDefault="00B41FF9" w:rsidP="009D0201">
      <w:pPr>
        <w:ind w:firstLine="0"/>
      </w:pPr>
      <w:r w:rsidRPr="00B41FF9">
        <w:lastRenderedPageBreak/>
        <w:t>the run time for M load buses will be O(</w:t>
      </w:r>
      <w:r w:rsidRPr="00B41FF9">
        <w:rPr>
          <w:i/>
        </w:rPr>
        <w:t>M</w:t>
      </w:r>
      <w:r w:rsidRPr="00B41FF9">
        <w:t>).</w:t>
      </w:r>
    </w:p>
    <w:p w14:paraId="4EA4AA7B" w14:textId="77777777" w:rsidR="00B41FF9" w:rsidRPr="00B41FF9" w:rsidRDefault="00B41FF9" w:rsidP="00B41FF9">
      <w:pPr>
        <w:pStyle w:val="Heading3"/>
      </w:pPr>
      <w:bookmarkStart w:id="28" w:name="_Toc459076548"/>
      <w:r>
        <w:t xml:space="preserve">3.3.4 </w:t>
      </w:r>
      <w:r w:rsidRPr="00B41FF9">
        <w:t xml:space="preserve">Method </w:t>
      </w:r>
      <w:r w:rsidR="007C1ACD">
        <w:t>B</w:t>
      </w:r>
      <w:r w:rsidR="007C1ACD" w:rsidRPr="00B41FF9">
        <w:t xml:space="preserve">ased </w:t>
      </w:r>
      <w:r w:rsidRPr="00B41FF9">
        <w:t>on Coupled Single-</w:t>
      </w:r>
      <w:r w:rsidR="00E55F77">
        <w:t>P</w:t>
      </w:r>
      <w:r w:rsidR="00E55F77" w:rsidRPr="00B41FF9">
        <w:t xml:space="preserve">ort </w:t>
      </w:r>
      <w:r w:rsidRPr="00B41FF9">
        <w:t>Circuit (CP)</w:t>
      </w:r>
      <w:bookmarkEnd w:id="28"/>
      <w:r w:rsidRPr="00B41FF9">
        <w:t xml:space="preserve"> </w:t>
      </w:r>
    </w:p>
    <w:p w14:paraId="1E2D0355" w14:textId="77777777" w:rsidR="00B41FF9" w:rsidRPr="00B41FF9" w:rsidRDefault="00B41FF9" w:rsidP="00B41FF9">
      <w:r w:rsidRPr="00B41FF9">
        <w:t xml:space="preserve">For the CP method, monitoring the </w:t>
      </w:r>
      <w:r w:rsidRPr="00B41FF9">
        <w:rPr>
          <w:i/>
        </w:rPr>
        <w:t>M</w:t>
      </w:r>
      <w:r w:rsidRPr="00B41FF9">
        <w:t xml:space="preserve"> load buses in addition to the installation of </w:t>
      </w:r>
      <w:r w:rsidRPr="00B41FF9">
        <w:rPr>
          <w:i/>
        </w:rPr>
        <w:t>M</w:t>
      </w:r>
      <w:r w:rsidRPr="00B41FF9">
        <w:t xml:space="preserve"> PMUs on the corresponding load buses, </w:t>
      </w:r>
      <w:r w:rsidRPr="00B41FF9">
        <w:rPr>
          <w:i/>
        </w:rPr>
        <w:t>N</w:t>
      </w:r>
      <w:r w:rsidRPr="00B41FF9">
        <w:rPr>
          <w:i/>
          <w:vertAlign w:val="subscript"/>
        </w:rPr>
        <w:t>G</w:t>
      </w:r>
      <w:r w:rsidRPr="00B41FF9">
        <w:t xml:space="preserve"> PMUs need to be installed on all the generator buses. Therefore, the total number of PMUs is </w:t>
      </w:r>
      <w:r w:rsidRPr="00B41FF9">
        <w:rPr>
          <w:i/>
        </w:rPr>
        <w:t>M</w:t>
      </w:r>
      <w:r w:rsidRPr="00B41FF9">
        <w:t>+</w:t>
      </w:r>
      <w:r w:rsidRPr="00B41FF9">
        <w:rPr>
          <w:i/>
        </w:rPr>
        <w:t>N</w:t>
      </w:r>
      <w:r w:rsidRPr="00B41FF9">
        <w:rPr>
          <w:i/>
          <w:vertAlign w:val="subscript"/>
        </w:rPr>
        <w:t>G</w:t>
      </w:r>
      <w:r w:rsidRPr="00B41FF9">
        <w:t>. Also, the CP method will need the system admittance matrix from the supervisory control and data acquisition (SCADA) system.</w:t>
      </w:r>
    </w:p>
    <w:p w14:paraId="3FE594C4" w14:textId="77777777" w:rsidR="00B41FF9" w:rsidRPr="00B41FF9" w:rsidRDefault="00B41FF9" w:rsidP="00B41FF9">
      <w:r w:rsidRPr="00B41FF9">
        <w:t xml:space="preserve">As for computational time, the calculation of </w:t>
      </w:r>
      <w:r w:rsidRPr="00B41FF9">
        <w:rPr>
          <w:i/>
        </w:rPr>
        <w:t>K</w:t>
      </w:r>
      <w:r w:rsidRPr="00B41FF9">
        <w:t xml:space="preserve"> matrix in (</w:t>
      </w:r>
      <w:r w:rsidR="009B3A91">
        <w:t>3-</w:t>
      </w:r>
      <w:r w:rsidRPr="00B41FF9">
        <w:t xml:space="preserve">13) serves as an overhead. The </w:t>
      </w:r>
      <w:r w:rsidRPr="00B41FF9">
        <w:rPr>
          <w:i/>
        </w:rPr>
        <w:t>K</w:t>
      </w:r>
      <w:r w:rsidRPr="00B41FF9">
        <w:t xml:space="preserve"> matrix will not change until there is a change of topology or generator status. The time complexity of calculating </w:t>
      </w:r>
      <w:r w:rsidRPr="00B41FF9">
        <w:rPr>
          <w:i/>
        </w:rPr>
        <w:t>K</w:t>
      </w:r>
      <w:r w:rsidRPr="00B41FF9">
        <w:t xml:space="preserve"> matrix is O(</w:t>
      </w:r>
      <w:r w:rsidRPr="00B41FF9">
        <w:rPr>
          <w:i/>
        </w:rPr>
        <w:t>N</w:t>
      </w:r>
      <w:r w:rsidRPr="00B41FF9">
        <w:rPr>
          <w:vertAlign w:val="superscript"/>
        </w:rPr>
        <w:t>3</w:t>
      </w:r>
      <w:r w:rsidRPr="00B41FF9">
        <w:t xml:space="preserve">), considering that </w:t>
      </w:r>
      <w:r w:rsidRPr="00B41FF9">
        <w:rPr>
          <w:i/>
        </w:rPr>
        <w:t>N</w:t>
      </w:r>
      <w:r w:rsidRPr="00B41FF9">
        <w:rPr>
          <w:i/>
          <w:vertAlign w:val="subscript"/>
        </w:rPr>
        <w:t>G</w:t>
      </w:r>
      <w:r w:rsidRPr="00B41FF9">
        <w:t xml:space="preserve">, </w:t>
      </w:r>
      <w:r w:rsidRPr="00B41FF9">
        <w:rPr>
          <w:i/>
        </w:rPr>
        <w:t>N</w:t>
      </w:r>
      <w:r w:rsidRPr="00B41FF9">
        <w:rPr>
          <w:i/>
          <w:vertAlign w:val="subscript"/>
        </w:rPr>
        <w:t>T</w:t>
      </w:r>
      <w:r w:rsidRPr="00B41FF9">
        <w:t xml:space="preserve">, and </w:t>
      </w:r>
      <w:r w:rsidRPr="00B41FF9">
        <w:rPr>
          <w:i/>
        </w:rPr>
        <w:t>N</w:t>
      </w:r>
      <w:r w:rsidRPr="00B41FF9">
        <w:rPr>
          <w:i/>
          <w:vertAlign w:val="subscript"/>
        </w:rPr>
        <w:t>L</w:t>
      </w:r>
      <w:r w:rsidRPr="00B41FF9">
        <w:t xml:space="preserve"> = O(</w:t>
      </w:r>
      <w:r w:rsidRPr="00B41FF9">
        <w:rPr>
          <w:i/>
        </w:rPr>
        <w:t>N</w:t>
      </w:r>
      <w:r w:rsidRPr="00B41FF9">
        <w:t xml:space="preserve">). </w:t>
      </w:r>
    </w:p>
    <w:p w14:paraId="65890894" w14:textId="77777777" w:rsidR="00B41FF9" w:rsidRPr="00B41FF9" w:rsidRDefault="00B41FF9" w:rsidP="00B41FF9">
      <w:r w:rsidRPr="00B41FF9">
        <w:t xml:space="preserve">After the </w:t>
      </w:r>
      <w:r w:rsidRPr="00B41FF9">
        <w:rPr>
          <w:i/>
        </w:rPr>
        <w:t>K</w:t>
      </w:r>
      <w:r w:rsidRPr="00B41FF9">
        <w:t xml:space="preserve"> matrix is updated, the Thevenin voltage for a load bus </w:t>
      </w:r>
      <w:r w:rsidRPr="00B41FF9">
        <w:rPr>
          <w:i/>
        </w:rPr>
        <w:t>k</w:t>
      </w:r>
      <w:r w:rsidRPr="00B41FF9">
        <w:t xml:space="preserve"> can be calculated according to (</w:t>
      </w:r>
      <w:r>
        <w:t>3-</w:t>
      </w:r>
      <w:r w:rsidRPr="00B41FF9">
        <w:t>14). The run time is O(</w:t>
      </w:r>
      <w:r w:rsidRPr="00B41FF9">
        <w:rPr>
          <w:i/>
        </w:rPr>
        <w:t>N</w:t>
      </w:r>
      <w:r w:rsidRPr="00B41FF9">
        <w:rPr>
          <w:i/>
          <w:vertAlign w:val="subscript"/>
        </w:rPr>
        <w:t>G</w:t>
      </w:r>
      <w:r w:rsidRPr="00B41FF9">
        <w:t>) for one bus, then it takes O(1) time to calculate the impedance. Therefore, this part takes O(</w:t>
      </w:r>
      <w:r w:rsidRPr="00B41FF9">
        <w:rPr>
          <w:i/>
        </w:rPr>
        <w:t>N</w:t>
      </w:r>
      <w:r w:rsidRPr="00B41FF9">
        <w:rPr>
          <w:i/>
          <w:vertAlign w:val="subscript"/>
        </w:rPr>
        <w:t>G</w:t>
      </w:r>
      <w:r w:rsidRPr="00B41FF9">
        <w:t>) for a single load bus and O(</w:t>
      </w:r>
      <w:r w:rsidRPr="00B41FF9">
        <w:rPr>
          <w:i/>
        </w:rPr>
        <w:t>MN</w:t>
      </w:r>
      <w:r w:rsidRPr="00B41FF9">
        <w:rPr>
          <w:i/>
          <w:vertAlign w:val="subscript"/>
        </w:rPr>
        <w:t>G</w:t>
      </w:r>
      <w:r w:rsidRPr="00B41FF9">
        <w:t xml:space="preserve">) for an </w:t>
      </w:r>
      <w:r w:rsidRPr="00B41FF9">
        <w:rPr>
          <w:i/>
        </w:rPr>
        <w:t>M</w:t>
      </w:r>
      <w:r w:rsidRPr="00B41FF9">
        <w:t xml:space="preserve"> load bus.</w:t>
      </w:r>
    </w:p>
    <w:p w14:paraId="551B0CC0" w14:textId="77777777" w:rsidR="00B41FF9" w:rsidRPr="00B41FF9" w:rsidRDefault="00B41FF9" w:rsidP="00B41FF9">
      <w:r w:rsidRPr="00B41FF9">
        <w:t>To sum up this section, LS, TT, and AD methods will need PMUs installed at the buses to be monitored; CP methods will need extra PMUs installed at all generator buses.</w:t>
      </w:r>
    </w:p>
    <w:p w14:paraId="09C50CAD" w14:textId="77777777" w:rsidR="00B41FF9" w:rsidRPr="00B41FF9" w:rsidRDefault="00B41FF9" w:rsidP="00B41FF9">
      <w:r w:rsidRPr="00B41FF9">
        <w:t>As for time complexity, TT and AD methods are both O(</w:t>
      </w:r>
      <w:r w:rsidRPr="00B41FF9">
        <w:rPr>
          <w:i/>
        </w:rPr>
        <w:t>M</w:t>
      </w:r>
      <w:r w:rsidRPr="00B41FF9">
        <w:t xml:space="preserve">) for calculating </w:t>
      </w:r>
      <w:r w:rsidRPr="00B41FF9">
        <w:rPr>
          <w:i/>
        </w:rPr>
        <w:t>M</w:t>
      </w:r>
      <w:r w:rsidRPr="00B41FF9">
        <w:t xml:space="preserve"> load buses at one time step. The run time of LS and CP methods depends on specific problems. However, for CP method, an overhead of O(</w:t>
      </w:r>
      <w:r w:rsidRPr="00B41FF9">
        <w:rPr>
          <w:i/>
        </w:rPr>
        <w:t>N</w:t>
      </w:r>
      <w:r w:rsidRPr="00B41FF9">
        <w:rPr>
          <w:vertAlign w:val="superscript"/>
        </w:rPr>
        <w:t>3</w:t>
      </w:r>
      <w:r w:rsidRPr="00B41FF9">
        <w:t xml:space="preserve">) will potentially become a burden for a large system. </w:t>
      </w:r>
    </w:p>
    <w:p w14:paraId="6784040A" w14:textId="77777777" w:rsidR="00C10B2C" w:rsidRDefault="00C10B2C" w:rsidP="004B5C30">
      <w:pPr>
        <w:pStyle w:val="Heading2"/>
      </w:pPr>
      <w:bookmarkStart w:id="29" w:name="_Toc459076549"/>
      <w:r>
        <w:lastRenderedPageBreak/>
        <w:t xml:space="preserve">3.4 </w:t>
      </w:r>
      <w:r w:rsidR="00B41FF9">
        <w:t xml:space="preserve">Case </w:t>
      </w:r>
      <w:r w:rsidR="00E55F77">
        <w:t>Studies</w:t>
      </w:r>
      <w:bookmarkEnd w:id="29"/>
    </w:p>
    <w:p w14:paraId="4E9BE081" w14:textId="77777777" w:rsidR="00B41FF9" w:rsidRPr="00B41FF9" w:rsidRDefault="00B41FF9" w:rsidP="00B41FF9">
      <w:r w:rsidRPr="00B41FF9">
        <w:t xml:space="preserve">All four methods are tested on the NPCC 140-bus system </w:t>
      </w:r>
      <w:r w:rsidR="009B3A91">
        <w:fldChar w:fldCharType="begin" w:fldLock="1"/>
      </w:r>
      <w:r w:rsidR="00351740">
        <w:instrText>ADDIN CSL_CITATION { "citationItems" : [ { "id" : "ITEM-1", "itemData" : { "author" : [ { "dropping-particle" : "", "family" : "Price", "given" : "W. W.", "non-dropping-particle" : "", "parse-names" : false, "suffix" : "" } ], "id" : "ITEM-1", "issued" : { "date-parts" : [ [ "1974" ] ] }, "title" : "Dynamic Equivalents in Transient Stability Studies", "type" : "book" }, "uris" : [ "http://www.mendeley.com/documents/?uuid=aa2b0f94-5e67-42ae-b7f5-8f7e70afd1fc" ] } ], "mendeley" : { "formattedCitation" : "[62]", "plainTextFormattedCitation" : "[62]", "previouslyFormattedCitation" : "[62]" }, "properties" : { "noteIndex" : 0 }, "schema" : "https://github.com/citation-style-language/schema/raw/master/csl-citation.json" }</w:instrText>
      </w:r>
      <w:r w:rsidR="009B3A91">
        <w:fldChar w:fldCharType="separate"/>
      </w:r>
      <w:r w:rsidR="00DD7036" w:rsidRPr="00DD7036">
        <w:rPr>
          <w:noProof/>
        </w:rPr>
        <w:t>[62]</w:t>
      </w:r>
      <w:r w:rsidR="009B3A91">
        <w:fldChar w:fldCharType="end"/>
      </w:r>
      <w:r w:rsidRPr="00B41FF9">
        <w:t>. The system consists of 48 generators, 140 buses, and 223 transmission lines. In the base case, the NPCC system has a total load of 27.7 GW and 4.3 GVar, among which Area 1—the New England region—has a total load of 5048 MW and 1161 MVar. The base case of NPCC system is stressed intentionally for the purpose of creating the voltage collapse scenario.</w:t>
      </w:r>
    </w:p>
    <w:p w14:paraId="4D008BC8" w14:textId="77777777" w:rsidR="00B41FF9" w:rsidRPr="00B41FF9" w:rsidRDefault="00B41FF9" w:rsidP="00B41FF9">
      <w:r w:rsidRPr="00B41FF9">
        <w:t>Measurements are from time-domain simulations of the test system using the TSAT software from DSA Tools. Time-domain simulation will capture the slow dynamics of generators and exciters, which significantly contribute to voltage instability. While some of the methods were tested on power flow results, the performance under the time-domain simulation will be more realistic.</w:t>
      </w:r>
    </w:p>
    <w:p w14:paraId="28FF461C" w14:textId="77777777" w:rsidR="00B41FF9" w:rsidRPr="00B41FF9" w:rsidRDefault="00B41FF9" w:rsidP="00B41FF9">
      <w:r w:rsidRPr="00B41FF9">
        <w:t>Excessive loading in multiple locations often causes voltage collapse, and the Western Electricity Coordi</w:t>
      </w:r>
      <w:r w:rsidR="009B3A91">
        <w:t>nating Council (WECC) guideline</w:t>
      </w:r>
      <w:r w:rsidRPr="00B41FF9">
        <w:t xml:space="preserve"> </w:t>
      </w:r>
      <w:r w:rsidR="009B3A91">
        <w:fldChar w:fldCharType="begin" w:fldLock="1"/>
      </w:r>
      <w:r w:rsidR="00351740">
        <w:instrText>ADDIN CSL_CITATION { "citationItems" : [ { "id" : "ITEM-1", "itemData" : { "DOI" : "10.1109/PESS.1999.784345", "ISBN" : "0-7803-5569-5", "abstract" : "Engineers have long been struggling with developing voltage\nstability criteria for their systems. The development of the criteria\nbecomes even more difficult if one attempts to apply the criteria to an\nentire region such as the one within Western Systems Coordinating\nCouncil (WSCC). The WSCC which is comprised of 86 member systems from\nthe western region of North America (Canada, Mexico, and US) has\ndeveloped strict voltage stability standards which must be complied with\nby all member systems. The purpose of this paper is to describe the WSCC\nsystem-wide voltage stability criteria, which are based on V-Q and P-V\nmethodologies. A methodology for determining the proper mixture of\nstatic and dynamic reactive power source, an undervoltage load shedding\nstrategy, and a reactive power reserve monitoring methodology are also\ndiscussed", "author" : [ { "dropping-particle" : "", "family" : "Abed", "given" : "a.M.", "non-dropping-particle" : "", "parse-names" : false, "suffix" : "" } ], "container-title" : "1999 IEEE Power Engineering Society Summer Meeting. Conference Proceedings (Cat. No.99CH36364)", "id" : "ITEM-1", "issued" : { "date-parts" : [ [ "1999" ] ] }, "page" : "191-197", "title" : "WSCC voltage stability criteria, undervoltage load shedding\nstrategy, and reactive power reserve monitoring methodology", "type" : "article-journal", "volume" : "1" }, "uris" : [ "http://www.mendeley.com/documents/?uuid=dfe1917a-673f-432f-825b-5c2036880952" ] } ], "mendeley" : { "formattedCitation" : "[63]", "plainTextFormattedCitation" : "[63]", "previouslyFormattedCitation" : "[63]" }, "properties" : { "noteIndex" : 0 }, "schema" : "https://github.com/citation-style-language/schema/raw/master/csl-citation.json" }</w:instrText>
      </w:r>
      <w:r w:rsidR="009B3A91">
        <w:fldChar w:fldCharType="separate"/>
      </w:r>
      <w:r w:rsidR="00DD7036" w:rsidRPr="00DD7036">
        <w:rPr>
          <w:noProof/>
        </w:rPr>
        <w:t>[63]</w:t>
      </w:r>
      <w:r w:rsidR="009B3A91">
        <w:fldChar w:fldCharType="end"/>
      </w:r>
      <w:r w:rsidR="009B3A91">
        <w:t xml:space="preserve"> </w:t>
      </w:r>
      <w:r w:rsidRPr="00B41FF9">
        <w:t xml:space="preserve">suggests ramping up all loads of the study area in the simulation. In our study, continuously increasing loads of multiple locations is used to simulate the voltage collapse scenario. Two scenarios have been created. In Scenario 1, all loads at Area 1—the New England region—are ramping up at the rate of 6 MW and 1.2 MVar per second, starting from 5 seconds until collapsing. In Scenario 2, all the loads of the NPCC system are ramping up at the rate of 6 MW and 1.2 MVar per second, starting from 5 seconds until collapsing. The New England region is reported to suffer from voltage instability and is therefore chosen as the area of load increasing in Scenario 1. </w:t>
      </w:r>
    </w:p>
    <w:p w14:paraId="023DAA15" w14:textId="77777777" w:rsidR="004F5721" w:rsidRDefault="00B41FF9" w:rsidP="004F5721">
      <w:pPr>
        <w:jc w:val="distribute"/>
      </w:pPr>
      <w:r w:rsidRPr="00B41FF9">
        <w:t xml:space="preserve">The voltages of 10 selected buses in the voltage collapse of Scenario 1 and </w:t>
      </w:r>
    </w:p>
    <w:p w14:paraId="64315A77" w14:textId="12B2AB84" w:rsidR="00B41FF9" w:rsidRDefault="00B41FF9" w:rsidP="00BD3F66">
      <w:pPr>
        <w:spacing w:after="120"/>
        <w:ind w:firstLine="0"/>
      </w:pPr>
      <w:r w:rsidRPr="00B41FF9">
        <w:lastRenderedPageBreak/>
        <w:t xml:space="preserve">Scenario 2 are shown in </w:t>
      </w:r>
      <w:r w:rsidR="006B191E">
        <w:fldChar w:fldCharType="begin"/>
      </w:r>
      <w:r w:rsidR="006B191E">
        <w:instrText xml:space="preserve"> REF _Ref431838519 \h </w:instrText>
      </w:r>
      <w:r w:rsidR="006B191E">
        <w:fldChar w:fldCharType="separate"/>
      </w:r>
      <w:r w:rsidR="00656B13">
        <w:t xml:space="preserve">Figure </w:t>
      </w:r>
      <w:r w:rsidR="00656B13">
        <w:rPr>
          <w:noProof/>
        </w:rPr>
        <w:t>3</w:t>
      </w:r>
      <w:r w:rsidR="006B191E">
        <w:fldChar w:fldCharType="end"/>
      </w:r>
      <w:r w:rsidR="006B191E">
        <w:t xml:space="preserve"> </w:t>
      </w:r>
      <w:r w:rsidRPr="00B41FF9">
        <w:t xml:space="preserve">and </w:t>
      </w:r>
      <w:r w:rsidR="006B191E">
        <w:fldChar w:fldCharType="begin"/>
      </w:r>
      <w:r w:rsidR="006B191E">
        <w:instrText xml:space="preserve"> REF _Ref431838572 \h </w:instrText>
      </w:r>
      <w:r w:rsidR="006B191E">
        <w:fldChar w:fldCharType="separate"/>
      </w:r>
      <w:r w:rsidR="00656B13">
        <w:t xml:space="preserve">Figure </w:t>
      </w:r>
      <w:r w:rsidR="00656B13">
        <w:rPr>
          <w:noProof/>
        </w:rPr>
        <w:t>4</w:t>
      </w:r>
      <w:r w:rsidR="006B191E">
        <w:fldChar w:fldCharType="end"/>
      </w:r>
      <w:r w:rsidRPr="00B41FF9">
        <w:t>, respectively. For Scenario 1, it is seen that the system collapses at 212 seconds. The loads in Area 1 increase 1242 MW and 248.2 MVar—roughly 20% of the Area 1 load—before reaching the collapsing point. As for Scenario 2, the collapse happens at 437 seconds when loads of all areas have increased 2622 MW and 524.4 MVar—roughly 10% of the load of all areas.</w:t>
      </w:r>
    </w:p>
    <w:p w14:paraId="2533A002" w14:textId="77777777" w:rsidR="004F5721" w:rsidRDefault="004F5721" w:rsidP="00ED676A">
      <w:pPr>
        <w:pStyle w:val="Caption"/>
        <w:spacing w:after="0"/>
        <w:rPr>
          <w:sz w:val="16"/>
          <w:szCs w:val="16"/>
        </w:rPr>
      </w:pPr>
      <w:r>
        <w:rPr>
          <w:noProof/>
          <w:lang w:eastAsia="zh-CN"/>
        </w:rPr>
        <w:drawing>
          <wp:inline distT="0" distB="0" distL="0" distR="0" wp14:anchorId="38110263" wp14:editId="0592F4B9">
            <wp:extent cx="2318658" cy="1362297"/>
            <wp:effectExtent l="0" t="0" r="571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10Buses.tif"/>
                    <pic:cNvPicPr/>
                  </pic:nvPicPr>
                  <pic:blipFill rotWithShape="1">
                    <a:blip r:embed="rId130">
                      <a:extLst>
                        <a:ext uri="{28A0092B-C50C-407E-A947-70E740481C1C}">
                          <a14:useLocalDpi xmlns:a14="http://schemas.microsoft.com/office/drawing/2010/main" val="0"/>
                        </a:ext>
                      </a:extLst>
                    </a:blip>
                    <a:srcRect l="2706" t="3883" r="6114"/>
                    <a:stretch/>
                  </pic:blipFill>
                  <pic:spPr bwMode="auto">
                    <a:xfrm>
                      <a:off x="0" y="0"/>
                      <a:ext cx="2368370" cy="1391505"/>
                    </a:xfrm>
                    <a:prstGeom prst="rect">
                      <a:avLst/>
                    </a:prstGeom>
                    <a:ln>
                      <a:noFill/>
                    </a:ln>
                    <a:extLst>
                      <a:ext uri="{53640926-AAD7-44D8-BBD7-CCE9431645EC}">
                        <a14:shadowObscured xmlns:a14="http://schemas.microsoft.com/office/drawing/2010/main"/>
                      </a:ext>
                    </a:extLst>
                  </pic:spPr>
                </pic:pic>
              </a:graphicData>
            </a:graphic>
          </wp:inline>
        </w:drawing>
      </w:r>
    </w:p>
    <w:p w14:paraId="488E3FE6" w14:textId="77777777" w:rsidR="004F5721" w:rsidRDefault="004F5721" w:rsidP="004F5721">
      <w:pPr>
        <w:pStyle w:val="Caption"/>
      </w:pPr>
      <w:bookmarkStart w:id="30" w:name="_Ref431838519"/>
      <w:bookmarkStart w:id="31" w:name="_Toc459076454"/>
      <w:r>
        <w:t xml:space="preserve">Figure </w:t>
      </w:r>
      <w:fldSimple w:instr=" SEQ Figure \* ARABIC ">
        <w:r>
          <w:rPr>
            <w:noProof/>
          </w:rPr>
          <w:t>3</w:t>
        </w:r>
      </w:fldSimple>
      <w:bookmarkEnd w:id="30"/>
      <w:r>
        <w:rPr>
          <w:sz w:val="16"/>
        </w:rPr>
        <w:t>.</w:t>
      </w:r>
      <w:r w:rsidRPr="005F23B5">
        <w:rPr>
          <w:sz w:val="16"/>
        </w:rPr>
        <w:t xml:space="preserve"> </w:t>
      </w:r>
      <w:r w:rsidRPr="006B191E">
        <w:t>Voltages of selected buses of Scenario 1</w:t>
      </w:r>
      <w:r>
        <w:t>.</w:t>
      </w:r>
      <w:bookmarkEnd w:id="31"/>
    </w:p>
    <w:p w14:paraId="143625DC" w14:textId="77777777" w:rsidR="004F5721" w:rsidRDefault="004F5721" w:rsidP="004F5721">
      <w:pPr>
        <w:pStyle w:val="BodyText"/>
        <w:keepNext/>
        <w:spacing w:line="240" w:lineRule="auto"/>
        <w:ind w:left="-86" w:firstLine="0"/>
        <w:jc w:val="center"/>
      </w:pPr>
      <w:r>
        <w:rPr>
          <w:noProof/>
          <w:lang w:eastAsia="zh-CN"/>
        </w:rPr>
        <w:drawing>
          <wp:inline distT="0" distB="0" distL="0" distR="0" wp14:anchorId="20E96271" wp14:editId="0D61CD0B">
            <wp:extent cx="2296886" cy="1355843"/>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10busesSc2.tif"/>
                    <pic:cNvPicPr/>
                  </pic:nvPicPr>
                  <pic:blipFill rotWithShape="1">
                    <a:blip r:embed="rId131">
                      <a:extLst>
                        <a:ext uri="{28A0092B-C50C-407E-A947-70E740481C1C}">
                          <a14:useLocalDpi xmlns:a14="http://schemas.microsoft.com/office/drawing/2010/main" val="0"/>
                        </a:ext>
                      </a:extLst>
                    </a:blip>
                    <a:srcRect l="3805" t="2879" r="5458"/>
                    <a:stretch/>
                  </pic:blipFill>
                  <pic:spPr bwMode="auto">
                    <a:xfrm>
                      <a:off x="0" y="0"/>
                      <a:ext cx="2334542" cy="1378071"/>
                    </a:xfrm>
                    <a:prstGeom prst="rect">
                      <a:avLst/>
                    </a:prstGeom>
                    <a:ln>
                      <a:noFill/>
                    </a:ln>
                    <a:extLst>
                      <a:ext uri="{53640926-AAD7-44D8-BBD7-CCE9431645EC}">
                        <a14:shadowObscured xmlns:a14="http://schemas.microsoft.com/office/drawing/2010/main"/>
                      </a:ext>
                    </a:extLst>
                  </pic:spPr>
                </pic:pic>
              </a:graphicData>
            </a:graphic>
          </wp:inline>
        </w:drawing>
      </w:r>
    </w:p>
    <w:p w14:paraId="7C573173" w14:textId="77777777" w:rsidR="004F5721" w:rsidRDefault="004F5721" w:rsidP="004F5721">
      <w:pPr>
        <w:pStyle w:val="Caption"/>
      </w:pPr>
      <w:bookmarkStart w:id="32" w:name="_Ref431838572"/>
      <w:bookmarkStart w:id="33" w:name="_Toc459076455"/>
      <w:r>
        <w:t xml:space="preserve">Figure </w:t>
      </w:r>
      <w:fldSimple w:instr=" SEQ Figure \* ARABIC ">
        <w:r>
          <w:rPr>
            <w:noProof/>
          </w:rPr>
          <w:t>4</w:t>
        </w:r>
      </w:fldSimple>
      <w:bookmarkEnd w:id="32"/>
      <w:r w:rsidRPr="006B191E">
        <w:t>. Voltages of selected buses of Scenario 2</w:t>
      </w:r>
      <w:r>
        <w:t>.</w:t>
      </w:r>
      <w:bookmarkEnd w:id="33"/>
    </w:p>
    <w:p w14:paraId="3A70104B" w14:textId="77777777" w:rsidR="000B0E1D" w:rsidRPr="00B41FF9" w:rsidRDefault="000B0E1D" w:rsidP="00BD3F66">
      <w:pPr>
        <w:spacing w:before="480"/>
        <w:rPr>
          <w:lang w:val="x-none"/>
        </w:rPr>
      </w:pPr>
      <w:r w:rsidRPr="00B41FF9">
        <w:t>The measurements used to test the TE identification methods are from the two simulation scenarios. A sampling rate of 30 stamps per second for PMUs is assumed. The integration step of the time domain simulation is 0.0167 second, which gives 60 data per second. Only half of the data is chosen as the pseudo measurement.</w:t>
      </w:r>
    </w:p>
    <w:p w14:paraId="62619BE5" w14:textId="77777777" w:rsidR="00B41FF9" w:rsidRPr="00B41FF9" w:rsidRDefault="006B191E" w:rsidP="006B191E">
      <w:pPr>
        <w:pStyle w:val="Heading3"/>
      </w:pPr>
      <w:bookmarkStart w:id="34" w:name="_Toc459076550"/>
      <w:r>
        <w:t xml:space="preserve">3.4.1 </w:t>
      </w:r>
      <w:r w:rsidR="00B41FF9" w:rsidRPr="00B41FF9">
        <w:t>Scenario 1 Test Results</w:t>
      </w:r>
      <w:bookmarkEnd w:id="34"/>
    </w:p>
    <w:p w14:paraId="55A68951" w14:textId="77777777" w:rsidR="00B41FF9" w:rsidRPr="00B41FF9" w:rsidRDefault="00B41FF9" w:rsidP="00B41FF9">
      <w:r w:rsidRPr="00B41FF9">
        <w:t xml:space="preserve">In the case study, measurements from all the load buses in Area 1 are tested using the four methods. Test results on measurements from different load buses yield similar </w:t>
      </w:r>
      <w:r w:rsidRPr="00B41FF9">
        <w:lastRenderedPageBreak/>
        <w:t>results in monitoring the stability margin. Therefore, due to limited space, only the test results of measurements at Bus 31 are presented. Bus 31 is chosen as the load bus to monitor the voltage stability because it is the second largest load bus in Area 1, and it is at the boundary of Area 1 that connects to the remaining system.</w:t>
      </w:r>
    </w:p>
    <w:p w14:paraId="70EEBC31" w14:textId="77777777" w:rsidR="00B41FF9" w:rsidRDefault="00B41FF9" w:rsidP="00B41FF9">
      <w:r w:rsidRPr="00B41FF9">
        <w:t xml:space="preserve">Only the results of the Thevenin impedances are shown. The Thevenin impedance and Thevenin voltage depend on each other through (5). The same values of Thevenin impedance will lead to the same values of Thevenin voltage when measurements are the same. The results of the four methods are shown in </w:t>
      </w:r>
      <w:r w:rsidR="006B191E">
        <w:fldChar w:fldCharType="begin"/>
      </w:r>
      <w:r w:rsidR="006B191E">
        <w:instrText xml:space="preserve"> REF _Ref431838648 \h </w:instrText>
      </w:r>
      <w:r w:rsidR="006B191E">
        <w:fldChar w:fldCharType="separate"/>
      </w:r>
      <w:r w:rsidR="00656B13">
        <w:rPr>
          <w:bCs/>
        </w:rPr>
        <w:t>Figure</w:t>
      </w:r>
      <w:r w:rsidR="00656B13" w:rsidRPr="00B41FF9">
        <w:rPr>
          <w:bCs/>
        </w:rPr>
        <w:t xml:space="preserve"> </w:t>
      </w:r>
      <w:r w:rsidR="00656B13">
        <w:rPr>
          <w:bCs/>
          <w:noProof/>
        </w:rPr>
        <w:t>5</w:t>
      </w:r>
      <w:r w:rsidR="006B191E">
        <w:fldChar w:fldCharType="end"/>
      </w:r>
      <w:r w:rsidRPr="00B41FF9">
        <w:t xml:space="preserve"> through </w:t>
      </w:r>
      <w:r w:rsidR="006B191E">
        <w:fldChar w:fldCharType="begin"/>
      </w:r>
      <w:r w:rsidR="006B191E">
        <w:instrText xml:space="preserve"> REF _Ref431838657 \h </w:instrText>
      </w:r>
      <w:r w:rsidR="006B191E">
        <w:fldChar w:fldCharType="separate"/>
      </w:r>
      <w:r w:rsidR="00656B13">
        <w:rPr>
          <w:bCs/>
        </w:rPr>
        <w:t>Figure</w:t>
      </w:r>
      <w:r w:rsidR="00656B13" w:rsidRPr="00B41FF9">
        <w:rPr>
          <w:bCs/>
        </w:rPr>
        <w:t xml:space="preserve"> </w:t>
      </w:r>
      <w:r w:rsidR="00656B13">
        <w:rPr>
          <w:bCs/>
          <w:noProof/>
        </w:rPr>
        <w:t>8</w:t>
      </w:r>
      <w:r w:rsidR="006B191E">
        <w:fldChar w:fldCharType="end"/>
      </w:r>
      <w:r w:rsidRPr="00B41FF9">
        <w:t>, respectively.</w:t>
      </w:r>
    </w:p>
    <w:p w14:paraId="149508D3" w14:textId="77777777" w:rsidR="008D4145" w:rsidRPr="00B41FF9" w:rsidRDefault="008D4145" w:rsidP="008D4145">
      <w:r w:rsidRPr="00B41FF9">
        <w:t xml:space="preserve">The results of LS method and TT method are very close to each other. According to </w:t>
      </w:r>
      <w:r>
        <w:fldChar w:fldCharType="begin"/>
      </w:r>
      <w:r>
        <w:instrText xml:space="preserve"> REF _Ref431838648 \h </w:instrText>
      </w:r>
      <w:r>
        <w:fldChar w:fldCharType="separate"/>
      </w:r>
      <w:r>
        <w:rPr>
          <w:bCs/>
        </w:rPr>
        <w:t>Figure</w:t>
      </w:r>
      <w:r w:rsidRPr="00B41FF9">
        <w:rPr>
          <w:bCs/>
        </w:rPr>
        <w:t xml:space="preserve"> </w:t>
      </w:r>
      <w:r>
        <w:rPr>
          <w:bCs/>
          <w:noProof/>
        </w:rPr>
        <w:t>5</w:t>
      </w:r>
      <w:r>
        <w:fldChar w:fldCharType="end"/>
      </w:r>
      <w:r>
        <w:t xml:space="preserve"> </w:t>
      </w:r>
      <w:r w:rsidRPr="00B41FF9">
        <w:t xml:space="preserve">and </w:t>
      </w:r>
      <w:r>
        <w:fldChar w:fldCharType="begin"/>
      </w:r>
      <w:r>
        <w:instrText xml:space="preserve"> REF _Ref431838712 \h </w:instrText>
      </w:r>
      <w:r>
        <w:fldChar w:fldCharType="separate"/>
      </w:r>
      <w:r>
        <w:rPr>
          <w:bCs/>
        </w:rPr>
        <w:t>Figure</w:t>
      </w:r>
      <w:r w:rsidRPr="00B41FF9">
        <w:rPr>
          <w:bCs/>
        </w:rPr>
        <w:t xml:space="preserve"> </w:t>
      </w:r>
      <w:r>
        <w:rPr>
          <w:bCs/>
          <w:noProof/>
        </w:rPr>
        <w:t>6</w:t>
      </w:r>
      <w:r>
        <w:fldChar w:fldCharType="end"/>
      </w:r>
      <w:r w:rsidRPr="00B41FF9">
        <w:t>, in the beginning, the Thevenin impedance is around 10 times smaller than the load impedance. As the load increases, the load impedance decreases, while at the same time, the Thevenin impedance increases. At 210 seconds, the Thevenin impedance and the load impedance match each other, which coincides with the voltage collapse.</w:t>
      </w:r>
    </w:p>
    <w:p w14:paraId="3A4AC73C" w14:textId="77777777" w:rsidR="008D4145" w:rsidRPr="00B41FF9" w:rsidRDefault="008D4145" w:rsidP="008D4145">
      <w:r w:rsidRPr="00B41FF9">
        <w:t>The Thevenin impedance calculated by the AD method is consistently increasing after the initializing phase in the first 10 seconds. However, the impedance is much smaller compared with the impedances calculated by the first two methods. Moreover, it captures the little jumps around second 110 and second 130, which are also captured in the first two methods.  However, in the final seconds, there is still a relatively large gap between the load and Thevenin impedances.</w:t>
      </w:r>
    </w:p>
    <w:p w14:paraId="542B1A19" w14:textId="447B202D" w:rsidR="008D4145" w:rsidRDefault="008D4145" w:rsidP="008D4145">
      <w:pPr>
        <w:jc w:val="distribute"/>
      </w:pPr>
      <w:r w:rsidRPr="00B41FF9">
        <w:t>The fact that Thevenin impedance does not hold constant is mainly because only</w:t>
      </w:r>
    </w:p>
    <w:p w14:paraId="11B6A6DB" w14:textId="77777777" w:rsidR="00B41FF9" w:rsidRPr="00B41FF9" w:rsidRDefault="00B41FF9" w:rsidP="004F29E5">
      <w:pPr>
        <w:spacing w:line="240" w:lineRule="auto"/>
        <w:jc w:val="center"/>
        <w:rPr>
          <w:lang w:val="x-none"/>
        </w:rPr>
      </w:pPr>
      <w:r w:rsidRPr="00B41FF9">
        <w:rPr>
          <w:noProof/>
          <w:lang w:eastAsia="zh-CN"/>
        </w:rPr>
        <w:lastRenderedPageBreak/>
        <w:drawing>
          <wp:inline distT="0" distB="0" distL="0" distR="0" wp14:anchorId="2664E48A" wp14:editId="244BFD70">
            <wp:extent cx="3448050" cy="135255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LS_ZT.tif"/>
                    <pic:cNvPicPr/>
                  </pic:nvPicPr>
                  <pic:blipFill>
                    <a:blip r:embed="rId132">
                      <a:extLst>
                        <a:ext uri="{28A0092B-C50C-407E-A947-70E740481C1C}">
                          <a14:useLocalDpi xmlns:a14="http://schemas.microsoft.com/office/drawing/2010/main" val="0"/>
                        </a:ext>
                      </a:extLst>
                    </a:blip>
                    <a:stretch>
                      <a:fillRect/>
                    </a:stretch>
                  </pic:blipFill>
                  <pic:spPr>
                    <a:xfrm>
                      <a:off x="0" y="0"/>
                      <a:ext cx="3467195" cy="1360060"/>
                    </a:xfrm>
                    <a:prstGeom prst="rect">
                      <a:avLst/>
                    </a:prstGeom>
                  </pic:spPr>
                </pic:pic>
              </a:graphicData>
            </a:graphic>
          </wp:inline>
        </w:drawing>
      </w:r>
    </w:p>
    <w:p w14:paraId="272BC733" w14:textId="77777777" w:rsidR="00B41FF9" w:rsidRPr="00B41FF9" w:rsidRDefault="006B191E" w:rsidP="006B191E">
      <w:pPr>
        <w:jc w:val="center"/>
        <w:rPr>
          <w:bCs/>
        </w:rPr>
      </w:pPr>
      <w:bookmarkStart w:id="35" w:name="_Ref431838648"/>
      <w:bookmarkStart w:id="36" w:name="_Toc459076456"/>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5</w:t>
      </w:r>
      <w:r>
        <w:rPr>
          <w:bCs/>
        </w:rPr>
        <w:fldChar w:fldCharType="end"/>
      </w:r>
      <w:bookmarkEnd w:id="35"/>
      <w:r w:rsidR="00B41FF9" w:rsidRPr="00B41FF9">
        <w:rPr>
          <w:bCs/>
        </w:rPr>
        <w:t>. Thevenin impedance of LS method for Scenario 1</w:t>
      </w:r>
      <w:r w:rsidR="004F29E5">
        <w:rPr>
          <w:bCs/>
        </w:rPr>
        <w:t>.</w:t>
      </w:r>
      <w:bookmarkEnd w:id="36"/>
    </w:p>
    <w:p w14:paraId="5585A660" w14:textId="77777777" w:rsidR="00B41FF9" w:rsidRPr="00B41FF9" w:rsidRDefault="00B41FF9" w:rsidP="004F29E5">
      <w:pPr>
        <w:spacing w:line="240" w:lineRule="auto"/>
        <w:jc w:val="center"/>
        <w:rPr>
          <w:lang w:val="x-none"/>
        </w:rPr>
      </w:pPr>
      <w:r w:rsidRPr="00B41FF9">
        <w:rPr>
          <w:noProof/>
          <w:lang w:eastAsia="zh-CN"/>
        </w:rPr>
        <w:drawing>
          <wp:inline distT="0" distB="0" distL="0" distR="0" wp14:anchorId="2AFB7367" wp14:editId="0B86FB5B">
            <wp:extent cx="3311770" cy="1482969"/>
            <wp:effectExtent l="0" t="0" r="3175" b="3175"/>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TT_ZT.tif"/>
                    <pic:cNvPicPr/>
                  </pic:nvPicPr>
                  <pic:blipFill>
                    <a:blip r:embed="rId133">
                      <a:extLst>
                        <a:ext uri="{28A0092B-C50C-407E-A947-70E740481C1C}">
                          <a14:useLocalDpi xmlns:a14="http://schemas.microsoft.com/office/drawing/2010/main" val="0"/>
                        </a:ext>
                      </a:extLst>
                    </a:blip>
                    <a:stretch>
                      <a:fillRect/>
                    </a:stretch>
                  </pic:blipFill>
                  <pic:spPr>
                    <a:xfrm>
                      <a:off x="0" y="0"/>
                      <a:ext cx="3332390" cy="1492203"/>
                    </a:xfrm>
                    <a:prstGeom prst="rect">
                      <a:avLst/>
                    </a:prstGeom>
                  </pic:spPr>
                </pic:pic>
              </a:graphicData>
            </a:graphic>
          </wp:inline>
        </w:drawing>
      </w:r>
    </w:p>
    <w:p w14:paraId="034C8938" w14:textId="77777777" w:rsidR="00B41FF9" w:rsidRPr="00B41FF9" w:rsidRDefault="006B191E" w:rsidP="006B191E">
      <w:pPr>
        <w:jc w:val="center"/>
        <w:rPr>
          <w:bCs/>
        </w:rPr>
      </w:pPr>
      <w:bookmarkStart w:id="37" w:name="_Ref431838712"/>
      <w:bookmarkStart w:id="38" w:name="_Toc459076457"/>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6</w:t>
      </w:r>
      <w:r>
        <w:rPr>
          <w:bCs/>
        </w:rPr>
        <w:fldChar w:fldCharType="end"/>
      </w:r>
      <w:bookmarkEnd w:id="37"/>
      <w:r w:rsidR="00B41FF9" w:rsidRPr="00B41FF9">
        <w:rPr>
          <w:bCs/>
        </w:rPr>
        <w:t>. Thevenin impedance of TT method for Scenario 1</w:t>
      </w:r>
      <w:r w:rsidR="004F29E5">
        <w:rPr>
          <w:bCs/>
        </w:rPr>
        <w:t>.</w:t>
      </w:r>
      <w:bookmarkEnd w:id="38"/>
    </w:p>
    <w:p w14:paraId="2A38E2BE" w14:textId="77777777" w:rsidR="00B41FF9" w:rsidRPr="00B41FF9" w:rsidRDefault="00B41FF9" w:rsidP="004F29E5">
      <w:pPr>
        <w:spacing w:line="240" w:lineRule="auto"/>
        <w:jc w:val="center"/>
        <w:rPr>
          <w:lang w:val="x-none"/>
        </w:rPr>
      </w:pPr>
      <w:r w:rsidRPr="00B41FF9">
        <w:rPr>
          <w:noProof/>
          <w:lang w:eastAsia="zh-CN"/>
        </w:rPr>
        <w:drawing>
          <wp:inline distT="0" distB="0" distL="0" distR="0" wp14:anchorId="546589BB" wp14:editId="5661A333">
            <wp:extent cx="3511061" cy="1553308"/>
            <wp:effectExtent l="0" t="0" r="0" b="889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AD_ZT.tif"/>
                    <pic:cNvPicPr/>
                  </pic:nvPicPr>
                  <pic:blipFill>
                    <a:blip r:embed="rId134">
                      <a:extLst>
                        <a:ext uri="{28A0092B-C50C-407E-A947-70E740481C1C}">
                          <a14:useLocalDpi xmlns:a14="http://schemas.microsoft.com/office/drawing/2010/main" val="0"/>
                        </a:ext>
                      </a:extLst>
                    </a:blip>
                    <a:stretch>
                      <a:fillRect/>
                    </a:stretch>
                  </pic:blipFill>
                  <pic:spPr>
                    <a:xfrm>
                      <a:off x="0" y="0"/>
                      <a:ext cx="3523722" cy="1558909"/>
                    </a:xfrm>
                    <a:prstGeom prst="rect">
                      <a:avLst/>
                    </a:prstGeom>
                  </pic:spPr>
                </pic:pic>
              </a:graphicData>
            </a:graphic>
          </wp:inline>
        </w:drawing>
      </w:r>
    </w:p>
    <w:p w14:paraId="635F4BBF" w14:textId="77777777" w:rsidR="00B41FF9" w:rsidRPr="00B41FF9" w:rsidRDefault="006B191E" w:rsidP="006B191E">
      <w:pPr>
        <w:jc w:val="center"/>
        <w:rPr>
          <w:bCs/>
        </w:rPr>
      </w:pPr>
      <w:bookmarkStart w:id="39" w:name="_Toc459076458"/>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7</w:t>
      </w:r>
      <w:r>
        <w:rPr>
          <w:bCs/>
        </w:rPr>
        <w:fldChar w:fldCharType="end"/>
      </w:r>
      <w:r w:rsidR="00B41FF9" w:rsidRPr="00B41FF9">
        <w:rPr>
          <w:bCs/>
        </w:rPr>
        <w:t>. Thevenin impedance of AD method for Scenario 1</w:t>
      </w:r>
      <w:r w:rsidR="004F29E5">
        <w:rPr>
          <w:bCs/>
        </w:rPr>
        <w:t>.</w:t>
      </w:r>
      <w:bookmarkEnd w:id="39"/>
    </w:p>
    <w:p w14:paraId="59E9BC1F" w14:textId="77777777" w:rsidR="00B41FF9" w:rsidRPr="00B41FF9" w:rsidRDefault="00B41FF9" w:rsidP="004F29E5">
      <w:pPr>
        <w:spacing w:line="240" w:lineRule="auto"/>
        <w:jc w:val="center"/>
        <w:rPr>
          <w:lang w:val="x-none"/>
        </w:rPr>
      </w:pPr>
      <w:r w:rsidRPr="00B41FF9">
        <w:rPr>
          <w:noProof/>
          <w:lang w:eastAsia="zh-CN"/>
        </w:rPr>
        <w:drawing>
          <wp:inline distT="0" distB="0" distL="0" distR="0" wp14:anchorId="7ABEB450" wp14:editId="01186AA3">
            <wp:extent cx="3499338" cy="1582616"/>
            <wp:effectExtent l="0" t="0" r="635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CP_ZT.tif"/>
                    <pic:cNvPicPr/>
                  </pic:nvPicPr>
                  <pic:blipFill rotWithShape="1">
                    <a:blip r:embed="rId135">
                      <a:extLst>
                        <a:ext uri="{28A0092B-C50C-407E-A947-70E740481C1C}">
                          <a14:useLocalDpi xmlns:a14="http://schemas.microsoft.com/office/drawing/2010/main" val="0"/>
                        </a:ext>
                      </a:extLst>
                    </a:blip>
                    <a:srcRect l="1244" r="-1244"/>
                    <a:stretch/>
                  </pic:blipFill>
                  <pic:spPr>
                    <a:xfrm>
                      <a:off x="0" y="0"/>
                      <a:ext cx="3514821" cy="1589618"/>
                    </a:xfrm>
                    <a:prstGeom prst="rect">
                      <a:avLst/>
                    </a:prstGeom>
                  </pic:spPr>
                </pic:pic>
              </a:graphicData>
            </a:graphic>
          </wp:inline>
        </w:drawing>
      </w:r>
    </w:p>
    <w:p w14:paraId="76E2D404" w14:textId="77777777" w:rsidR="004F29E5" w:rsidRDefault="006B191E" w:rsidP="006B191E">
      <w:pPr>
        <w:jc w:val="center"/>
        <w:rPr>
          <w:bCs/>
        </w:rPr>
      </w:pPr>
      <w:bookmarkStart w:id="40" w:name="_Ref431838657"/>
      <w:bookmarkStart w:id="41" w:name="_Toc459076459"/>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8</w:t>
      </w:r>
      <w:r>
        <w:rPr>
          <w:bCs/>
        </w:rPr>
        <w:fldChar w:fldCharType="end"/>
      </w:r>
      <w:bookmarkEnd w:id="40"/>
      <w:r w:rsidR="00B41FF9" w:rsidRPr="00B41FF9">
        <w:rPr>
          <w:bCs/>
        </w:rPr>
        <w:t>. Thevenin impedance of CP method for Scenario 1</w:t>
      </w:r>
      <w:r w:rsidR="004F29E5">
        <w:rPr>
          <w:bCs/>
        </w:rPr>
        <w:t>.</w:t>
      </w:r>
      <w:bookmarkEnd w:id="41"/>
    </w:p>
    <w:p w14:paraId="76EC86B9" w14:textId="77777777" w:rsidR="004F29E5" w:rsidRDefault="004F29E5" w:rsidP="004F29E5">
      <w:r>
        <w:br w:type="page"/>
      </w:r>
    </w:p>
    <w:p w14:paraId="5280FBAC" w14:textId="625A7D05" w:rsidR="00B41FF9" w:rsidRPr="00B41FF9" w:rsidRDefault="00B41FF9" w:rsidP="008D4145">
      <w:pPr>
        <w:ind w:firstLine="0"/>
      </w:pPr>
      <w:r w:rsidRPr="00B41FF9">
        <w:lastRenderedPageBreak/>
        <w:t>the load in Area 1 is ramping up, but other loads remain constant. The idea shown in (14), which represents the other loads in the impedance, is not very reliable considering the ratio of currents of other loads outside Area 1 to the current of load Bus 31 will change significantly during the simulation.</w:t>
      </w:r>
    </w:p>
    <w:p w14:paraId="3943C7FB" w14:textId="77777777" w:rsidR="00B41FF9" w:rsidRPr="00B41FF9" w:rsidRDefault="006B191E" w:rsidP="006B191E">
      <w:pPr>
        <w:pStyle w:val="Heading3"/>
      </w:pPr>
      <w:bookmarkStart w:id="42" w:name="_Toc459076551"/>
      <w:r>
        <w:t xml:space="preserve">3.4.2 </w:t>
      </w:r>
      <w:r w:rsidR="00B41FF9" w:rsidRPr="00B41FF9">
        <w:t>Scenario 2 Test Results</w:t>
      </w:r>
      <w:bookmarkEnd w:id="42"/>
    </w:p>
    <w:p w14:paraId="73478901" w14:textId="6B4A7D87" w:rsidR="00ED676A" w:rsidRPr="00B41FF9" w:rsidRDefault="00B41FF9" w:rsidP="00ED676A">
      <w:r w:rsidRPr="00B41FF9">
        <w:t xml:space="preserve">The calculated Thevenin impedances of the four methods are presented in </w:t>
      </w:r>
      <w:r w:rsidR="006B191E">
        <w:fldChar w:fldCharType="begin"/>
      </w:r>
      <w:r w:rsidR="006B191E">
        <w:instrText xml:space="preserve"> REF _Ref431838747 \h </w:instrText>
      </w:r>
      <w:r w:rsidR="006B191E">
        <w:fldChar w:fldCharType="separate"/>
      </w:r>
      <w:r w:rsidR="00656B13">
        <w:rPr>
          <w:bCs/>
        </w:rPr>
        <w:t>Figure</w:t>
      </w:r>
      <w:r w:rsidR="00656B13" w:rsidRPr="00B41FF9">
        <w:rPr>
          <w:bCs/>
        </w:rPr>
        <w:t xml:space="preserve"> </w:t>
      </w:r>
      <w:r w:rsidR="00656B13">
        <w:rPr>
          <w:bCs/>
          <w:noProof/>
        </w:rPr>
        <w:t>9</w:t>
      </w:r>
      <w:r w:rsidR="006B191E">
        <w:fldChar w:fldCharType="end"/>
      </w:r>
      <w:r w:rsidR="006B191E">
        <w:t xml:space="preserve"> </w:t>
      </w:r>
      <w:r w:rsidRPr="00B41FF9">
        <w:t xml:space="preserve">through </w:t>
      </w:r>
      <w:r w:rsidR="006B191E">
        <w:fldChar w:fldCharType="begin"/>
      </w:r>
      <w:r w:rsidR="006B191E">
        <w:instrText xml:space="preserve"> REF _Ref431838757 \h </w:instrText>
      </w:r>
      <w:r w:rsidR="006B191E">
        <w:fldChar w:fldCharType="separate"/>
      </w:r>
      <w:r w:rsidR="00656B13">
        <w:rPr>
          <w:bCs/>
        </w:rPr>
        <w:t>Figure</w:t>
      </w:r>
      <w:r w:rsidR="00656B13" w:rsidRPr="00B41FF9">
        <w:rPr>
          <w:bCs/>
        </w:rPr>
        <w:t xml:space="preserve"> </w:t>
      </w:r>
      <w:r w:rsidR="00656B13">
        <w:rPr>
          <w:bCs/>
          <w:noProof/>
        </w:rPr>
        <w:t>12</w:t>
      </w:r>
      <w:r w:rsidR="006B191E">
        <w:fldChar w:fldCharType="end"/>
      </w:r>
      <w:r w:rsidRPr="00B41FF9">
        <w:t>.</w:t>
      </w:r>
      <w:r w:rsidR="00ED676A" w:rsidRPr="00ED676A">
        <w:t xml:space="preserve"> </w:t>
      </w:r>
      <w:r w:rsidR="00ED676A" w:rsidRPr="00B41FF9">
        <w:t xml:space="preserve">The performance of the LS method is consistent with Scenario 1, as shown in </w:t>
      </w:r>
      <w:r w:rsidR="00ED676A">
        <w:fldChar w:fldCharType="begin"/>
      </w:r>
      <w:r w:rsidR="00ED676A">
        <w:instrText xml:space="preserve"> REF _Ref431838747 \h </w:instrText>
      </w:r>
      <w:r w:rsidR="00ED676A">
        <w:fldChar w:fldCharType="separate"/>
      </w:r>
      <w:r w:rsidR="00ED676A">
        <w:rPr>
          <w:bCs/>
        </w:rPr>
        <w:t>Figure</w:t>
      </w:r>
      <w:r w:rsidR="00ED676A" w:rsidRPr="00B41FF9">
        <w:rPr>
          <w:bCs/>
        </w:rPr>
        <w:t xml:space="preserve"> </w:t>
      </w:r>
      <w:r w:rsidR="00ED676A">
        <w:rPr>
          <w:bCs/>
          <w:noProof/>
        </w:rPr>
        <w:t>9</w:t>
      </w:r>
      <w:r w:rsidR="00ED676A">
        <w:fldChar w:fldCharType="end"/>
      </w:r>
      <w:r w:rsidR="00ED676A" w:rsidRPr="00B41FF9">
        <w:t>. Thevenin impedance matches load impedance slightly before the collapse happens.</w:t>
      </w:r>
    </w:p>
    <w:p w14:paraId="1A5FE114" w14:textId="77777777" w:rsidR="00ED676A" w:rsidRPr="00B41FF9" w:rsidRDefault="00ED676A" w:rsidP="00ED676A">
      <w:r w:rsidRPr="00B41FF9">
        <w:t xml:space="preserve">The TT method, as shown in </w:t>
      </w:r>
      <w:r>
        <w:fldChar w:fldCharType="begin"/>
      </w:r>
      <w:r>
        <w:instrText xml:space="preserve"> REF _Ref431838824 \h </w:instrText>
      </w:r>
      <w:r>
        <w:fldChar w:fldCharType="separate"/>
      </w:r>
      <w:r>
        <w:rPr>
          <w:bCs/>
        </w:rPr>
        <w:t>Figure</w:t>
      </w:r>
      <w:r w:rsidRPr="00B41FF9">
        <w:rPr>
          <w:bCs/>
        </w:rPr>
        <w:t xml:space="preserve"> </w:t>
      </w:r>
      <w:r>
        <w:rPr>
          <w:bCs/>
          <w:noProof/>
        </w:rPr>
        <w:t>10</w:t>
      </w:r>
      <w:r>
        <w:fldChar w:fldCharType="end"/>
      </w:r>
      <w:r w:rsidRPr="00B41FF9">
        <w:t xml:space="preserve">, successfully indicates the voltage collapse. However, there are significant variations in the calculated Thevenin impedances of adjacent time stamps. The variation for Scenario 2 is much more severe compared with the curve shown in </w:t>
      </w:r>
      <w:r>
        <w:fldChar w:fldCharType="begin"/>
      </w:r>
      <w:r>
        <w:instrText xml:space="preserve"> REF _Ref431838712 \h </w:instrText>
      </w:r>
      <w:r>
        <w:fldChar w:fldCharType="separate"/>
      </w:r>
      <w:r>
        <w:rPr>
          <w:bCs/>
        </w:rPr>
        <w:t>Figure</w:t>
      </w:r>
      <w:r w:rsidRPr="00B41FF9">
        <w:rPr>
          <w:bCs/>
        </w:rPr>
        <w:t xml:space="preserve"> </w:t>
      </w:r>
      <w:r>
        <w:rPr>
          <w:bCs/>
          <w:noProof/>
        </w:rPr>
        <w:t>6</w:t>
      </w:r>
      <w:r>
        <w:fldChar w:fldCharType="end"/>
      </w:r>
      <w:r w:rsidRPr="00B41FF9">
        <w:t xml:space="preserve">, where the variation can hardly be noticed. The reason is that the </w:t>
      </w:r>
      <w:r w:rsidRPr="00B41FF9">
        <w:object w:dxaOrig="300" w:dyaOrig="220" w14:anchorId="0D83EF71">
          <v:shape id="_x0000_i1164" type="#_x0000_t75" style="width:18pt;height:9pt" o:ole="">
            <v:imagedata r:id="rId136" o:title=""/>
          </v:shape>
          <o:OLEObject Type="Embed" ProgID="Equation.DSMT4" ShapeID="_x0000_i1164" DrawAspect="Content" ObjectID="_1532825654" r:id="rId137"/>
        </w:object>
      </w:r>
      <w:r w:rsidRPr="00B41FF9">
        <w:t xml:space="preserve">between 2 nearby time step in Scenario 2 is generally smaller than Scenario 1, which makes </w:t>
      </w:r>
      <w:r w:rsidRPr="00B41FF9">
        <w:object w:dxaOrig="360" w:dyaOrig="240" w14:anchorId="198584F7">
          <v:shape id="_x0000_i1165" type="#_x0000_t75" style="width:19.5pt;height:13.5pt" o:ole="">
            <v:imagedata r:id="rId138" o:title=""/>
          </v:shape>
          <o:OLEObject Type="Embed" ProgID="Equation.DSMT4" ShapeID="_x0000_i1165" DrawAspect="Content" ObjectID="_1532825655" r:id="rId139"/>
        </w:object>
      </w:r>
      <w:r w:rsidRPr="00B41FF9">
        <w:t>/</w:t>
      </w:r>
      <w:r w:rsidRPr="00B41FF9">
        <w:object w:dxaOrig="300" w:dyaOrig="220" w14:anchorId="324AB313">
          <v:shape id="_x0000_i1166" type="#_x0000_t75" style="width:18pt;height:9pt" o:ole="">
            <v:imagedata r:id="rId136" o:title=""/>
          </v:shape>
          <o:OLEObject Type="Embed" ProgID="Equation.DSMT4" ShapeID="_x0000_i1166" DrawAspect="Content" ObjectID="_1532825656" r:id="rId140"/>
        </w:object>
      </w:r>
      <w:r w:rsidRPr="00B41FF9">
        <w:t xml:space="preserve">more sensitive. Though the absolute values of load ramping rates are identical, the load ramping rate for a specific load bus in Scenario 2 is smaller than that in Scenario 1 because more loads are sharing the load ramping. The average </w:t>
      </w:r>
      <w:r w:rsidRPr="00B41FF9">
        <w:object w:dxaOrig="300" w:dyaOrig="220" w14:anchorId="76C4B458">
          <v:shape id="_x0000_i1167" type="#_x0000_t75" style="width:18pt;height:9pt" o:ole="">
            <v:imagedata r:id="rId136" o:title=""/>
          </v:shape>
          <o:OLEObject Type="Embed" ProgID="Equation.DSMT4" ShapeID="_x0000_i1167" DrawAspect="Content" ObjectID="_1532825657" r:id="rId141"/>
        </w:object>
      </w:r>
      <w:r w:rsidRPr="00B41FF9">
        <w:t xml:space="preserve"> is 4.38e-4 in Scenario 1. In Scenario 2, this value is 1.1067e-4, approximately one fourth of the value computed in Scenario 1.  Meanwhile, the threshold ε is set as 5e-5 in both cases. </w:t>
      </w:r>
    </w:p>
    <w:p w14:paraId="785BC17F" w14:textId="6E8BFEB8" w:rsidR="00B41FF9" w:rsidRPr="00B41FF9" w:rsidRDefault="00ED676A" w:rsidP="00ED676A">
      <w:pPr>
        <w:jc w:val="distribute"/>
      </w:pPr>
      <w:r w:rsidRPr="00B41FF9">
        <w:t xml:space="preserve">A possible solution to smooth the variation is to increase ε a little, hoping to limit cases wherein a small number is being divided. </w:t>
      </w:r>
      <w:r>
        <w:fldChar w:fldCharType="begin"/>
      </w:r>
      <w:r>
        <w:instrText xml:space="preserve"> REF _Ref431838859 \h </w:instrText>
      </w:r>
      <w:r>
        <w:instrText xml:space="preserve"> \* MERGEFORMAT </w:instrText>
      </w:r>
      <w:r>
        <w:fldChar w:fldCharType="separate"/>
      </w:r>
      <w:r>
        <w:rPr>
          <w:bCs/>
        </w:rPr>
        <w:t>Figure</w:t>
      </w:r>
      <w:r w:rsidRPr="00B41FF9">
        <w:rPr>
          <w:bCs/>
        </w:rPr>
        <w:t xml:space="preserve"> </w:t>
      </w:r>
      <w:r>
        <w:rPr>
          <w:bCs/>
          <w:noProof/>
        </w:rPr>
        <w:t>13</w:t>
      </w:r>
      <w:r>
        <w:fldChar w:fldCharType="end"/>
      </w:r>
      <w:r w:rsidRPr="00B41FF9">
        <w:t xml:space="preserve"> shows the results when ε is set</w:t>
      </w:r>
    </w:p>
    <w:p w14:paraId="731B12C1" w14:textId="77777777" w:rsidR="00B41FF9" w:rsidRPr="00B41FF9" w:rsidRDefault="00B41FF9" w:rsidP="00ED676A">
      <w:pPr>
        <w:spacing w:line="240" w:lineRule="auto"/>
        <w:jc w:val="center"/>
        <w:rPr>
          <w:lang w:val="x-none"/>
        </w:rPr>
      </w:pPr>
      <w:r w:rsidRPr="00B41FF9">
        <w:rPr>
          <w:noProof/>
          <w:lang w:eastAsia="zh-CN"/>
        </w:rPr>
        <w:lastRenderedPageBreak/>
        <w:drawing>
          <wp:inline distT="0" distB="0" distL="0" distR="0" wp14:anchorId="20BF8F36" wp14:editId="196E4535">
            <wp:extent cx="3038475" cy="1152525"/>
            <wp:effectExtent l="0" t="0" r="9525" b="952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LS_Z.tif"/>
                    <pic:cNvPicPr/>
                  </pic:nvPicPr>
                  <pic:blipFill>
                    <a:blip r:embed="rId142">
                      <a:extLst>
                        <a:ext uri="{28A0092B-C50C-407E-A947-70E740481C1C}">
                          <a14:useLocalDpi xmlns:a14="http://schemas.microsoft.com/office/drawing/2010/main" val="0"/>
                        </a:ext>
                      </a:extLst>
                    </a:blip>
                    <a:stretch>
                      <a:fillRect/>
                    </a:stretch>
                  </pic:blipFill>
                  <pic:spPr>
                    <a:xfrm>
                      <a:off x="0" y="0"/>
                      <a:ext cx="3039390" cy="1152872"/>
                    </a:xfrm>
                    <a:prstGeom prst="rect">
                      <a:avLst/>
                    </a:prstGeom>
                  </pic:spPr>
                </pic:pic>
              </a:graphicData>
            </a:graphic>
          </wp:inline>
        </w:drawing>
      </w:r>
    </w:p>
    <w:p w14:paraId="70AB6C6C" w14:textId="77777777" w:rsidR="00B41FF9" w:rsidRPr="00B41FF9" w:rsidRDefault="006B191E" w:rsidP="006B191E">
      <w:pPr>
        <w:jc w:val="center"/>
        <w:rPr>
          <w:bCs/>
        </w:rPr>
      </w:pPr>
      <w:bookmarkStart w:id="43" w:name="_Ref431838747"/>
      <w:bookmarkStart w:id="44" w:name="_Toc459076460"/>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9</w:t>
      </w:r>
      <w:r>
        <w:rPr>
          <w:bCs/>
        </w:rPr>
        <w:fldChar w:fldCharType="end"/>
      </w:r>
      <w:bookmarkEnd w:id="43"/>
      <w:r w:rsidR="00B41FF9" w:rsidRPr="00B41FF9">
        <w:rPr>
          <w:bCs/>
        </w:rPr>
        <w:t>. Thevenin impedance of LS method for Scenario 2</w:t>
      </w:r>
      <w:bookmarkEnd w:id="44"/>
    </w:p>
    <w:p w14:paraId="7B6B643E" w14:textId="77777777" w:rsidR="00B41FF9" w:rsidRPr="00B41FF9" w:rsidRDefault="00B41FF9" w:rsidP="00ED676A">
      <w:pPr>
        <w:spacing w:line="240" w:lineRule="auto"/>
        <w:jc w:val="center"/>
        <w:rPr>
          <w:lang w:val="x-none"/>
        </w:rPr>
      </w:pPr>
      <w:r w:rsidRPr="00B41FF9">
        <w:rPr>
          <w:noProof/>
          <w:lang w:eastAsia="zh-CN"/>
        </w:rPr>
        <w:drawing>
          <wp:inline distT="0" distB="0" distL="0" distR="0" wp14:anchorId="5EF376C6" wp14:editId="7814A291">
            <wp:extent cx="3000375" cy="1057275"/>
            <wp:effectExtent l="0" t="0" r="9525" b="952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TL_5e-5.tif"/>
                    <pic:cNvPicPr/>
                  </pic:nvPicPr>
                  <pic:blipFill>
                    <a:blip r:embed="rId143">
                      <a:extLst>
                        <a:ext uri="{28A0092B-C50C-407E-A947-70E740481C1C}">
                          <a14:useLocalDpi xmlns:a14="http://schemas.microsoft.com/office/drawing/2010/main" val="0"/>
                        </a:ext>
                      </a:extLst>
                    </a:blip>
                    <a:stretch>
                      <a:fillRect/>
                    </a:stretch>
                  </pic:blipFill>
                  <pic:spPr>
                    <a:xfrm>
                      <a:off x="0" y="0"/>
                      <a:ext cx="3017253" cy="1063222"/>
                    </a:xfrm>
                    <a:prstGeom prst="rect">
                      <a:avLst/>
                    </a:prstGeom>
                  </pic:spPr>
                </pic:pic>
              </a:graphicData>
            </a:graphic>
          </wp:inline>
        </w:drawing>
      </w:r>
    </w:p>
    <w:p w14:paraId="61F185D9" w14:textId="77777777" w:rsidR="00B41FF9" w:rsidRPr="00B41FF9" w:rsidRDefault="006B191E" w:rsidP="006B191E">
      <w:pPr>
        <w:jc w:val="center"/>
        <w:rPr>
          <w:bCs/>
        </w:rPr>
      </w:pPr>
      <w:bookmarkStart w:id="45" w:name="_Ref431838824"/>
      <w:bookmarkStart w:id="46" w:name="_Toc459076461"/>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10</w:t>
      </w:r>
      <w:r>
        <w:rPr>
          <w:bCs/>
        </w:rPr>
        <w:fldChar w:fldCharType="end"/>
      </w:r>
      <w:bookmarkEnd w:id="45"/>
      <w:r w:rsidR="00B41FF9" w:rsidRPr="00B41FF9">
        <w:rPr>
          <w:bCs/>
        </w:rPr>
        <w:t>. Thevenin impedance of TT method for Scenario 2</w:t>
      </w:r>
      <w:bookmarkEnd w:id="46"/>
    </w:p>
    <w:p w14:paraId="09A8C242" w14:textId="77777777" w:rsidR="00B41FF9" w:rsidRPr="00B41FF9" w:rsidRDefault="00B41FF9" w:rsidP="00ED676A">
      <w:pPr>
        <w:spacing w:line="240" w:lineRule="auto"/>
        <w:jc w:val="center"/>
        <w:rPr>
          <w:lang w:val="x-none"/>
        </w:rPr>
      </w:pPr>
      <w:r w:rsidRPr="00B41FF9">
        <w:rPr>
          <w:noProof/>
          <w:lang w:eastAsia="zh-CN"/>
        </w:rPr>
        <w:drawing>
          <wp:inline distT="0" distB="0" distL="0" distR="0" wp14:anchorId="21BF6A4A" wp14:editId="56C284C3">
            <wp:extent cx="3076575" cy="1114425"/>
            <wp:effectExtent l="0" t="0" r="9525" b="9525"/>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AD_Z.tif"/>
                    <pic:cNvPicPr/>
                  </pic:nvPicPr>
                  <pic:blipFill>
                    <a:blip r:embed="rId144">
                      <a:extLst>
                        <a:ext uri="{28A0092B-C50C-407E-A947-70E740481C1C}">
                          <a14:useLocalDpi xmlns:a14="http://schemas.microsoft.com/office/drawing/2010/main" val="0"/>
                        </a:ext>
                      </a:extLst>
                    </a:blip>
                    <a:stretch>
                      <a:fillRect/>
                    </a:stretch>
                  </pic:blipFill>
                  <pic:spPr>
                    <a:xfrm>
                      <a:off x="0" y="0"/>
                      <a:ext cx="3092405" cy="1120159"/>
                    </a:xfrm>
                    <a:prstGeom prst="rect">
                      <a:avLst/>
                    </a:prstGeom>
                  </pic:spPr>
                </pic:pic>
              </a:graphicData>
            </a:graphic>
          </wp:inline>
        </w:drawing>
      </w:r>
    </w:p>
    <w:p w14:paraId="2A310B16" w14:textId="77777777" w:rsidR="00B41FF9" w:rsidRPr="00B41FF9" w:rsidRDefault="006B191E" w:rsidP="006B191E">
      <w:pPr>
        <w:jc w:val="center"/>
        <w:rPr>
          <w:bCs/>
        </w:rPr>
      </w:pPr>
      <w:bookmarkStart w:id="47" w:name="_Toc459076462"/>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11</w:t>
      </w:r>
      <w:r>
        <w:rPr>
          <w:bCs/>
        </w:rPr>
        <w:fldChar w:fldCharType="end"/>
      </w:r>
      <w:r w:rsidR="00B41FF9" w:rsidRPr="00B41FF9">
        <w:rPr>
          <w:bCs/>
        </w:rPr>
        <w:t>. Thevenin impedance of AD method for Scenario 2</w:t>
      </w:r>
      <w:bookmarkEnd w:id="47"/>
    </w:p>
    <w:p w14:paraId="36830BCE" w14:textId="77777777" w:rsidR="00B41FF9" w:rsidRPr="00B41FF9" w:rsidRDefault="00B41FF9" w:rsidP="00ED676A">
      <w:pPr>
        <w:spacing w:line="240" w:lineRule="auto"/>
        <w:jc w:val="center"/>
        <w:rPr>
          <w:lang w:val="x-none"/>
        </w:rPr>
      </w:pPr>
      <w:r w:rsidRPr="00B41FF9">
        <w:rPr>
          <w:noProof/>
          <w:lang w:eastAsia="zh-CN"/>
        </w:rPr>
        <w:drawing>
          <wp:inline distT="0" distB="0" distL="0" distR="0" wp14:anchorId="61FF2ED1" wp14:editId="5B160F56">
            <wp:extent cx="3152775" cy="1152525"/>
            <wp:effectExtent l="0" t="0" r="9525" b="9525"/>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us31_CP_Z.tif"/>
                    <pic:cNvPicPr/>
                  </pic:nvPicPr>
                  <pic:blipFill>
                    <a:blip r:embed="rId145">
                      <a:extLst>
                        <a:ext uri="{28A0092B-C50C-407E-A947-70E740481C1C}">
                          <a14:useLocalDpi xmlns:a14="http://schemas.microsoft.com/office/drawing/2010/main" val="0"/>
                        </a:ext>
                      </a:extLst>
                    </a:blip>
                    <a:stretch>
                      <a:fillRect/>
                    </a:stretch>
                  </pic:blipFill>
                  <pic:spPr>
                    <a:xfrm>
                      <a:off x="0" y="0"/>
                      <a:ext cx="3172608" cy="1159775"/>
                    </a:xfrm>
                    <a:prstGeom prst="rect">
                      <a:avLst/>
                    </a:prstGeom>
                  </pic:spPr>
                </pic:pic>
              </a:graphicData>
            </a:graphic>
          </wp:inline>
        </w:drawing>
      </w:r>
    </w:p>
    <w:p w14:paraId="5C68BC3F" w14:textId="77777777" w:rsidR="00B41FF9" w:rsidRDefault="006B191E" w:rsidP="006B191E">
      <w:pPr>
        <w:jc w:val="center"/>
        <w:rPr>
          <w:bCs/>
        </w:rPr>
      </w:pPr>
      <w:bookmarkStart w:id="48" w:name="_Ref431838757"/>
      <w:bookmarkStart w:id="49" w:name="_Toc459076463"/>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12</w:t>
      </w:r>
      <w:r>
        <w:rPr>
          <w:bCs/>
        </w:rPr>
        <w:fldChar w:fldCharType="end"/>
      </w:r>
      <w:bookmarkEnd w:id="48"/>
      <w:r w:rsidR="00B41FF9" w:rsidRPr="00B41FF9">
        <w:rPr>
          <w:bCs/>
        </w:rPr>
        <w:t>. Thevenin impedance of CP method for Scenario 2</w:t>
      </w:r>
      <w:bookmarkEnd w:id="49"/>
    </w:p>
    <w:p w14:paraId="7930AAEE" w14:textId="77777777" w:rsidR="00ED676A" w:rsidRPr="00B41FF9" w:rsidRDefault="00ED676A" w:rsidP="00ED676A">
      <w:pPr>
        <w:spacing w:line="240" w:lineRule="auto"/>
        <w:jc w:val="center"/>
        <w:rPr>
          <w:lang w:val="x-none"/>
        </w:rPr>
      </w:pPr>
      <w:r w:rsidRPr="00B41FF9">
        <w:rPr>
          <w:noProof/>
          <w:lang w:eastAsia="zh-CN"/>
        </w:rPr>
        <w:drawing>
          <wp:inline distT="0" distB="0" distL="0" distR="0" wp14:anchorId="1C1E71AB" wp14:editId="17BD8F39">
            <wp:extent cx="3181350" cy="12266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31_TL_e-4.tif"/>
                    <pic:cNvPicPr/>
                  </pic:nvPicPr>
                  <pic:blipFill>
                    <a:blip r:embed="rId146">
                      <a:extLst>
                        <a:ext uri="{28A0092B-C50C-407E-A947-70E740481C1C}">
                          <a14:useLocalDpi xmlns:a14="http://schemas.microsoft.com/office/drawing/2010/main" val="0"/>
                        </a:ext>
                      </a:extLst>
                    </a:blip>
                    <a:stretch>
                      <a:fillRect/>
                    </a:stretch>
                  </pic:blipFill>
                  <pic:spPr>
                    <a:xfrm>
                      <a:off x="0" y="0"/>
                      <a:ext cx="3203953" cy="1235356"/>
                    </a:xfrm>
                    <a:prstGeom prst="rect">
                      <a:avLst/>
                    </a:prstGeom>
                  </pic:spPr>
                </pic:pic>
              </a:graphicData>
            </a:graphic>
          </wp:inline>
        </w:drawing>
      </w:r>
    </w:p>
    <w:p w14:paraId="5B1A543C" w14:textId="0FCDAA97" w:rsidR="00ED676A" w:rsidRDefault="00ED676A" w:rsidP="00ED676A">
      <w:pPr>
        <w:jc w:val="center"/>
        <w:rPr>
          <w:bCs/>
        </w:rPr>
      </w:pPr>
      <w:bookmarkStart w:id="50" w:name="_Ref431838859"/>
      <w:bookmarkStart w:id="51" w:name="_Toc459076464"/>
      <w:r>
        <w:rPr>
          <w:bCs/>
        </w:rPr>
        <w:t>Figure</w:t>
      </w:r>
      <w:r w:rsidRPr="00B41FF9">
        <w:rPr>
          <w:bCs/>
        </w:rPr>
        <w:t xml:space="preserve"> </w:t>
      </w:r>
      <w:r>
        <w:rPr>
          <w:bCs/>
        </w:rPr>
        <w:fldChar w:fldCharType="begin"/>
      </w:r>
      <w:r>
        <w:rPr>
          <w:bCs/>
        </w:rPr>
        <w:instrText xml:space="preserve"> SEQ Figure \* ARABIC </w:instrText>
      </w:r>
      <w:r>
        <w:rPr>
          <w:bCs/>
        </w:rPr>
        <w:fldChar w:fldCharType="separate"/>
      </w:r>
      <w:r>
        <w:rPr>
          <w:bCs/>
          <w:noProof/>
        </w:rPr>
        <w:t>13</w:t>
      </w:r>
      <w:r>
        <w:rPr>
          <w:bCs/>
        </w:rPr>
        <w:fldChar w:fldCharType="end"/>
      </w:r>
      <w:bookmarkEnd w:id="50"/>
      <w:r w:rsidRPr="00B41FF9">
        <w:rPr>
          <w:bCs/>
        </w:rPr>
        <w:t>. Thevenin impedance of TT method with ε set as 1e-4</w:t>
      </w:r>
      <w:r>
        <w:rPr>
          <w:bCs/>
        </w:rPr>
        <w:t>.</w:t>
      </w:r>
      <w:bookmarkEnd w:id="51"/>
    </w:p>
    <w:p w14:paraId="60162098" w14:textId="77777777" w:rsidR="00ED676A" w:rsidRDefault="00ED676A">
      <w:pPr>
        <w:rPr>
          <w:bCs/>
        </w:rPr>
      </w:pPr>
      <w:r>
        <w:rPr>
          <w:bCs/>
        </w:rPr>
        <w:br w:type="page"/>
      </w:r>
    </w:p>
    <w:p w14:paraId="3C7E1659" w14:textId="5F23AB15" w:rsidR="00B41FF9" w:rsidRPr="00B41FF9" w:rsidRDefault="00B41FF9" w:rsidP="00ED676A">
      <w:pPr>
        <w:ind w:firstLine="0"/>
      </w:pPr>
      <w:r w:rsidRPr="00B41FF9">
        <w:lastRenderedPageBreak/>
        <w:t>as 1e-4, which is twice the previous value. This way, the TT method loses track of the Thevenin impedance in the first 290 seconds. Even for the Thevenin impedance that the TT method detects, the variations still exist with no signs of relieving. From this case, increasing the threshold value does not smooth the curve but may lose track of the slower change of Thevenin impedance.</w:t>
      </w:r>
    </w:p>
    <w:p w14:paraId="4C2C2F72" w14:textId="77777777" w:rsidR="00B41FF9" w:rsidRPr="00B41FF9" w:rsidRDefault="00B41FF9" w:rsidP="00ED676A">
      <w:pPr>
        <w:spacing w:after="240"/>
      </w:pPr>
      <w:r w:rsidRPr="00B41FF9">
        <w:t xml:space="preserve">According to </w:t>
      </w:r>
      <w:r w:rsidR="006B191E">
        <w:fldChar w:fldCharType="begin"/>
      </w:r>
      <w:r w:rsidR="006B191E">
        <w:instrText xml:space="preserve"> REF _Ref431838747 \h </w:instrText>
      </w:r>
      <w:r w:rsidR="006B191E">
        <w:fldChar w:fldCharType="separate"/>
      </w:r>
      <w:r w:rsidR="00656B13">
        <w:rPr>
          <w:bCs/>
        </w:rPr>
        <w:t>Figure</w:t>
      </w:r>
      <w:r w:rsidR="00656B13" w:rsidRPr="00B41FF9">
        <w:rPr>
          <w:bCs/>
        </w:rPr>
        <w:t xml:space="preserve"> </w:t>
      </w:r>
      <w:r w:rsidR="00656B13">
        <w:rPr>
          <w:bCs/>
          <w:noProof/>
        </w:rPr>
        <w:t>9</w:t>
      </w:r>
      <w:r w:rsidR="006B191E">
        <w:fldChar w:fldCharType="end"/>
      </w:r>
      <w:r w:rsidRPr="00B41FF9">
        <w:t xml:space="preserve">, the performance of the AD method is similar to Scenario 1. The calculated Thevenin impedance is smaller than the values calculated by the LS and TT methods. In the final seconds, the AD method still indicates a relatively large margin for voltage stability. A possible explanation is that the assumption </w:t>
      </w:r>
      <w:r w:rsidRPr="00B41FF9">
        <w:rPr>
          <w:i/>
        </w:rPr>
        <w:t>X</w:t>
      </w:r>
      <w:r w:rsidRPr="00B41FF9">
        <w:rPr>
          <w:i/>
          <w:vertAlign w:val="subscript"/>
        </w:rPr>
        <w:t>Th</w:t>
      </w:r>
      <m:oMath>
        <m:r>
          <w:rPr>
            <w:rFonts w:ascii="Cambria Math" w:hAnsi="Cambria Math"/>
            <w:vertAlign w:val="subscript"/>
          </w:rPr>
          <m:t xml:space="preserve"> </m:t>
        </m:r>
        <m:r>
          <w:rPr>
            <w:rFonts w:ascii="Cambria Math" w:hAnsi="Cambria Math"/>
          </w:rPr>
          <m:t>≫</m:t>
        </m:r>
      </m:oMath>
      <w:r w:rsidRPr="00B41FF9">
        <w:t xml:space="preserve"> </w:t>
      </w:r>
      <w:r w:rsidRPr="00B41FF9">
        <w:rPr>
          <w:i/>
        </w:rPr>
        <w:t>R</w:t>
      </w:r>
      <w:r w:rsidRPr="00B41FF9">
        <w:rPr>
          <w:i/>
          <w:vertAlign w:val="subscript"/>
        </w:rPr>
        <w:t>Th</w:t>
      </w:r>
      <w:r w:rsidRPr="00B41FF9">
        <w:t xml:space="preserve"> is significantly erroneous in this case. In fact, </w:t>
      </w:r>
      <w:r w:rsidR="006B191E">
        <w:fldChar w:fldCharType="begin"/>
      </w:r>
      <w:r w:rsidR="006B191E">
        <w:instrText xml:space="preserve"> REF _Ref431838878 \h </w:instrText>
      </w:r>
      <w:r w:rsidR="006B191E">
        <w:fldChar w:fldCharType="separate"/>
      </w:r>
      <w:r w:rsidR="00656B13">
        <w:rPr>
          <w:bCs/>
        </w:rPr>
        <w:t>Figure</w:t>
      </w:r>
      <w:r w:rsidR="00656B13" w:rsidRPr="00B41FF9">
        <w:rPr>
          <w:bCs/>
        </w:rPr>
        <w:t xml:space="preserve"> </w:t>
      </w:r>
      <w:r w:rsidR="00656B13">
        <w:rPr>
          <w:bCs/>
          <w:noProof/>
        </w:rPr>
        <w:t>14</w:t>
      </w:r>
      <w:r w:rsidR="006B191E">
        <w:fldChar w:fldCharType="end"/>
      </w:r>
      <w:r w:rsidRPr="00B41FF9">
        <w:t xml:space="preserve"> shows the Thevenin resistance and reactance calculated by the LS method, at which point the reactance dominates the resistance in the beginning. However, as load increases, the resistance increases faster and becomes greater than the reactance after 300 seconds.</w:t>
      </w:r>
    </w:p>
    <w:p w14:paraId="2D71D5E8" w14:textId="77777777" w:rsidR="00B41FF9" w:rsidRPr="00B41FF9" w:rsidRDefault="00B41FF9" w:rsidP="004F29E5">
      <w:pPr>
        <w:spacing w:line="240" w:lineRule="auto"/>
        <w:jc w:val="center"/>
        <w:rPr>
          <w:lang w:val="x-none"/>
        </w:rPr>
      </w:pPr>
      <w:r w:rsidRPr="00B41FF9">
        <w:rPr>
          <w:noProof/>
          <w:lang w:eastAsia="zh-CN"/>
        </w:rPr>
        <w:drawing>
          <wp:inline distT="0" distB="0" distL="0" distR="0" wp14:anchorId="7282FC6D" wp14:editId="261ADFB4">
            <wp:extent cx="4282498" cy="132397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only_ref78.tif"/>
                    <pic:cNvPicPr/>
                  </pic:nvPicPr>
                  <pic:blipFill>
                    <a:blip r:embed="rId147">
                      <a:extLst>
                        <a:ext uri="{28A0092B-C50C-407E-A947-70E740481C1C}">
                          <a14:useLocalDpi xmlns:a14="http://schemas.microsoft.com/office/drawing/2010/main" val="0"/>
                        </a:ext>
                      </a:extLst>
                    </a:blip>
                    <a:stretch>
                      <a:fillRect/>
                    </a:stretch>
                  </pic:blipFill>
                  <pic:spPr>
                    <a:xfrm>
                      <a:off x="0" y="0"/>
                      <a:ext cx="4280747" cy="1323434"/>
                    </a:xfrm>
                    <a:prstGeom prst="rect">
                      <a:avLst/>
                    </a:prstGeom>
                  </pic:spPr>
                </pic:pic>
              </a:graphicData>
            </a:graphic>
          </wp:inline>
        </w:drawing>
      </w:r>
    </w:p>
    <w:p w14:paraId="032801E6" w14:textId="77777777" w:rsidR="00B41FF9" w:rsidRPr="00B41FF9" w:rsidRDefault="006B191E" w:rsidP="006B191E">
      <w:pPr>
        <w:jc w:val="center"/>
        <w:rPr>
          <w:bCs/>
        </w:rPr>
      </w:pPr>
      <w:bookmarkStart w:id="52" w:name="_Ref431838878"/>
      <w:bookmarkStart w:id="53" w:name="_Toc459076465"/>
      <w:r>
        <w:rPr>
          <w:bCs/>
        </w:rPr>
        <w:t>Figure</w:t>
      </w:r>
      <w:r w:rsidR="00B41FF9" w:rsidRPr="00B41FF9">
        <w:rPr>
          <w:bCs/>
        </w:rPr>
        <w:t xml:space="preserve"> </w:t>
      </w:r>
      <w:r>
        <w:rPr>
          <w:bCs/>
        </w:rPr>
        <w:fldChar w:fldCharType="begin"/>
      </w:r>
      <w:r>
        <w:rPr>
          <w:bCs/>
        </w:rPr>
        <w:instrText xml:space="preserve"> SEQ Figure \* ARABIC </w:instrText>
      </w:r>
      <w:r>
        <w:rPr>
          <w:bCs/>
        </w:rPr>
        <w:fldChar w:fldCharType="separate"/>
      </w:r>
      <w:r w:rsidR="00B0208A">
        <w:rPr>
          <w:bCs/>
          <w:noProof/>
        </w:rPr>
        <w:t>14</w:t>
      </w:r>
      <w:r>
        <w:rPr>
          <w:bCs/>
        </w:rPr>
        <w:fldChar w:fldCharType="end"/>
      </w:r>
      <w:bookmarkEnd w:id="52"/>
      <w:r w:rsidR="00B41FF9" w:rsidRPr="00B41FF9">
        <w:rPr>
          <w:bCs/>
        </w:rPr>
        <w:t>. Resistance vs reactance using LS method for Scenario 2</w:t>
      </w:r>
      <w:r w:rsidR="004F29E5">
        <w:rPr>
          <w:bCs/>
        </w:rPr>
        <w:t>.</w:t>
      </w:r>
      <w:bookmarkEnd w:id="53"/>
    </w:p>
    <w:p w14:paraId="30DD7526" w14:textId="77777777" w:rsidR="00B41FF9" w:rsidRPr="00B41FF9" w:rsidRDefault="00B41FF9" w:rsidP="004F29E5">
      <w:pPr>
        <w:spacing w:before="240"/>
      </w:pPr>
      <w:r w:rsidRPr="00B41FF9">
        <w:t>As for the CP method, the Thevenin impedance is almost constant throughout the simulation with some slight decrease. The idea of integrating the other load into the Thevenin impedance works well in this case. However, it does not indicate the voltage collapse that occurs in the end.</w:t>
      </w:r>
    </w:p>
    <w:p w14:paraId="3AE40D2C" w14:textId="77777777" w:rsidR="00C10B2C" w:rsidRDefault="00424DC1" w:rsidP="004B5C30">
      <w:pPr>
        <w:pStyle w:val="Heading2"/>
      </w:pPr>
      <w:bookmarkStart w:id="54" w:name="_Toc459076552"/>
      <w:r>
        <w:lastRenderedPageBreak/>
        <w:t xml:space="preserve">3.5 </w:t>
      </w:r>
      <w:r w:rsidRPr="00424DC1">
        <w:t>Conclusion</w:t>
      </w:r>
      <w:bookmarkEnd w:id="54"/>
    </w:p>
    <w:p w14:paraId="59DA1DB6" w14:textId="77777777" w:rsidR="00424DC1" w:rsidRDefault="00424DC1" w:rsidP="00424DC1">
      <w:r w:rsidRPr="00424DC1">
        <w:t xml:space="preserve">In this </w:t>
      </w:r>
      <w:r>
        <w:t>chapter</w:t>
      </w:r>
      <w:r w:rsidRPr="00424DC1">
        <w:t xml:space="preserve">, four TE identification methods (i.e., least squares method (LS), Tellegen’s theorem method (TT), adaptive method (AD), and coupled single-port circuit method (CP)) are compared theoretically and on the NPCC test system. The analysis of the algorithms of the four methods provides a comparison of the time complexity and requirements for PMU availability. The case study on the two voltage collapse scenarios of the NPCC system tests the ability of the four methods in monitoring the system collapse point. In this particular case study, LS and TT methods successfully indicate the system collapse, while AD and CP methods fail to do so. Further analysis of the performance of the </w:t>
      </w:r>
      <w:r>
        <w:t>four methods is given in Chapter</w:t>
      </w:r>
      <w:r w:rsidRPr="00424DC1">
        <w:t xml:space="preserve"> </w:t>
      </w:r>
      <w:r>
        <w:t>3.4</w:t>
      </w:r>
      <w:r w:rsidRPr="00424DC1">
        <w:t>. Though one cannot evaluate the methods based on the performance of one particular system, the general analysis can provide guidance for researchers interested in choosing one of the four methods according to their own.</w:t>
      </w:r>
    </w:p>
    <w:p w14:paraId="1FB2A8F5" w14:textId="77777777" w:rsidR="00920DFE" w:rsidRDefault="00920DFE">
      <w:r>
        <w:br w:type="page"/>
      </w:r>
    </w:p>
    <w:p w14:paraId="240890AE" w14:textId="77777777" w:rsidR="00C520F8" w:rsidRDefault="00C520F8" w:rsidP="00CC759C">
      <w:pPr>
        <w:pStyle w:val="Heading1"/>
      </w:pPr>
      <w:bookmarkStart w:id="55" w:name="_Toc459076553"/>
      <w:r w:rsidRPr="00F920F6">
        <w:lastRenderedPageBreak/>
        <w:t>C</w:t>
      </w:r>
      <w:r>
        <w:t>HAPTER</w:t>
      </w:r>
      <w:r w:rsidRPr="00F920F6">
        <w:t xml:space="preserve"> </w:t>
      </w:r>
      <w:r>
        <w:t>4</w:t>
      </w:r>
      <w:r w:rsidRPr="004D734D">
        <w:br/>
      </w:r>
      <w:r w:rsidR="001C09CE" w:rsidRPr="00920DFE">
        <w:t>HYBRID VOLTAGE STABILITY ASSESSMENT (VSA) FOR N-1 CONTINGENCY</w:t>
      </w:r>
      <w:bookmarkEnd w:id="55"/>
    </w:p>
    <w:p w14:paraId="77A3163C" w14:textId="77777777" w:rsidR="00C520F8" w:rsidRDefault="00C520F8" w:rsidP="00C520F8">
      <w:pPr>
        <w:rPr>
          <w:bCs/>
          <w:lang w:val="en-GB"/>
        </w:rPr>
      </w:pPr>
      <w:r>
        <w:rPr>
          <w:bCs/>
          <w:lang w:val="en-GB"/>
        </w:rPr>
        <w:t>T</w:t>
      </w:r>
      <w:r w:rsidRPr="00C520F8">
        <w:rPr>
          <w:bCs/>
          <w:lang w:val="en-GB"/>
        </w:rPr>
        <w:t xml:space="preserve">he existing measurement-based VSA deals with the normal case, but not any contingency case because there is no measurement data for a contingency case which is hypothetical. </w:t>
      </w:r>
      <w:r>
        <w:rPr>
          <w:bCs/>
          <w:lang w:val="en-GB"/>
        </w:rPr>
        <w:t>In this chapter</w:t>
      </w:r>
      <w:r w:rsidRPr="00C520F8">
        <w:rPr>
          <w:bCs/>
          <w:lang w:val="en-GB"/>
        </w:rPr>
        <w:t>, a hybrid VSA method is proposed based on both model-based and measurement-based techniques. First, an enhanced model-based sensitivity analysis estimating the post-contingency status is proposed, and then it is combined with the measurement-based Thevenin equivalent approach. The proposed sensitivity analysis has the feature of simplicity, which is aligned with the measurement-based Thevenin equivalent. Test results with the IEEE 14, 39, and 118-bus system show that the proposed sensitivity is highly accurate in estimating N-1 contingency system variables and the proposed hybrid VSA method for N-1 contingency captures the insecure contingencies successfully. The proposed method greatly broadens the practical application of PMUs for VSA under N-1 contingency.</w:t>
      </w:r>
      <w:r w:rsidR="00BB70A1">
        <w:rPr>
          <w:bCs/>
          <w:lang w:val="en-GB"/>
        </w:rPr>
        <w:t xml:space="preserve"> </w:t>
      </w:r>
    </w:p>
    <w:p w14:paraId="4698F063" w14:textId="77777777" w:rsidR="00C520F8" w:rsidRDefault="00C520F8" w:rsidP="004B5C30">
      <w:pPr>
        <w:pStyle w:val="Heading2"/>
      </w:pPr>
      <w:bookmarkStart w:id="56" w:name="_Toc459076554"/>
      <w:r>
        <w:t xml:space="preserve">4.1. </w:t>
      </w:r>
      <w:r w:rsidRPr="00C520F8">
        <w:t xml:space="preserve">Sensitivities </w:t>
      </w:r>
      <w:r>
        <w:t>f</w:t>
      </w:r>
      <w:r w:rsidRPr="00C520F8">
        <w:t>or Calculating Post-Contingencies Variables</w:t>
      </w:r>
      <w:bookmarkEnd w:id="56"/>
    </w:p>
    <w:p w14:paraId="744AD1B7" w14:textId="77777777" w:rsidR="0020540D" w:rsidRDefault="0020540D" w:rsidP="0020540D">
      <w:pPr>
        <w:rPr>
          <w:lang w:val="en-GB"/>
        </w:rPr>
      </w:pPr>
      <w:r w:rsidRPr="0020540D">
        <w:rPr>
          <w:lang w:val="en-GB"/>
        </w:rPr>
        <w:t xml:space="preserve">In previous sensitivity analyses for transmission contingency, a line outage is typically transformed to changes of bus injections. Different transformations were introduced in the literature </w:t>
      </w:r>
      <w:r w:rsidR="00407874">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407874">
        <w:rPr>
          <w:lang w:val="en-GB"/>
        </w:rPr>
        <w:fldChar w:fldCharType="separate"/>
      </w:r>
      <w:r w:rsidR="00DD7036" w:rsidRPr="00DD7036">
        <w:rPr>
          <w:noProof/>
          <w:lang w:val="en-GB"/>
        </w:rPr>
        <w:t>[41]</w:t>
      </w:r>
      <w:r w:rsidR="00407874">
        <w:rPr>
          <w:lang w:val="en-GB"/>
        </w:rPr>
        <w:fldChar w:fldCharType="end"/>
      </w:r>
      <w:r w:rsidR="00407874">
        <w:rPr>
          <w:lang w:val="en-GB"/>
        </w:rPr>
        <w:t xml:space="preserve"> </w:t>
      </w:r>
      <w:r w:rsidR="00C20330">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C20330">
        <w:rPr>
          <w:lang w:val="en-GB"/>
        </w:rPr>
        <w:fldChar w:fldCharType="separate"/>
      </w:r>
      <w:r w:rsidR="00DD7036" w:rsidRPr="00DD7036">
        <w:rPr>
          <w:noProof/>
          <w:lang w:val="en-GB"/>
        </w:rPr>
        <w:t>[42]</w:t>
      </w:r>
      <w:r w:rsidR="00C20330">
        <w:rPr>
          <w:lang w:val="en-GB"/>
        </w:rPr>
        <w:fldChar w:fldCharType="end"/>
      </w:r>
      <w:r w:rsidRPr="0020540D">
        <w:rPr>
          <w:lang w:val="en-GB"/>
        </w:rPr>
        <w:t>, as previously mentioned. In this section, a new transformation is proposed with a rigorous mathematical proof, and the outage sensitivity factors based on the transformation are developed.</w:t>
      </w:r>
    </w:p>
    <w:p w14:paraId="755C4BD1" w14:textId="77777777" w:rsidR="0020540D" w:rsidRDefault="0020540D" w:rsidP="0020540D">
      <w:pPr>
        <w:pStyle w:val="Heading3"/>
      </w:pPr>
      <w:bookmarkStart w:id="57" w:name="_Toc459076555"/>
      <w:r>
        <w:lastRenderedPageBreak/>
        <w:t>4</w:t>
      </w:r>
      <w:r w:rsidRPr="0020540D">
        <w:t>.1.</w:t>
      </w:r>
      <w:r>
        <w:t>1</w:t>
      </w:r>
      <w:r w:rsidR="004F38C3">
        <w:t xml:space="preserve"> </w:t>
      </w:r>
      <w:r w:rsidRPr="0020540D">
        <w:t xml:space="preserve">Proposed </w:t>
      </w:r>
      <w:r w:rsidR="004F38C3">
        <w:t>T</w:t>
      </w:r>
      <w:r w:rsidRPr="0020540D">
        <w:t xml:space="preserve">ransformation and </w:t>
      </w:r>
      <w:r w:rsidR="004F38C3">
        <w:t>P</w:t>
      </w:r>
      <w:r w:rsidRPr="0020540D">
        <w:t xml:space="preserve">roof of </w:t>
      </w:r>
      <w:r w:rsidR="004F38C3">
        <w:t>E</w:t>
      </w:r>
      <w:r w:rsidRPr="0020540D">
        <w:t>quivalence</w:t>
      </w:r>
      <w:bookmarkEnd w:id="57"/>
    </w:p>
    <w:p w14:paraId="70D59852" w14:textId="77777777" w:rsidR="0020540D" w:rsidRPr="0020540D" w:rsidRDefault="0020540D" w:rsidP="004C0804">
      <w:pPr>
        <w:spacing w:after="240"/>
        <w:rPr>
          <w:lang w:val="en-GB"/>
        </w:rPr>
      </w:pPr>
      <w:r w:rsidRPr="0020540D">
        <w:rPr>
          <w:lang w:val="en-GB"/>
        </w:rPr>
        <w:t xml:space="preserve">As shown in </w:t>
      </w:r>
      <w:r>
        <w:rPr>
          <w:lang w:val="en-GB"/>
        </w:rPr>
        <w:fldChar w:fldCharType="begin"/>
      </w:r>
      <w:r>
        <w:rPr>
          <w:lang w:val="en-GB"/>
        </w:rPr>
        <w:instrText xml:space="preserve"> REF _Ref431907234 </w:instrText>
      </w:r>
      <w:r>
        <w:rPr>
          <w:lang w:val="en-GB"/>
        </w:rPr>
        <w:fldChar w:fldCharType="separate"/>
      </w:r>
      <w:r w:rsidR="00656B13">
        <w:t xml:space="preserve">Figure </w:t>
      </w:r>
      <w:r w:rsidR="00656B13">
        <w:rPr>
          <w:noProof/>
        </w:rPr>
        <w:t>15</w:t>
      </w:r>
      <w:r>
        <w:rPr>
          <w:lang w:val="en-GB"/>
        </w:rPr>
        <w:fldChar w:fldCharType="end"/>
      </w:r>
      <w:r>
        <w:rPr>
          <w:lang w:val="en-GB"/>
        </w:rPr>
        <w:t>,</w:t>
      </w:r>
      <w:r w:rsidRPr="0020540D">
        <w:rPr>
          <w:lang w:val="en-GB"/>
        </w:rPr>
        <w:t xml:space="preserve"> System </w:t>
      </w:r>
      <w:r w:rsidRPr="0020540D">
        <w:rPr>
          <w:i/>
          <w:lang w:val="en-GB"/>
        </w:rPr>
        <w:t>A</w:t>
      </w:r>
      <w:r w:rsidRPr="0020540D">
        <w:rPr>
          <w:lang w:val="en-GB"/>
        </w:rPr>
        <w:t xml:space="preserve"> is a system in normal state, with a line flow </w:t>
      </w:r>
      <w:r w:rsidRPr="0020540D">
        <w:rPr>
          <w:i/>
          <w:lang w:val="en-GB"/>
        </w:rPr>
        <w:t>S</w:t>
      </w:r>
      <w:r w:rsidRPr="0020540D">
        <w:rPr>
          <w:i/>
          <w:vertAlign w:val="subscript"/>
          <w:lang w:val="en-GB"/>
        </w:rPr>
        <w:t>mn</w:t>
      </w:r>
      <w:r w:rsidRPr="0020540D">
        <w:rPr>
          <w:lang w:val="en-GB"/>
        </w:rPr>
        <w:t xml:space="preserve"> from bus </w:t>
      </w:r>
      <w:r w:rsidRPr="0020540D">
        <w:rPr>
          <w:i/>
          <w:lang w:val="en-GB"/>
        </w:rPr>
        <w:t>m</w:t>
      </w:r>
      <w:r w:rsidRPr="0020540D">
        <w:rPr>
          <w:lang w:val="en-GB"/>
        </w:rPr>
        <w:t xml:space="preserve"> to bus </w:t>
      </w:r>
      <w:r w:rsidRPr="0020540D">
        <w:rPr>
          <w:i/>
          <w:lang w:val="en-GB"/>
        </w:rPr>
        <w:t>n</w:t>
      </w:r>
      <w:r w:rsidRPr="0020540D">
        <w:rPr>
          <w:lang w:val="en-GB"/>
        </w:rPr>
        <w:t xml:space="preserve"> and </w:t>
      </w:r>
      <w:r w:rsidRPr="0020540D">
        <w:rPr>
          <w:i/>
          <w:lang w:val="en-GB"/>
        </w:rPr>
        <w:t>S</w:t>
      </w:r>
      <w:r w:rsidRPr="0020540D">
        <w:rPr>
          <w:i/>
          <w:vertAlign w:val="subscript"/>
          <w:lang w:val="en-GB"/>
        </w:rPr>
        <w:t>nm</w:t>
      </w:r>
      <w:r w:rsidRPr="0020540D">
        <w:rPr>
          <w:lang w:val="en-GB"/>
        </w:rPr>
        <w:t xml:space="preserve"> from bus </w:t>
      </w:r>
      <w:r w:rsidRPr="0020540D">
        <w:rPr>
          <w:i/>
          <w:lang w:val="en-GB"/>
        </w:rPr>
        <w:t>n</w:t>
      </w:r>
      <w:r w:rsidRPr="0020540D">
        <w:rPr>
          <w:lang w:val="en-GB"/>
        </w:rPr>
        <w:t xml:space="preserve"> to bus </w:t>
      </w:r>
      <w:r w:rsidRPr="0020540D">
        <w:rPr>
          <w:i/>
          <w:lang w:val="en-GB"/>
        </w:rPr>
        <w:t>m</w:t>
      </w:r>
      <w:r w:rsidRPr="0020540D">
        <w:rPr>
          <w:lang w:val="en-GB"/>
        </w:rPr>
        <w:t xml:space="preserve">. The rest of the system is not shown for simplicity. System </w:t>
      </w:r>
      <w:r w:rsidRPr="0020540D">
        <w:rPr>
          <w:i/>
          <w:lang w:val="en-GB"/>
        </w:rPr>
        <w:t>A</w:t>
      </w:r>
      <w:r w:rsidRPr="0020540D">
        <w:rPr>
          <w:i/>
          <w:vertAlign w:val="superscript"/>
          <w:lang w:val="en-GB"/>
        </w:rPr>
        <w:t>c</w:t>
      </w:r>
      <w:r w:rsidRPr="0020540D">
        <w:rPr>
          <w:lang w:val="en-GB"/>
        </w:rPr>
        <w:t xml:space="preserve"> is the post contingency case of System </w:t>
      </w:r>
      <w:r w:rsidRPr="0020540D">
        <w:rPr>
          <w:i/>
          <w:lang w:val="en-GB"/>
        </w:rPr>
        <w:t>A</w:t>
      </w:r>
      <w:r w:rsidRPr="0020540D">
        <w:rPr>
          <w:lang w:val="en-GB"/>
        </w:rPr>
        <w:t xml:space="preserve"> after the line </w:t>
      </w:r>
      <w:r w:rsidRPr="0020540D">
        <w:rPr>
          <w:i/>
          <w:lang w:val="en-GB"/>
        </w:rPr>
        <w:t>mn</w:t>
      </w:r>
      <w:r w:rsidRPr="0020540D">
        <w:rPr>
          <w:lang w:val="en-GB"/>
        </w:rPr>
        <w:t xml:space="preserve"> outage where the superscript c stands for contingency. System </w:t>
      </w:r>
      <w:r w:rsidRPr="0020540D">
        <w:rPr>
          <w:i/>
          <w:lang w:val="en-GB"/>
        </w:rPr>
        <w:t>B</w:t>
      </w:r>
      <w:r w:rsidRPr="0020540D">
        <w:rPr>
          <w:lang w:val="en-GB"/>
        </w:rPr>
        <w:t xml:space="preserve"> has the same settings as System </w:t>
      </w:r>
      <w:r w:rsidRPr="0020540D">
        <w:rPr>
          <w:i/>
          <w:lang w:val="en-GB"/>
        </w:rPr>
        <w:t>A</w:t>
      </w:r>
      <w:r w:rsidRPr="0020540D">
        <w:rPr>
          <w:lang w:val="en-GB"/>
        </w:rPr>
        <w:t xml:space="preserve">, except that System </w:t>
      </w:r>
      <w:r w:rsidRPr="0020540D">
        <w:rPr>
          <w:i/>
          <w:lang w:val="en-GB"/>
        </w:rPr>
        <w:t>B</w:t>
      </w:r>
      <w:r w:rsidRPr="0020540D">
        <w:rPr>
          <w:lang w:val="en-GB"/>
        </w:rPr>
        <w:t xml:space="preserve"> does not have branch </w:t>
      </w:r>
      <w:r w:rsidRPr="0020540D">
        <w:rPr>
          <w:i/>
          <w:lang w:val="en-GB"/>
        </w:rPr>
        <w:t>mn</w:t>
      </w:r>
      <w:r w:rsidRPr="0020540D">
        <w:rPr>
          <w:lang w:val="en-GB"/>
        </w:rPr>
        <w:t xml:space="preserve">. Also, the bus injection at bus </w:t>
      </w:r>
      <w:r w:rsidRPr="0020540D">
        <w:rPr>
          <w:i/>
          <w:lang w:val="en-GB"/>
        </w:rPr>
        <w:t>m</w:t>
      </w:r>
      <w:r w:rsidRPr="0020540D">
        <w:rPr>
          <w:lang w:val="en-GB"/>
        </w:rPr>
        <w:t xml:space="preserve"> is </w:t>
      </w:r>
      <w:r w:rsidRPr="0020540D">
        <w:rPr>
          <w:i/>
          <w:lang w:val="en-GB"/>
        </w:rPr>
        <w:t>S</w:t>
      </w:r>
      <w:r w:rsidRPr="0020540D">
        <w:rPr>
          <w:i/>
          <w:vertAlign w:val="subscript"/>
          <w:lang w:val="en-GB"/>
        </w:rPr>
        <w:t>m</w:t>
      </w:r>
      <w:r w:rsidRPr="0020540D">
        <w:rPr>
          <w:i/>
          <w:vertAlign w:val="superscript"/>
          <w:lang w:val="en-GB"/>
        </w:rPr>
        <w:t>inj</w:t>
      </w:r>
      <w:r w:rsidRPr="0020540D">
        <w:rPr>
          <w:lang w:val="en-GB"/>
        </w:rPr>
        <w:t xml:space="preserve"> -</w:t>
      </w:r>
      <w:r w:rsidRPr="0020540D">
        <w:rPr>
          <w:i/>
          <w:lang w:val="en-GB"/>
        </w:rPr>
        <w:t>S</w:t>
      </w:r>
      <w:r w:rsidRPr="0020540D">
        <w:rPr>
          <w:i/>
          <w:vertAlign w:val="subscript"/>
          <w:lang w:val="en-GB"/>
        </w:rPr>
        <w:t>mn</w:t>
      </w:r>
      <w:r w:rsidRPr="0020540D">
        <w:rPr>
          <w:lang w:val="en-GB"/>
        </w:rPr>
        <w:t xml:space="preserve"> and the bus injection at bus n is </w:t>
      </w:r>
      <w:r w:rsidRPr="0020540D">
        <w:rPr>
          <w:i/>
          <w:lang w:val="en-GB"/>
        </w:rPr>
        <w:t>S</w:t>
      </w:r>
      <w:r w:rsidRPr="0020540D">
        <w:rPr>
          <w:i/>
          <w:vertAlign w:val="subscript"/>
          <w:lang w:val="en-GB"/>
        </w:rPr>
        <w:t>n</w:t>
      </w:r>
      <w:r w:rsidRPr="0020540D">
        <w:rPr>
          <w:i/>
          <w:vertAlign w:val="superscript"/>
          <w:lang w:val="en-GB"/>
        </w:rPr>
        <w:t>inj</w:t>
      </w:r>
      <w:r w:rsidRPr="0020540D">
        <w:rPr>
          <w:lang w:val="en-GB"/>
        </w:rPr>
        <w:t>-</w:t>
      </w:r>
      <w:r w:rsidRPr="0020540D">
        <w:rPr>
          <w:i/>
          <w:lang w:val="en-GB"/>
        </w:rPr>
        <w:t>S</w:t>
      </w:r>
      <w:r w:rsidRPr="0020540D">
        <w:rPr>
          <w:i/>
          <w:vertAlign w:val="subscript"/>
          <w:lang w:val="en-GB"/>
        </w:rPr>
        <w:t>nm</w:t>
      </w:r>
      <w:r w:rsidRPr="0020540D">
        <w:rPr>
          <w:lang w:val="en-GB"/>
        </w:rPr>
        <w:t xml:space="preserve">, where </w:t>
      </w:r>
      <w:r w:rsidRPr="0020540D">
        <w:rPr>
          <w:i/>
          <w:lang w:val="en-GB"/>
        </w:rPr>
        <w:t>S</w:t>
      </w:r>
      <w:r w:rsidRPr="0020540D">
        <w:rPr>
          <w:i/>
          <w:vertAlign w:val="subscript"/>
          <w:lang w:val="en-GB"/>
        </w:rPr>
        <w:t>m</w:t>
      </w:r>
      <w:r w:rsidRPr="0020540D">
        <w:rPr>
          <w:i/>
          <w:vertAlign w:val="superscript"/>
          <w:lang w:val="en-GB"/>
        </w:rPr>
        <w:t>inj</w:t>
      </w:r>
      <w:r w:rsidRPr="0020540D">
        <w:rPr>
          <w:lang w:val="en-GB"/>
        </w:rPr>
        <w:t xml:space="preserve"> and </w:t>
      </w:r>
      <w:r w:rsidRPr="0020540D">
        <w:rPr>
          <w:i/>
          <w:lang w:val="en-GB"/>
        </w:rPr>
        <w:t>S</w:t>
      </w:r>
      <w:r w:rsidRPr="0020540D">
        <w:rPr>
          <w:i/>
          <w:vertAlign w:val="subscript"/>
          <w:lang w:val="en-GB"/>
        </w:rPr>
        <w:t>n</w:t>
      </w:r>
      <w:r w:rsidRPr="0020540D">
        <w:rPr>
          <w:i/>
          <w:vertAlign w:val="superscript"/>
          <w:lang w:val="en-GB"/>
        </w:rPr>
        <w:t>inj</w:t>
      </w:r>
      <w:r w:rsidRPr="0020540D">
        <w:rPr>
          <w:lang w:val="en-GB"/>
        </w:rPr>
        <w:t xml:space="preserve"> are the bus injections at bus </w:t>
      </w:r>
      <w:r w:rsidRPr="0020540D">
        <w:rPr>
          <w:i/>
          <w:lang w:val="en-GB"/>
        </w:rPr>
        <w:t>m</w:t>
      </w:r>
      <w:r w:rsidRPr="0020540D">
        <w:rPr>
          <w:lang w:val="en-GB"/>
        </w:rPr>
        <w:t xml:space="preserve"> and </w:t>
      </w:r>
      <w:r w:rsidRPr="0020540D">
        <w:rPr>
          <w:i/>
          <w:lang w:val="en-GB"/>
        </w:rPr>
        <w:t>n</w:t>
      </w:r>
      <w:r w:rsidRPr="0020540D">
        <w:rPr>
          <w:lang w:val="en-GB"/>
        </w:rPr>
        <w:t xml:space="preserve">, respectively, in System </w:t>
      </w:r>
      <w:r w:rsidRPr="0020540D">
        <w:rPr>
          <w:i/>
          <w:lang w:val="en-GB"/>
        </w:rPr>
        <w:t>A</w:t>
      </w:r>
      <w:r w:rsidRPr="0020540D">
        <w:rPr>
          <w:lang w:val="en-GB"/>
        </w:rPr>
        <w:t xml:space="preserve">. System </w:t>
      </w:r>
      <w:r w:rsidRPr="0020540D">
        <w:rPr>
          <w:i/>
          <w:lang w:val="en-GB"/>
        </w:rPr>
        <w:t>B</w:t>
      </w:r>
      <w:r w:rsidRPr="0020540D">
        <w:rPr>
          <w:i/>
          <w:vertAlign w:val="superscript"/>
          <w:lang w:val="en-GB"/>
        </w:rPr>
        <w:t>c</w:t>
      </w:r>
      <w:r w:rsidRPr="0020540D">
        <w:rPr>
          <w:lang w:val="en-GB"/>
        </w:rPr>
        <w:t xml:space="preserve"> is the post contingency status case of System B when </w:t>
      </w:r>
      <w:r w:rsidRPr="0020540D">
        <w:rPr>
          <w:i/>
          <w:lang w:val="en-GB"/>
        </w:rPr>
        <w:t>S</w:t>
      </w:r>
      <w:r w:rsidRPr="0020540D">
        <w:rPr>
          <w:i/>
          <w:vertAlign w:val="subscript"/>
          <w:lang w:val="en-GB"/>
        </w:rPr>
        <w:t>mn</w:t>
      </w:r>
      <w:r w:rsidRPr="0020540D">
        <w:rPr>
          <w:lang w:val="en-GB"/>
        </w:rPr>
        <w:t xml:space="preserve"> and </w:t>
      </w:r>
      <w:r w:rsidRPr="0020540D">
        <w:rPr>
          <w:i/>
          <w:lang w:val="en-GB"/>
        </w:rPr>
        <w:t>S</w:t>
      </w:r>
      <w:r w:rsidRPr="0020540D">
        <w:rPr>
          <w:i/>
          <w:vertAlign w:val="subscript"/>
          <w:lang w:val="en-GB"/>
        </w:rPr>
        <w:t>nm</w:t>
      </w:r>
      <w:r w:rsidRPr="0020540D">
        <w:rPr>
          <w:lang w:val="en-GB"/>
        </w:rPr>
        <w:t xml:space="preserve"> are added to Bus </w:t>
      </w:r>
      <w:r w:rsidRPr="0020540D">
        <w:rPr>
          <w:i/>
          <w:lang w:val="en-GB"/>
        </w:rPr>
        <w:t>m</w:t>
      </w:r>
      <w:r w:rsidRPr="0020540D">
        <w:rPr>
          <w:lang w:val="en-GB"/>
        </w:rPr>
        <w:t xml:space="preserve"> and </w:t>
      </w:r>
      <w:r w:rsidRPr="0020540D">
        <w:rPr>
          <w:i/>
          <w:lang w:val="en-GB"/>
        </w:rPr>
        <w:t>n</w:t>
      </w:r>
      <w:r w:rsidRPr="0020540D">
        <w:rPr>
          <w:lang w:val="en-GB"/>
        </w:rPr>
        <w:t>, respectively.</w:t>
      </w:r>
    </w:p>
    <w:p w14:paraId="4D416452" w14:textId="77777777" w:rsidR="0020540D" w:rsidRDefault="000B0E1D" w:rsidP="004F29E5">
      <w:pPr>
        <w:spacing w:line="240" w:lineRule="auto"/>
        <w:ind w:firstLine="0"/>
        <w:jc w:val="center"/>
      </w:pPr>
      <w:r w:rsidRPr="0020540D">
        <w:rPr>
          <w:lang w:val="en-GB"/>
        </w:rPr>
        <w:object w:dxaOrig="11265" w:dyaOrig="5285" w14:anchorId="7004CAD7">
          <v:shape id="_x0000_i1168" type="#_x0000_t75" style="width:408pt;height:192pt" o:ole="">
            <v:imagedata r:id="rId148" o:title=""/>
          </v:shape>
          <o:OLEObject Type="Embed" ProgID="Visio.Drawing.11" ShapeID="_x0000_i1168" DrawAspect="Content" ObjectID="_1532825658" r:id="rId149"/>
        </w:object>
      </w:r>
    </w:p>
    <w:p w14:paraId="60B2723B" w14:textId="77777777" w:rsidR="0020540D" w:rsidRDefault="0020540D" w:rsidP="0020540D">
      <w:pPr>
        <w:jc w:val="center"/>
      </w:pPr>
      <w:bookmarkStart w:id="58" w:name="_Ref431907234"/>
      <w:bookmarkStart w:id="59" w:name="_Toc459076466"/>
      <w:r>
        <w:t xml:space="preserve">Figure </w:t>
      </w:r>
      <w:fldSimple w:instr=" SEQ Figure \* ARABIC ">
        <w:r w:rsidR="00B0208A">
          <w:rPr>
            <w:noProof/>
          </w:rPr>
          <w:t>15</w:t>
        </w:r>
      </w:fldSimple>
      <w:bookmarkEnd w:id="58"/>
      <w:r>
        <w:rPr>
          <w:rFonts w:hint="eastAsia"/>
          <w:lang w:eastAsia="zh-CN"/>
        </w:rPr>
        <w:t xml:space="preserve">. </w:t>
      </w:r>
      <w:r>
        <w:rPr>
          <w:lang w:eastAsia="zh-CN"/>
        </w:rPr>
        <w:t>Proposed transformation</w:t>
      </w:r>
      <w:r w:rsidR="004F29E5">
        <w:rPr>
          <w:lang w:eastAsia="zh-CN"/>
        </w:rPr>
        <w:t>.</w:t>
      </w:r>
      <w:bookmarkEnd w:id="59"/>
    </w:p>
    <w:p w14:paraId="38D53679" w14:textId="77777777" w:rsidR="0020540D" w:rsidRPr="0020540D" w:rsidRDefault="0020540D" w:rsidP="004F29E5">
      <w:pPr>
        <w:spacing w:before="240"/>
        <w:rPr>
          <w:lang w:val="en-GB"/>
        </w:rPr>
      </w:pPr>
      <w:r w:rsidRPr="0020540D">
        <w:rPr>
          <w:lang w:val="en-GB"/>
        </w:rPr>
        <w:t xml:space="preserve">The proposed transformation is to transform System </w:t>
      </w:r>
      <w:r w:rsidRPr="0020540D">
        <w:rPr>
          <w:i/>
          <w:lang w:val="en-GB"/>
        </w:rPr>
        <w:t>A</w:t>
      </w:r>
      <w:r w:rsidRPr="0020540D">
        <w:rPr>
          <w:lang w:val="en-GB"/>
        </w:rPr>
        <w:t xml:space="preserve"> to System </w:t>
      </w:r>
      <w:r w:rsidRPr="0020540D">
        <w:rPr>
          <w:i/>
          <w:lang w:val="en-GB"/>
        </w:rPr>
        <w:t>B</w:t>
      </w:r>
      <w:r w:rsidRPr="0020540D">
        <w:rPr>
          <w:lang w:val="en-GB"/>
        </w:rPr>
        <w:t xml:space="preserve">, then use System </w:t>
      </w:r>
      <w:r w:rsidRPr="0020540D">
        <w:rPr>
          <w:i/>
          <w:lang w:val="en-GB"/>
        </w:rPr>
        <w:t>B</w:t>
      </w:r>
      <w:r w:rsidRPr="0020540D">
        <w:rPr>
          <w:lang w:val="en-GB"/>
        </w:rPr>
        <w:t xml:space="preserve"> to predict System </w:t>
      </w:r>
      <w:r w:rsidRPr="0020540D">
        <w:rPr>
          <w:i/>
          <w:lang w:val="en-GB"/>
        </w:rPr>
        <w:t>B</w:t>
      </w:r>
      <w:r w:rsidRPr="0020540D">
        <w:rPr>
          <w:i/>
          <w:vertAlign w:val="superscript"/>
          <w:lang w:val="en-GB"/>
        </w:rPr>
        <w:t>c</w:t>
      </w:r>
      <w:r w:rsidRPr="0020540D">
        <w:rPr>
          <w:lang w:val="en-GB"/>
        </w:rPr>
        <w:t xml:space="preserve"> by changing the bus injections at buses </w:t>
      </w:r>
      <w:r w:rsidRPr="0020540D">
        <w:rPr>
          <w:i/>
          <w:lang w:val="en-GB"/>
        </w:rPr>
        <w:t>m</w:t>
      </w:r>
      <w:r w:rsidRPr="0020540D">
        <w:rPr>
          <w:lang w:val="en-GB"/>
        </w:rPr>
        <w:t xml:space="preserve"> and </w:t>
      </w:r>
      <w:r w:rsidRPr="0020540D">
        <w:rPr>
          <w:i/>
          <w:lang w:val="en-GB"/>
        </w:rPr>
        <w:t>n</w:t>
      </w:r>
      <w:r w:rsidRPr="0020540D">
        <w:rPr>
          <w:lang w:val="en-GB"/>
        </w:rPr>
        <w:t xml:space="preserve">, and finally transform System </w:t>
      </w:r>
      <w:r w:rsidRPr="0020540D">
        <w:rPr>
          <w:i/>
          <w:lang w:val="en-GB"/>
        </w:rPr>
        <w:t>B</w:t>
      </w:r>
      <w:r w:rsidRPr="0020540D">
        <w:rPr>
          <w:i/>
          <w:vertAlign w:val="superscript"/>
          <w:lang w:val="en-GB"/>
        </w:rPr>
        <w:t>c</w:t>
      </w:r>
      <w:r w:rsidRPr="0020540D">
        <w:rPr>
          <w:lang w:val="en-GB"/>
        </w:rPr>
        <w:t xml:space="preserve"> to System </w:t>
      </w:r>
      <w:r w:rsidRPr="0020540D">
        <w:rPr>
          <w:i/>
          <w:lang w:val="en-GB"/>
        </w:rPr>
        <w:t>A</w:t>
      </w:r>
      <w:r w:rsidRPr="0020540D">
        <w:rPr>
          <w:i/>
          <w:vertAlign w:val="superscript"/>
          <w:lang w:val="en-GB"/>
        </w:rPr>
        <w:t>c</w:t>
      </w:r>
      <w:r w:rsidRPr="0020540D">
        <w:rPr>
          <w:lang w:val="en-GB"/>
        </w:rPr>
        <w:t xml:space="preserve"> which represents the post-contingency status of interest. In other literatures, similar transformations were raised but not proven. Though </w:t>
      </w:r>
      <w:r w:rsidRPr="0020540D">
        <w:rPr>
          <w:lang w:val="en-GB"/>
        </w:rPr>
        <w:lastRenderedPageBreak/>
        <w:t xml:space="preserve">achieving acceptable accuracy, these transformations are not necessarily rigorous till proven. The Proof of the equivalence between Systems </w:t>
      </w:r>
      <w:r w:rsidRPr="0020540D">
        <w:rPr>
          <w:i/>
          <w:lang w:val="en-GB"/>
        </w:rPr>
        <w:t>A</w:t>
      </w:r>
      <w:r w:rsidRPr="0020540D">
        <w:rPr>
          <w:lang w:val="en-GB"/>
        </w:rPr>
        <w:t xml:space="preserve"> and System </w:t>
      </w:r>
      <w:r w:rsidRPr="0020540D">
        <w:rPr>
          <w:i/>
          <w:lang w:val="en-GB"/>
        </w:rPr>
        <w:t>B</w:t>
      </w:r>
      <w:r w:rsidRPr="0020540D">
        <w:rPr>
          <w:lang w:val="en-GB"/>
        </w:rPr>
        <w:t xml:space="preserve"> as well as that that between Systems </w:t>
      </w:r>
      <w:r w:rsidRPr="0020540D">
        <w:rPr>
          <w:i/>
          <w:lang w:val="en-GB"/>
        </w:rPr>
        <w:t>A</w:t>
      </w:r>
      <w:r w:rsidRPr="0020540D">
        <w:rPr>
          <w:i/>
          <w:vertAlign w:val="superscript"/>
          <w:lang w:val="en-GB"/>
        </w:rPr>
        <w:t>c</w:t>
      </w:r>
      <w:r w:rsidRPr="0020540D">
        <w:rPr>
          <w:lang w:val="en-GB"/>
        </w:rPr>
        <w:t xml:space="preserve"> and </w:t>
      </w:r>
      <w:r w:rsidRPr="0020540D">
        <w:rPr>
          <w:i/>
          <w:lang w:val="en-GB"/>
        </w:rPr>
        <w:t>B</w:t>
      </w:r>
      <w:r w:rsidRPr="0020540D">
        <w:rPr>
          <w:i/>
          <w:vertAlign w:val="superscript"/>
          <w:lang w:val="en-GB"/>
        </w:rPr>
        <w:t>c</w:t>
      </w:r>
      <w:r w:rsidRPr="0020540D">
        <w:rPr>
          <w:lang w:val="en-GB"/>
        </w:rPr>
        <w:t xml:space="preserve"> is given next.</w:t>
      </w:r>
    </w:p>
    <w:p w14:paraId="66978F27" w14:textId="77777777" w:rsidR="0020540D" w:rsidRPr="0020540D" w:rsidRDefault="0020540D" w:rsidP="0020540D">
      <w:pPr>
        <w:rPr>
          <w:lang w:val="en-GB"/>
        </w:rPr>
      </w:pPr>
      <w:r w:rsidRPr="0020540D">
        <w:rPr>
          <w:lang w:val="en-GB"/>
        </w:rPr>
        <w:t>For a power system, the nodal power equations are:</w:t>
      </w:r>
    </w:p>
    <w:p w14:paraId="5F5BCB25" w14:textId="77777777" w:rsidR="0020540D" w:rsidRPr="0020540D" w:rsidRDefault="0020540D" w:rsidP="0020540D">
      <w:pPr>
        <w:jc w:val="right"/>
        <w:rPr>
          <w:lang w:val="en-GB"/>
        </w:rPr>
      </w:pPr>
      <w:r w:rsidRPr="0020540D">
        <w:rPr>
          <w:lang w:val="en-GB"/>
        </w:rPr>
        <w:object w:dxaOrig="3519" w:dyaOrig="700" w14:anchorId="02E67AC4">
          <v:shape id="_x0000_i1065" type="#_x0000_t75" style="width:225pt;height:46.5pt" o:ole="">
            <v:imagedata r:id="rId150" o:title=""/>
          </v:shape>
          <o:OLEObject Type="Embed" ProgID="Equation.DSMT4" ShapeID="_x0000_i1065" DrawAspect="Content" ObjectID="_1532825659" r:id="rId151"/>
        </w:object>
      </w:r>
      <w:r w:rsidRPr="0020540D">
        <w:rPr>
          <w:lang w:val="en-GB"/>
        </w:rPr>
        <w:tab/>
      </w:r>
      <w:r>
        <w:rPr>
          <w:lang w:val="en-GB"/>
        </w:rPr>
        <w:tab/>
      </w:r>
      <w:r w:rsidRPr="0020540D">
        <w:rPr>
          <w:lang w:val="en-GB"/>
        </w:rPr>
        <w:t>(</w:t>
      </w:r>
      <w:r>
        <w:rPr>
          <w:lang w:val="en-GB"/>
        </w:rPr>
        <w:t>4-</w:t>
      </w:r>
      <w:r w:rsidRPr="0020540D">
        <w:rPr>
          <w:lang w:val="en-GB"/>
        </w:rPr>
        <w:t>1)</w:t>
      </w:r>
      <w:r w:rsidRPr="0020540D">
        <w:rPr>
          <w:lang w:val="en-GB"/>
        </w:rPr>
        <w:tab/>
      </w:r>
    </w:p>
    <w:p w14:paraId="5F8D2D92" w14:textId="77777777" w:rsidR="0020540D" w:rsidRPr="0020540D" w:rsidRDefault="0020540D" w:rsidP="0020540D">
      <w:pPr>
        <w:jc w:val="right"/>
        <w:rPr>
          <w:lang w:val="en-GB"/>
        </w:rPr>
      </w:pPr>
      <w:r w:rsidRPr="0020540D">
        <w:rPr>
          <w:lang w:val="en-GB"/>
        </w:rPr>
        <w:object w:dxaOrig="3540" w:dyaOrig="700" w14:anchorId="5F0070F7">
          <v:shape id="_x0000_i1066" type="#_x0000_t75" style="width:235.5pt;height:46.5pt" o:ole="">
            <v:imagedata r:id="rId152" o:title=""/>
          </v:shape>
          <o:OLEObject Type="Embed" ProgID="Equation.DSMT4" ShapeID="_x0000_i1066" DrawAspect="Content" ObjectID="_1532825660" r:id="rId153"/>
        </w:object>
      </w:r>
      <w:r w:rsidRPr="0020540D">
        <w:rPr>
          <w:lang w:val="en-GB"/>
        </w:rPr>
        <w:tab/>
      </w:r>
      <w:r>
        <w:rPr>
          <w:lang w:val="en-GB"/>
        </w:rPr>
        <w:tab/>
      </w:r>
      <w:r w:rsidRPr="0020540D">
        <w:rPr>
          <w:lang w:val="en-GB"/>
        </w:rPr>
        <w:t>(</w:t>
      </w:r>
      <w:r>
        <w:rPr>
          <w:lang w:val="en-GB"/>
        </w:rPr>
        <w:t>4-</w:t>
      </w:r>
      <w:r w:rsidRPr="0020540D">
        <w:rPr>
          <w:lang w:val="en-GB"/>
        </w:rPr>
        <w:t>2)</w:t>
      </w:r>
      <w:r w:rsidRPr="0020540D">
        <w:rPr>
          <w:lang w:val="en-GB"/>
        </w:rPr>
        <w:tab/>
      </w:r>
    </w:p>
    <w:p w14:paraId="461A1FCB" w14:textId="77777777" w:rsidR="0020540D" w:rsidRPr="0020540D" w:rsidRDefault="0020540D" w:rsidP="0020540D">
      <w:pPr>
        <w:ind w:firstLine="0"/>
        <w:rPr>
          <w:lang w:val="en-GB"/>
        </w:rPr>
      </w:pPr>
      <w:r w:rsidRPr="0020540D">
        <w:rPr>
          <w:lang w:val="en-GB"/>
        </w:rPr>
        <w:t>where</w:t>
      </w:r>
    </w:p>
    <w:p w14:paraId="73427BD8" w14:textId="77777777" w:rsidR="0020540D" w:rsidRPr="0020540D" w:rsidRDefault="0020540D" w:rsidP="0020540D">
      <w:r w:rsidRPr="0020540D">
        <w:rPr>
          <w:i/>
        </w:rPr>
        <w:t xml:space="preserve">i </w:t>
      </w:r>
      <w:r w:rsidRPr="0020540D">
        <w:t>= 1~</w:t>
      </w:r>
      <w:r w:rsidRPr="0020540D">
        <w:rPr>
          <w:i/>
        </w:rPr>
        <w:t>N</w:t>
      </w:r>
      <w:r w:rsidRPr="0020540D">
        <w:t xml:space="preserve"> where </w:t>
      </w:r>
      <w:r w:rsidRPr="0020540D">
        <w:rPr>
          <w:i/>
        </w:rPr>
        <w:t>N</w:t>
      </w:r>
      <w:r w:rsidRPr="0020540D">
        <w:t xml:space="preserve"> is the number of buses in the system;</w:t>
      </w:r>
    </w:p>
    <w:p w14:paraId="58960A26" w14:textId="77777777" w:rsidR="0020540D" w:rsidRPr="0020540D" w:rsidRDefault="0020540D" w:rsidP="0020540D">
      <w:r w:rsidRPr="0020540D">
        <w:rPr>
          <w:i/>
        </w:rPr>
        <w:t>V</w:t>
      </w:r>
      <w:r w:rsidRPr="0020540D">
        <w:rPr>
          <w:i/>
          <w:vertAlign w:val="subscript"/>
        </w:rPr>
        <w:t>i</w:t>
      </w:r>
      <w:r w:rsidRPr="0020540D">
        <w:rPr>
          <w:i/>
        </w:rPr>
        <w:t xml:space="preserve"> </w:t>
      </w:r>
      <w:r w:rsidRPr="0020540D">
        <w:t xml:space="preserve">(or </w:t>
      </w:r>
      <w:r w:rsidRPr="0020540D">
        <w:rPr>
          <w:i/>
        </w:rPr>
        <w:t>V</w:t>
      </w:r>
      <w:r w:rsidRPr="0020540D">
        <w:rPr>
          <w:i/>
          <w:vertAlign w:val="subscript"/>
        </w:rPr>
        <w:t xml:space="preserve">j </w:t>
      </w:r>
      <w:r w:rsidRPr="0020540D">
        <w:t xml:space="preserve">) is the voltage magnitude of bus </w:t>
      </w:r>
      <w:r w:rsidRPr="0020540D">
        <w:rPr>
          <w:i/>
        </w:rPr>
        <w:t>i</w:t>
      </w:r>
      <w:r w:rsidRPr="0020540D">
        <w:t xml:space="preserve"> (or </w:t>
      </w:r>
      <w:r w:rsidRPr="0020540D">
        <w:rPr>
          <w:i/>
        </w:rPr>
        <w:t>j</w:t>
      </w:r>
      <w:r w:rsidRPr="0020540D">
        <w:t>);</w:t>
      </w:r>
    </w:p>
    <w:p w14:paraId="0F10373D" w14:textId="77777777" w:rsidR="0020540D" w:rsidRPr="0020540D" w:rsidRDefault="0020540D" w:rsidP="0020540D">
      <w:r w:rsidRPr="0020540D">
        <w:rPr>
          <w:i/>
        </w:rPr>
        <w:t>θ</w:t>
      </w:r>
      <w:r w:rsidRPr="0020540D">
        <w:rPr>
          <w:i/>
          <w:vertAlign w:val="subscript"/>
        </w:rPr>
        <w:t>i</w:t>
      </w:r>
      <w:r w:rsidRPr="0020540D">
        <w:rPr>
          <w:vertAlign w:val="subscript"/>
        </w:rPr>
        <w:t xml:space="preserve"> </w:t>
      </w:r>
      <w:r w:rsidRPr="0020540D">
        <w:t xml:space="preserve"> (or </w:t>
      </w:r>
      <w:r w:rsidRPr="0020540D">
        <w:rPr>
          <w:i/>
        </w:rPr>
        <w:t>θ</w:t>
      </w:r>
      <w:r w:rsidRPr="0020540D">
        <w:rPr>
          <w:i/>
          <w:vertAlign w:val="subscript"/>
        </w:rPr>
        <w:t>j</w:t>
      </w:r>
      <w:r w:rsidRPr="0020540D">
        <w:t xml:space="preserve"> ) is the voltage angle at bus </w:t>
      </w:r>
      <w:r w:rsidRPr="0020540D">
        <w:rPr>
          <w:i/>
        </w:rPr>
        <w:t>i</w:t>
      </w:r>
      <w:r w:rsidRPr="0020540D">
        <w:t xml:space="preserve"> (or </w:t>
      </w:r>
      <w:r w:rsidRPr="0020540D">
        <w:rPr>
          <w:i/>
        </w:rPr>
        <w:t>j</w:t>
      </w:r>
      <w:r w:rsidRPr="0020540D">
        <w:t xml:space="preserve">); </w:t>
      </w:r>
    </w:p>
    <w:p w14:paraId="7C23D40E" w14:textId="77777777" w:rsidR="0020540D" w:rsidRPr="0020540D" w:rsidRDefault="0020540D" w:rsidP="0020540D">
      <w:r w:rsidRPr="0020540D">
        <w:rPr>
          <w:i/>
        </w:rPr>
        <w:t>P</w:t>
      </w:r>
      <w:r w:rsidRPr="0020540D">
        <w:rPr>
          <w:i/>
          <w:vertAlign w:val="subscript"/>
        </w:rPr>
        <w:t>i</w:t>
      </w:r>
      <w:r w:rsidRPr="0020540D">
        <w:rPr>
          <w:i/>
          <w:vertAlign w:val="superscript"/>
        </w:rPr>
        <w:t>inj</w:t>
      </w:r>
      <w:r w:rsidRPr="0020540D">
        <w:t xml:space="preserve"> (or </w:t>
      </w:r>
      <w:r w:rsidRPr="0020540D">
        <w:rPr>
          <w:i/>
        </w:rPr>
        <w:t>Q</w:t>
      </w:r>
      <w:r w:rsidRPr="0020540D">
        <w:rPr>
          <w:i/>
          <w:vertAlign w:val="subscript"/>
        </w:rPr>
        <w:t>i</w:t>
      </w:r>
      <w:r w:rsidRPr="0020540D">
        <w:rPr>
          <w:i/>
          <w:vertAlign w:val="superscript"/>
        </w:rPr>
        <w:t>inj</w:t>
      </w:r>
      <w:r w:rsidRPr="0020540D">
        <w:t xml:space="preserve">) is the real (or reactive) injection at bus </w:t>
      </w:r>
      <w:r w:rsidRPr="0020540D">
        <w:rPr>
          <w:i/>
        </w:rPr>
        <w:t>i</w:t>
      </w:r>
      <w:r w:rsidRPr="0020540D">
        <w:t>; and</w:t>
      </w:r>
    </w:p>
    <w:p w14:paraId="058B266F" w14:textId="77777777" w:rsidR="0020540D" w:rsidRPr="0020540D" w:rsidRDefault="0020540D" w:rsidP="0020540D">
      <w:r w:rsidRPr="0020540D">
        <w:rPr>
          <w:i/>
        </w:rPr>
        <w:t>Y</w:t>
      </w:r>
      <w:r w:rsidRPr="0020540D">
        <w:rPr>
          <w:i/>
          <w:vertAlign w:val="subscript"/>
        </w:rPr>
        <w:t>ij</w:t>
      </w:r>
      <w:r w:rsidRPr="0020540D">
        <w:t xml:space="preserve"> (or </w:t>
      </w:r>
      <w:r w:rsidRPr="0020540D">
        <w:object w:dxaOrig="279" w:dyaOrig="380" w14:anchorId="2EFAA3AD">
          <v:shape id="_x0000_i1067" type="#_x0000_t75" style="width:15pt;height:19.5pt" o:ole="">
            <v:imagedata r:id="rId154" o:title=""/>
          </v:shape>
          <o:OLEObject Type="Embed" ProgID="Equation.3" ShapeID="_x0000_i1067" DrawAspect="Content" ObjectID="_1532825661" r:id="rId155"/>
        </w:object>
      </w:r>
      <w:r w:rsidRPr="0020540D">
        <w:t>) is the magnitude (or angle) of the element in the system admittance matrix.</w:t>
      </w:r>
    </w:p>
    <w:p w14:paraId="464E21DA" w14:textId="77777777" w:rsidR="0020540D" w:rsidRPr="0020540D" w:rsidRDefault="0020540D" w:rsidP="0020540D">
      <w:r w:rsidRPr="0020540D">
        <w:t xml:space="preserve">Assume </w:t>
      </w:r>
      <w:r w:rsidRPr="0020540D">
        <w:rPr>
          <w:i/>
        </w:rPr>
        <w:t>N</w:t>
      </w:r>
      <w:r w:rsidRPr="0020540D">
        <w:rPr>
          <w:i/>
          <w:vertAlign w:val="subscript"/>
        </w:rPr>
        <w:t>PQ</w:t>
      </w:r>
      <w:r w:rsidRPr="0020540D">
        <w:t xml:space="preserve"> </w:t>
      </w:r>
      <w:r w:rsidRPr="0020540D">
        <w:rPr>
          <w:i/>
        </w:rPr>
        <w:fldChar w:fldCharType="begin"/>
      </w:r>
      <w:r w:rsidRPr="0020540D">
        <w:rPr>
          <w:i/>
        </w:rPr>
        <w:instrText xml:space="preserve"> QUOTE </w:instrText>
      </w:r>
      <m:oMath>
        <m:sSub>
          <m:sSubPr>
            <m:ctrlPr>
              <w:rPr>
                <w:rFonts w:ascii="Cambria Math" w:hAnsi="Cambria Math"/>
                <w:i/>
              </w:rPr>
            </m:ctrlPr>
          </m:sSubPr>
          <m:e>
            <m:r>
              <m:rPr>
                <m:sty m:val="p"/>
              </m:rPr>
              <w:rPr>
                <w:rFonts w:ascii="Cambria Math" w:hAnsi="Cambria Math"/>
              </w:rPr>
              <m:t>N</m:t>
            </m:r>
          </m:e>
          <m:sub>
            <m:r>
              <m:rPr>
                <m:sty m:val="p"/>
              </m:rPr>
              <w:rPr>
                <w:rFonts w:ascii="Cambria Math" w:hAnsi="Cambria Math"/>
              </w:rPr>
              <m:t>PQ</m:t>
            </m:r>
          </m:sub>
        </m:sSub>
      </m:oMath>
      <w:r w:rsidRPr="0020540D">
        <w:rPr>
          <w:i/>
        </w:rPr>
        <w:instrText xml:space="preserve"> </w:instrText>
      </w:r>
      <w:r w:rsidRPr="0020540D">
        <w:rPr>
          <w:i/>
        </w:rPr>
        <w:fldChar w:fldCharType="end"/>
      </w:r>
      <w:r w:rsidRPr="0020540D">
        <w:t xml:space="preserve"> is the number of PQ buses and </w:t>
      </w:r>
      <w:r w:rsidRPr="0020540D">
        <w:rPr>
          <w:i/>
        </w:rPr>
        <w:t>N</w:t>
      </w:r>
      <w:r w:rsidRPr="0020540D">
        <w:rPr>
          <w:i/>
          <w:vertAlign w:val="subscript"/>
        </w:rPr>
        <w:t>PV</w:t>
      </w:r>
      <w:r w:rsidRPr="0020540D">
        <w:t xml:space="preserve"> is the number of PV buses in the system. Therefore, there will be 2</w:t>
      </w:r>
      <w:r w:rsidRPr="0020540D">
        <w:rPr>
          <w:i/>
        </w:rPr>
        <w:t>N</w:t>
      </w:r>
      <w:r w:rsidRPr="0020540D">
        <w:rPr>
          <w:i/>
          <w:vertAlign w:val="subscript"/>
        </w:rPr>
        <w:t>PQ</w:t>
      </w:r>
      <w:r w:rsidRPr="0020540D">
        <w:t>+</w:t>
      </w:r>
      <w:r w:rsidRPr="0020540D">
        <w:rPr>
          <w:i/>
        </w:rPr>
        <w:t>N</w:t>
      </w:r>
      <w:r w:rsidRPr="0020540D">
        <w:rPr>
          <w:i/>
          <w:vertAlign w:val="subscript"/>
        </w:rPr>
        <w:t>PV</w:t>
      </w:r>
      <w:r w:rsidRPr="0020540D">
        <w:t xml:space="preserve"> unknown variables: voltage angles for </w:t>
      </w:r>
      <w:r w:rsidRPr="0020540D">
        <w:rPr>
          <w:i/>
        </w:rPr>
        <w:t>N</w:t>
      </w:r>
      <w:r w:rsidRPr="0020540D">
        <w:rPr>
          <w:i/>
          <w:vertAlign w:val="subscript"/>
        </w:rPr>
        <w:t>PQ</w:t>
      </w:r>
      <w:r w:rsidRPr="0020540D">
        <w:rPr>
          <w:i/>
        </w:rPr>
        <w:t>+N</w:t>
      </w:r>
      <w:r w:rsidRPr="0020540D">
        <w:rPr>
          <w:i/>
          <w:vertAlign w:val="subscript"/>
        </w:rPr>
        <w:t>PV</w:t>
      </w:r>
      <w:r w:rsidRPr="0020540D">
        <w:t xml:space="preserve"> buses and voltage magnitude for </w:t>
      </w:r>
      <w:r w:rsidRPr="0020540D">
        <w:rPr>
          <w:i/>
        </w:rPr>
        <w:t>N</w:t>
      </w:r>
      <w:r w:rsidRPr="0020540D">
        <w:rPr>
          <w:i/>
          <w:vertAlign w:val="subscript"/>
        </w:rPr>
        <w:t>PQ</w:t>
      </w:r>
      <w:r w:rsidRPr="0020540D">
        <w:t xml:space="preserve"> buses.  Let the unknown variables be vector </w:t>
      </w:r>
      <w:r w:rsidRPr="0020540D">
        <w:rPr>
          <w:lang w:val="en-GB"/>
        </w:rPr>
        <w:object w:dxaOrig="180" w:dyaOrig="240" w14:anchorId="6065FC90">
          <v:shape id="_x0000_i1068" type="#_x0000_t75" style="width:9pt;height:13.5pt" o:ole="">
            <v:imagedata r:id="rId156" o:title=""/>
          </v:shape>
          <o:OLEObject Type="Embed" ProgID="Equation.DSMT4" ShapeID="_x0000_i1068" DrawAspect="Content" ObjectID="_1532825662" r:id="rId157"/>
        </w:object>
      </w:r>
      <w:r w:rsidRPr="0020540D">
        <w:t xml:space="preserve">. Let </w:t>
      </w:r>
      <w:r w:rsidRPr="0020540D">
        <w:rPr>
          <w:lang w:val="en-GB"/>
        </w:rPr>
        <w:object w:dxaOrig="780" w:dyaOrig="320" w14:anchorId="4396FC8D">
          <v:shape id="_x0000_i1069" type="#_x0000_t75" style="width:39pt;height:15pt" o:ole="">
            <v:imagedata r:id="rId158" o:title=""/>
          </v:shape>
          <o:OLEObject Type="Embed" ProgID="Equation.DSMT4" ShapeID="_x0000_i1069" DrawAspect="Content" ObjectID="_1532825663" r:id="rId159"/>
        </w:object>
      </w:r>
      <w:r w:rsidRPr="0020540D">
        <w:t xml:space="preserve"> represent (</w:t>
      </w:r>
      <w:r w:rsidR="00C20330">
        <w:t>4-</w:t>
      </w:r>
      <w:r w:rsidRPr="0020540D">
        <w:t xml:space="preserve">1) of </w:t>
      </w:r>
      <w:r w:rsidRPr="0020540D">
        <w:rPr>
          <w:i/>
        </w:rPr>
        <w:t>N</w:t>
      </w:r>
      <w:r w:rsidRPr="0020540D">
        <w:rPr>
          <w:i/>
          <w:vertAlign w:val="subscript"/>
        </w:rPr>
        <w:t>PQ</w:t>
      </w:r>
      <w:r w:rsidRPr="0020540D">
        <w:rPr>
          <w:i/>
        </w:rPr>
        <w:t>+N</w:t>
      </w:r>
      <w:r w:rsidRPr="0020540D">
        <w:rPr>
          <w:i/>
          <w:vertAlign w:val="subscript"/>
        </w:rPr>
        <w:t>PV</w:t>
      </w:r>
      <w:r w:rsidRPr="0020540D">
        <w:t xml:space="preserve"> buses and (</w:t>
      </w:r>
      <w:r w:rsidR="00C20330">
        <w:t>4-</w:t>
      </w:r>
      <w:r w:rsidRPr="0020540D">
        <w:t xml:space="preserve">2) of </w:t>
      </w:r>
      <w:r w:rsidRPr="0020540D">
        <w:rPr>
          <w:i/>
        </w:rPr>
        <w:t>N</w:t>
      </w:r>
      <w:r w:rsidRPr="0020540D">
        <w:rPr>
          <w:i/>
          <w:vertAlign w:val="subscript"/>
        </w:rPr>
        <w:t>PQ</w:t>
      </w:r>
      <w:r w:rsidRPr="0020540D">
        <w:t xml:space="preserve"> buses. To solve the load flow is to solve</w:t>
      </w:r>
    </w:p>
    <w:p w14:paraId="3E758482" w14:textId="77777777" w:rsidR="0020540D" w:rsidRPr="0020540D" w:rsidRDefault="0020540D" w:rsidP="0020540D">
      <w:pPr>
        <w:jc w:val="right"/>
        <w:rPr>
          <w:lang w:val="en-GB"/>
        </w:rPr>
      </w:pPr>
      <w:r w:rsidRPr="0020540D">
        <w:rPr>
          <w:lang w:val="en-GB"/>
        </w:rPr>
        <w:object w:dxaOrig="780" w:dyaOrig="320" w14:anchorId="126377B4">
          <v:shape id="_x0000_i1070" type="#_x0000_t75" style="width:58.5pt;height:22.5pt" o:ole="">
            <v:imagedata r:id="rId160" o:title=""/>
          </v:shape>
          <o:OLEObject Type="Embed" ProgID="Equation.DSMT4" ShapeID="_x0000_i1070" DrawAspect="Content" ObjectID="_1532825664" r:id="rId161"/>
        </w:object>
      </w:r>
      <w:r w:rsidRPr="0020540D">
        <w:rPr>
          <w:lang w:val="en-GB"/>
        </w:rPr>
        <w:tab/>
      </w:r>
      <w:r>
        <w:rPr>
          <w:lang w:val="en-GB"/>
        </w:rPr>
        <w:tab/>
      </w:r>
      <w:r>
        <w:rPr>
          <w:lang w:val="en-GB"/>
        </w:rPr>
        <w:tab/>
      </w:r>
      <w:r>
        <w:rPr>
          <w:lang w:val="en-GB"/>
        </w:rPr>
        <w:tab/>
      </w:r>
      <w:r>
        <w:rPr>
          <w:lang w:val="en-GB"/>
        </w:rPr>
        <w:tab/>
      </w:r>
      <w:r w:rsidRPr="0020540D">
        <w:rPr>
          <w:lang w:val="en-GB"/>
        </w:rPr>
        <w:t>(</w:t>
      </w:r>
      <w:r>
        <w:rPr>
          <w:lang w:val="en-GB"/>
        </w:rPr>
        <w:t>4-</w:t>
      </w:r>
      <w:r w:rsidRPr="0020540D">
        <w:rPr>
          <w:lang w:val="en-GB"/>
        </w:rPr>
        <w:t>3)</w:t>
      </w:r>
      <w:r w:rsidRPr="0020540D">
        <w:rPr>
          <w:lang w:val="en-GB"/>
        </w:rPr>
        <w:tab/>
      </w:r>
    </w:p>
    <w:p w14:paraId="3D6940AD" w14:textId="77777777" w:rsidR="0020540D" w:rsidRPr="0020540D" w:rsidRDefault="0020540D" w:rsidP="0020540D">
      <w:r w:rsidRPr="0020540D">
        <w:lastRenderedPageBreak/>
        <w:t xml:space="preserve">Assume </w:t>
      </w:r>
      <w:r w:rsidRPr="0020540D">
        <w:rPr>
          <w:lang w:val="en-GB"/>
        </w:rPr>
        <w:object w:dxaOrig="260" w:dyaOrig="300" w14:anchorId="0CF3FD00">
          <v:shape id="_x0000_i1071" type="#_x0000_t75" style="width:13.5pt;height:15pt" o:ole="">
            <v:imagedata r:id="rId162" o:title=""/>
          </v:shape>
          <o:OLEObject Type="Embed" ProgID="Equation.DSMT4" ShapeID="_x0000_i1071" DrawAspect="Content" ObjectID="_1532825665" r:id="rId163"/>
        </w:object>
      </w:r>
      <w:r w:rsidRPr="0020540D">
        <w:t xml:space="preserve"> is the load flow solution for System A such that </w:t>
      </w:r>
      <w:r w:rsidRPr="0020540D">
        <w:rPr>
          <w:lang w:val="en-GB"/>
        </w:rPr>
        <w:object w:dxaOrig="920" w:dyaOrig="320" w14:anchorId="073D9CDB">
          <v:shape id="_x0000_i1072" type="#_x0000_t75" style="width:45pt;height:15pt" o:ole="">
            <v:imagedata r:id="rId164" o:title=""/>
          </v:shape>
          <o:OLEObject Type="Embed" ProgID="Equation.DSMT4" ShapeID="_x0000_i1072" DrawAspect="Content" ObjectID="_1532825666" r:id="rId165"/>
        </w:object>
      </w:r>
      <w:r w:rsidRPr="0020540D">
        <w:t xml:space="preserve">, and </w:t>
      </w:r>
      <w:r w:rsidRPr="0020540D">
        <w:rPr>
          <w:lang w:val="en-GB"/>
        </w:rPr>
        <w:object w:dxaOrig="260" w:dyaOrig="300" w14:anchorId="61B72558">
          <v:shape id="_x0000_i1073" type="#_x0000_t75" style="width:13.5pt;height:15pt" o:ole="">
            <v:imagedata r:id="rId166" o:title=""/>
          </v:shape>
          <o:OLEObject Type="Embed" ProgID="Equation.DSMT4" ShapeID="_x0000_i1073" DrawAspect="Content" ObjectID="_1532825667" r:id="rId167"/>
        </w:object>
      </w:r>
      <w:r w:rsidRPr="0020540D">
        <w:t xml:space="preserve"> is the load flow solution for System B such that </w:t>
      </w:r>
      <w:r w:rsidRPr="0020540D">
        <w:rPr>
          <w:lang w:val="en-GB"/>
        </w:rPr>
        <w:object w:dxaOrig="920" w:dyaOrig="320" w14:anchorId="4A208C1E">
          <v:shape id="_x0000_i1074" type="#_x0000_t75" style="width:45pt;height:15pt" o:ole="">
            <v:imagedata r:id="rId168" o:title=""/>
          </v:shape>
          <o:OLEObject Type="Embed" ProgID="Equation.DSMT4" ShapeID="_x0000_i1074" DrawAspect="Content" ObjectID="_1532825668" r:id="rId169"/>
        </w:object>
      </w:r>
      <w:r w:rsidRPr="0020540D">
        <w:t xml:space="preserve">. Though both System A and B have more than one solution for (3), there is only one feasible solution around 1.0 p.u. voltage magnitude. To prove equivalence is to show </w:t>
      </w:r>
      <w:r w:rsidRPr="0020540D">
        <w:rPr>
          <w:lang w:val="en-GB"/>
        </w:rPr>
        <w:object w:dxaOrig="660" w:dyaOrig="300" w14:anchorId="5DAC2AFF">
          <v:shape id="_x0000_i1075" type="#_x0000_t75" style="width:31.5pt;height:15pt" o:ole="">
            <v:imagedata r:id="rId170" o:title=""/>
          </v:shape>
          <o:OLEObject Type="Embed" ProgID="Equation.DSMT4" ShapeID="_x0000_i1075" DrawAspect="Content" ObjectID="_1532825669" r:id="rId171"/>
        </w:object>
      </w:r>
      <w:r w:rsidRPr="0020540D">
        <w:t xml:space="preserve">. Since </w:t>
      </w:r>
      <w:r w:rsidRPr="0020540D">
        <w:rPr>
          <w:lang w:val="en-GB"/>
        </w:rPr>
        <w:object w:dxaOrig="260" w:dyaOrig="300" w14:anchorId="30FA5925">
          <v:shape id="_x0000_i1076" type="#_x0000_t75" style="width:13.5pt;height:15pt" o:ole="">
            <v:imagedata r:id="rId172" o:title=""/>
          </v:shape>
          <o:OLEObject Type="Embed" ProgID="Equation.DSMT4" ShapeID="_x0000_i1076" DrawAspect="Content" ObjectID="_1532825670" r:id="rId173"/>
        </w:object>
      </w:r>
      <w:r w:rsidRPr="0020540D">
        <w:t xml:space="preserve"> and </w:t>
      </w:r>
      <w:r w:rsidRPr="0020540D">
        <w:rPr>
          <w:lang w:val="en-GB"/>
        </w:rPr>
        <w:object w:dxaOrig="260" w:dyaOrig="300" w14:anchorId="0F3AB87C">
          <v:shape id="_x0000_i1077" type="#_x0000_t75" style="width:13.5pt;height:15pt" o:ole="">
            <v:imagedata r:id="rId174" o:title=""/>
          </v:shape>
          <o:OLEObject Type="Embed" ProgID="Equation.DSMT4" ShapeID="_x0000_i1077" DrawAspect="Content" ObjectID="_1532825671" r:id="rId175"/>
        </w:object>
      </w:r>
      <w:r w:rsidRPr="0020540D">
        <w:t xml:space="preserve"> are the feasible solution, it is to show </w:t>
      </w:r>
      <w:r w:rsidR="00927A5B" w:rsidRPr="0020540D">
        <w:rPr>
          <w:lang w:val="en-GB"/>
        </w:rPr>
        <w:object w:dxaOrig="920" w:dyaOrig="320" w14:anchorId="5AC430EE">
          <v:shape id="_x0000_i1078" type="#_x0000_t75" style="width:49.5pt;height:16.5pt" o:ole="">
            <v:imagedata r:id="rId176" o:title=""/>
          </v:shape>
          <o:OLEObject Type="Embed" ProgID="Equation.DSMT4" ShapeID="_x0000_i1078" DrawAspect="Content" ObjectID="_1532825672" r:id="rId177"/>
        </w:object>
      </w:r>
      <w:r w:rsidRPr="0020540D">
        <w:t>. This is the key of the rigorous proof to be presented next.</w:t>
      </w:r>
    </w:p>
    <w:p w14:paraId="09E2F156" w14:textId="77777777" w:rsidR="0020540D" w:rsidRPr="0020540D" w:rsidRDefault="0020540D" w:rsidP="0020540D">
      <w:r w:rsidRPr="0020540D">
        <w:t>Assume that the symbols introduced in (</w:t>
      </w:r>
      <w:r>
        <w:t>4-</w:t>
      </w:r>
      <w:r w:rsidRPr="0020540D">
        <w:t>1) and (</w:t>
      </w:r>
      <w:r>
        <w:t>4-</w:t>
      </w:r>
      <w:r w:rsidRPr="0020540D">
        <w:t>2) represent the values in System A. Underscores are used to represent the values in System B.</w:t>
      </w:r>
    </w:p>
    <w:p w14:paraId="62512477" w14:textId="77777777" w:rsidR="0020540D" w:rsidRPr="0020540D" w:rsidRDefault="0020540D" w:rsidP="0020540D">
      <w:r w:rsidRPr="0020540D">
        <w:t xml:space="preserve">Differences between Systems A and B are as follows: </w:t>
      </w:r>
    </w:p>
    <w:p w14:paraId="5DF0DA39" w14:textId="77777777" w:rsidR="0020540D" w:rsidRPr="0020540D" w:rsidRDefault="0020540D" w:rsidP="0020540D">
      <w:r>
        <w:t xml:space="preserve">a) </w:t>
      </w:r>
      <w:r w:rsidRPr="0020540D">
        <w:t xml:space="preserve">the different nodal injections at buses </w:t>
      </w:r>
      <w:r w:rsidRPr="0020540D">
        <w:rPr>
          <w:i/>
        </w:rPr>
        <w:t>m</w:t>
      </w:r>
      <w:r w:rsidRPr="0020540D">
        <w:t xml:space="preserve"> and </w:t>
      </w:r>
      <w:r w:rsidRPr="0020540D">
        <w:rPr>
          <w:i/>
        </w:rPr>
        <w:t>n</w:t>
      </w:r>
      <w:r w:rsidRPr="0020540D">
        <w:t>; and</w:t>
      </w:r>
    </w:p>
    <w:p w14:paraId="7BF0933F" w14:textId="77777777" w:rsidR="0020540D" w:rsidRPr="0020540D" w:rsidRDefault="0020540D" w:rsidP="0020540D">
      <w:pPr>
        <w:rPr>
          <w:lang w:val="en-GB"/>
        </w:rPr>
      </w:pPr>
      <w:r w:rsidRPr="0020540D">
        <w:t xml:space="preserve">b) </w:t>
      </w:r>
      <w:r w:rsidRPr="0020540D">
        <w:rPr>
          <w:lang w:val="en-GB"/>
        </w:rPr>
        <w:t xml:space="preserve">the branch </w:t>
      </w:r>
      <w:r w:rsidRPr="0020540D">
        <w:rPr>
          <w:i/>
          <w:lang w:val="en-GB"/>
        </w:rPr>
        <w:t>mn</w:t>
      </w:r>
      <w:r w:rsidRPr="0020540D">
        <w:rPr>
          <w:lang w:val="en-GB"/>
        </w:rPr>
        <w:t>.</w:t>
      </w:r>
    </w:p>
    <w:p w14:paraId="574DD038" w14:textId="77777777" w:rsidR="0020540D" w:rsidRPr="0020540D" w:rsidRDefault="0020540D" w:rsidP="0020540D">
      <w:r w:rsidRPr="0020540D">
        <w:t>The first difference will only matter corresponding to (</w:t>
      </w:r>
      <w:r>
        <w:t>4-</w:t>
      </w:r>
      <w:r w:rsidRPr="0020540D">
        <w:t>1) and (</w:t>
      </w:r>
      <w:r>
        <w:t>4-</w:t>
      </w:r>
      <w:r w:rsidRPr="0020540D">
        <w:t xml:space="preserve">2) for buses </w:t>
      </w:r>
      <w:r w:rsidRPr="0020540D">
        <w:rPr>
          <w:i/>
        </w:rPr>
        <w:t>m</w:t>
      </w:r>
      <w:r w:rsidRPr="0020540D">
        <w:t xml:space="preserve"> and </w:t>
      </w:r>
      <w:r w:rsidRPr="0020540D">
        <w:rPr>
          <w:i/>
        </w:rPr>
        <w:t>n</w:t>
      </w:r>
      <w:r w:rsidRPr="0020540D">
        <w:t xml:space="preserve">. The second difference will only affect </w:t>
      </w:r>
      <w:r w:rsidRPr="0020540D">
        <w:rPr>
          <w:lang w:val="en-GB"/>
        </w:rPr>
        <w:object w:dxaOrig="320" w:dyaOrig="300" w14:anchorId="33960A08">
          <v:shape id="_x0000_i1079" type="#_x0000_t75" style="width:15pt;height:15pt" o:ole="">
            <v:imagedata r:id="rId178" o:title=""/>
          </v:shape>
          <o:OLEObject Type="Embed" ProgID="Equation.DSMT4" ShapeID="_x0000_i1079" DrawAspect="Content" ObjectID="_1532825673" r:id="rId179"/>
        </w:object>
      </w:r>
      <w:r w:rsidRPr="0020540D">
        <w:t xml:space="preserve"> , </w:t>
      </w:r>
      <w:r w:rsidRPr="0020540D">
        <w:rPr>
          <w:lang w:val="en-GB"/>
        </w:rPr>
        <w:object w:dxaOrig="320" w:dyaOrig="300" w14:anchorId="1E0B9A24">
          <v:shape id="_x0000_i1080" type="#_x0000_t75" style="width:15pt;height:15pt" o:ole="">
            <v:imagedata r:id="rId180" o:title=""/>
          </v:shape>
          <o:OLEObject Type="Embed" ProgID="Equation.DSMT4" ShapeID="_x0000_i1080" DrawAspect="Content" ObjectID="_1532825674" r:id="rId181"/>
        </w:object>
      </w:r>
      <w:r w:rsidRPr="0020540D">
        <w:t xml:space="preserve"> , </w:t>
      </w:r>
      <w:r w:rsidRPr="0020540D">
        <w:rPr>
          <w:lang w:val="en-GB"/>
        </w:rPr>
        <w:object w:dxaOrig="300" w:dyaOrig="300" w14:anchorId="3E252AA0">
          <v:shape id="_x0000_i1081" type="#_x0000_t75" style="width:15pt;height:15pt" o:ole="">
            <v:imagedata r:id="rId182" o:title=""/>
          </v:shape>
          <o:OLEObject Type="Embed" ProgID="Equation.DSMT4" ShapeID="_x0000_i1081" DrawAspect="Content" ObjectID="_1532825675" r:id="rId183"/>
        </w:object>
      </w:r>
      <w:r w:rsidRPr="0020540D">
        <w:t xml:space="preserve">, and </w:t>
      </w:r>
      <w:r w:rsidRPr="0020540D">
        <w:rPr>
          <w:lang w:val="en-GB"/>
        </w:rPr>
        <w:object w:dxaOrig="340" w:dyaOrig="300" w14:anchorId="32E103E8">
          <v:shape id="_x0000_i1082" type="#_x0000_t75" style="width:18pt;height:15pt" o:ole="">
            <v:imagedata r:id="rId184" o:title=""/>
          </v:shape>
          <o:OLEObject Type="Embed" ProgID="Equation.DSMT4" ShapeID="_x0000_i1082" DrawAspect="Content" ObjectID="_1532825676" r:id="rId185"/>
        </w:object>
      </w:r>
      <w:r w:rsidRPr="0020540D">
        <w:t xml:space="preserve"> in the admittance matrix, which also only appear in (</w:t>
      </w:r>
      <w:r w:rsidR="000D7898">
        <w:t>4-</w:t>
      </w:r>
      <w:r w:rsidRPr="0020540D">
        <w:t>1) and (</w:t>
      </w:r>
      <w:r w:rsidR="000D7898">
        <w:t>4-</w:t>
      </w:r>
      <w:r w:rsidRPr="0020540D">
        <w:t xml:space="preserve">2) for buses m and n. To sum up, only the equations related to the injections at buses </w:t>
      </w:r>
      <w:r w:rsidRPr="0020540D">
        <w:rPr>
          <w:i/>
        </w:rPr>
        <w:t>m</w:t>
      </w:r>
      <w:r w:rsidRPr="0020540D">
        <w:t xml:space="preserve"> and </w:t>
      </w:r>
      <w:r w:rsidRPr="0020540D">
        <w:rPr>
          <w:i/>
        </w:rPr>
        <w:t>n</w:t>
      </w:r>
      <w:r w:rsidRPr="0020540D">
        <w:t xml:space="preserve"> are different for </w:t>
      </w:r>
      <w:r w:rsidRPr="0020540D">
        <w:rPr>
          <w:lang w:val="en-GB"/>
        </w:rPr>
        <w:object w:dxaOrig="920" w:dyaOrig="320" w14:anchorId="7D5FB591">
          <v:shape id="_x0000_i1083" type="#_x0000_t75" style="width:45pt;height:15pt" o:ole="">
            <v:imagedata r:id="rId164" o:title=""/>
          </v:shape>
          <o:OLEObject Type="Embed" ProgID="Equation.DSMT4" ShapeID="_x0000_i1083" DrawAspect="Content" ObjectID="_1532825677" r:id="rId186"/>
        </w:object>
      </w:r>
      <w:r w:rsidRPr="0020540D">
        <w:t xml:space="preserve"> and </w:t>
      </w:r>
      <w:r w:rsidRPr="0020540D">
        <w:rPr>
          <w:lang w:val="en-GB"/>
        </w:rPr>
        <w:object w:dxaOrig="920" w:dyaOrig="320" w14:anchorId="5BC57728">
          <v:shape id="_x0000_i1084" type="#_x0000_t75" style="width:45pt;height:15pt" o:ole="">
            <v:imagedata r:id="rId168" o:title=""/>
          </v:shape>
          <o:OLEObject Type="Embed" ProgID="Equation.DSMT4" ShapeID="_x0000_i1084" DrawAspect="Content" ObjectID="_1532825678" r:id="rId187"/>
        </w:object>
      </w:r>
      <w:r w:rsidRPr="0020540D">
        <w:t xml:space="preserve">. Therefore, </w:t>
      </w:r>
      <w:r w:rsidRPr="0020540D">
        <w:rPr>
          <w:lang w:val="en-GB"/>
        </w:rPr>
        <w:object w:dxaOrig="920" w:dyaOrig="320" w14:anchorId="4179208F">
          <v:shape id="_x0000_i1085" type="#_x0000_t75" style="width:45pt;height:15pt" o:ole="">
            <v:imagedata r:id="rId176" o:title=""/>
          </v:shape>
          <o:OLEObject Type="Embed" ProgID="Equation.DSMT4" ShapeID="_x0000_i1085" DrawAspect="Content" ObjectID="_1532825679" r:id="rId188"/>
        </w:object>
      </w:r>
      <w:r w:rsidRPr="0020540D">
        <w:t xml:space="preserve"> holds for the equations other than those related to the injections at buses </w:t>
      </w:r>
      <w:r w:rsidRPr="0020540D">
        <w:rPr>
          <w:i/>
        </w:rPr>
        <w:t>m</w:t>
      </w:r>
      <w:r w:rsidRPr="0020540D">
        <w:t xml:space="preserve"> and </w:t>
      </w:r>
      <w:r w:rsidRPr="0020540D">
        <w:rPr>
          <w:i/>
        </w:rPr>
        <w:t>n</w:t>
      </w:r>
      <w:r w:rsidRPr="0020540D">
        <w:t xml:space="preserve">. Thus, we only need to prove that </w:t>
      </w:r>
      <w:r w:rsidRPr="0020540D">
        <w:rPr>
          <w:lang w:val="en-GB"/>
        </w:rPr>
        <w:object w:dxaOrig="260" w:dyaOrig="300" w14:anchorId="5EE2DE6C">
          <v:shape id="_x0000_i1086" type="#_x0000_t75" style="width:13.5pt;height:15pt" o:ole="">
            <v:imagedata r:id="rId172" o:title=""/>
          </v:shape>
          <o:OLEObject Type="Embed" ProgID="Equation.DSMT4" ShapeID="_x0000_i1086" DrawAspect="Content" ObjectID="_1532825680" r:id="rId189"/>
        </w:object>
      </w:r>
      <w:r w:rsidRPr="0020540D">
        <w:t xml:space="preserve"> also satisfies the equations related to the injections at buses </w:t>
      </w:r>
      <w:r w:rsidRPr="0020540D">
        <w:rPr>
          <w:i/>
        </w:rPr>
        <w:t>m</w:t>
      </w:r>
      <w:r w:rsidRPr="0020540D">
        <w:t xml:space="preserve"> and </w:t>
      </w:r>
      <w:r w:rsidRPr="0020540D">
        <w:rPr>
          <w:i/>
        </w:rPr>
        <w:t>n</w:t>
      </w:r>
      <w:r w:rsidRPr="0020540D">
        <w:t>.</w:t>
      </w:r>
    </w:p>
    <w:p w14:paraId="5F39E9C1" w14:textId="77777777" w:rsidR="0020540D" w:rsidRPr="0020540D" w:rsidRDefault="0020540D" w:rsidP="0020540D">
      <w:pPr>
        <w:rPr>
          <w:lang w:val="en-GB"/>
        </w:rPr>
      </w:pPr>
      <w:r w:rsidRPr="0020540D">
        <w:rPr>
          <w:lang w:val="en-GB"/>
        </w:rPr>
        <w:t xml:space="preserve">For the admittance matrix </w:t>
      </w:r>
      <w:r w:rsidRPr="0020540D">
        <w:rPr>
          <w:i/>
          <w:lang w:val="en-GB"/>
        </w:rPr>
        <w:t>Y</w:t>
      </w:r>
      <w:r w:rsidRPr="0020540D">
        <w:rPr>
          <w:lang w:val="en-GB"/>
        </w:rPr>
        <w:t xml:space="preserve"> of System </w:t>
      </w:r>
      <w:r w:rsidRPr="0020540D">
        <w:rPr>
          <w:i/>
          <w:lang w:val="en-GB"/>
        </w:rPr>
        <w:t>A</w:t>
      </w:r>
      <w:r w:rsidRPr="0020540D">
        <w:rPr>
          <w:lang w:val="en-GB"/>
        </w:rPr>
        <w:t xml:space="preserve">, the element </w:t>
      </w:r>
      <w:r w:rsidRPr="0020540D">
        <w:rPr>
          <w:i/>
          <w:lang w:val="en-GB"/>
        </w:rPr>
        <w:t>Y</w:t>
      </w:r>
      <w:r w:rsidRPr="0020540D">
        <w:rPr>
          <w:i/>
          <w:vertAlign w:val="subscript"/>
          <w:lang w:val="en-GB"/>
        </w:rPr>
        <w:t>ij</w:t>
      </w:r>
      <w:r w:rsidRPr="0020540D">
        <w:rPr>
          <w:i/>
          <w:lang w:val="en-GB"/>
        </w:rPr>
        <w:t>=G</w:t>
      </w:r>
      <w:r w:rsidRPr="0020540D">
        <w:rPr>
          <w:i/>
          <w:vertAlign w:val="subscript"/>
          <w:lang w:val="en-GB"/>
        </w:rPr>
        <w:t>ij</w:t>
      </w:r>
      <w:r w:rsidRPr="0020540D">
        <w:rPr>
          <w:i/>
          <w:lang w:val="en-GB"/>
        </w:rPr>
        <w:t>+jB</w:t>
      </w:r>
      <w:r w:rsidRPr="0020540D">
        <w:rPr>
          <w:i/>
          <w:vertAlign w:val="subscript"/>
          <w:lang w:val="en-GB"/>
        </w:rPr>
        <w:t>ij</w:t>
      </w:r>
      <w:r w:rsidRPr="0020540D">
        <w:rPr>
          <w:lang w:val="en-GB"/>
        </w:rPr>
        <w:t xml:space="preserve"> is given by</w:t>
      </w:r>
    </w:p>
    <w:p w14:paraId="4BC98327" w14:textId="77777777" w:rsidR="0020540D" w:rsidRPr="0020540D" w:rsidRDefault="000D7898" w:rsidP="000D7898">
      <w:pPr>
        <w:jc w:val="right"/>
        <w:rPr>
          <w:lang w:val="en-GB"/>
        </w:rPr>
      </w:pPr>
      <w:r w:rsidRPr="0020540D">
        <w:rPr>
          <w:lang w:val="en-GB"/>
        </w:rPr>
        <w:object w:dxaOrig="1260" w:dyaOrig="340" w14:anchorId="407BB238">
          <v:shape id="_x0000_i1087" type="#_x0000_t75" style="width:91.5pt;height:24pt" o:ole="">
            <v:imagedata r:id="rId190" o:title=""/>
          </v:shape>
          <o:OLEObject Type="Embed" ProgID="Equation.DSMT4" ShapeID="_x0000_i1087" DrawAspect="Content" ObjectID="_1532825681" r:id="rId191"/>
        </w:object>
      </w:r>
      <w:r w:rsidR="0020540D" w:rsidRPr="0020540D">
        <w:rPr>
          <w:lang w:val="en-GB"/>
        </w:rPr>
        <w:tab/>
      </w:r>
      <w:r>
        <w:rPr>
          <w:lang w:val="en-GB"/>
        </w:rPr>
        <w:tab/>
      </w:r>
      <w:r>
        <w:rPr>
          <w:lang w:val="en-GB"/>
        </w:rPr>
        <w:tab/>
      </w:r>
      <w:r>
        <w:rPr>
          <w:lang w:val="en-GB"/>
        </w:rPr>
        <w:tab/>
      </w:r>
      <w:r w:rsidR="0020540D" w:rsidRPr="0020540D">
        <w:rPr>
          <w:lang w:val="en-GB"/>
        </w:rPr>
        <w:t>(</w:t>
      </w:r>
      <w:r>
        <w:rPr>
          <w:lang w:val="en-GB"/>
        </w:rPr>
        <w:t>4-</w:t>
      </w:r>
      <w:r w:rsidR="0020540D" w:rsidRPr="0020540D">
        <w:rPr>
          <w:lang w:val="en-GB"/>
        </w:rPr>
        <w:t>4)</w:t>
      </w:r>
      <w:r w:rsidR="0020540D" w:rsidRPr="0020540D">
        <w:rPr>
          <w:lang w:val="en-GB"/>
        </w:rPr>
        <w:tab/>
      </w:r>
    </w:p>
    <w:p w14:paraId="0CB95A8B" w14:textId="77777777" w:rsidR="0020540D" w:rsidRPr="0020540D" w:rsidRDefault="000D7898" w:rsidP="000D7898">
      <w:pPr>
        <w:jc w:val="right"/>
        <w:rPr>
          <w:lang w:val="en-GB"/>
        </w:rPr>
      </w:pPr>
      <w:r w:rsidRPr="0020540D">
        <w:rPr>
          <w:lang w:val="en-GB"/>
        </w:rPr>
        <w:object w:dxaOrig="1380" w:dyaOrig="540" w14:anchorId="6470F824">
          <v:shape id="_x0000_i1088" type="#_x0000_t75" style="width:99.25pt;height:39.8pt" o:ole="">
            <v:imagedata r:id="rId192" o:title=""/>
          </v:shape>
          <o:OLEObject Type="Embed" ProgID="Equation.DSMT4" ShapeID="_x0000_i1088" DrawAspect="Content" ObjectID="_1532825682" r:id="rId193"/>
        </w:object>
      </w:r>
      <w:r w:rsidR="0020540D" w:rsidRPr="0020540D">
        <w:rPr>
          <w:lang w:val="en-GB"/>
        </w:rPr>
        <w:tab/>
      </w:r>
      <w:r>
        <w:rPr>
          <w:lang w:val="en-GB"/>
        </w:rPr>
        <w:tab/>
      </w:r>
      <w:r>
        <w:rPr>
          <w:lang w:val="en-GB"/>
        </w:rPr>
        <w:tab/>
      </w:r>
      <w:r>
        <w:rPr>
          <w:lang w:val="en-GB"/>
        </w:rPr>
        <w:tab/>
      </w:r>
      <w:r w:rsidR="0020540D" w:rsidRPr="0020540D">
        <w:rPr>
          <w:lang w:val="en-GB"/>
        </w:rPr>
        <w:t>(</w:t>
      </w:r>
      <w:r>
        <w:rPr>
          <w:lang w:val="en-GB"/>
        </w:rPr>
        <w:t>4-</w:t>
      </w:r>
      <w:r w:rsidR="0020540D" w:rsidRPr="0020540D">
        <w:rPr>
          <w:lang w:val="en-GB"/>
        </w:rPr>
        <w:t>5)</w:t>
      </w:r>
      <w:r w:rsidR="0020540D" w:rsidRPr="0020540D">
        <w:rPr>
          <w:lang w:val="en-GB"/>
        </w:rPr>
        <w:tab/>
      </w:r>
    </w:p>
    <w:p w14:paraId="3DD34523" w14:textId="77777777" w:rsidR="0020540D" w:rsidRPr="0020540D" w:rsidRDefault="000D7898" w:rsidP="000D7898">
      <w:pPr>
        <w:jc w:val="right"/>
        <w:rPr>
          <w:lang w:val="en-GB"/>
        </w:rPr>
      </w:pPr>
      <w:r w:rsidRPr="0020540D">
        <w:rPr>
          <w:lang w:val="en-GB"/>
        </w:rPr>
        <w:object w:dxaOrig="1219" w:dyaOrig="639" w14:anchorId="5CEC6933">
          <v:shape id="_x0000_i1089" type="#_x0000_t75" style="width:84.55pt;height:44.75pt" o:ole="">
            <v:imagedata r:id="rId194" o:title=""/>
          </v:shape>
          <o:OLEObject Type="Embed" ProgID="Equation.DSMT4" ShapeID="_x0000_i1089" DrawAspect="Content" ObjectID="_1532825683" r:id="rId195"/>
        </w:object>
      </w:r>
      <w:r>
        <w:rPr>
          <w:lang w:val="en-GB"/>
        </w:rPr>
        <w:tab/>
      </w:r>
      <w:r>
        <w:rPr>
          <w:lang w:val="en-GB"/>
        </w:rPr>
        <w:tab/>
      </w:r>
      <w:r>
        <w:rPr>
          <w:lang w:val="en-GB"/>
        </w:rPr>
        <w:tab/>
      </w:r>
      <w:r>
        <w:rPr>
          <w:lang w:val="en-GB"/>
        </w:rPr>
        <w:tab/>
      </w:r>
      <w:r w:rsidR="0020540D" w:rsidRPr="0020540D">
        <w:rPr>
          <w:lang w:val="en-GB"/>
        </w:rPr>
        <w:t>(</w:t>
      </w:r>
      <w:r>
        <w:rPr>
          <w:lang w:val="en-GB"/>
        </w:rPr>
        <w:t>4-</w:t>
      </w:r>
      <w:r w:rsidR="0020540D" w:rsidRPr="0020540D">
        <w:rPr>
          <w:lang w:val="en-GB"/>
        </w:rPr>
        <w:t>6)</w:t>
      </w:r>
      <w:r w:rsidR="0020540D" w:rsidRPr="0020540D">
        <w:rPr>
          <w:lang w:val="en-GB"/>
        </w:rPr>
        <w:tab/>
      </w:r>
    </w:p>
    <w:p w14:paraId="6D1023DB" w14:textId="77777777" w:rsidR="0020540D" w:rsidRPr="0020540D" w:rsidRDefault="0020540D" w:rsidP="0020540D">
      <w:pPr>
        <w:rPr>
          <w:lang w:val="en-GB"/>
        </w:rPr>
      </w:pPr>
      <w:r w:rsidRPr="0020540D">
        <w:rPr>
          <w:lang w:val="en-GB"/>
        </w:rPr>
        <w:t xml:space="preserve">where </w:t>
      </w:r>
      <w:r w:rsidRPr="0020540D">
        <w:rPr>
          <w:i/>
          <w:lang w:val="en-GB"/>
        </w:rPr>
        <w:t>y</w:t>
      </w:r>
      <w:r w:rsidRPr="0020540D">
        <w:rPr>
          <w:i/>
          <w:vertAlign w:val="subscript"/>
          <w:lang w:val="en-GB"/>
        </w:rPr>
        <w:t>ij</w:t>
      </w:r>
      <w:r w:rsidRPr="0020540D">
        <w:rPr>
          <w:i/>
          <w:lang w:val="en-GB"/>
        </w:rPr>
        <w:t>=g</w:t>
      </w:r>
      <w:r w:rsidRPr="0020540D">
        <w:rPr>
          <w:i/>
          <w:vertAlign w:val="subscript"/>
          <w:lang w:val="en-GB"/>
        </w:rPr>
        <w:t>ij</w:t>
      </w:r>
      <w:r w:rsidRPr="0020540D">
        <w:rPr>
          <w:i/>
          <w:lang w:val="en-GB"/>
        </w:rPr>
        <w:t>+jb</w:t>
      </w:r>
      <w:r w:rsidRPr="0020540D">
        <w:rPr>
          <w:i/>
          <w:vertAlign w:val="subscript"/>
          <w:lang w:val="en-GB"/>
        </w:rPr>
        <w:t>ij</w:t>
      </w:r>
      <w:r w:rsidRPr="0020540D">
        <w:rPr>
          <w:lang w:val="en-GB"/>
        </w:rPr>
        <w:t xml:space="preserve"> is the admittance of branch </w:t>
      </w:r>
      <w:r w:rsidRPr="0020540D">
        <w:rPr>
          <w:i/>
          <w:lang w:val="en-GB"/>
        </w:rPr>
        <w:t>ij</w:t>
      </w:r>
      <w:r w:rsidRPr="0020540D">
        <w:rPr>
          <w:lang w:val="en-GB"/>
        </w:rPr>
        <w:t xml:space="preserve">; </w:t>
      </w:r>
      <w:r w:rsidRPr="0020540D">
        <w:rPr>
          <w:i/>
          <w:lang w:val="en-GB"/>
        </w:rPr>
        <w:t>y</w:t>
      </w:r>
      <w:r w:rsidRPr="0020540D">
        <w:rPr>
          <w:i/>
          <w:vertAlign w:val="subscript"/>
          <w:lang w:val="en-GB"/>
        </w:rPr>
        <w:t>ig</w:t>
      </w:r>
      <w:r w:rsidRPr="0020540D">
        <w:rPr>
          <w:lang w:val="en-GB"/>
        </w:rPr>
        <w:t xml:space="preserve"> is the ground admittance of bus </w:t>
      </w:r>
      <w:r w:rsidRPr="0020540D">
        <w:rPr>
          <w:i/>
          <w:lang w:val="en-GB"/>
        </w:rPr>
        <w:t>i</w:t>
      </w:r>
      <w:r w:rsidRPr="0020540D">
        <w:rPr>
          <w:lang w:val="en-GB"/>
        </w:rPr>
        <w:t xml:space="preserve">; and </w:t>
      </w:r>
      <w:r w:rsidRPr="0020540D">
        <w:rPr>
          <w:i/>
          <w:lang w:val="en-GB"/>
        </w:rPr>
        <w:t>j∙b</w:t>
      </w:r>
      <w:r w:rsidRPr="0020540D">
        <w:rPr>
          <w:i/>
          <w:vertAlign w:val="subscript"/>
          <w:lang w:val="en-GB"/>
        </w:rPr>
        <w:t>ijg</w:t>
      </w:r>
      <w:r w:rsidRPr="0020540D">
        <w:rPr>
          <w:i/>
          <w:lang w:val="en-GB"/>
        </w:rPr>
        <w:t>/</w:t>
      </w:r>
      <w:r w:rsidRPr="0020540D">
        <w:rPr>
          <w:lang w:val="en-GB"/>
        </w:rPr>
        <w:t>2 is the shunt admittance of line</w:t>
      </w:r>
      <w:r w:rsidRPr="0020540D">
        <w:rPr>
          <w:i/>
          <w:lang w:val="en-GB"/>
        </w:rPr>
        <w:t xml:space="preserve"> ij</w:t>
      </w:r>
      <w:r w:rsidRPr="0020540D">
        <w:rPr>
          <w:lang w:val="en-GB"/>
        </w:rPr>
        <w:t>.</w:t>
      </w:r>
    </w:p>
    <w:p w14:paraId="1F3C8817" w14:textId="77777777" w:rsidR="0020540D" w:rsidRPr="0020540D" w:rsidRDefault="0020540D" w:rsidP="0020540D">
      <w:pPr>
        <w:rPr>
          <w:lang w:val="en-GB"/>
        </w:rPr>
      </w:pPr>
      <w:r w:rsidRPr="0020540D">
        <w:rPr>
          <w:lang w:val="en-GB"/>
        </w:rPr>
        <w:t xml:space="preserve">Again, underscores are used to represent the values in System </w:t>
      </w:r>
      <w:r w:rsidRPr="0020540D">
        <w:rPr>
          <w:i/>
          <w:lang w:val="en-GB"/>
        </w:rPr>
        <w:t xml:space="preserve">B </w:t>
      </w:r>
      <w:r w:rsidRPr="0020540D">
        <w:rPr>
          <w:lang w:val="en-GB"/>
        </w:rPr>
        <w:t xml:space="preserve">values. For The elements of the admittance matrix </w:t>
      </w:r>
      <w:r w:rsidRPr="0020540D">
        <w:rPr>
          <w:i/>
          <w:lang w:val="en-GB"/>
        </w:rPr>
        <w:t>Y</w:t>
      </w:r>
      <w:r w:rsidRPr="0020540D">
        <w:rPr>
          <w:lang w:val="en-GB"/>
        </w:rPr>
        <w:t>, the element is given by</w:t>
      </w:r>
    </w:p>
    <w:p w14:paraId="703D93D3" w14:textId="77777777" w:rsidR="0020540D" w:rsidRPr="0020540D" w:rsidRDefault="00C20330" w:rsidP="000D7898">
      <w:pPr>
        <w:jc w:val="right"/>
        <w:rPr>
          <w:lang w:val="en-GB"/>
        </w:rPr>
      </w:pPr>
      <w:r w:rsidRPr="0020540D">
        <w:rPr>
          <w:lang w:val="en-GB"/>
        </w:rPr>
        <w:object w:dxaOrig="2420" w:dyaOrig="380" w14:anchorId="748CA77C">
          <v:shape id="_x0000_i1090" type="#_x0000_t75" style="width:151.5pt;height:24pt" o:ole="">
            <v:imagedata r:id="rId196" o:title=""/>
          </v:shape>
          <o:OLEObject Type="Embed" ProgID="Equation.DSMT4" ShapeID="_x0000_i1090" DrawAspect="Content" ObjectID="_1532825684" r:id="rId197"/>
        </w:object>
      </w:r>
      <w:r w:rsidR="0020540D" w:rsidRPr="0020540D">
        <w:rPr>
          <w:lang w:val="en-GB"/>
        </w:rPr>
        <w:tab/>
      </w:r>
      <w:r w:rsidR="000D7898">
        <w:rPr>
          <w:lang w:val="en-GB"/>
        </w:rPr>
        <w:tab/>
      </w:r>
      <w:r w:rsidR="000D7898">
        <w:rPr>
          <w:lang w:val="en-GB"/>
        </w:rPr>
        <w:tab/>
      </w:r>
      <w:r w:rsidR="0020540D" w:rsidRPr="0020540D">
        <w:rPr>
          <w:lang w:val="en-GB"/>
        </w:rPr>
        <w:t>(</w:t>
      </w:r>
      <w:r w:rsidR="000D7898">
        <w:rPr>
          <w:lang w:val="en-GB"/>
        </w:rPr>
        <w:t>4-</w:t>
      </w:r>
      <w:r w:rsidR="0020540D" w:rsidRPr="0020540D">
        <w:rPr>
          <w:lang w:val="en-GB"/>
        </w:rPr>
        <w:t>7)</w:t>
      </w:r>
      <w:r w:rsidR="0020540D" w:rsidRPr="0020540D">
        <w:rPr>
          <w:lang w:val="en-GB"/>
        </w:rPr>
        <w:tab/>
      </w:r>
    </w:p>
    <w:p w14:paraId="055CEBB5" w14:textId="77777777" w:rsidR="0020540D" w:rsidRPr="0020540D" w:rsidRDefault="000D7898" w:rsidP="000D7898">
      <w:pPr>
        <w:jc w:val="right"/>
        <w:rPr>
          <w:lang w:val="en-GB"/>
        </w:rPr>
      </w:pPr>
      <w:r w:rsidRPr="0020540D">
        <w:rPr>
          <w:lang w:val="en-GB"/>
        </w:rPr>
        <w:object w:dxaOrig="1200" w:dyaOrig="340" w14:anchorId="530237B5">
          <v:shape id="_x0000_i1091" type="#_x0000_t75" style="width:85.5pt;height:24pt" o:ole="">
            <v:imagedata r:id="rId198" o:title=""/>
          </v:shape>
          <o:OLEObject Type="Embed" ProgID="Equation.DSMT4" ShapeID="_x0000_i1091" DrawAspect="Content" ObjectID="_1532825685" r:id="rId199"/>
        </w:object>
      </w:r>
      <w:r w:rsidR="0020540D" w:rsidRPr="0020540D">
        <w:rPr>
          <w:lang w:val="en-GB"/>
        </w:rPr>
        <w:tab/>
      </w:r>
      <w:r>
        <w:rPr>
          <w:lang w:val="en-GB"/>
        </w:rPr>
        <w:tab/>
      </w:r>
      <w:r>
        <w:rPr>
          <w:lang w:val="en-GB"/>
        </w:rPr>
        <w:tab/>
      </w:r>
      <w:r>
        <w:rPr>
          <w:lang w:val="en-GB"/>
        </w:rPr>
        <w:tab/>
      </w:r>
      <w:r w:rsidR="0020540D" w:rsidRPr="0020540D">
        <w:rPr>
          <w:lang w:val="en-GB"/>
        </w:rPr>
        <w:t>(</w:t>
      </w:r>
      <w:r>
        <w:rPr>
          <w:lang w:val="en-GB"/>
        </w:rPr>
        <w:t>4-</w:t>
      </w:r>
      <w:r w:rsidR="0020540D" w:rsidRPr="0020540D">
        <w:rPr>
          <w:lang w:val="en-GB"/>
        </w:rPr>
        <w:t>8)</w:t>
      </w:r>
      <w:r w:rsidR="0020540D" w:rsidRPr="0020540D">
        <w:rPr>
          <w:lang w:val="en-GB"/>
        </w:rPr>
        <w:tab/>
      </w:r>
    </w:p>
    <w:p w14:paraId="58CB4184" w14:textId="77777777" w:rsidR="0020540D" w:rsidRPr="0020540D" w:rsidRDefault="000D7898" w:rsidP="000D7898">
      <w:pPr>
        <w:jc w:val="right"/>
        <w:rPr>
          <w:lang w:val="en-GB"/>
        </w:rPr>
      </w:pPr>
      <w:r w:rsidRPr="0020540D">
        <w:rPr>
          <w:lang w:val="en-GB"/>
        </w:rPr>
        <w:object w:dxaOrig="2380" w:dyaOrig="340" w14:anchorId="171FF7BE">
          <v:shape id="_x0000_i1092" type="#_x0000_t75" style="width:160.5pt;height:24pt" o:ole="">
            <v:imagedata r:id="rId200" o:title=""/>
          </v:shape>
          <o:OLEObject Type="Embed" ProgID="Equation.DSMT4" ShapeID="_x0000_i1092" DrawAspect="Content" ObjectID="_1532825686" r:id="rId201"/>
        </w:object>
      </w:r>
      <w:r w:rsidR="0020540D" w:rsidRPr="0020540D">
        <w:rPr>
          <w:lang w:val="en-GB"/>
        </w:rPr>
        <w:tab/>
      </w:r>
      <w:r>
        <w:rPr>
          <w:lang w:val="en-GB"/>
        </w:rPr>
        <w:tab/>
      </w:r>
      <w:r>
        <w:rPr>
          <w:lang w:val="en-GB"/>
        </w:rPr>
        <w:tab/>
      </w:r>
      <w:r w:rsidR="0020540D" w:rsidRPr="0020540D">
        <w:rPr>
          <w:lang w:val="en-GB"/>
        </w:rPr>
        <w:t>(</w:t>
      </w:r>
      <w:r>
        <w:rPr>
          <w:lang w:val="en-GB"/>
        </w:rPr>
        <w:t>4-</w:t>
      </w:r>
      <w:r w:rsidR="0020540D" w:rsidRPr="0020540D">
        <w:rPr>
          <w:lang w:val="en-GB"/>
        </w:rPr>
        <w:t>9)</w:t>
      </w:r>
      <w:r w:rsidR="0020540D" w:rsidRPr="0020540D">
        <w:rPr>
          <w:lang w:val="en-GB"/>
        </w:rPr>
        <w:tab/>
      </w:r>
    </w:p>
    <w:p w14:paraId="089D38BA" w14:textId="77777777" w:rsidR="0020540D" w:rsidRPr="0020540D" w:rsidRDefault="000D7898" w:rsidP="000D7898">
      <w:pPr>
        <w:jc w:val="right"/>
        <w:rPr>
          <w:lang w:val="en-GB"/>
        </w:rPr>
      </w:pPr>
      <w:r w:rsidRPr="0020540D">
        <w:rPr>
          <w:lang w:val="en-GB"/>
        </w:rPr>
        <w:object w:dxaOrig="2240" w:dyaOrig="340" w14:anchorId="406FF776">
          <v:shape id="_x0000_i1093" type="#_x0000_t75" style="width:166.5pt;height:25.5pt" o:ole="">
            <v:imagedata r:id="rId202" o:title=""/>
          </v:shape>
          <o:OLEObject Type="Embed" ProgID="Equation.DSMT4" ShapeID="_x0000_i1093" DrawAspect="Content" ObjectID="_1532825687" r:id="rId203"/>
        </w:object>
      </w:r>
      <w:r>
        <w:tab/>
      </w:r>
      <w:r>
        <w:tab/>
      </w:r>
      <w:r w:rsidR="0020540D" w:rsidRPr="0020540D">
        <w:rPr>
          <w:lang w:val="en-GB"/>
        </w:rPr>
        <w:tab/>
        <w:t>(</w:t>
      </w:r>
      <w:r>
        <w:rPr>
          <w:lang w:val="en-GB"/>
        </w:rPr>
        <w:t>4-</w:t>
      </w:r>
      <w:r w:rsidR="0020540D" w:rsidRPr="0020540D">
        <w:rPr>
          <w:lang w:val="en-GB"/>
        </w:rPr>
        <w:t>10)</w:t>
      </w:r>
      <w:r w:rsidR="0020540D" w:rsidRPr="0020540D">
        <w:rPr>
          <w:lang w:val="en-GB"/>
        </w:rPr>
        <w:tab/>
      </w:r>
    </w:p>
    <w:p w14:paraId="1295EDE5" w14:textId="77777777" w:rsidR="0020540D" w:rsidRPr="0020540D" w:rsidRDefault="0020540D" w:rsidP="0020540D">
      <w:pPr>
        <w:rPr>
          <w:lang w:val="en-GB"/>
        </w:rPr>
      </w:pPr>
      <w:r w:rsidRPr="0020540D">
        <w:rPr>
          <w:lang w:val="en-GB"/>
        </w:rPr>
        <w:t xml:space="preserve">The line flow between buses </w:t>
      </w:r>
      <w:r w:rsidRPr="0020540D">
        <w:rPr>
          <w:i/>
          <w:lang w:val="en-GB"/>
        </w:rPr>
        <w:t>m</w:t>
      </w:r>
      <w:r w:rsidRPr="0020540D">
        <w:rPr>
          <w:lang w:val="en-GB"/>
        </w:rPr>
        <w:t xml:space="preserve"> and </w:t>
      </w:r>
      <w:r w:rsidRPr="0020540D">
        <w:rPr>
          <w:i/>
          <w:lang w:val="en-GB"/>
        </w:rPr>
        <w:t>n</w:t>
      </w:r>
      <w:r w:rsidRPr="0020540D">
        <w:rPr>
          <w:lang w:val="en-GB"/>
        </w:rPr>
        <w:t xml:space="preserve"> is given by</w:t>
      </w:r>
    </w:p>
    <w:p w14:paraId="1CD4381F" w14:textId="77777777" w:rsidR="0020540D" w:rsidRPr="0020540D" w:rsidRDefault="000D7898" w:rsidP="000D7898">
      <w:pPr>
        <w:jc w:val="right"/>
        <w:rPr>
          <w:lang w:val="en-GB"/>
        </w:rPr>
      </w:pPr>
      <w:r w:rsidRPr="0020540D">
        <w:rPr>
          <w:lang w:val="en-GB"/>
        </w:rPr>
        <w:object w:dxaOrig="3560" w:dyaOrig="360" w14:anchorId="22752FA1">
          <v:shape id="_x0000_i1094" type="#_x0000_t75" style="width:210pt;height:22.5pt" o:ole="">
            <v:imagedata r:id="rId204" o:title=""/>
          </v:shape>
          <o:OLEObject Type="Embed" ProgID="Equation.DSMT4" ShapeID="_x0000_i1094" DrawAspect="Content" ObjectID="_1532825688" r:id="rId205"/>
        </w:object>
      </w:r>
      <w:r w:rsidR="0020540D" w:rsidRPr="0020540D">
        <w:rPr>
          <w:lang w:val="en-GB"/>
        </w:rPr>
        <w:tab/>
      </w:r>
      <w:r>
        <w:rPr>
          <w:lang w:val="en-GB"/>
        </w:rPr>
        <w:tab/>
      </w:r>
      <w:r>
        <w:rPr>
          <w:lang w:val="en-GB"/>
        </w:rPr>
        <w:tab/>
      </w:r>
      <w:r w:rsidR="0020540D" w:rsidRPr="0020540D">
        <w:rPr>
          <w:lang w:val="en-GB"/>
        </w:rPr>
        <w:t>(</w:t>
      </w:r>
      <w:r>
        <w:rPr>
          <w:lang w:val="en-GB"/>
        </w:rPr>
        <w:t>4-</w:t>
      </w:r>
      <w:r w:rsidR="0020540D" w:rsidRPr="0020540D">
        <w:rPr>
          <w:lang w:val="en-GB"/>
        </w:rPr>
        <w:t>11)</w:t>
      </w:r>
      <w:r w:rsidR="0020540D" w:rsidRPr="0020540D">
        <w:rPr>
          <w:lang w:val="en-GB"/>
        </w:rPr>
        <w:tab/>
      </w:r>
    </w:p>
    <w:p w14:paraId="1479AD25" w14:textId="77777777" w:rsidR="0020540D" w:rsidRPr="0020540D" w:rsidRDefault="000D7898" w:rsidP="000D7898">
      <w:pPr>
        <w:jc w:val="right"/>
        <w:rPr>
          <w:lang w:val="en-GB"/>
        </w:rPr>
      </w:pPr>
      <w:r w:rsidRPr="0020540D">
        <w:rPr>
          <w:lang w:val="en-GB"/>
        </w:rPr>
        <w:object w:dxaOrig="4480" w:dyaOrig="400" w14:anchorId="04B0EB17">
          <v:shape id="_x0000_i1095" type="#_x0000_t75" style="width:244.5pt;height:22.5pt" o:ole="">
            <v:imagedata r:id="rId206" o:title=""/>
          </v:shape>
          <o:OLEObject Type="Embed" ProgID="Equation.DSMT4" ShapeID="_x0000_i1095" DrawAspect="Content" ObjectID="_1532825689" r:id="rId207"/>
        </w:object>
      </w:r>
      <w:r w:rsidR="0020540D" w:rsidRPr="0020540D">
        <w:rPr>
          <w:lang w:val="en-GB"/>
        </w:rPr>
        <w:tab/>
      </w:r>
      <w:r>
        <w:rPr>
          <w:lang w:val="en-GB"/>
        </w:rPr>
        <w:tab/>
      </w:r>
      <w:r w:rsidR="0020540D" w:rsidRPr="0020540D">
        <w:rPr>
          <w:lang w:val="en-GB"/>
        </w:rPr>
        <w:t>(</w:t>
      </w:r>
      <w:r>
        <w:rPr>
          <w:lang w:val="en-GB"/>
        </w:rPr>
        <w:t>4-</w:t>
      </w:r>
      <w:r w:rsidR="0020540D" w:rsidRPr="0020540D">
        <w:rPr>
          <w:lang w:val="en-GB"/>
        </w:rPr>
        <w:t>12)</w:t>
      </w:r>
      <w:r w:rsidR="0020540D" w:rsidRPr="0020540D">
        <w:rPr>
          <w:lang w:val="en-GB"/>
        </w:rPr>
        <w:tab/>
      </w:r>
    </w:p>
    <w:p w14:paraId="1AF41A8B" w14:textId="77777777" w:rsidR="0020540D" w:rsidRPr="0020540D" w:rsidRDefault="0020540D" w:rsidP="0020540D">
      <w:pPr>
        <w:rPr>
          <w:lang w:val="en-GB"/>
        </w:rPr>
      </w:pPr>
      <w:r w:rsidRPr="0020540D">
        <w:rPr>
          <w:lang w:val="en-GB"/>
        </w:rPr>
        <w:t xml:space="preserve">The types of buses m and n will lead to different number of equations. First, consider the situation that both </w:t>
      </w:r>
      <w:r w:rsidRPr="0020540D">
        <w:rPr>
          <w:i/>
          <w:lang w:val="en-GB"/>
        </w:rPr>
        <w:t>m</w:t>
      </w:r>
      <w:r w:rsidRPr="0020540D">
        <w:rPr>
          <w:lang w:val="en-GB"/>
        </w:rPr>
        <w:t xml:space="preserve"> and </w:t>
      </w:r>
      <w:r w:rsidRPr="0020540D">
        <w:rPr>
          <w:i/>
          <w:lang w:val="en-GB"/>
        </w:rPr>
        <w:t>n</w:t>
      </w:r>
      <w:r w:rsidRPr="0020540D">
        <w:rPr>
          <w:lang w:val="en-GB"/>
        </w:rPr>
        <w:t xml:space="preserve"> are PQ buses. We may rewrite the bus injection equations for buses </w:t>
      </w:r>
      <w:r w:rsidRPr="0020540D">
        <w:rPr>
          <w:i/>
          <w:lang w:val="en-GB"/>
        </w:rPr>
        <w:t>m</w:t>
      </w:r>
      <w:r w:rsidRPr="0020540D">
        <w:rPr>
          <w:lang w:val="en-GB"/>
        </w:rPr>
        <w:t xml:space="preserve"> and </w:t>
      </w:r>
      <w:r w:rsidRPr="0020540D">
        <w:rPr>
          <w:i/>
          <w:lang w:val="en-GB"/>
        </w:rPr>
        <w:t>n</w:t>
      </w:r>
      <w:r w:rsidRPr="0020540D">
        <w:rPr>
          <w:lang w:val="en-GB"/>
        </w:rPr>
        <w:t xml:space="preserve"> in System </w:t>
      </w:r>
      <w:r w:rsidRPr="0020540D">
        <w:rPr>
          <w:i/>
          <w:lang w:val="en-GB"/>
        </w:rPr>
        <w:t>B</w:t>
      </w:r>
      <w:r w:rsidRPr="0020540D">
        <w:rPr>
          <w:lang w:val="en-GB"/>
        </w:rPr>
        <w:t>. Thus, the real power injection equation is given by:</w:t>
      </w:r>
    </w:p>
    <w:p w14:paraId="21AAFF85" w14:textId="77777777" w:rsidR="0020540D" w:rsidRPr="0020540D" w:rsidRDefault="0020540D" w:rsidP="000D7898">
      <w:pPr>
        <w:ind w:firstLine="0"/>
        <w:jc w:val="left"/>
        <w:rPr>
          <w:lang w:val="en-GB"/>
        </w:rPr>
      </w:pPr>
      <w:r w:rsidRPr="0020540D">
        <w:rPr>
          <w:lang w:val="en-GB"/>
        </w:rPr>
        <w:object w:dxaOrig="7720" w:dyaOrig="5179" w14:anchorId="12377C4B">
          <v:shape id="_x0000_i1096" type="#_x0000_t75" style="width:382.5pt;height:258pt" o:ole="">
            <v:imagedata r:id="rId208" o:title=""/>
          </v:shape>
          <o:OLEObject Type="Embed" ProgID="Equation.DSMT4" ShapeID="_x0000_i1096" DrawAspect="Content" ObjectID="_1532825690" r:id="rId209"/>
        </w:object>
      </w:r>
      <w:r w:rsidRPr="0020540D">
        <w:rPr>
          <w:lang w:val="en-GB"/>
        </w:rPr>
        <w:tab/>
        <w:t>(</w:t>
      </w:r>
      <w:r w:rsidR="000D7898">
        <w:rPr>
          <w:lang w:val="en-GB"/>
        </w:rPr>
        <w:t>4-</w:t>
      </w:r>
      <w:r w:rsidRPr="0020540D">
        <w:rPr>
          <w:lang w:val="en-GB"/>
        </w:rPr>
        <w:t>13)</w:t>
      </w:r>
      <w:r w:rsidRPr="0020540D">
        <w:rPr>
          <w:lang w:val="en-GB"/>
        </w:rPr>
        <w:tab/>
      </w:r>
    </w:p>
    <w:p w14:paraId="38194D8F" w14:textId="77777777" w:rsidR="0020540D" w:rsidRPr="0020540D" w:rsidRDefault="0020540D" w:rsidP="0020540D">
      <w:r w:rsidRPr="0020540D">
        <w:t>The reactive power injection equation is given by:</w:t>
      </w:r>
    </w:p>
    <w:tbl>
      <w:tblPr>
        <w:tblW w:w="0" w:type="auto"/>
        <w:tblLook w:val="04A0" w:firstRow="1" w:lastRow="0" w:firstColumn="1" w:lastColumn="0" w:noHBand="0" w:noVBand="1"/>
      </w:tblPr>
      <w:tblGrid>
        <w:gridCol w:w="276"/>
        <w:gridCol w:w="7748"/>
        <w:gridCol w:w="832"/>
      </w:tblGrid>
      <w:tr w:rsidR="0020540D" w:rsidRPr="0020540D" w14:paraId="2605939A" w14:textId="77777777" w:rsidTr="0020540D">
        <w:tc>
          <w:tcPr>
            <w:tcW w:w="288" w:type="dxa"/>
            <w:shd w:val="clear" w:color="auto" w:fill="auto"/>
          </w:tcPr>
          <w:p w14:paraId="3DC1424A" w14:textId="77777777" w:rsidR="0020540D" w:rsidRPr="0020540D" w:rsidRDefault="0020540D" w:rsidP="0020540D"/>
        </w:tc>
        <w:tc>
          <w:tcPr>
            <w:tcW w:w="7732" w:type="dxa"/>
            <w:shd w:val="clear" w:color="auto" w:fill="auto"/>
          </w:tcPr>
          <w:p w14:paraId="3A18D478" w14:textId="77777777" w:rsidR="0020540D" w:rsidRPr="0020540D" w:rsidRDefault="0020540D" w:rsidP="000D7898">
            <w:pPr>
              <w:ind w:firstLine="0"/>
            </w:pPr>
            <w:r w:rsidRPr="0020540D">
              <w:rPr>
                <w:lang w:val="en-GB"/>
              </w:rPr>
              <w:object w:dxaOrig="7780" w:dyaOrig="5260" w14:anchorId="75A7FFCA">
                <v:shape id="_x0000_i1097" type="#_x0000_t75" style="width:376.5pt;height:255pt" o:ole="">
                  <v:imagedata r:id="rId210" o:title=""/>
                </v:shape>
                <o:OLEObject Type="Embed" ProgID="Equation.DSMT4" ShapeID="_x0000_i1097" DrawAspect="Content" ObjectID="_1532825691" r:id="rId211"/>
              </w:object>
            </w:r>
          </w:p>
        </w:tc>
        <w:tc>
          <w:tcPr>
            <w:tcW w:w="898" w:type="dxa"/>
            <w:shd w:val="clear" w:color="auto" w:fill="auto"/>
            <w:vAlign w:val="center"/>
          </w:tcPr>
          <w:p w14:paraId="659BD349" w14:textId="77777777" w:rsidR="0020540D" w:rsidRPr="0020540D" w:rsidRDefault="000D7898" w:rsidP="000D7898">
            <w:pPr>
              <w:ind w:firstLine="0"/>
            </w:pPr>
            <w:r>
              <w:t>(4-</w:t>
            </w:r>
            <w:r w:rsidR="0020540D" w:rsidRPr="0020540D">
              <w:t>14)</w:t>
            </w:r>
          </w:p>
        </w:tc>
      </w:tr>
    </w:tbl>
    <w:p w14:paraId="3EFC4CFE" w14:textId="77777777" w:rsidR="0020540D" w:rsidRPr="0020540D" w:rsidRDefault="0020540D" w:rsidP="0020540D">
      <w:r w:rsidRPr="0020540D">
        <w:t xml:space="preserve">Substituting </w:t>
      </w:r>
      <w:r w:rsidRPr="0020540D">
        <w:rPr>
          <w:i/>
        </w:rPr>
        <w:t>m</w:t>
      </w:r>
      <w:r w:rsidRPr="0020540D">
        <w:t xml:space="preserve"> with </w:t>
      </w:r>
      <w:r w:rsidRPr="0020540D">
        <w:rPr>
          <w:i/>
        </w:rPr>
        <w:t>n</w:t>
      </w:r>
      <w:r w:rsidRPr="0020540D">
        <w:t xml:space="preserve"> and </w:t>
      </w:r>
      <w:r w:rsidRPr="0020540D">
        <w:rPr>
          <w:i/>
        </w:rPr>
        <w:t>n</w:t>
      </w:r>
      <w:r w:rsidRPr="0020540D">
        <w:t xml:space="preserve"> with </w:t>
      </w:r>
      <w:r w:rsidRPr="0020540D">
        <w:rPr>
          <w:i/>
        </w:rPr>
        <w:t>m</w:t>
      </w:r>
      <w:r w:rsidRPr="0020540D">
        <w:t xml:space="preserve"> in (</w:t>
      </w:r>
      <w:r w:rsidR="000D7898">
        <w:t>4-</w:t>
      </w:r>
      <w:r w:rsidRPr="0020540D">
        <w:t>13) and (</w:t>
      </w:r>
      <w:r w:rsidR="000D7898">
        <w:t>4-</w:t>
      </w:r>
      <w:r w:rsidRPr="0020540D">
        <w:t>14), we have</w:t>
      </w:r>
    </w:p>
    <w:p w14:paraId="70228223" w14:textId="77777777" w:rsidR="0020540D" w:rsidRPr="0020540D" w:rsidRDefault="000D7898" w:rsidP="000D7898">
      <w:pPr>
        <w:jc w:val="right"/>
        <w:rPr>
          <w:lang w:val="en-GB"/>
        </w:rPr>
      </w:pPr>
      <w:r w:rsidRPr="0020540D">
        <w:rPr>
          <w:lang w:val="en-GB"/>
        </w:rPr>
        <w:object w:dxaOrig="1100" w:dyaOrig="300" w14:anchorId="490CF194">
          <v:shape id="_x0000_i1098" type="#_x0000_t75" style="width:75pt;height:19.5pt" o:ole="">
            <v:imagedata r:id="rId212" o:title=""/>
          </v:shape>
          <o:OLEObject Type="Embed" ProgID="Equation.DSMT4" ShapeID="_x0000_i1098" DrawAspect="Content" ObjectID="_1532825692" r:id="rId213"/>
        </w:object>
      </w:r>
      <w:r w:rsidR="0020540D" w:rsidRPr="0020540D">
        <w:rPr>
          <w:lang w:val="en-GB"/>
        </w:rPr>
        <w:tab/>
      </w:r>
      <w:r>
        <w:rPr>
          <w:lang w:val="en-GB"/>
        </w:rPr>
        <w:tab/>
      </w:r>
      <w:r w:rsidR="00987C34">
        <w:rPr>
          <w:lang w:val="en-GB"/>
        </w:rPr>
        <w:tab/>
      </w:r>
      <w:r>
        <w:rPr>
          <w:lang w:val="en-GB"/>
        </w:rPr>
        <w:tab/>
      </w:r>
      <w:r>
        <w:rPr>
          <w:lang w:val="en-GB"/>
        </w:rPr>
        <w:tab/>
      </w:r>
      <w:r w:rsidR="0020540D" w:rsidRPr="0020540D">
        <w:rPr>
          <w:lang w:val="en-GB"/>
        </w:rPr>
        <w:t>(</w:t>
      </w:r>
      <w:r>
        <w:rPr>
          <w:lang w:val="en-GB"/>
        </w:rPr>
        <w:t>4-</w:t>
      </w:r>
      <w:r w:rsidR="0020540D" w:rsidRPr="0020540D">
        <w:rPr>
          <w:lang w:val="en-GB"/>
        </w:rPr>
        <w:t>15)</w:t>
      </w:r>
      <w:r w:rsidR="0020540D" w:rsidRPr="0020540D">
        <w:rPr>
          <w:lang w:val="en-GB"/>
        </w:rPr>
        <w:tab/>
      </w:r>
    </w:p>
    <w:p w14:paraId="76E77F0F" w14:textId="77777777" w:rsidR="0020540D" w:rsidRPr="0020540D" w:rsidRDefault="000D7898" w:rsidP="000D7898">
      <w:pPr>
        <w:jc w:val="right"/>
        <w:rPr>
          <w:lang w:val="en-GB"/>
        </w:rPr>
      </w:pPr>
      <w:r w:rsidRPr="0020540D">
        <w:rPr>
          <w:lang w:val="en-GB"/>
        </w:rPr>
        <w:object w:dxaOrig="1140" w:dyaOrig="360" w14:anchorId="109C84B9">
          <v:shape id="_x0000_i1099" type="#_x0000_t75" style="width:78pt;height:25.5pt" o:ole="">
            <v:imagedata r:id="rId214" o:title=""/>
          </v:shape>
          <o:OLEObject Type="Embed" ProgID="Equation.DSMT4" ShapeID="_x0000_i1099" DrawAspect="Content" ObjectID="_1532825693" r:id="rId215"/>
        </w:object>
      </w:r>
      <w:r w:rsidR="0020540D" w:rsidRPr="0020540D">
        <w:rPr>
          <w:lang w:val="en-GB"/>
        </w:rPr>
        <w:tab/>
      </w:r>
      <w:r>
        <w:rPr>
          <w:lang w:val="en-GB"/>
        </w:rPr>
        <w:tab/>
      </w:r>
      <w:r w:rsidR="00987C34">
        <w:rPr>
          <w:lang w:val="en-GB"/>
        </w:rPr>
        <w:tab/>
      </w:r>
      <w:r>
        <w:rPr>
          <w:lang w:val="en-GB"/>
        </w:rPr>
        <w:tab/>
      </w:r>
      <w:r>
        <w:rPr>
          <w:lang w:val="en-GB"/>
        </w:rPr>
        <w:tab/>
      </w:r>
      <w:r w:rsidR="0020540D" w:rsidRPr="0020540D">
        <w:rPr>
          <w:lang w:val="en-GB"/>
        </w:rPr>
        <w:t>(</w:t>
      </w:r>
      <w:r>
        <w:rPr>
          <w:lang w:val="en-GB"/>
        </w:rPr>
        <w:t>4-</w:t>
      </w:r>
      <w:r w:rsidR="0020540D" w:rsidRPr="0020540D">
        <w:rPr>
          <w:lang w:val="en-GB"/>
        </w:rPr>
        <w:t>16)</w:t>
      </w:r>
      <w:r w:rsidR="0020540D" w:rsidRPr="0020540D">
        <w:rPr>
          <w:lang w:val="en-GB"/>
        </w:rPr>
        <w:tab/>
      </w:r>
    </w:p>
    <w:p w14:paraId="2A025684" w14:textId="77777777" w:rsidR="0020540D" w:rsidRPr="0020540D" w:rsidRDefault="0020540D" w:rsidP="0020540D">
      <w:r w:rsidRPr="0020540D">
        <w:t>If we combine (</w:t>
      </w:r>
      <w:r w:rsidR="000D7898">
        <w:t>4-</w:t>
      </w:r>
      <w:r w:rsidRPr="0020540D">
        <w:t>13) and (</w:t>
      </w:r>
      <w:r w:rsidR="000D7898">
        <w:t>4-</w:t>
      </w:r>
      <w:r w:rsidRPr="0020540D">
        <w:t xml:space="preserve">16), </w:t>
      </w:r>
      <w:r w:rsidRPr="0020540D">
        <w:rPr>
          <w:lang w:val="en-GB"/>
        </w:rPr>
        <w:object w:dxaOrig="920" w:dyaOrig="320" w14:anchorId="5F9C6B65">
          <v:shape id="_x0000_i1100" type="#_x0000_t75" style="width:45pt;height:15pt" o:ole="">
            <v:imagedata r:id="rId176" o:title=""/>
          </v:shape>
          <o:OLEObject Type="Embed" ProgID="Equation.DSMT4" ShapeID="_x0000_i1100" DrawAspect="Content" ObjectID="_1532825694" r:id="rId216"/>
        </w:object>
      </w:r>
      <w:r w:rsidRPr="0020540D">
        <w:t xml:space="preserve"> is true. Thus, System </w:t>
      </w:r>
      <w:r w:rsidRPr="0020540D">
        <w:rPr>
          <w:i/>
        </w:rPr>
        <w:t>A</w:t>
      </w:r>
      <w:r w:rsidRPr="0020540D">
        <w:t xml:space="preserve"> and System </w:t>
      </w:r>
      <w:r w:rsidRPr="0020540D">
        <w:rPr>
          <w:i/>
        </w:rPr>
        <w:t>B</w:t>
      </w:r>
      <w:r w:rsidRPr="0020540D">
        <w:t xml:space="preserve"> are mutually equivalent from the viewpoint of steady-state power flows.</w:t>
      </w:r>
    </w:p>
    <w:p w14:paraId="36BDC75E" w14:textId="77777777" w:rsidR="0020540D" w:rsidRPr="0020540D" w:rsidRDefault="0020540D" w:rsidP="0020540D">
      <w:r w:rsidRPr="0020540D">
        <w:t xml:space="preserve">If bus </w:t>
      </w:r>
      <w:r w:rsidRPr="0020540D">
        <w:rPr>
          <w:i/>
        </w:rPr>
        <w:t>m</w:t>
      </w:r>
      <w:r w:rsidRPr="0020540D">
        <w:t xml:space="preserve"> or bus </w:t>
      </w:r>
      <w:r w:rsidRPr="0020540D">
        <w:rPr>
          <w:i/>
        </w:rPr>
        <w:t>n</w:t>
      </w:r>
      <w:r w:rsidRPr="0020540D">
        <w:t xml:space="preserve"> is a PV bus, then Eq. (</w:t>
      </w:r>
      <w:r w:rsidR="000D7898">
        <w:t>4-</w:t>
      </w:r>
      <w:r w:rsidRPr="0020540D">
        <w:t xml:space="preserve">2) considering the reactive power injection for that bus cannot be included in the formation of </w:t>
      </w:r>
      <w:r w:rsidRPr="0020540D">
        <w:rPr>
          <w:lang w:val="en-GB"/>
        </w:rPr>
        <w:object w:dxaOrig="780" w:dyaOrig="320" w14:anchorId="0ED0F8C1">
          <v:shape id="_x0000_i1101" type="#_x0000_t75" style="width:39pt;height:15pt" o:ole="">
            <v:imagedata r:id="rId158" o:title=""/>
          </v:shape>
          <o:OLEObject Type="Embed" ProgID="Equation.DSMT4" ShapeID="_x0000_i1101" DrawAspect="Content" ObjectID="_1532825695" r:id="rId217"/>
        </w:object>
      </w:r>
      <w:r w:rsidRPr="0020540D">
        <w:t xml:space="preserve">. If one of the two buses is the slack bus, both equations for real and reactive power injection will not be included in </w:t>
      </w:r>
      <w:r w:rsidRPr="0020540D">
        <w:rPr>
          <w:lang w:val="en-GB"/>
        </w:rPr>
        <w:object w:dxaOrig="780" w:dyaOrig="320" w14:anchorId="01E3CFA5">
          <v:shape id="_x0000_i1102" type="#_x0000_t75" style="width:39pt;height:15pt" o:ole="">
            <v:imagedata r:id="rId158" o:title=""/>
          </v:shape>
          <o:OLEObject Type="Embed" ProgID="Equation.DSMT4" ShapeID="_x0000_i1102" DrawAspect="Content" ObjectID="_1532825696" r:id="rId218"/>
        </w:object>
      </w:r>
      <w:r w:rsidRPr="0020540D">
        <w:t>. However, the change of bus types will not affect (</w:t>
      </w:r>
      <w:r w:rsidR="000D7898">
        <w:t>4-</w:t>
      </w:r>
      <w:r w:rsidRPr="0020540D">
        <w:t>1), (</w:t>
      </w:r>
      <w:r w:rsidR="000D7898">
        <w:t>4-</w:t>
      </w:r>
      <w:r w:rsidRPr="0020540D">
        <w:t>2), and (</w:t>
      </w:r>
      <w:r w:rsidR="000D7898">
        <w:t>4-</w:t>
      </w:r>
      <w:r w:rsidRPr="0020540D">
        <w:t>4)-(</w:t>
      </w:r>
      <w:r w:rsidR="000D7898">
        <w:t>4-</w:t>
      </w:r>
      <w:r w:rsidRPr="0020540D">
        <w:t>12), which will not affect the conclusion that System A and System B are equivalent. As a matter of fact, it only changes the number of unknown variables and equations.</w:t>
      </w:r>
    </w:p>
    <w:p w14:paraId="29962A94" w14:textId="77777777" w:rsidR="0020540D" w:rsidRPr="0020540D" w:rsidRDefault="0020540D" w:rsidP="0020540D">
      <w:r w:rsidRPr="0020540D">
        <w:t xml:space="preserve">Therefore, it is concluded that System </w:t>
      </w:r>
      <w:r w:rsidRPr="0020540D">
        <w:rPr>
          <w:i/>
        </w:rPr>
        <w:t>A</w:t>
      </w:r>
      <w:r w:rsidRPr="0020540D">
        <w:t xml:space="preserve"> and System </w:t>
      </w:r>
      <w:r w:rsidRPr="0020540D">
        <w:rPr>
          <w:i/>
        </w:rPr>
        <w:t>B</w:t>
      </w:r>
      <w:r w:rsidRPr="0020540D">
        <w:t xml:space="preserve"> are equivalent regardless of the types of buses </w:t>
      </w:r>
      <w:r w:rsidRPr="0020540D">
        <w:rPr>
          <w:i/>
        </w:rPr>
        <w:t>m</w:t>
      </w:r>
      <w:r w:rsidRPr="0020540D">
        <w:t xml:space="preserve"> and </w:t>
      </w:r>
      <w:r w:rsidRPr="0020540D">
        <w:rPr>
          <w:i/>
        </w:rPr>
        <w:t>n</w:t>
      </w:r>
      <w:r w:rsidRPr="0020540D">
        <w:t>.</w:t>
      </w:r>
    </w:p>
    <w:p w14:paraId="00EC49E9" w14:textId="77777777" w:rsidR="0020540D" w:rsidRPr="0020540D" w:rsidRDefault="0020540D" w:rsidP="0020540D">
      <w:r w:rsidRPr="0020540D">
        <w:t xml:space="preserve">For System </w:t>
      </w:r>
      <w:r w:rsidRPr="0020540D">
        <w:rPr>
          <w:i/>
        </w:rPr>
        <w:t>A</w:t>
      </w:r>
      <w:r w:rsidRPr="0020540D">
        <w:rPr>
          <w:i/>
          <w:vertAlign w:val="superscript"/>
        </w:rPr>
        <w:t>c</w:t>
      </w:r>
      <w:r w:rsidRPr="0020540D">
        <w:t xml:space="preserve"> and System </w:t>
      </w:r>
      <w:r w:rsidRPr="0020540D">
        <w:rPr>
          <w:i/>
        </w:rPr>
        <w:t>B</w:t>
      </w:r>
      <w:r w:rsidRPr="0020540D">
        <w:rPr>
          <w:i/>
          <w:vertAlign w:val="superscript"/>
        </w:rPr>
        <w:t>c</w:t>
      </w:r>
      <w:r w:rsidRPr="0020540D">
        <w:t xml:space="preserve">, it is seen from </w:t>
      </w:r>
      <w:fldSimple w:instr=" REF _Ref431907234 ">
        <w:r w:rsidR="00656B13">
          <w:t xml:space="preserve">Figure </w:t>
        </w:r>
        <w:r w:rsidR="00656B13">
          <w:rPr>
            <w:noProof/>
          </w:rPr>
          <w:t>15</w:t>
        </w:r>
      </w:fldSimple>
      <w:r w:rsidR="000D7898">
        <w:t xml:space="preserve"> </w:t>
      </w:r>
      <w:r w:rsidRPr="0020540D">
        <w:t xml:space="preserve">that they have the identical topology and bus injections, so they must be equivalent. Besides, if we set line flow </w:t>
      </w:r>
      <w:r w:rsidRPr="0020540D">
        <w:rPr>
          <w:i/>
        </w:rPr>
        <w:t>mn</w:t>
      </w:r>
      <w:r w:rsidRPr="0020540D">
        <w:t xml:space="preserve"> to zero, Systems A and B become </w:t>
      </w:r>
      <w:r w:rsidRPr="0020540D">
        <w:rPr>
          <w:i/>
        </w:rPr>
        <w:t>A</w:t>
      </w:r>
      <w:r w:rsidRPr="0020540D">
        <w:rPr>
          <w:i/>
          <w:vertAlign w:val="superscript"/>
        </w:rPr>
        <w:t>c</w:t>
      </w:r>
      <w:r w:rsidRPr="0020540D">
        <w:t xml:space="preserve"> and </w:t>
      </w:r>
      <w:r w:rsidRPr="0020540D">
        <w:rPr>
          <w:i/>
        </w:rPr>
        <w:t>B</w:t>
      </w:r>
      <w:r w:rsidRPr="0020540D">
        <w:rPr>
          <w:i/>
          <w:vertAlign w:val="superscript"/>
        </w:rPr>
        <w:t>c</w:t>
      </w:r>
      <w:r w:rsidRPr="0020540D">
        <w:t>, respectively.</w:t>
      </w:r>
    </w:p>
    <w:p w14:paraId="03DC1078" w14:textId="77777777" w:rsidR="0020540D" w:rsidRPr="000D7898" w:rsidRDefault="000D7898" w:rsidP="000D7898">
      <w:pPr>
        <w:pStyle w:val="Heading3"/>
        <w:rPr>
          <w:lang w:val="en-GB"/>
        </w:rPr>
      </w:pPr>
      <w:bookmarkStart w:id="60" w:name="_Toc459076556"/>
      <w:r>
        <w:t xml:space="preserve">4.1.2 </w:t>
      </w:r>
      <w:r w:rsidR="0020540D" w:rsidRPr="000D7898">
        <w:t xml:space="preserve">Proposed Sensitivity </w:t>
      </w:r>
      <w:r w:rsidR="00DA6ACB">
        <w:t>B</w:t>
      </w:r>
      <w:r w:rsidR="00DA6ACB" w:rsidRPr="000D7898">
        <w:t xml:space="preserve">ased </w:t>
      </w:r>
      <w:r w:rsidR="004F38C3">
        <w:t>o</w:t>
      </w:r>
      <w:r w:rsidR="0020540D" w:rsidRPr="000D7898">
        <w:t xml:space="preserve">n </w:t>
      </w:r>
      <w:r w:rsidR="004F38C3">
        <w:t>t</w:t>
      </w:r>
      <w:r w:rsidR="0020540D" w:rsidRPr="000D7898">
        <w:t>he Transformation</w:t>
      </w:r>
      <w:bookmarkEnd w:id="60"/>
    </w:p>
    <w:p w14:paraId="2C706E23" w14:textId="77777777" w:rsidR="0020540D" w:rsidRPr="0020540D" w:rsidRDefault="0020540D" w:rsidP="0020540D">
      <w:pPr>
        <w:rPr>
          <w:lang w:val="en-GB"/>
        </w:rPr>
      </w:pPr>
      <w:r w:rsidRPr="0020540D">
        <w:rPr>
          <w:lang w:val="en-GB"/>
        </w:rPr>
        <w:t>A commonly used approach to solve nonlinear load flow equations in (</w:t>
      </w:r>
      <w:r w:rsidR="000D7898">
        <w:rPr>
          <w:lang w:val="en-GB"/>
        </w:rPr>
        <w:t>4-</w:t>
      </w:r>
      <w:r w:rsidRPr="0020540D">
        <w:rPr>
          <w:lang w:val="en-GB"/>
        </w:rPr>
        <w:t>3) is the Newton-Raphson method. The Jacobian matrix in each iteration is given as follows:</w:t>
      </w:r>
    </w:p>
    <w:p w14:paraId="703E0FEF" w14:textId="77777777" w:rsidR="0020540D" w:rsidRPr="0020540D" w:rsidRDefault="000D7898" w:rsidP="000D7898">
      <w:pPr>
        <w:jc w:val="right"/>
        <w:rPr>
          <w:lang w:val="en-GB"/>
        </w:rPr>
      </w:pPr>
      <w:r w:rsidRPr="0020540D">
        <w:rPr>
          <w:lang w:val="en-GB"/>
        </w:rPr>
        <w:object w:dxaOrig="880" w:dyaOrig="520" w14:anchorId="1BA1A404">
          <v:shape id="_x0000_i1169" type="#_x0000_t75" style="width:55.5pt;height:31.5pt" o:ole="">
            <v:imagedata r:id="rId219" o:title=""/>
          </v:shape>
          <o:OLEObject Type="Embed" ProgID="Equation.DSMT4" ShapeID="_x0000_i1169" DrawAspect="Content" ObjectID="_1532825697" r:id="rId220"/>
        </w:object>
      </w:r>
      <w:r w:rsidR="0020540D" w:rsidRPr="0020540D">
        <w:rPr>
          <w:lang w:val="en-GB"/>
        </w:rPr>
        <w:tab/>
      </w:r>
      <w:r>
        <w:rPr>
          <w:lang w:val="en-GB"/>
        </w:rPr>
        <w:tab/>
      </w:r>
      <w:r w:rsidR="00987C34">
        <w:rPr>
          <w:lang w:val="en-GB"/>
        </w:rPr>
        <w:tab/>
      </w:r>
      <w:r w:rsidR="00987C34">
        <w:rPr>
          <w:lang w:val="en-GB"/>
        </w:rPr>
        <w:tab/>
      </w:r>
      <w:r>
        <w:rPr>
          <w:lang w:val="en-GB"/>
        </w:rPr>
        <w:tab/>
      </w:r>
      <w:r>
        <w:rPr>
          <w:lang w:val="en-GB"/>
        </w:rPr>
        <w:tab/>
      </w:r>
      <w:r w:rsidR="0020540D" w:rsidRPr="0020540D">
        <w:rPr>
          <w:lang w:val="en-GB"/>
        </w:rPr>
        <w:t>(</w:t>
      </w:r>
      <w:r>
        <w:rPr>
          <w:lang w:val="en-GB"/>
        </w:rPr>
        <w:t>4-</w:t>
      </w:r>
      <w:r w:rsidR="0020540D" w:rsidRPr="0020540D">
        <w:rPr>
          <w:lang w:val="en-GB"/>
        </w:rPr>
        <w:t>17)</w:t>
      </w:r>
      <w:r w:rsidR="0020540D" w:rsidRPr="0020540D">
        <w:rPr>
          <w:lang w:val="en-GB"/>
        </w:rPr>
        <w:tab/>
      </w:r>
    </w:p>
    <w:p w14:paraId="17F62EDD" w14:textId="77777777" w:rsidR="0020540D" w:rsidRPr="0020540D" w:rsidRDefault="0020540D" w:rsidP="0020540D">
      <w:pPr>
        <w:rPr>
          <w:lang w:val="en-GB"/>
        </w:rPr>
      </w:pPr>
      <w:r w:rsidRPr="0020540D">
        <w:rPr>
          <w:lang w:val="en-GB"/>
        </w:rPr>
        <w:lastRenderedPageBreak/>
        <w:t>Based on the Jacobian matrix, the sensitivity can be formulated as</w:t>
      </w:r>
    </w:p>
    <w:p w14:paraId="5A7086DC" w14:textId="77777777" w:rsidR="0020540D" w:rsidRPr="0020540D" w:rsidRDefault="000D7898" w:rsidP="000D7898">
      <w:pPr>
        <w:jc w:val="right"/>
        <w:rPr>
          <w:lang w:val="en-GB"/>
        </w:rPr>
      </w:pPr>
      <w:r w:rsidRPr="0020540D">
        <w:rPr>
          <w:lang w:val="en-GB"/>
        </w:rPr>
        <w:object w:dxaOrig="1280" w:dyaOrig="360" w14:anchorId="231DF457">
          <v:shape id="_x0000_i1170" type="#_x0000_t75" style="width:84pt;height:24pt" o:ole="">
            <v:imagedata r:id="rId221" o:title=""/>
          </v:shape>
          <o:OLEObject Type="Embed" ProgID="Equation.DSMT4" ShapeID="_x0000_i1170" DrawAspect="Content" ObjectID="_1532825698" r:id="rId222"/>
        </w:object>
      </w:r>
      <w:r w:rsidR="0020540D" w:rsidRPr="0020540D">
        <w:rPr>
          <w:lang w:val="en-GB"/>
        </w:rPr>
        <w:tab/>
      </w:r>
      <w:r>
        <w:rPr>
          <w:lang w:val="en-GB"/>
        </w:rPr>
        <w:tab/>
      </w:r>
      <w:r w:rsidR="00987C34">
        <w:rPr>
          <w:lang w:val="en-GB"/>
        </w:rPr>
        <w:tab/>
      </w:r>
      <w:r>
        <w:rPr>
          <w:lang w:val="en-GB"/>
        </w:rPr>
        <w:tab/>
      </w:r>
      <w:r>
        <w:rPr>
          <w:lang w:val="en-GB"/>
        </w:rPr>
        <w:tab/>
      </w:r>
      <w:r w:rsidR="0020540D" w:rsidRPr="0020540D">
        <w:rPr>
          <w:lang w:val="en-GB"/>
        </w:rPr>
        <w:t>(</w:t>
      </w:r>
      <w:r>
        <w:rPr>
          <w:lang w:val="en-GB"/>
        </w:rPr>
        <w:t>4-</w:t>
      </w:r>
      <w:r w:rsidR="0020540D" w:rsidRPr="0020540D">
        <w:rPr>
          <w:lang w:val="en-GB"/>
        </w:rPr>
        <w:t>18)</w:t>
      </w:r>
    </w:p>
    <w:p w14:paraId="29F29711" w14:textId="77777777" w:rsidR="0020540D" w:rsidRPr="0020540D" w:rsidRDefault="0020540D" w:rsidP="0020540D">
      <w:pPr>
        <w:rPr>
          <w:lang w:val="en-GB"/>
        </w:rPr>
      </w:pPr>
      <w:r w:rsidRPr="0020540D">
        <w:rPr>
          <w:lang w:val="en-GB"/>
        </w:rPr>
        <w:t xml:space="preserve">where </w:t>
      </w:r>
      <w:r w:rsidR="00927A5B" w:rsidRPr="0020540D">
        <w:rPr>
          <w:lang w:val="en-GB"/>
        </w:rPr>
        <w:object w:dxaOrig="560" w:dyaOrig="320" w14:anchorId="4F3371A4">
          <v:shape id="_x0000_i1171" type="#_x0000_t75" style="width:30pt;height:16.5pt" o:ole="">
            <v:imagedata r:id="rId223" o:title=""/>
          </v:shape>
          <o:OLEObject Type="Embed" ProgID="Equation.DSMT4" ShapeID="_x0000_i1171" DrawAspect="Content" ObjectID="_1532825699" r:id="rId224"/>
        </w:object>
      </w:r>
      <w:r w:rsidRPr="0020540D">
        <w:rPr>
          <w:lang w:val="en-GB"/>
        </w:rPr>
        <w:t xml:space="preserve"> is the vector of nodal injection change which is numerally equal to the outage line flow, and </w:t>
      </w:r>
      <w:r w:rsidR="00927A5B" w:rsidRPr="0020540D">
        <w:rPr>
          <w:lang w:val="en-GB"/>
        </w:rPr>
        <w:object w:dxaOrig="300" w:dyaOrig="240" w14:anchorId="039B77B9">
          <v:shape id="_x0000_i1172" type="#_x0000_t75" style="width:18pt;height:15pt" o:ole="">
            <v:imagedata r:id="rId225" o:title=""/>
          </v:shape>
          <o:OLEObject Type="Embed" ProgID="Equation.DSMT4" ShapeID="_x0000_i1172" DrawAspect="Content" ObjectID="_1532825700" r:id="rId226"/>
        </w:object>
      </w:r>
      <w:r w:rsidRPr="0020540D">
        <w:rPr>
          <w:lang w:val="en-GB"/>
        </w:rPr>
        <w:t xml:space="preserve">  is the change of system variables.</w:t>
      </w:r>
    </w:p>
    <w:p w14:paraId="5A9A254A" w14:textId="77777777" w:rsidR="0020540D" w:rsidRPr="0020540D" w:rsidRDefault="0020540D" w:rsidP="0020540D">
      <w:pPr>
        <w:rPr>
          <w:lang w:val="en-GB"/>
        </w:rPr>
      </w:pPr>
      <w:r w:rsidRPr="0020540D">
        <w:rPr>
          <w:lang w:val="en-GB"/>
        </w:rPr>
        <w:t xml:space="preserve">There are two types of outages, generation/load outage and line outage. For the first type, generation or load outages can be directly represented by nodal injection change. Thus, it is not discussed in this </w:t>
      </w:r>
      <w:r w:rsidR="00E4480B">
        <w:rPr>
          <w:lang w:val="en-GB"/>
        </w:rPr>
        <w:t>dissertation</w:t>
      </w:r>
      <w:r w:rsidRPr="0020540D">
        <w:rPr>
          <w:lang w:val="en-GB"/>
        </w:rPr>
        <w:t>. While for the line outage, various transformations have been explored to represent the line outages in nodal injection change.</w:t>
      </w:r>
    </w:p>
    <w:p w14:paraId="669577F9" w14:textId="77777777" w:rsidR="0020540D" w:rsidRPr="0020540D" w:rsidRDefault="0020540D" w:rsidP="0020540D">
      <w:pPr>
        <w:rPr>
          <w:lang w:val="en-GB"/>
        </w:rPr>
      </w:pPr>
      <w:r w:rsidRPr="0020540D">
        <w:rPr>
          <w:lang w:val="en-GB"/>
        </w:rPr>
        <w:t xml:space="preserve">Since the equivalence of System </w:t>
      </w:r>
      <w:r w:rsidRPr="0020540D">
        <w:rPr>
          <w:i/>
          <w:lang w:val="en-GB"/>
        </w:rPr>
        <w:t>A</w:t>
      </w:r>
      <w:r w:rsidRPr="0020540D">
        <w:rPr>
          <w:lang w:val="en-GB"/>
        </w:rPr>
        <w:t xml:space="preserve"> and System </w:t>
      </w:r>
      <w:r w:rsidRPr="0020540D">
        <w:rPr>
          <w:i/>
          <w:lang w:val="en-GB"/>
        </w:rPr>
        <w:t>B</w:t>
      </w:r>
      <w:r w:rsidRPr="0020540D">
        <w:rPr>
          <w:lang w:val="en-GB"/>
        </w:rPr>
        <w:t xml:space="preserve"> has been proven, it is natural to transform </w:t>
      </w:r>
      <w:r w:rsidRPr="0020540D">
        <w:rPr>
          <w:i/>
          <w:lang w:val="en-GB"/>
        </w:rPr>
        <w:t>A</w:t>
      </w:r>
      <w:r w:rsidRPr="0020540D">
        <w:rPr>
          <w:lang w:val="en-GB"/>
        </w:rPr>
        <w:t xml:space="preserve"> to </w:t>
      </w:r>
      <w:r w:rsidRPr="0020540D">
        <w:rPr>
          <w:i/>
          <w:lang w:val="en-GB"/>
        </w:rPr>
        <w:t>B</w:t>
      </w:r>
      <w:r w:rsidRPr="0020540D">
        <w:rPr>
          <w:lang w:val="en-GB"/>
        </w:rPr>
        <w:t xml:space="preserve"> by adding the line flow to nodal injection and remove the outage line. Then, by adding nodal change to System </w:t>
      </w:r>
      <w:r w:rsidRPr="0020540D">
        <w:rPr>
          <w:i/>
          <w:lang w:val="en-GB"/>
        </w:rPr>
        <w:t>B</w:t>
      </w:r>
      <w:r w:rsidRPr="0020540D">
        <w:rPr>
          <w:lang w:val="en-GB"/>
        </w:rPr>
        <w:t>, sensitivity based on (</w:t>
      </w:r>
      <w:r w:rsidR="00C20330">
        <w:rPr>
          <w:lang w:val="en-GB"/>
        </w:rPr>
        <w:t>4-</w:t>
      </w:r>
      <w:r w:rsidRPr="0020540D">
        <w:rPr>
          <w:lang w:val="en-GB"/>
        </w:rPr>
        <w:t xml:space="preserve">18) can predict the status of System </w:t>
      </w:r>
      <w:r w:rsidRPr="0020540D">
        <w:rPr>
          <w:i/>
          <w:lang w:val="en-GB"/>
        </w:rPr>
        <w:t>B</w:t>
      </w:r>
      <w:r w:rsidRPr="0020540D">
        <w:rPr>
          <w:i/>
          <w:vertAlign w:val="superscript"/>
          <w:lang w:val="en-GB"/>
        </w:rPr>
        <w:t>c</w:t>
      </w:r>
      <w:r w:rsidRPr="0020540D">
        <w:rPr>
          <w:lang w:val="en-GB"/>
        </w:rPr>
        <w:t xml:space="preserve">, which is equivalent to system </w:t>
      </w:r>
      <w:r w:rsidRPr="0020540D">
        <w:rPr>
          <w:i/>
          <w:lang w:val="en-GB"/>
        </w:rPr>
        <w:t>A</w:t>
      </w:r>
      <w:r w:rsidRPr="0020540D">
        <w:rPr>
          <w:i/>
          <w:vertAlign w:val="superscript"/>
          <w:lang w:val="en-GB"/>
        </w:rPr>
        <w:t>c</w:t>
      </w:r>
      <w:r w:rsidRPr="0020540D">
        <w:rPr>
          <w:lang w:val="en-GB"/>
        </w:rPr>
        <w:t xml:space="preserve">, the post-contingency case of System </w:t>
      </w:r>
      <w:r w:rsidRPr="0020540D">
        <w:rPr>
          <w:i/>
          <w:lang w:val="en-GB"/>
        </w:rPr>
        <w:t>A</w:t>
      </w:r>
      <w:r w:rsidRPr="0020540D">
        <w:rPr>
          <w:lang w:val="en-GB"/>
        </w:rPr>
        <w:t>.</w:t>
      </w:r>
    </w:p>
    <w:p w14:paraId="0F288179" w14:textId="77777777" w:rsidR="0020540D" w:rsidRPr="0020540D" w:rsidRDefault="0020540D" w:rsidP="00E02815">
      <w:pPr>
        <w:numPr>
          <w:ilvl w:val="1"/>
          <w:numId w:val="3"/>
        </w:numPr>
        <w:rPr>
          <w:b/>
          <w:bCs/>
          <w:lang w:val="en-GB"/>
        </w:rPr>
      </w:pPr>
      <w:r w:rsidRPr="0020540D">
        <w:rPr>
          <w:b/>
          <w:bCs/>
        </w:rPr>
        <w:t>Piece-wise-linear Sensitivity Considering Q Limit Violations</w:t>
      </w:r>
    </w:p>
    <w:p w14:paraId="1FFBB5A8" w14:textId="77777777" w:rsidR="0020540D" w:rsidRPr="0020540D" w:rsidRDefault="0020540D" w:rsidP="0020540D">
      <w:pPr>
        <w:rPr>
          <w:lang w:val="en-GB"/>
        </w:rPr>
      </w:pPr>
      <w:r w:rsidRPr="0020540D">
        <w:rPr>
          <w:lang w:val="en-GB"/>
        </w:rPr>
        <w:t xml:space="preserve">Practically, in power flow model, most PV buses have upper and lower limits for reactive power. After a severe contingency, there may be violations of Q limits at some buses, say Bus </w:t>
      </w:r>
      <w:r w:rsidRPr="0020540D">
        <w:rPr>
          <w:i/>
          <w:lang w:val="en-GB"/>
        </w:rPr>
        <w:t>x</w:t>
      </w:r>
      <w:r w:rsidRPr="0020540D">
        <w:rPr>
          <w:lang w:val="en-GB"/>
        </w:rPr>
        <w:t xml:space="preserve">. If this happens, the PV bus should be considered a PQ bus with the same scheduled P and the scheduled Q set at the violated Q limit. If only the sensitivity of the initial condition is used, Bus </w:t>
      </w:r>
      <w:r w:rsidRPr="0020540D">
        <w:rPr>
          <w:i/>
          <w:lang w:val="en-GB"/>
        </w:rPr>
        <w:t>x</w:t>
      </w:r>
      <w:r w:rsidRPr="0020540D">
        <w:rPr>
          <w:lang w:val="en-GB"/>
        </w:rPr>
        <w:t xml:space="preserve"> will be treated as a PV bus in the post-contingency state. The voltage magnitude will be the same as before. However, after the PV-PQ transition, the voltage magnitude of that bus will drop for lack of reactive supply. This </w:t>
      </w:r>
      <w:r w:rsidRPr="0020540D">
        <w:rPr>
          <w:lang w:val="en-GB"/>
        </w:rPr>
        <w:lastRenderedPageBreak/>
        <w:t>will cause significant error. Therefore, a piece-wise-linear sensitivity model is proposed next to deal with the PV to PQ transition should be introduced.</w:t>
      </w:r>
    </w:p>
    <w:p w14:paraId="1674B870" w14:textId="77777777" w:rsidR="0020540D" w:rsidRPr="0020540D" w:rsidRDefault="0020540D" w:rsidP="0020540D">
      <w:pPr>
        <w:rPr>
          <w:lang w:val="en-GB"/>
        </w:rPr>
      </w:pPr>
      <w:r w:rsidRPr="0020540D">
        <w:rPr>
          <w:lang w:val="en-GB"/>
        </w:rPr>
        <w:t xml:space="preserve">First, a new index called Status Change Coefficient Factor, </w:t>
      </w:r>
      <w:r w:rsidRPr="0020540D">
        <w:rPr>
          <w:i/>
          <w:lang w:val="en-GB"/>
        </w:rPr>
        <w:t>F</w:t>
      </w:r>
      <w:r w:rsidRPr="0020540D">
        <w:rPr>
          <w:lang w:val="en-GB"/>
        </w:rPr>
        <w:t xml:space="preserve">, is introduced. When a contingency happens, the reactive power of a PV bus may violate either the upper or lower limit. As shown in </w:t>
      </w:r>
      <w:r w:rsidR="00C20330">
        <w:rPr>
          <w:lang w:val="en-GB"/>
        </w:rPr>
        <w:fldChar w:fldCharType="begin"/>
      </w:r>
      <w:r w:rsidR="00C20330">
        <w:rPr>
          <w:lang w:val="en-GB"/>
        </w:rPr>
        <w:instrText xml:space="preserve"> REF _Ref431917116 \h </w:instrText>
      </w:r>
      <w:r w:rsidR="00C20330">
        <w:rPr>
          <w:lang w:val="en-GB"/>
        </w:rPr>
      </w:r>
      <w:r w:rsidR="00C20330">
        <w:rPr>
          <w:lang w:val="en-GB"/>
        </w:rPr>
        <w:fldChar w:fldCharType="separate"/>
      </w:r>
      <w:r w:rsidR="00656B13">
        <w:t xml:space="preserve">Figure </w:t>
      </w:r>
      <w:r w:rsidR="00656B13">
        <w:rPr>
          <w:noProof/>
        </w:rPr>
        <w:t>16</w:t>
      </w:r>
      <w:r w:rsidR="00656B13">
        <w:t xml:space="preserve">. Status change coefficient factor </w:t>
      </w:r>
      <w:r w:rsidR="00656B13" w:rsidRPr="000D7898">
        <w:rPr>
          <w:i/>
        </w:rPr>
        <w:t>F</w:t>
      </w:r>
      <w:r w:rsidR="00C20330">
        <w:rPr>
          <w:lang w:val="en-GB"/>
        </w:rPr>
        <w:fldChar w:fldCharType="end"/>
      </w:r>
      <w:r w:rsidRPr="0020540D">
        <w:rPr>
          <w:lang w:val="en-GB"/>
        </w:rPr>
        <w:t xml:space="preserve">, </w:t>
      </w:r>
      <w:r w:rsidRPr="0020540D">
        <w:rPr>
          <w:i/>
          <w:lang w:val="en-GB"/>
        </w:rPr>
        <w:t>Q</w:t>
      </w:r>
      <w:r w:rsidRPr="0020540D">
        <w:rPr>
          <w:i/>
          <w:vertAlign w:val="subscript"/>
          <w:lang w:val="en-GB"/>
        </w:rPr>
        <w:t>0</w:t>
      </w:r>
      <w:r w:rsidRPr="0020540D">
        <w:rPr>
          <w:lang w:val="en-GB"/>
        </w:rPr>
        <w:t xml:space="preserve"> is the reactive generation at a bus at normal state and </w:t>
      </w:r>
      <w:r w:rsidRPr="0020540D">
        <w:rPr>
          <w:i/>
          <w:lang w:val="en-GB"/>
        </w:rPr>
        <w:t>Q</w:t>
      </w:r>
      <w:r w:rsidRPr="0020540D">
        <w:rPr>
          <w:i/>
          <w:vertAlign w:val="subscript"/>
          <w:lang w:val="en-GB"/>
        </w:rPr>
        <w:t>c</w:t>
      </w:r>
      <w:r w:rsidRPr="0020540D">
        <w:rPr>
          <w:lang w:val="en-GB"/>
        </w:rPr>
        <w:t xml:space="preserve"> is the predicted reactive generation using the sensitivity factors derived in this iteration. </w:t>
      </w:r>
      <w:r w:rsidRPr="0020540D">
        <w:rPr>
          <w:i/>
          <w:lang w:val="en-GB"/>
        </w:rPr>
        <w:t>Q</w:t>
      </w:r>
      <w:r w:rsidRPr="0020540D">
        <w:rPr>
          <w:i/>
          <w:vertAlign w:val="subscript"/>
          <w:lang w:val="en-GB"/>
        </w:rPr>
        <w:t>upper</w:t>
      </w:r>
      <w:r w:rsidRPr="0020540D">
        <w:rPr>
          <w:lang w:val="en-GB"/>
        </w:rPr>
        <w:t xml:space="preserve"> and </w:t>
      </w:r>
      <w:r w:rsidRPr="0020540D">
        <w:rPr>
          <w:i/>
          <w:lang w:val="en-GB"/>
        </w:rPr>
        <w:t>Q</w:t>
      </w:r>
      <w:r w:rsidRPr="0020540D">
        <w:rPr>
          <w:i/>
          <w:vertAlign w:val="subscript"/>
          <w:lang w:val="en-GB"/>
        </w:rPr>
        <w:t>lower</w:t>
      </w:r>
      <w:r w:rsidRPr="0020540D">
        <w:rPr>
          <w:lang w:val="en-GB"/>
        </w:rPr>
        <w:t xml:space="preserve"> are the upper and lower limits, respectively, for reactive power generation. The F factor is defined as</w:t>
      </w:r>
    </w:p>
    <w:p w14:paraId="16D46254" w14:textId="77777777" w:rsidR="0020540D" w:rsidRPr="0020540D" w:rsidRDefault="0020540D" w:rsidP="00572C47">
      <w:pPr>
        <w:jc w:val="right"/>
        <w:rPr>
          <w:lang w:val="en-GB"/>
        </w:rPr>
      </w:pPr>
      <w:r w:rsidRPr="0020540D">
        <w:rPr>
          <w:lang w:val="en-GB"/>
        </w:rPr>
        <w:object w:dxaOrig="3560" w:dyaOrig="1260" w14:anchorId="7E4CB132">
          <v:shape id="_x0000_i1173" type="#_x0000_t75" style="width:178.5pt;height:64.5pt" o:ole="">
            <v:imagedata r:id="rId227" o:title=""/>
          </v:shape>
          <o:OLEObject Type="Embed" ProgID="Equation.DSMT4" ShapeID="_x0000_i1173" DrawAspect="Content" ObjectID="_1532825701" r:id="rId228"/>
        </w:object>
      </w:r>
      <w:r w:rsidRPr="0020540D">
        <w:rPr>
          <w:lang w:val="en-GB"/>
        </w:rPr>
        <w:tab/>
      </w:r>
      <w:r w:rsidR="00572C47">
        <w:rPr>
          <w:lang w:val="en-GB"/>
        </w:rPr>
        <w:tab/>
      </w:r>
      <w:r w:rsidR="00572C47">
        <w:rPr>
          <w:lang w:val="en-GB"/>
        </w:rPr>
        <w:tab/>
      </w:r>
      <w:r w:rsidR="00572C47">
        <w:rPr>
          <w:lang w:val="en-GB"/>
        </w:rPr>
        <w:tab/>
      </w:r>
      <w:r w:rsidRPr="0020540D">
        <w:rPr>
          <w:lang w:val="en-GB"/>
        </w:rPr>
        <w:t>(19)</w:t>
      </w:r>
    </w:p>
    <w:p w14:paraId="6CCCE87C" w14:textId="77777777" w:rsidR="0020540D" w:rsidRPr="0020540D" w:rsidRDefault="0020540D" w:rsidP="004C0804">
      <w:pPr>
        <w:spacing w:after="240"/>
        <w:rPr>
          <w:lang w:val="en-GB"/>
        </w:rPr>
      </w:pPr>
      <w:r w:rsidRPr="0020540D">
        <w:rPr>
          <w:lang w:val="en-GB"/>
        </w:rPr>
        <w:t xml:space="preserve">It is seen from </w:t>
      </w:r>
      <w:r w:rsidR="000D7898">
        <w:rPr>
          <w:lang w:val="en-GB"/>
        </w:rPr>
        <w:fldChar w:fldCharType="begin"/>
      </w:r>
      <w:r w:rsidR="000D7898">
        <w:rPr>
          <w:lang w:val="en-GB"/>
        </w:rPr>
        <w:instrText xml:space="preserve"> REF _Ref431907753 </w:instrText>
      </w:r>
      <w:r w:rsidR="000D7898">
        <w:rPr>
          <w:lang w:val="en-GB"/>
        </w:rPr>
        <w:fldChar w:fldCharType="separate"/>
      </w:r>
      <w:r w:rsidR="00656B13">
        <w:t xml:space="preserve">Figure </w:t>
      </w:r>
      <w:r w:rsidR="00656B13">
        <w:rPr>
          <w:noProof/>
        </w:rPr>
        <w:t>16</w:t>
      </w:r>
      <w:r w:rsidR="000D7898">
        <w:rPr>
          <w:lang w:val="en-GB"/>
        </w:rPr>
        <w:fldChar w:fldCharType="end"/>
      </w:r>
      <w:r w:rsidR="000D7898">
        <w:rPr>
          <w:lang w:val="en-GB"/>
        </w:rPr>
        <w:t xml:space="preserve"> </w:t>
      </w:r>
      <w:r w:rsidRPr="0020540D">
        <w:rPr>
          <w:lang w:val="en-GB"/>
        </w:rPr>
        <w:t xml:space="preserve">that when the reactive power limits are violated at a specific bus, </w:t>
      </w:r>
      <w:r w:rsidRPr="0020540D">
        <w:rPr>
          <w:i/>
          <w:lang w:val="en-GB"/>
        </w:rPr>
        <w:t>F</w:t>
      </w:r>
      <w:r w:rsidRPr="0020540D">
        <w:rPr>
          <w:lang w:val="en-GB"/>
        </w:rPr>
        <w:t xml:space="preserve"> for that bus will be between 0 and 1. Assume that </w:t>
      </w:r>
      <w:r w:rsidRPr="0020540D">
        <w:rPr>
          <w:i/>
          <w:lang w:val="en-GB"/>
        </w:rPr>
        <w:t>∆f</w:t>
      </w:r>
      <w:r w:rsidRPr="0020540D">
        <w:rPr>
          <w:lang w:val="en-GB"/>
        </w:rPr>
        <w:t>(</w:t>
      </w:r>
      <w:r w:rsidRPr="0020540D">
        <w:rPr>
          <w:i/>
          <w:lang w:val="en-GB"/>
        </w:rPr>
        <w:t>x</w:t>
      </w:r>
      <w:r w:rsidRPr="0020540D">
        <w:rPr>
          <w:lang w:val="en-GB"/>
        </w:rPr>
        <w:t xml:space="preserve">), the hypothetical nodal injection, and Q are linearly related. Then </w:t>
      </w:r>
      <w:r w:rsidRPr="0020540D">
        <w:rPr>
          <w:i/>
          <w:lang w:val="en-GB"/>
        </w:rPr>
        <w:t>F</w:t>
      </w:r>
      <w:r w:rsidRPr="0020540D">
        <w:rPr>
          <w:lang w:val="en-GB"/>
        </w:rPr>
        <w:t xml:space="preserve"> can be used to identify when the Q limit is first violated at that bus. The smallest </w:t>
      </w:r>
      <w:r w:rsidRPr="0020540D">
        <w:rPr>
          <w:i/>
          <w:lang w:val="en-GB"/>
        </w:rPr>
        <w:t xml:space="preserve">F </w:t>
      </w:r>
      <w:r w:rsidRPr="0020540D">
        <w:rPr>
          <w:lang w:val="en-GB"/>
        </w:rPr>
        <w:t xml:space="preserve">of all buses, say </w:t>
      </w:r>
      <w:r w:rsidRPr="0020540D">
        <w:rPr>
          <w:i/>
          <w:lang w:val="en-GB"/>
        </w:rPr>
        <w:t>F</w:t>
      </w:r>
      <w:r w:rsidRPr="0020540D">
        <w:rPr>
          <w:i/>
          <w:vertAlign w:val="subscript"/>
          <w:lang w:val="en-GB"/>
        </w:rPr>
        <w:t>j</w:t>
      </w:r>
      <w:r w:rsidRPr="0020540D">
        <w:rPr>
          <w:lang w:val="en-GB"/>
        </w:rPr>
        <w:t xml:space="preserve">, approximates the point where the first PV bus in the system violates its limit when </w:t>
      </w:r>
      <w:r w:rsidRPr="0020540D">
        <w:rPr>
          <w:i/>
          <w:lang w:val="en-GB"/>
        </w:rPr>
        <w:t>F</w:t>
      </w:r>
      <w:r w:rsidRPr="0020540D">
        <w:rPr>
          <w:i/>
          <w:vertAlign w:val="subscript"/>
          <w:lang w:val="en-GB"/>
        </w:rPr>
        <w:t>j</w:t>
      </w:r>
      <w:r w:rsidRPr="0020540D">
        <w:rPr>
          <w:i/>
          <w:lang w:val="en-GB"/>
        </w:rPr>
        <w:t>∙∆f(x)</w:t>
      </w:r>
      <w:r w:rsidRPr="0020540D">
        <w:rPr>
          <w:lang w:val="en-GB"/>
        </w:rPr>
        <w:t xml:space="preserve"> is applied to the system.</w:t>
      </w:r>
    </w:p>
    <w:p w14:paraId="0BFFD130" w14:textId="77777777" w:rsidR="0020540D" w:rsidRPr="0020540D" w:rsidRDefault="0020540D" w:rsidP="00150E9C">
      <w:pPr>
        <w:spacing w:line="240" w:lineRule="auto"/>
        <w:ind w:firstLine="0"/>
        <w:jc w:val="center"/>
        <w:rPr>
          <w:lang w:val="en-GB"/>
        </w:rPr>
      </w:pPr>
      <w:r w:rsidRPr="0020540D">
        <w:rPr>
          <w:lang w:val="en-GB"/>
        </w:rPr>
        <w:object w:dxaOrig="5730" w:dyaOrig="1144" w14:anchorId="5F36C5D2">
          <v:shape id="_x0000_i1174" type="#_x0000_t75" style="width:253.5pt;height:49.5pt" o:ole="">
            <v:imagedata r:id="rId229" o:title=""/>
          </v:shape>
          <o:OLEObject Type="Embed" ProgID="Visio.Drawing.11" ShapeID="_x0000_i1174" DrawAspect="Content" ObjectID="_1532825702" r:id="rId230"/>
        </w:object>
      </w:r>
    </w:p>
    <w:p w14:paraId="7008E6E4" w14:textId="77777777" w:rsidR="000D7898" w:rsidRDefault="000D7898" w:rsidP="009D0201">
      <w:pPr>
        <w:pStyle w:val="Caption"/>
      </w:pPr>
      <w:bookmarkStart w:id="61" w:name="_Ref431907753"/>
      <w:bookmarkStart w:id="62" w:name="_Ref431917116"/>
      <w:bookmarkStart w:id="63" w:name="_Toc459076467"/>
      <w:r>
        <w:t xml:space="preserve">Figure </w:t>
      </w:r>
      <w:fldSimple w:instr=" SEQ Figure \* ARABIC ">
        <w:r w:rsidR="00B0208A">
          <w:rPr>
            <w:noProof/>
          </w:rPr>
          <w:t>16</w:t>
        </w:r>
      </w:fldSimple>
      <w:bookmarkEnd w:id="61"/>
      <w:r>
        <w:t xml:space="preserve">. Status change coefficient factor </w:t>
      </w:r>
      <w:r w:rsidRPr="000D7898">
        <w:rPr>
          <w:i/>
        </w:rPr>
        <w:t>F</w:t>
      </w:r>
      <w:bookmarkEnd w:id="62"/>
      <w:r w:rsidR="004F29E5" w:rsidRPr="00560056">
        <w:t>.</w:t>
      </w:r>
      <w:bookmarkEnd w:id="63"/>
    </w:p>
    <w:p w14:paraId="208EAB78" w14:textId="77777777" w:rsidR="0020540D" w:rsidRPr="0020540D" w:rsidRDefault="0020540D" w:rsidP="00BD3F66">
      <w:pPr>
        <w:spacing w:before="480"/>
        <w:rPr>
          <w:lang w:val="en-GB"/>
        </w:rPr>
      </w:pPr>
      <w:r w:rsidRPr="0020540D">
        <w:rPr>
          <w:lang w:val="en-GB"/>
        </w:rPr>
        <w:t>Therefore, the result in the range of [</w:t>
      </w:r>
      <w:r w:rsidRPr="0020540D">
        <w:rPr>
          <w:i/>
          <w:lang w:val="en-GB"/>
        </w:rPr>
        <w:t>F</w:t>
      </w:r>
      <w:r w:rsidRPr="0020540D">
        <w:rPr>
          <w:i/>
          <w:vertAlign w:val="subscript"/>
          <w:lang w:val="en-GB"/>
        </w:rPr>
        <w:t>j</w:t>
      </w:r>
      <w:r w:rsidRPr="0020540D">
        <w:rPr>
          <w:i/>
          <w:lang w:val="en-GB"/>
        </w:rPr>
        <w:t>∙∆f</w:t>
      </w:r>
      <w:r w:rsidRPr="0020540D">
        <w:rPr>
          <w:lang w:val="en-GB"/>
        </w:rPr>
        <w:t>(</w:t>
      </w:r>
      <w:r w:rsidRPr="0020540D">
        <w:rPr>
          <w:i/>
          <w:lang w:val="en-GB"/>
        </w:rPr>
        <w:t>x</w:t>
      </w:r>
      <w:r w:rsidRPr="0020540D">
        <w:rPr>
          <w:lang w:val="en-GB"/>
        </w:rPr>
        <w:t xml:space="preserve">), </w:t>
      </w:r>
      <w:r w:rsidRPr="0020540D">
        <w:rPr>
          <w:i/>
          <w:lang w:val="en-GB"/>
        </w:rPr>
        <w:t>∆f</w:t>
      </w:r>
      <w:r w:rsidRPr="0020540D">
        <w:rPr>
          <w:lang w:val="en-GB"/>
        </w:rPr>
        <w:t>(</w:t>
      </w:r>
      <w:r w:rsidRPr="0020540D">
        <w:rPr>
          <w:i/>
          <w:lang w:val="en-GB"/>
        </w:rPr>
        <w:t>x</w:t>
      </w:r>
      <w:r w:rsidRPr="0020540D">
        <w:rPr>
          <w:lang w:val="en-GB"/>
        </w:rPr>
        <w:t xml:space="preserve">) ] (i.e., beyond the point where the first violation occurs) is no longer acceptable. Thus, the original sensitivity can be </w:t>
      </w:r>
      <w:r w:rsidRPr="0020540D">
        <w:rPr>
          <w:lang w:val="en-GB"/>
        </w:rPr>
        <w:lastRenderedPageBreak/>
        <w:t xml:space="preserve">applied only in the range of [0, </w:t>
      </w:r>
      <w:r w:rsidRPr="0020540D">
        <w:rPr>
          <w:i/>
          <w:lang w:val="en-GB"/>
        </w:rPr>
        <w:t>F</w:t>
      </w:r>
      <w:r w:rsidRPr="0020540D">
        <w:rPr>
          <w:i/>
          <w:vertAlign w:val="subscript"/>
          <w:lang w:val="en-GB"/>
        </w:rPr>
        <w:t>j</w:t>
      </w:r>
      <w:r w:rsidRPr="0020540D">
        <w:rPr>
          <w:lang w:val="en-GB"/>
        </w:rPr>
        <w:t>∙∆</w:t>
      </w:r>
      <w:r w:rsidRPr="0020540D">
        <w:rPr>
          <w:i/>
          <w:lang w:val="en-GB"/>
        </w:rPr>
        <w:t>f</w:t>
      </w:r>
      <w:r w:rsidRPr="0020540D">
        <w:rPr>
          <w:lang w:val="en-GB"/>
        </w:rPr>
        <w:t>(</w:t>
      </w:r>
      <w:r w:rsidRPr="0020540D">
        <w:rPr>
          <w:i/>
          <w:lang w:val="en-GB"/>
        </w:rPr>
        <w:t>x</w:t>
      </w:r>
      <w:r w:rsidRPr="0020540D">
        <w:rPr>
          <w:lang w:val="en-GB"/>
        </w:rPr>
        <w:t>)] in which the specific bus is considered a PV bus. In the range of [</w:t>
      </w:r>
      <w:r w:rsidRPr="0020540D">
        <w:rPr>
          <w:i/>
          <w:lang w:val="en-GB"/>
        </w:rPr>
        <w:t>F</w:t>
      </w:r>
      <w:r w:rsidRPr="0020540D">
        <w:rPr>
          <w:i/>
          <w:vertAlign w:val="subscript"/>
          <w:lang w:val="en-GB"/>
        </w:rPr>
        <w:t>j</w:t>
      </w:r>
      <w:r w:rsidRPr="0020540D">
        <w:rPr>
          <w:i/>
          <w:lang w:val="en-GB"/>
        </w:rPr>
        <w:t>∙∆f</w:t>
      </w:r>
      <w:r w:rsidRPr="0020540D">
        <w:rPr>
          <w:lang w:val="en-GB"/>
        </w:rPr>
        <w:t>(</w:t>
      </w:r>
      <w:r w:rsidRPr="0020540D">
        <w:rPr>
          <w:i/>
          <w:lang w:val="en-GB"/>
        </w:rPr>
        <w:t>x</w:t>
      </w:r>
      <w:r w:rsidRPr="0020540D">
        <w:rPr>
          <w:lang w:val="en-GB"/>
        </w:rPr>
        <w:t xml:space="preserve">), </w:t>
      </w:r>
      <w:r w:rsidRPr="0020540D">
        <w:rPr>
          <w:i/>
          <w:lang w:val="en-GB"/>
        </w:rPr>
        <w:t>∆f</w:t>
      </w:r>
      <w:r w:rsidRPr="0020540D">
        <w:rPr>
          <w:lang w:val="en-GB"/>
        </w:rPr>
        <w:t>(</w:t>
      </w:r>
      <w:r w:rsidRPr="0020540D">
        <w:rPr>
          <w:i/>
          <w:lang w:val="en-GB"/>
        </w:rPr>
        <w:t>x</w:t>
      </w:r>
      <w:r w:rsidRPr="0020540D">
        <w:rPr>
          <w:lang w:val="en-GB"/>
        </w:rPr>
        <w:t>) ], the bus is converted from a PV bus to PQ, therefore, the system Jacobian matrix needs to be modified accordingly. After modifying the Jacobian and finding the new sensitivity factors, we may apply the remaining amount of bus injection change, (1-</w:t>
      </w:r>
      <w:r w:rsidRPr="0020540D">
        <w:rPr>
          <w:i/>
          <w:lang w:val="en-GB"/>
        </w:rPr>
        <w:t>F</w:t>
      </w:r>
      <w:r w:rsidRPr="0020540D">
        <w:rPr>
          <w:i/>
          <w:vertAlign w:val="subscript"/>
          <w:lang w:val="en-GB"/>
        </w:rPr>
        <w:t>j</w:t>
      </w:r>
      <w:r w:rsidRPr="0020540D">
        <w:rPr>
          <w:lang w:val="en-GB"/>
        </w:rPr>
        <w:t>)∙∆</w:t>
      </w:r>
      <w:r w:rsidRPr="0020540D">
        <w:rPr>
          <w:i/>
          <w:lang w:val="en-GB"/>
        </w:rPr>
        <w:t>f</w:t>
      </w:r>
      <w:r w:rsidRPr="0020540D">
        <w:rPr>
          <w:lang w:val="en-GB"/>
        </w:rPr>
        <w:t>(</w:t>
      </w:r>
      <w:r w:rsidRPr="0020540D">
        <w:rPr>
          <w:i/>
          <w:lang w:val="en-GB"/>
        </w:rPr>
        <w:t>x</w:t>
      </w:r>
      <w:r w:rsidRPr="0020540D">
        <w:rPr>
          <w:lang w:val="en-GB"/>
        </w:rPr>
        <w:t>). Then, if we still have another Q violation at a second bus after converting the first PV bus to PQ, then we will have to convert the second PV bus to PQ. Thus, a total of three segments will be identified in the overall range of [0, ∆</w:t>
      </w:r>
      <w:r w:rsidRPr="0020540D">
        <w:rPr>
          <w:i/>
          <w:lang w:val="en-GB"/>
        </w:rPr>
        <w:t>f</w:t>
      </w:r>
      <w:r w:rsidRPr="0020540D">
        <w:rPr>
          <w:lang w:val="en-GB"/>
        </w:rPr>
        <w:t>(</w:t>
      </w:r>
      <w:r w:rsidRPr="0020540D">
        <w:rPr>
          <w:i/>
          <w:lang w:val="en-GB"/>
        </w:rPr>
        <w:t>x</w:t>
      </w:r>
      <w:r w:rsidRPr="0020540D">
        <w:rPr>
          <w:lang w:val="en-GB"/>
        </w:rPr>
        <w:t xml:space="preserve">)]. This process continues until no Q violation is found, after the scheduled ∆f(x) is fully applied to the system. The algorithm is illustrated in </w:t>
      </w:r>
      <w:r w:rsidR="000D7898">
        <w:rPr>
          <w:lang w:val="en-GB"/>
        </w:rPr>
        <w:fldChar w:fldCharType="begin"/>
      </w:r>
      <w:r w:rsidR="000D7898">
        <w:rPr>
          <w:lang w:val="en-GB"/>
        </w:rPr>
        <w:instrText xml:space="preserve"> REF _Ref431907865 </w:instrText>
      </w:r>
      <w:r w:rsidR="000D7898">
        <w:rPr>
          <w:lang w:val="en-GB"/>
        </w:rPr>
        <w:fldChar w:fldCharType="separate"/>
      </w:r>
      <w:r w:rsidR="00656B13">
        <w:t xml:space="preserve">Figure </w:t>
      </w:r>
      <w:r w:rsidR="00656B13">
        <w:rPr>
          <w:noProof/>
        </w:rPr>
        <w:t>17</w:t>
      </w:r>
      <w:r w:rsidR="000D7898">
        <w:rPr>
          <w:lang w:val="en-GB"/>
        </w:rPr>
        <w:fldChar w:fldCharType="end"/>
      </w:r>
      <w:r w:rsidRPr="0020540D">
        <w:rPr>
          <w:lang w:val="en-GB"/>
        </w:rPr>
        <w:t>.</w:t>
      </w:r>
    </w:p>
    <w:p w14:paraId="62B537D6" w14:textId="77777777" w:rsidR="0020540D" w:rsidRPr="0020540D" w:rsidRDefault="000D7898" w:rsidP="004B5C30">
      <w:pPr>
        <w:pStyle w:val="Heading2"/>
        <w:rPr>
          <w:lang w:val="en-GB"/>
        </w:rPr>
      </w:pPr>
      <w:bookmarkStart w:id="64" w:name="_Toc459076557"/>
      <w:r>
        <w:t xml:space="preserve">4.2 </w:t>
      </w:r>
      <w:r w:rsidR="0020540D" w:rsidRPr="0020540D">
        <w:t>Hybrid Voltage Stability Assessment</w:t>
      </w:r>
      <w:bookmarkEnd w:id="64"/>
      <w:r w:rsidR="0020540D" w:rsidRPr="0020540D">
        <w:rPr>
          <w:lang w:val="en-GB"/>
        </w:rPr>
        <w:t xml:space="preserve"> </w:t>
      </w:r>
    </w:p>
    <w:p w14:paraId="5D2BF0D9" w14:textId="77777777" w:rsidR="0020540D" w:rsidRPr="0020540D" w:rsidRDefault="0020540D" w:rsidP="0020540D">
      <w:pPr>
        <w:rPr>
          <w:lang w:val="en-GB"/>
        </w:rPr>
      </w:pPr>
      <w:r w:rsidRPr="0020540D">
        <w:rPr>
          <w:lang w:val="en-GB"/>
        </w:rPr>
        <w:t>Presently, model-based contingency analysis such as continuation power flow (CPF) for voltage stability assessment (VSA) is widely applied to predict voltage stability margin. If applied online, though capable of foreseeing contingencies which may cause voltage instability, such approach requires significant amount of computational resources. Practically, in some utilities, only selected contingencies are analysed on a 15 minutes base.</w:t>
      </w:r>
    </w:p>
    <w:p w14:paraId="79C39915" w14:textId="77777777" w:rsidR="0020540D" w:rsidRPr="0020540D" w:rsidRDefault="0020540D" w:rsidP="0020540D">
      <w:pPr>
        <w:rPr>
          <w:lang w:val="en-GB"/>
        </w:rPr>
      </w:pPr>
      <w:r w:rsidRPr="0020540D">
        <w:rPr>
          <w:lang w:val="en-GB"/>
        </w:rPr>
        <w:t xml:space="preserve">An alternative approach, measurement based VSA, assesses voltage stability directly based on measurement data. The core technique is to approximate the Thevenin equivalent of the external system based on real-time measurement data and then predict the stability margin by comparing the load bus with its external system. </w:t>
      </w:r>
    </w:p>
    <w:p w14:paraId="732309F0" w14:textId="77777777" w:rsidR="004C0804" w:rsidRDefault="0020540D" w:rsidP="004C0804">
      <w:pPr>
        <w:jc w:val="distribute"/>
        <w:rPr>
          <w:lang w:val="en-GB"/>
        </w:rPr>
      </w:pPr>
      <w:r w:rsidRPr="0020540D">
        <w:rPr>
          <w:lang w:val="en-GB"/>
        </w:rPr>
        <w:t xml:space="preserve">The 2-bus Thevenin equivalent circuit is shown in </w:t>
      </w:r>
      <w:r w:rsidR="00DF0DCD">
        <w:rPr>
          <w:lang w:val="en-GB"/>
        </w:rPr>
        <w:fldChar w:fldCharType="begin"/>
      </w:r>
      <w:r w:rsidR="00DF0DCD">
        <w:rPr>
          <w:lang w:val="en-GB"/>
        </w:rPr>
        <w:instrText xml:space="preserve"> REF _Ref431908021 </w:instrText>
      </w:r>
      <w:r w:rsidR="00DF0DCD">
        <w:rPr>
          <w:lang w:val="en-GB"/>
        </w:rPr>
        <w:fldChar w:fldCharType="separate"/>
      </w:r>
      <w:r w:rsidR="00656B13">
        <w:t xml:space="preserve">Figure </w:t>
      </w:r>
      <w:r w:rsidR="00656B13">
        <w:rPr>
          <w:noProof/>
        </w:rPr>
        <w:t>18</w:t>
      </w:r>
      <w:r w:rsidR="00DF0DCD">
        <w:rPr>
          <w:lang w:val="en-GB"/>
        </w:rPr>
        <w:fldChar w:fldCharType="end"/>
      </w:r>
      <w:r w:rsidRPr="0020540D">
        <w:rPr>
          <w:lang w:val="en-GB"/>
        </w:rPr>
        <w:t xml:space="preserve">. The 4 unknown variables are the magnitudes and angles of Thevenin voltage and impedance. A given </w:t>
      </w:r>
    </w:p>
    <w:p w14:paraId="7B9E9274" w14:textId="77777777" w:rsidR="004C0804" w:rsidRPr="0020540D" w:rsidRDefault="004C0804" w:rsidP="004C0804">
      <w:pPr>
        <w:spacing w:after="120" w:line="240" w:lineRule="auto"/>
        <w:ind w:firstLine="0"/>
        <w:jc w:val="center"/>
        <w:rPr>
          <w:lang w:val="en-GB"/>
        </w:rPr>
      </w:pPr>
      <w:r w:rsidRPr="0020540D">
        <w:rPr>
          <w:lang w:val="en-GB"/>
        </w:rPr>
        <w:object w:dxaOrig="5839" w:dyaOrig="9177" w14:anchorId="539E5137">
          <v:shape id="_x0000_i1175" type="#_x0000_t75" style="width:226.5pt;height:357pt" o:ole="">
            <v:imagedata r:id="rId231" o:title=""/>
          </v:shape>
          <o:OLEObject Type="Embed" ProgID="Visio.Drawing.11" ShapeID="_x0000_i1175" DrawAspect="Content" ObjectID="_1532825703" r:id="rId232"/>
        </w:object>
      </w:r>
    </w:p>
    <w:p w14:paraId="0D65666D" w14:textId="77777777" w:rsidR="004C0804" w:rsidRDefault="004C0804" w:rsidP="004C0804">
      <w:pPr>
        <w:ind w:firstLine="0"/>
        <w:jc w:val="center"/>
        <w:rPr>
          <w:lang w:val="en-GB"/>
        </w:rPr>
      </w:pPr>
      <w:bookmarkStart w:id="65" w:name="_Ref431907865"/>
      <w:bookmarkStart w:id="66" w:name="_Toc459076468"/>
      <w:r>
        <w:t xml:space="preserve">Figure </w:t>
      </w:r>
      <w:fldSimple w:instr=" SEQ Figure \* ARABIC ">
        <w:r>
          <w:rPr>
            <w:noProof/>
          </w:rPr>
          <w:t>17</w:t>
        </w:r>
      </w:fldSimple>
      <w:bookmarkEnd w:id="65"/>
      <w:r>
        <w:t xml:space="preserve">. </w:t>
      </w:r>
      <w:r w:rsidRPr="0020540D">
        <w:rPr>
          <w:lang w:val="en-GB"/>
        </w:rPr>
        <w:t>Algorithm considering Q limits.</w:t>
      </w:r>
      <w:bookmarkEnd w:id="66"/>
    </w:p>
    <w:p w14:paraId="61EC6216" w14:textId="77777777" w:rsidR="004C0804" w:rsidRPr="0020540D" w:rsidRDefault="004C0804" w:rsidP="004C0804">
      <w:pPr>
        <w:spacing w:before="240" w:line="240" w:lineRule="auto"/>
        <w:ind w:firstLine="0"/>
        <w:jc w:val="center"/>
        <w:rPr>
          <w:lang w:val="en-GB"/>
        </w:rPr>
      </w:pPr>
      <w:r w:rsidRPr="0020540D">
        <w:rPr>
          <w:lang w:val="en-GB"/>
        </w:rPr>
        <w:object w:dxaOrig="5929" w:dyaOrig="1553" w14:anchorId="3C2B3DBD">
          <v:shape id="_x0000_i1064" type="#_x0000_t75" style="width:252pt;height:64.5pt" o:ole="">
            <v:imagedata r:id="rId233" o:title=""/>
          </v:shape>
          <o:OLEObject Type="Embed" ProgID="Visio.Drawing.11" ShapeID="_x0000_i1064" DrawAspect="Content" ObjectID="_1532825704" r:id="rId234"/>
        </w:object>
      </w:r>
    </w:p>
    <w:p w14:paraId="447BCB72" w14:textId="77777777" w:rsidR="004C0804" w:rsidRPr="0020540D" w:rsidRDefault="004C0804" w:rsidP="004C0804">
      <w:pPr>
        <w:pStyle w:val="Caption"/>
        <w:rPr>
          <w:lang w:val="en-GB"/>
        </w:rPr>
      </w:pPr>
      <w:bookmarkStart w:id="67" w:name="_Ref431908021"/>
      <w:bookmarkStart w:id="68" w:name="_Toc459076469"/>
      <w:r>
        <w:t xml:space="preserve">Figure </w:t>
      </w:r>
      <w:fldSimple w:instr=" SEQ Figure \* ARABIC ">
        <w:r>
          <w:rPr>
            <w:noProof/>
          </w:rPr>
          <w:t>18</w:t>
        </w:r>
      </w:fldSimple>
      <w:bookmarkEnd w:id="67"/>
      <w:r>
        <w:t xml:space="preserve">. </w:t>
      </w:r>
      <w:r w:rsidRPr="0020540D">
        <w:rPr>
          <w:lang w:val="en-GB"/>
        </w:rPr>
        <w:t>VSI for hybrid VSA</w:t>
      </w:r>
      <w:r>
        <w:rPr>
          <w:lang w:val="en-GB"/>
        </w:rPr>
        <w:t>.</w:t>
      </w:r>
      <w:bookmarkEnd w:id="68"/>
    </w:p>
    <w:p w14:paraId="4A16B464" w14:textId="77777777" w:rsidR="004C0804" w:rsidRPr="0020540D" w:rsidRDefault="004C0804" w:rsidP="004C0804">
      <w:pPr>
        <w:ind w:firstLine="0"/>
        <w:jc w:val="center"/>
        <w:rPr>
          <w:lang w:val="en-GB"/>
        </w:rPr>
      </w:pPr>
    </w:p>
    <w:p w14:paraId="3B51FE87" w14:textId="77777777" w:rsidR="004C0804" w:rsidRDefault="004C0804">
      <w:pPr>
        <w:rPr>
          <w:lang w:val="en-GB"/>
        </w:rPr>
      </w:pPr>
      <w:r>
        <w:rPr>
          <w:lang w:val="en-GB"/>
        </w:rPr>
        <w:br w:type="page"/>
      </w:r>
    </w:p>
    <w:p w14:paraId="5FD4BC2E" w14:textId="224139C5" w:rsidR="0020540D" w:rsidRPr="0020540D" w:rsidRDefault="0020540D" w:rsidP="004C0804">
      <w:pPr>
        <w:ind w:firstLine="0"/>
        <w:rPr>
          <w:lang w:val="en-GB"/>
        </w:rPr>
      </w:pPr>
      <w:r w:rsidRPr="0020540D">
        <w:rPr>
          <w:lang w:val="en-GB"/>
        </w:rPr>
        <w:lastRenderedPageBreak/>
        <w:t xml:space="preserve">measurement set at a time stamp will provide two equations using Kirchhoff’s law. Therefore, with the assumption that the Thevenin equivalent remains constant in a time frame, two or more sets of measurements will be sufficient in estimating the parameters using Least-Square method. </w:t>
      </w:r>
    </w:p>
    <w:p w14:paraId="7F440CCB" w14:textId="77777777" w:rsidR="0020540D" w:rsidRPr="0020540D" w:rsidRDefault="0020540D" w:rsidP="0020540D">
      <w:pPr>
        <w:rPr>
          <w:lang w:val="en-GB"/>
        </w:rPr>
      </w:pPr>
      <w:r w:rsidRPr="0020540D">
        <w:rPr>
          <w:lang w:val="en-GB"/>
        </w:rPr>
        <w:t xml:space="preserve">After the Thevenin equivalent is identified, voltage stability margin can be estimated based on the characteristics of the two-bus circuit. The Voltage Stability Index (VSI) in </w:t>
      </w:r>
      <w:r w:rsidR="00927A5B">
        <w:rPr>
          <w:lang w:val="en-GB"/>
        </w:rPr>
        <w:fldChar w:fldCharType="begin" w:fldLock="1"/>
      </w:r>
      <w:r w:rsidR="00D96671">
        <w:rPr>
          <w:lang w:val="en-GB"/>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"plainTextFormattedCitation" : "[13]", "previouslyFormattedCitation" : "[13]" }, "properties" : { "noteIndex" : 0 }, "schema" : "https://github.com/citation-style-language/schema/raw/master/csl-citation.json" }</w:instrText>
      </w:r>
      <w:r w:rsidR="00927A5B">
        <w:rPr>
          <w:lang w:val="en-GB"/>
        </w:rPr>
        <w:fldChar w:fldCharType="separate"/>
      </w:r>
      <w:r w:rsidR="00D96671" w:rsidRPr="00D96671">
        <w:rPr>
          <w:noProof/>
          <w:lang w:val="en-GB"/>
        </w:rPr>
        <w:t>[13]</w:t>
      </w:r>
      <w:r w:rsidR="00927A5B">
        <w:rPr>
          <w:lang w:val="en-GB"/>
        </w:rPr>
        <w:fldChar w:fldCharType="end"/>
      </w:r>
      <w:r w:rsidRPr="0020540D">
        <w:rPr>
          <w:lang w:val="en-GB"/>
        </w:rPr>
        <w:t xml:space="preserve"> is employed here to indicate the stability margin. The VSI is formulated in (</w:t>
      </w:r>
      <w:r w:rsidR="00DF0DCD">
        <w:rPr>
          <w:lang w:val="en-GB"/>
        </w:rPr>
        <w:t>4-</w:t>
      </w:r>
      <w:r w:rsidRPr="0020540D">
        <w:rPr>
          <w:lang w:val="en-GB"/>
        </w:rPr>
        <w:t xml:space="preserve">20). When the VSI decreases to 1, the system approaches to the </w:t>
      </w:r>
      <w:r w:rsidR="008566B4">
        <w:rPr>
          <w:lang w:val="en-GB"/>
        </w:rPr>
        <w:t>unstable</w:t>
      </w:r>
      <w:r w:rsidRPr="0020540D">
        <w:rPr>
          <w:lang w:val="en-GB"/>
        </w:rPr>
        <w:t xml:space="preserve"> point (i.e., the nose point or the bifurcation point) in typical PV curves.</w:t>
      </w:r>
    </w:p>
    <w:p w14:paraId="70ABD103" w14:textId="77777777" w:rsidR="0020540D" w:rsidRPr="0020540D" w:rsidRDefault="00DF0DCD" w:rsidP="00DF0DCD">
      <w:pPr>
        <w:jc w:val="right"/>
        <w:rPr>
          <w:lang w:val="en-GB"/>
        </w:rPr>
      </w:pPr>
      <w:r w:rsidRPr="0020540D">
        <w:rPr>
          <w:lang w:val="en-GB"/>
        </w:rPr>
        <w:object w:dxaOrig="1020" w:dyaOrig="660" w14:anchorId="3CC8E3A4">
          <v:shape id="_x0000_i1063" type="#_x0000_t75" style="width:60pt;height:40.5pt" o:ole="">
            <v:imagedata r:id="rId235" o:title=""/>
          </v:shape>
          <o:OLEObject Type="Embed" ProgID="Equation.DSMT4" ShapeID="_x0000_i1063" DrawAspect="Content" ObjectID="_1532825705" r:id="rId236"/>
        </w:object>
      </w:r>
      <w:r w:rsidR="0020540D" w:rsidRPr="0020540D">
        <w:rPr>
          <w:lang w:val="en-GB"/>
        </w:rPr>
        <w:tab/>
      </w:r>
      <w:r>
        <w:rPr>
          <w:lang w:val="en-GB"/>
        </w:rPr>
        <w:tab/>
      </w:r>
      <w:r>
        <w:rPr>
          <w:lang w:val="en-GB"/>
        </w:rPr>
        <w:tab/>
      </w:r>
      <w:r>
        <w:rPr>
          <w:lang w:val="en-GB"/>
        </w:rPr>
        <w:tab/>
      </w:r>
      <w:r>
        <w:rPr>
          <w:lang w:val="en-GB"/>
        </w:rPr>
        <w:tab/>
      </w:r>
      <w:r w:rsidR="0020540D" w:rsidRPr="0020540D">
        <w:rPr>
          <w:lang w:val="en-GB"/>
        </w:rPr>
        <w:t>(</w:t>
      </w:r>
      <w:r>
        <w:rPr>
          <w:lang w:val="en-GB"/>
        </w:rPr>
        <w:t>4-</w:t>
      </w:r>
      <w:r w:rsidR="0020540D" w:rsidRPr="0020540D">
        <w:rPr>
          <w:lang w:val="en-GB"/>
        </w:rPr>
        <w:t>20)</w:t>
      </w:r>
    </w:p>
    <w:p w14:paraId="7E1BC3C0" w14:textId="77777777" w:rsidR="0020540D" w:rsidRPr="0020540D" w:rsidRDefault="0020540D" w:rsidP="004C0804">
      <w:pPr>
        <w:rPr>
          <w:lang w:val="en-GB"/>
        </w:rPr>
      </w:pPr>
      <w:r w:rsidRPr="0020540D">
        <w:rPr>
          <w:lang w:val="en-GB"/>
        </w:rPr>
        <w:t>Since such approach only uses measurement as input instead of information of the complex system model, the computational burden is small which is desirable for real-time applications. However, due to the lack of system information under N-1 contingency, the capability of this approach has been limited to normal state.</w:t>
      </w:r>
    </w:p>
    <w:p w14:paraId="0A3186A1" w14:textId="77777777" w:rsidR="0020540D" w:rsidRPr="0020540D" w:rsidRDefault="0020540D" w:rsidP="0020540D">
      <w:pPr>
        <w:rPr>
          <w:lang w:val="en-GB"/>
        </w:rPr>
      </w:pPr>
      <w:r w:rsidRPr="0020540D">
        <w:rPr>
          <w:lang w:val="en-GB"/>
        </w:rPr>
        <w:t>With the contingency sensitivity analysis derived in the previous section, a hybrid VSA method for N-1 contingency is proposed based on a combination of the model-based contingency sensitivity and the measurement-based Thevenin equivalent. Since there is no multiple power flow runs (as opposed to the CPF approach), the hybrid approach is computationally efficient.</w:t>
      </w:r>
    </w:p>
    <w:p w14:paraId="3B1B4315" w14:textId="703ACF80" w:rsidR="00407C23" w:rsidRDefault="0020540D" w:rsidP="00AE0500">
      <w:pPr>
        <w:jc w:val="distribute"/>
        <w:rPr>
          <w:lang w:val="en-GB"/>
        </w:rPr>
      </w:pPr>
      <w:r w:rsidRPr="0020540D">
        <w:rPr>
          <w:lang w:val="en-GB"/>
        </w:rPr>
        <w:t xml:space="preserve">The hybrid VSA is shown in </w:t>
      </w:r>
      <w:r w:rsidR="00503BA6">
        <w:rPr>
          <w:lang w:val="en-GB"/>
        </w:rPr>
        <w:fldChar w:fldCharType="begin"/>
      </w:r>
      <w:r w:rsidR="00503BA6">
        <w:rPr>
          <w:lang w:val="en-GB"/>
        </w:rPr>
        <w:instrText xml:space="preserve"> REF _Ref431908100 </w:instrText>
      </w:r>
      <w:r w:rsidR="00503BA6">
        <w:rPr>
          <w:lang w:val="en-GB"/>
        </w:rPr>
        <w:fldChar w:fldCharType="separate"/>
      </w:r>
      <w:r w:rsidR="00656B13">
        <w:t xml:space="preserve">Figure </w:t>
      </w:r>
      <w:r w:rsidR="00656B13">
        <w:rPr>
          <w:noProof/>
        </w:rPr>
        <w:t>19</w:t>
      </w:r>
      <w:r w:rsidR="00503BA6">
        <w:rPr>
          <w:lang w:val="en-GB"/>
        </w:rPr>
        <w:fldChar w:fldCharType="end"/>
      </w:r>
      <w:r w:rsidRPr="0020540D">
        <w:rPr>
          <w:lang w:val="en-GB"/>
        </w:rPr>
        <w:t>. In the flow chart: 1) subscript</w:t>
      </w:r>
      <w:r w:rsidRPr="0020540D">
        <w:rPr>
          <w:i/>
          <w:lang w:val="en-GB"/>
        </w:rPr>
        <w:t xml:space="preserve"> i</w:t>
      </w:r>
      <w:r w:rsidRPr="0020540D">
        <w:rPr>
          <w:lang w:val="en-GB"/>
        </w:rPr>
        <w:t xml:space="preserve"> stands for the bus ID; 2) superscript </w:t>
      </w:r>
      <w:r w:rsidRPr="0020540D">
        <w:rPr>
          <w:i/>
          <w:lang w:val="en-GB"/>
        </w:rPr>
        <w:t>c</w:t>
      </w:r>
      <w:r w:rsidRPr="0020540D">
        <w:rPr>
          <w:i/>
          <w:vertAlign w:val="subscript"/>
          <w:lang w:val="en-GB"/>
        </w:rPr>
        <w:t>j</w:t>
      </w:r>
      <w:r w:rsidRPr="0020540D">
        <w:rPr>
          <w:lang w:val="en-GB"/>
        </w:rPr>
        <w:t xml:space="preserve"> stands for the </w:t>
      </w:r>
      <w:r w:rsidRPr="0020540D">
        <w:rPr>
          <w:i/>
          <w:lang w:val="en-GB"/>
        </w:rPr>
        <w:t>j</w:t>
      </w:r>
      <w:r w:rsidRPr="0020540D">
        <w:rPr>
          <w:i/>
          <w:vertAlign w:val="superscript"/>
          <w:lang w:val="en-GB"/>
        </w:rPr>
        <w:t>th</w:t>
      </w:r>
      <w:r w:rsidRPr="0020540D">
        <w:rPr>
          <w:lang w:val="en-GB"/>
        </w:rPr>
        <w:t xml:space="preserve"> contingency; 3) N is the total number of </w:t>
      </w:r>
    </w:p>
    <w:p w14:paraId="2D8D3A38" w14:textId="4489B240" w:rsidR="0020540D" w:rsidRPr="0020540D" w:rsidRDefault="00AE0500" w:rsidP="00AE0500">
      <w:pPr>
        <w:spacing w:after="120" w:line="240" w:lineRule="auto"/>
        <w:ind w:firstLine="0"/>
        <w:jc w:val="center"/>
        <w:rPr>
          <w:lang w:val="en-GB"/>
        </w:rPr>
      </w:pPr>
      <w:r w:rsidRPr="0020540D">
        <w:rPr>
          <w:lang w:val="en-GB"/>
        </w:rPr>
        <w:object w:dxaOrig="5937" w:dyaOrig="7545" w14:anchorId="6B713756">
          <v:shape id="_x0000_i1176" type="#_x0000_t75" style="width:265.5pt;height:337.5pt" o:ole="">
            <v:imagedata r:id="rId237" o:title=""/>
          </v:shape>
          <o:OLEObject Type="Embed" ProgID="Visio.Drawing.11" ShapeID="_x0000_i1176" DrawAspect="Content" ObjectID="_1532825706" r:id="rId238"/>
        </w:object>
      </w:r>
    </w:p>
    <w:p w14:paraId="1DFF4805" w14:textId="6991AD5F" w:rsidR="00AE0500" w:rsidRDefault="00503BA6" w:rsidP="009D0201">
      <w:pPr>
        <w:pStyle w:val="Caption"/>
        <w:rPr>
          <w:lang w:val="en-GB"/>
        </w:rPr>
      </w:pPr>
      <w:bookmarkStart w:id="69" w:name="_Ref431908100"/>
      <w:bookmarkStart w:id="70" w:name="_Toc459076470"/>
      <w:r>
        <w:t xml:space="preserve">Figure </w:t>
      </w:r>
      <w:fldSimple w:instr=" SEQ Figure \* ARABIC ">
        <w:r w:rsidR="00B0208A">
          <w:rPr>
            <w:noProof/>
          </w:rPr>
          <w:t>19</w:t>
        </w:r>
      </w:fldSimple>
      <w:bookmarkEnd w:id="69"/>
      <w:r w:rsidRPr="0020540D">
        <w:rPr>
          <w:lang w:val="en-GB"/>
        </w:rPr>
        <w:t>. Flowchart of the proposed hybrid VSA</w:t>
      </w:r>
      <w:r w:rsidR="004F29E5">
        <w:rPr>
          <w:lang w:val="en-GB"/>
        </w:rPr>
        <w:t>.</w:t>
      </w:r>
      <w:bookmarkEnd w:id="70"/>
    </w:p>
    <w:p w14:paraId="02C5E144" w14:textId="77777777" w:rsidR="00AE0500" w:rsidRDefault="00AE0500">
      <w:pPr>
        <w:rPr>
          <w:lang w:val="en-GB"/>
        </w:rPr>
      </w:pPr>
      <w:r>
        <w:rPr>
          <w:lang w:val="en-GB"/>
        </w:rPr>
        <w:br w:type="page"/>
      </w:r>
    </w:p>
    <w:p w14:paraId="33FFFDD9" w14:textId="77777777" w:rsidR="00AE0500" w:rsidRPr="0020540D" w:rsidRDefault="00AE0500" w:rsidP="00AE0500">
      <w:pPr>
        <w:ind w:firstLine="0"/>
        <w:rPr>
          <w:lang w:val="en-GB"/>
        </w:rPr>
      </w:pPr>
      <w:r w:rsidRPr="0020540D">
        <w:rPr>
          <w:lang w:val="en-GB"/>
        </w:rPr>
        <w:lastRenderedPageBreak/>
        <w:t xml:space="preserve">contingencies; 4) subscript </w:t>
      </w:r>
      <w:r w:rsidRPr="0020540D">
        <w:rPr>
          <w:i/>
          <w:lang w:val="en-GB"/>
        </w:rPr>
        <w:t>th</w:t>
      </w:r>
      <w:r w:rsidRPr="0020540D">
        <w:rPr>
          <w:lang w:val="en-GB"/>
        </w:rPr>
        <w:t xml:space="preserve"> stands for Thevenin equivalence; and 5) VSI stands for voltage stability index, i.e., an index which represents the system voltage stability margin.</w:t>
      </w:r>
    </w:p>
    <w:p w14:paraId="7EBA2D85" w14:textId="77777777" w:rsidR="00AE0500" w:rsidRPr="0020540D" w:rsidRDefault="00AE0500" w:rsidP="00AE0500">
      <w:pPr>
        <w:rPr>
          <w:lang w:val="en-GB"/>
        </w:rPr>
      </w:pPr>
      <w:r w:rsidRPr="0020540D">
        <w:rPr>
          <w:lang w:val="en-GB"/>
        </w:rPr>
        <w:t xml:space="preserve">The left most branch in </w:t>
      </w:r>
      <w:r>
        <w:rPr>
          <w:lang w:val="en-GB"/>
        </w:rPr>
        <w:fldChar w:fldCharType="begin"/>
      </w:r>
      <w:r>
        <w:rPr>
          <w:lang w:val="en-GB"/>
        </w:rPr>
        <w:instrText xml:space="preserve"> REF _Ref431908100 </w:instrText>
      </w:r>
      <w:r>
        <w:rPr>
          <w:lang w:val="en-GB"/>
        </w:rPr>
        <w:fldChar w:fldCharType="separate"/>
      </w:r>
      <w:r>
        <w:t xml:space="preserve">Figure </w:t>
      </w:r>
      <w:r>
        <w:rPr>
          <w:noProof/>
        </w:rPr>
        <w:t>19</w:t>
      </w:r>
      <w:r>
        <w:rPr>
          <w:lang w:val="en-GB"/>
        </w:rPr>
        <w:fldChar w:fldCharType="end"/>
      </w:r>
      <w:r w:rsidRPr="0020540D">
        <w:rPr>
          <w:lang w:val="en-GB"/>
        </w:rPr>
        <w:t xml:space="preserve"> is the same as the measurement-based approach in calculating the VSI for bus </w:t>
      </w:r>
      <w:r w:rsidRPr="0020540D">
        <w:rPr>
          <w:i/>
          <w:lang w:val="en-GB"/>
        </w:rPr>
        <w:t>i</w:t>
      </w:r>
      <w:r w:rsidRPr="0020540D">
        <w:rPr>
          <w:lang w:val="en-GB"/>
        </w:rPr>
        <w:t xml:space="preserve"> under normal case (i.e., N-0). The remaining </w:t>
      </w:r>
      <w:r w:rsidRPr="0020540D">
        <w:rPr>
          <w:i/>
          <w:lang w:val="en-GB"/>
        </w:rPr>
        <w:t>N</w:t>
      </w:r>
      <w:r w:rsidRPr="0020540D">
        <w:rPr>
          <w:lang w:val="en-GB"/>
        </w:rPr>
        <w:t xml:space="preserve"> branches in the right are parallel processes to calculate the VSI for </w:t>
      </w:r>
      <w:r w:rsidRPr="0020540D">
        <w:rPr>
          <w:i/>
          <w:lang w:val="en-GB"/>
        </w:rPr>
        <w:t>N</w:t>
      </w:r>
      <w:r w:rsidRPr="0020540D">
        <w:rPr>
          <w:lang w:val="en-GB"/>
        </w:rPr>
        <w:t xml:space="preserve"> single contingency cases.</w:t>
      </w:r>
    </w:p>
    <w:p w14:paraId="4771304A" w14:textId="77777777" w:rsidR="00AE0500" w:rsidRDefault="00AE0500" w:rsidP="00AE0500">
      <w:pPr>
        <w:rPr>
          <w:lang w:val="en-GB"/>
        </w:rPr>
      </w:pPr>
      <w:r w:rsidRPr="0020540D">
        <w:rPr>
          <w:lang w:val="en-GB"/>
        </w:rPr>
        <w:t>In each of the parallel branch, the algorithm first calculates the proposed sensitivity factors based on the measurement, i.e., the present system status, and then predicts the post-contingency status. These first two steps are model-based approaches utilizing the system data. After that, it calculates the Thevenin equivalent and provides the VSI for the post-contingency system. These two steps are measurement-based except that the input is not directly from measurement but from predicted post-contingency values.</w:t>
      </w:r>
    </w:p>
    <w:p w14:paraId="5C567327" w14:textId="77777777" w:rsidR="00AE0500" w:rsidRPr="0020540D" w:rsidRDefault="00AE0500" w:rsidP="00AE0500">
      <w:pPr>
        <w:rPr>
          <w:lang w:val="en-GB"/>
        </w:rPr>
      </w:pPr>
      <w:r w:rsidRPr="0020540D">
        <w:rPr>
          <w:lang w:val="en-GB"/>
        </w:rPr>
        <w:t xml:space="preserve">Note, this method assumes that the system is observable at all studied buses which is aligned with previous works </w:t>
      </w:r>
      <w:r>
        <w:rPr>
          <w:lang w:val="en-GB"/>
        </w:rPr>
        <w:fldChar w:fldCharType="begin" w:fldLock="1"/>
      </w:r>
      <w:r>
        <w:rPr>
          <w:lang w:val="en-GB"/>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"plainTextFormattedCitation" : "[13]", "previouslyFormattedCitation" : "[13]" }, "properties" : { "noteIndex" : 0 }, "schema" : "https://github.com/citation-style-language/schema/raw/master/csl-citation.json" }</w:instrText>
      </w:r>
      <w:r>
        <w:rPr>
          <w:lang w:val="en-GB"/>
        </w:rPr>
        <w:fldChar w:fldCharType="separate"/>
      </w:r>
      <w:r w:rsidRPr="00D96671">
        <w:rPr>
          <w:noProof/>
          <w:lang w:val="en-GB"/>
        </w:rPr>
        <w:t>[13]</w:t>
      </w:r>
      <w:r>
        <w:rPr>
          <w:lang w:val="en-GB"/>
        </w:rPr>
        <w:fldChar w:fldCharType="end"/>
      </w:r>
      <w:r>
        <w:rPr>
          <w:lang w:val="en-GB"/>
        </w:rPr>
        <w:t xml:space="preserve"> </w:t>
      </w:r>
      <w:r>
        <w:rPr>
          <w:lang w:val="en-GB"/>
        </w:rPr>
        <w:fldChar w:fldCharType="begin" w:fldLock="1"/>
      </w:r>
      <w:r>
        <w:rPr>
          <w:lang w:val="en-GB"/>
        </w:rPr>
        <w:instrText>ADDIN CSL_CITATION { "citationItems" : [ { "id" : "ITEM-1", "itemData" : { "abstract" : "This two-part paper deals with the early detection of an impending voltage instability from the system states provided by synchronized phasor measurements. Recognizing that voltage instability detection requires assessing a multidimensional system, the method fits a set of algebraic equations to the sampled states, and performs an efficient sensitivity in order to identify when a combination of load powers has passed through a maximum. This second part of the paper presents simulation results obtained from detailed time-domain simulation of the Nordic32 test system, without and with measurement noise, respectively. Several practical improvements are described such as anticipation of overexcitation limiter activation, and use of a moving average filter. Robustness to load behavior, non-updated topology and unobservability is also shown. Finally a comparison with Thevenin impedance matching criterion is provided.", "author" : [ { "dropping-particle" : "", "family" : "Glavic", "given" : "Mevludin", "non-dropping-particle" : "", "parse-names" : false, "suffix" : "" }, { "dropping-particle" : "", "family" : "Cutsem", "given" : "Thierry", "non-dropping-particle" : "Van", "parse-names" : false, "suffix" : "" } ], "container-title" : "IEEE Transactions on Power Systems", "id" : "ITEM-1", "issue" : "3", "issued" : { "date-parts" : [ [ "2009" ] ] }, "page" : "1417-1425", "title" : "Wide-area detection of voltage instability from synchronized phasor measurements. Part II: Simulation Results", "type" : "article-journal", "volume" : "24" }, "uris" : [ "http://www.mendeley.com/documents/?uuid=96a837d8-0096-45d4-8729-ace3dc53f936" ] } ], "mendeley" : { "formattedCitation" : "[49]", "plainTextFormattedCitation" : "[49]", "previouslyFormattedCitation" : "[49]" }, "properties" : { "noteIndex" : 0 }, "schema" : "https://github.com/citation-style-language/schema/raw/master/csl-citation.json" }</w:instrText>
      </w:r>
      <w:r>
        <w:rPr>
          <w:lang w:val="en-GB"/>
        </w:rPr>
        <w:fldChar w:fldCharType="separate"/>
      </w:r>
      <w:r w:rsidRPr="00DD7036">
        <w:rPr>
          <w:noProof/>
          <w:lang w:val="en-GB"/>
        </w:rPr>
        <w:t>[49]</w:t>
      </w:r>
      <w:r>
        <w:rPr>
          <w:lang w:val="en-GB"/>
        </w:rPr>
        <w:fldChar w:fldCharType="end"/>
      </w:r>
      <w:r w:rsidRPr="0020540D">
        <w:rPr>
          <w:lang w:val="en-GB"/>
        </w:rPr>
        <w:t>. That is because when calculating the sensitivity, the system status must be known to form the Jacobian matrix.</w:t>
      </w:r>
    </w:p>
    <w:p w14:paraId="7B8C8B10" w14:textId="77777777" w:rsidR="00AE0500" w:rsidRDefault="00AE0500" w:rsidP="00AE0500">
      <w:pPr>
        <w:rPr>
          <w:lang w:val="en-GB"/>
        </w:rPr>
      </w:pPr>
      <w:r w:rsidRPr="0020540D">
        <w:rPr>
          <w:lang w:val="en-GB"/>
        </w:rPr>
        <w:t>As long as the prediction of post-contingency cases achieves excellent accuracy, the VSIs for N-1 contingency can provide good references for the system stability margin. Moreover, since both of the prediction process and the measurement-based approach are computationally efficient and highly parallelizable, the whole approach can speed up the process of N-1 contingency analysis and has great potential for online implementation.</w:t>
      </w:r>
    </w:p>
    <w:p w14:paraId="460D5E6B" w14:textId="77777777" w:rsidR="00503BA6" w:rsidRPr="00503BA6" w:rsidRDefault="00503BA6" w:rsidP="004B5C30">
      <w:pPr>
        <w:pStyle w:val="Heading2"/>
        <w:rPr>
          <w:lang w:val="en-GB"/>
        </w:rPr>
      </w:pPr>
      <w:bookmarkStart w:id="71" w:name="_Toc459076558"/>
      <w:r>
        <w:rPr>
          <w:lang w:val="en-GB"/>
        </w:rPr>
        <w:lastRenderedPageBreak/>
        <w:t xml:space="preserve">4.3 </w:t>
      </w:r>
      <w:r w:rsidRPr="00503BA6">
        <w:rPr>
          <w:lang w:val="en-GB"/>
        </w:rPr>
        <w:t>Case Studies</w:t>
      </w:r>
      <w:bookmarkEnd w:id="71"/>
    </w:p>
    <w:p w14:paraId="09EBFADA" w14:textId="77777777" w:rsidR="00503BA6" w:rsidRPr="00503BA6" w:rsidRDefault="00503BA6" w:rsidP="00503BA6">
      <w:pPr>
        <w:rPr>
          <w:lang w:val="en-GB"/>
        </w:rPr>
      </w:pPr>
      <w:r w:rsidRPr="00503BA6">
        <w:rPr>
          <w:lang w:val="en-GB"/>
        </w:rPr>
        <w:t xml:space="preserve">In this section, first, the proposed sensitivity calculation is tested with the IEEE 14-bus system </w:t>
      </w:r>
      <w:r w:rsidR="00927A5B">
        <w:rPr>
          <w:lang w:val="en-GB"/>
        </w:rPr>
        <w:fldChar w:fldCharType="begin" w:fldLock="1"/>
      </w:r>
      <w:r w:rsidR="00351740">
        <w:rPr>
          <w:lang w:val="en-GB"/>
        </w:rPr>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sidR="00927A5B">
        <w:rPr>
          <w:lang w:val="en-GB"/>
        </w:rPr>
        <w:fldChar w:fldCharType="separate"/>
      </w:r>
      <w:r w:rsidR="00DD7036" w:rsidRPr="00DD7036">
        <w:rPr>
          <w:noProof/>
          <w:lang w:val="en-GB"/>
        </w:rPr>
        <w:t>[64]</w:t>
      </w:r>
      <w:r w:rsidR="00927A5B">
        <w:rPr>
          <w:lang w:val="en-GB"/>
        </w:rPr>
        <w:fldChar w:fldCharType="end"/>
      </w:r>
      <w:r w:rsidRPr="00503BA6">
        <w:rPr>
          <w:lang w:val="en-GB"/>
        </w:rPr>
        <w:t xml:space="preserve"> for normal operating condition and is compared with the results from </w:t>
      </w:r>
      <w:r w:rsidR="00927A5B">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927A5B">
        <w:rPr>
          <w:lang w:val="en-GB"/>
        </w:rPr>
        <w:fldChar w:fldCharType="separate"/>
      </w:r>
      <w:r w:rsidR="00DD7036" w:rsidRPr="00DD7036">
        <w:rPr>
          <w:noProof/>
          <w:lang w:val="en-GB"/>
        </w:rPr>
        <w:t>[41]</w:t>
      </w:r>
      <w:r w:rsidR="00927A5B">
        <w:rPr>
          <w:lang w:val="en-GB"/>
        </w:rPr>
        <w:fldChar w:fldCharType="end"/>
      </w:r>
      <w:r w:rsidR="00927A5B">
        <w:rPr>
          <w:lang w:val="en-GB"/>
        </w:rPr>
        <w:t xml:space="preserve"> </w:t>
      </w:r>
      <w:r w:rsidRPr="00503BA6">
        <w:rPr>
          <w:lang w:val="en-GB"/>
        </w:rPr>
        <w:t xml:space="preserve">and </w:t>
      </w:r>
      <w:r w:rsidR="00927A5B">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927A5B">
        <w:rPr>
          <w:lang w:val="en-GB"/>
        </w:rPr>
        <w:fldChar w:fldCharType="separate"/>
      </w:r>
      <w:r w:rsidR="00DD7036" w:rsidRPr="00DD7036">
        <w:rPr>
          <w:noProof/>
          <w:lang w:val="en-GB"/>
        </w:rPr>
        <w:t>[42]</w:t>
      </w:r>
      <w:r w:rsidR="00927A5B">
        <w:rPr>
          <w:lang w:val="en-GB"/>
        </w:rPr>
        <w:fldChar w:fldCharType="end"/>
      </w:r>
      <w:r w:rsidRPr="00503BA6">
        <w:rPr>
          <w:lang w:val="en-GB"/>
        </w:rPr>
        <w:t>. The IEEE 14-bus system is chosen for the sensitivity test because it is a</w:t>
      </w:r>
      <w:r w:rsidR="00927A5B">
        <w:rPr>
          <w:lang w:val="en-GB"/>
        </w:rPr>
        <w:t xml:space="preserve">lso the test system used in </w:t>
      </w:r>
      <w:r w:rsidR="00927A5B">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927A5B">
        <w:rPr>
          <w:lang w:val="en-GB"/>
        </w:rPr>
        <w:fldChar w:fldCharType="separate"/>
      </w:r>
      <w:r w:rsidR="00DD7036" w:rsidRPr="00DD7036">
        <w:rPr>
          <w:noProof/>
          <w:lang w:val="en-GB"/>
        </w:rPr>
        <w:t>[41]</w:t>
      </w:r>
      <w:r w:rsidR="00927A5B">
        <w:rPr>
          <w:lang w:val="en-GB"/>
        </w:rPr>
        <w:fldChar w:fldCharType="end"/>
      </w:r>
      <w:r w:rsidRPr="00503BA6">
        <w:rPr>
          <w:lang w:val="en-GB"/>
        </w:rPr>
        <w:t xml:space="preserve"> and </w:t>
      </w:r>
      <w:r w:rsidR="00927A5B">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927A5B">
        <w:rPr>
          <w:lang w:val="en-GB"/>
        </w:rPr>
        <w:fldChar w:fldCharType="separate"/>
      </w:r>
      <w:r w:rsidR="00DD7036" w:rsidRPr="00DD7036">
        <w:rPr>
          <w:noProof/>
          <w:lang w:val="en-GB"/>
        </w:rPr>
        <w:t>[42]</w:t>
      </w:r>
      <w:r w:rsidR="00927A5B">
        <w:rPr>
          <w:lang w:val="en-GB"/>
        </w:rPr>
        <w:fldChar w:fldCharType="end"/>
      </w:r>
      <w:r w:rsidRPr="00503BA6">
        <w:rPr>
          <w:lang w:val="en-GB"/>
        </w:rPr>
        <w:t xml:space="preserve">. Details such as the bus voltage magnitudes and angles are provided for two severe contingencies under the base case load level. Then, the proposed sensitivity is further tested on the IEEE </w:t>
      </w:r>
      <w:r w:rsidR="00927A5B">
        <w:rPr>
          <w:lang w:val="en-GB"/>
        </w:rPr>
        <w:t xml:space="preserve">14, 39, and 118-bus systems </w:t>
      </w:r>
      <w:r w:rsidR="00927A5B">
        <w:rPr>
          <w:lang w:val="en-GB"/>
        </w:rPr>
        <w:fldChar w:fldCharType="begin" w:fldLock="1"/>
      </w:r>
      <w:r w:rsidR="00351740">
        <w:rPr>
          <w:lang w:val="en-GB"/>
        </w:rPr>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sidR="00927A5B">
        <w:rPr>
          <w:lang w:val="en-GB"/>
        </w:rPr>
        <w:fldChar w:fldCharType="separate"/>
      </w:r>
      <w:r w:rsidR="00DD7036" w:rsidRPr="00DD7036">
        <w:rPr>
          <w:noProof/>
          <w:lang w:val="en-GB"/>
        </w:rPr>
        <w:t>[64]</w:t>
      </w:r>
      <w:r w:rsidR="00927A5B">
        <w:rPr>
          <w:lang w:val="en-GB"/>
        </w:rPr>
        <w:fldChar w:fldCharType="end"/>
      </w:r>
      <w:r w:rsidRPr="00503BA6">
        <w:rPr>
          <w:lang w:val="en-GB"/>
        </w:rPr>
        <w:t xml:space="preserve"> for all possible line outages in the load range between the normal condition and the collapsing point. Finally, the HBVSA is tested on the IEEE 14, 39, and 118-bus systems to demonstrate its ability in online monitoring of the stability margins of N-1 contingencies, when a load increase scenario is studied.</w:t>
      </w:r>
    </w:p>
    <w:p w14:paraId="3D0337B7" w14:textId="6D3B82FD" w:rsidR="00503BA6" w:rsidRPr="00503BA6" w:rsidRDefault="00503BA6" w:rsidP="00503BA6">
      <w:pPr>
        <w:pStyle w:val="Heading3"/>
        <w:rPr>
          <w:lang w:val="en-GB"/>
        </w:rPr>
      </w:pPr>
      <w:bookmarkStart w:id="72" w:name="_Toc459076559"/>
      <w:r>
        <w:t xml:space="preserve">4.3.1 </w:t>
      </w:r>
      <w:r w:rsidRPr="00503BA6">
        <w:t xml:space="preserve">Test of the </w:t>
      </w:r>
      <w:r w:rsidR="004F38C3">
        <w:t>P</w:t>
      </w:r>
      <w:r w:rsidRPr="00503BA6">
        <w:t xml:space="preserve">roposed </w:t>
      </w:r>
      <w:r w:rsidR="004F38C3">
        <w:t>S</w:t>
      </w:r>
      <w:r w:rsidRPr="00503BA6">
        <w:t>ensitivity on IEEE 14-</w:t>
      </w:r>
      <w:r w:rsidR="00EB0F0B">
        <w:t>B</w:t>
      </w:r>
      <w:r w:rsidRPr="00503BA6">
        <w:t xml:space="preserve">us </w:t>
      </w:r>
      <w:r w:rsidR="004F38C3">
        <w:t>S</w:t>
      </w:r>
      <w:r w:rsidRPr="00503BA6">
        <w:t>ystem</w:t>
      </w:r>
      <w:bookmarkEnd w:id="72"/>
    </w:p>
    <w:p w14:paraId="3F7D3C00" w14:textId="77777777" w:rsidR="00503BA6" w:rsidRPr="00503BA6" w:rsidRDefault="00503BA6" w:rsidP="00503BA6">
      <w:pPr>
        <w:rPr>
          <w:lang w:val="en-GB"/>
        </w:rPr>
      </w:pPr>
      <w:r w:rsidRPr="00503BA6">
        <w:rPr>
          <w:lang w:val="en-GB"/>
        </w:rPr>
        <w:t xml:space="preserve">The IEEE 14-bus system </w:t>
      </w:r>
      <w:r w:rsidR="00BB70A1">
        <w:rPr>
          <w:lang w:val="en-GB"/>
        </w:rPr>
        <w:t>which is the test system in</w:t>
      </w:r>
      <w:r w:rsidRPr="00503BA6">
        <w:rPr>
          <w:lang w:val="en-GB"/>
        </w:rPr>
        <w:t xml:space="preserve"> </w:t>
      </w:r>
      <w:r w:rsidR="00BB70A1">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BB70A1">
        <w:rPr>
          <w:lang w:val="en-GB"/>
        </w:rPr>
        <w:fldChar w:fldCharType="separate"/>
      </w:r>
      <w:r w:rsidR="00DD7036" w:rsidRPr="00DD7036">
        <w:rPr>
          <w:noProof/>
          <w:lang w:val="en-GB"/>
        </w:rPr>
        <w:t>[41]</w:t>
      </w:r>
      <w:r w:rsidR="00BB70A1">
        <w:rPr>
          <w:lang w:val="en-GB"/>
        </w:rPr>
        <w:fldChar w:fldCharType="end"/>
      </w:r>
      <w:r w:rsidR="00BB70A1">
        <w:rPr>
          <w:lang w:val="en-GB"/>
        </w:rPr>
        <w:t xml:space="preserve"> </w:t>
      </w:r>
      <w:r w:rsidRPr="00503BA6">
        <w:rPr>
          <w:lang w:val="en-GB"/>
        </w:rPr>
        <w:t xml:space="preserve">and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is used to test the sensitivity in this subsection in order to compare the proposed sensitivity calculation with the previous methods. For this system, two contingencies, line 2-4 outage and line 5-6 outage, under normal loading condition are considered.</w:t>
      </w:r>
    </w:p>
    <w:p w14:paraId="4273A1A5" w14:textId="77777777" w:rsidR="00503BA6" w:rsidRPr="00503BA6" w:rsidRDefault="00503BA6" w:rsidP="00503BA6">
      <w:pPr>
        <w:rPr>
          <w:lang w:val="en-GB"/>
        </w:rPr>
      </w:pPr>
      <w:r w:rsidRPr="00503BA6">
        <w:rPr>
          <w:lang w:val="en-GB"/>
        </w:rPr>
        <w:t xml:space="preserve">The first contingency, line 2-4 outage, will not cause any reactive (Q) violation which means it is not a severe contingency. The results from the proposed sensitivity model, as well as the results using two previous methods in </w:t>
      </w:r>
      <w:r w:rsidR="00BB70A1">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BB70A1">
        <w:rPr>
          <w:lang w:val="en-GB"/>
        </w:rPr>
        <w:fldChar w:fldCharType="separate"/>
      </w:r>
      <w:r w:rsidR="00DD7036" w:rsidRPr="00DD7036">
        <w:rPr>
          <w:noProof/>
          <w:lang w:val="en-GB"/>
        </w:rPr>
        <w:t>[41]</w:t>
      </w:r>
      <w:r w:rsidR="00BB70A1">
        <w:rPr>
          <w:lang w:val="en-GB"/>
        </w:rPr>
        <w:fldChar w:fldCharType="end"/>
      </w:r>
      <w:r w:rsidRPr="00503BA6">
        <w:rPr>
          <w:lang w:val="en-GB"/>
        </w:rPr>
        <w:t xml:space="preserve"> and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are presented in </w:t>
      </w:r>
      <w:r w:rsidR="00BB70A1">
        <w:rPr>
          <w:lang w:val="en-GB"/>
        </w:rPr>
        <w:fldChar w:fldCharType="begin"/>
      </w:r>
      <w:r w:rsidR="00BB70A1">
        <w:rPr>
          <w:lang w:val="en-GB"/>
        </w:rPr>
        <w:instrText xml:space="preserve"> REF _Ref431908527 \h </w:instrText>
      </w:r>
      <w:r w:rsidR="00BB70A1">
        <w:rPr>
          <w:lang w:val="en-GB"/>
        </w:rPr>
      </w:r>
      <w:r w:rsidR="00BB70A1">
        <w:rPr>
          <w:lang w:val="en-GB"/>
        </w:rPr>
        <w:fldChar w:fldCharType="separate"/>
      </w:r>
      <w:r w:rsidR="00656B13">
        <w:t xml:space="preserve">Table </w:t>
      </w:r>
      <w:r w:rsidR="00656B13">
        <w:rPr>
          <w:noProof/>
        </w:rPr>
        <w:t>1</w:t>
      </w:r>
      <w:r w:rsidR="00BB70A1">
        <w:rPr>
          <w:lang w:val="en-GB"/>
        </w:rPr>
        <w:fldChar w:fldCharType="end"/>
      </w:r>
      <w:r w:rsidR="00BB70A1">
        <w:rPr>
          <w:lang w:val="en-GB"/>
        </w:rPr>
        <w:t xml:space="preserve"> </w:t>
      </w:r>
      <w:r w:rsidRPr="00503BA6">
        <w:rPr>
          <w:lang w:val="en-GB"/>
        </w:rPr>
        <w:t xml:space="preserve">and </w:t>
      </w:r>
      <w:r w:rsidR="00BB70A1">
        <w:rPr>
          <w:lang w:val="en-GB"/>
        </w:rPr>
        <w:fldChar w:fldCharType="begin"/>
      </w:r>
      <w:r w:rsidR="00BB70A1">
        <w:rPr>
          <w:lang w:val="en-GB"/>
        </w:rPr>
        <w:instrText xml:space="preserve"> REF _Ref361664329 \h </w:instrText>
      </w:r>
      <w:r w:rsidR="00BB70A1">
        <w:rPr>
          <w:lang w:val="en-GB"/>
        </w:rPr>
      </w:r>
      <w:r w:rsidR="00BB70A1">
        <w:rPr>
          <w:lang w:val="en-GB"/>
        </w:rPr>
        <w:fldChar w:fldCharType="separate"/>
      </w:r>
      <w:r w:rsidR="00656B13">
        <w:t xml:space="preserve">Table </w:t>
      </w:r>
      <w:r w:rsidR="00656B13">
        <w:rPr>
          <w:noProof/>
        </w:rPr>
        <w:t>2</w:t>
      </w:r>
      <w:r w:rsidR="00BB70A1">
        <w:rPr>
          <w:lang w:val="en-GB"/>
        </w:rPr>
        <w:fldChar w:fldCharType="end"/>
      </w:r>
      <w:r w:rsidRPr="00503BA6">
        <w:rPr>
          <w:lang w:val="en-GB"/>
        </w:rPr>
        <w:t xml:space="preserve"> for comparison. </w:t>
      </w:r>
    </w:p>
    <w:p w14:paraId="331353CE" w14:textId="6DF58960" w:rsidR="00503BA6" w:rsidRPr="00503BA6" w:rsidRDefault="00503BA6" w:rsidP="00AE0500">
      <w:pPr>
        <w:jc w:val="distribute"/>
        <w:rPr>
          <w:lang w:val="en-GB"/>
        </w:rPr>
      </w:pPr>
      <w:r>
        <w:rPr>
          <w:lang w:val="en-GB"/>
        </w:rPr>
        <w:fldChar w:fldCharType="begin"/>
      </w:r>
      <w:r>
        <w:rPr>
          <w:lang w:val="en-GB"/>
        </w:rPr>
        <w:instrText xml:space="preserve"> REF _Ref431908527 </w:instrText>
      </w:r>
      <w:r>
        <w:rPr>
          <w:lang w:val="en-GB"/>
        </w:rPr>
        <w:fldChar w:fldCharType="separate"/>
      </w:r>
      <w:r w:rsidR="00656B13">
        <w:t xml:space="preserve">Table </w:t>
      </w:r>
      <w:r w:rsidR="00656B13">
        <w:rPr>
          <w:noProof/>
        </w:rPr>
        <w:t>1</w:t>
      </w:r>
      <w:r>
        <w:rPr>
          <w:lang w:val="en-GB"/>
        </w:rPr>
        <w:fldChar w:fldCharType="end"/>
      </w:r>
      <w:r w:rsidRPr="00503BA6">
        <w:rPr>
          <w:lang w:val="en-GB"/>
        </w:rPr>
        <w:t xml:space="preserve"> shows the predicted voltage magnitudes. The column ‘Exact Value’ lists the exact post-contingency voltage magnitude by re-running the post-contingency power </w:t>
      </w:r>
    </w:p>
    <w:p w14:paraId="0782E573" w14:textId="343162E0" w:rsidR="00503BA6" w:rsidRPr="00503BA6" w:rsidRDefault="00503BA6" w:rsidP="009D0201">
      <w:pPr>
        <w:pStyle w:val="Caption"/>
        <w:rPr>
          <w:b/>
        </w:rPr>
      </w:pPr>
      <w:bookmarkStart w:id="73" w:name="_Ref431908527"/>
      <w:bookmarkStart w:id="74" w:name="_Toc459076658"/>
      <w:r>
        <w:lastRenderedPageBreak/>
        <w:t xml:space="preserve">Table </w:t>
      </w:r>
      <w:fldSimple w:instr=" SEQ Table \* ARABIC ">
        <w:r w:rsidR="00656B13">
          <w:rPr>
            <w:noProof/>
          </w:rPr>
          <w:t>1</w:t>
        </w:r>
      </w:fldSimple>
      <w:bookmarkEnd w:id="73"/>
      <w:r w:rsidR="00092ACB" w:rsidRPr="00503BA6">
        <w:t xml:space="preserve">: </w:t>
      </w:r>
      <w:r w:rsidRPr="00503BA6">
        <w:t>Comparison of Predicted Voltage Magnitude</w:t>
      </w:r>
      <w:bookmarkEnd w:id="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963"/>
        <w:gridCol w:w="824"/>
        <w:gridCol w:w="571"/>
        <w:gridCol w:w="815"/>
        <w:gridCol w:w="558"/>
        <w:gridCol w:w="938"/>
        <w:gridCol w:w="619"/>
      </w:tblGrid>
      <w:tr w:rsidR="00503BA6" w:rsidRPr="00503BA6" w14:paraId="79ECCC8B" w14:textId="77777777" w:rsidTr="00503BA6">
        <w:trPr>
          <w:trHeight w:val="368"/>
          <w:jc w:val="center"/>
        </w:trPr>
        <w:tc>
          <w:tcPr>
            <w:tcW w:w="664" w:type="dxa"/>
            <w:vMerge w:val="restart"/>
            <w:tcBorders>
              <w:left w:val="nil"/>
            </w:tcBorders>
            <w:shd w:val="clear" w:color="auto" w:fill="auto"/>
            <w:noWrap/>
            <w:vAlign w:val="center"/>
            <w:hideMark/>
          </w:tcPr>
          <w:p w14:paraId="43A91790"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Bus No</w:t>
            </w:r>
          </w:p>
        </w:tc>
        <w:tc>
          <w:tcPr>
            <w:tcW w:w="0" w:type="auto"/>
            <w:vMerge w:val="restart"/>
            <w:tcBorders>
              <w:right w:val="double" w:sz="4" w:space="0" w:color="auto"/>
            </w:tcBorders>
            <w:shd w:val="clear" w:color="auto" w:fill="auto"/>
            <w:noWrap/>
            <w:vAlign w:val="center"/>
            <w:hideMark/>
          </w:tcPr>
          <w:p w14:paraId="48F9BE49"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Exact</w:t>
            </w:r>
          </w:p>
          <w:p w14:paraId="3005E198"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Value</w:t>
            </w:r>
          </w:p>
        </w:tc>
        <w:tc>
          <w:tcPr>
            <w:tcW w:w="0" w:type="auto"/>
            <w:gridSpan w:val="2"/>
            <w:tcBorders>
              <w:left w:val="double" w:sz="4" w:space="0" w:color="auto"/>
              <w:right w:val="double" w:sz="4" w:space="0" w:color="auto"/>
            </w:tcBorders>
            <w:shd w:val="clear" w:color="auto" w:fill="auto"/>
            <w:noWrap/>
            <w:vAlign w:val="center"/>
            <w:hideMark/>
          </w:tcPr>
          <w:p w14:paraId="6CAC4D59" w14:textId="77777777" w:rsidR="00503BA6" w:rsidRPr="00503BA6" w:rsidRDefault="00503BA6" w:rsidP="00BB70A1">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Method in </w:t>
            </w:r>
            <w:r w:rsidR="00BB70A1">
              <w:rPr>
                <w:rFonts w:eastAsia="Times New Roman"/>
                <w:color w:val="000000"/>
                <w:sz w:val="20"/>
                <w:szCs w:val="20"/>
                <w:lang w:eastAsia="zh-CN"/>
              </w:rPr>
              <w:fldChar w:fldCharType="begin" w:fldLock="1"/>
            </w:r>
            <w:r w:rsidR="00351740">
              <w:rPr>
                <w:rFonts w:eastAsia="Times New Roman"/>
                <w:color w:val="000000"/>
                <w:sz w:val="20"/>
                <w:szCs w:val="20"/>
                <w:lang w:eastAsia="zh-CN"/>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BB70A1">
              <w:rPr>
                <w:rFonts w:eastAsia="Times New Roman"/>
                <w:color w:val="000000"/>
                <w:sz w:val="20"/>
                <w:szCs w:val="20"/>
                <w:lang w:eastAsia="zh-CN"/>
              </w:rPr>
              <w:fldChar w:fldCharType="separate"/>
            </w:r>
            <w:r w:rsidR="00DD7036" w:rsidRPr="00DD7036">
              <w:rPr>
                <w:rFonts w:eastAsia="Times New Roman"/>
                <w:noProof/>
                <w:color w:val="000000"/>
                <w:sz w:val="20"/>
                <w:szCs w:val="20"/>
                <w:lang w:eastAsia="zh-CN"/>
              </w:rPr>
              <w:t>[41]</w:t>
            </w:r>
            <w:r w:rsidR="00BB70A1">
              <w:rPr>
                <w:rFonts w:eastAsia="Times New Roman"/>
                <w:color w:val="000000"/>
                <w:sz w:val="20"/>
                <w:szCs w:val="20"/>
                <w:lang w:eastAsia="zh-CN"/>
              </w:rPr>
              <w:fldChar w:fldCharType="end"/>
            </w:r>
          </w:p>
        </w:tc>
        <w:tc>
          <w:tcPr>
            <w:tcW w:w="0" w:type="auto"/>
            <w:gridSpan w:val="2"/>
            <w:tcBorders>
              <w:left w:val="double" w:sz="4" w:space="0" w:color="auto"/>
              <w:right w:val="double" w:sz="4" w:space="0" w:color="auto"/>
            </w:tcBorders>
            <w:shd w:val="clear" w:color="auto" w:fill="auto"/>
            <w:noWrap/>
            <w:vAlign w:val="center"/>
            <w:hideMark/>
          </w:tcPr>
          <w:p w14:paraId="292033F6" w14:textId="77777777" w:rsidR="00503BA6" w:rsidRPr="00503BA6" w:rsidRDefault="00503BA6" w:rsidP="00BB70A1">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Method in </w:t>
            </w:r>
            <w:r w:rsidR="00BB70A1">
              <w:rPr>
                <w:rFonts w:eastAsia="Times New Roman"/>
                <w:color w:val="000000"/>
                <w:sz w:val="20"/>
                <w:szCs w:val="20"/>
                <w:lang w:eastAsia="zh-CN"/>
              </w:rPr>
              <w:fldChar w:fldCharType="begin" w:fldLock="1"/>
            </w:r>
            <w:r w:rsidR="00351740">
              <w:rPr>
                <w:rFonts w:eastAsia="Times New Roman"/>
                <w:color w:val="000000"/>
                <w:sz w:val="20"/>
                <w:szCs w:val="20"/>
                <w:lang w:eastAsia="zh-CN"/>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rFonts w:eastAsia="Times New Roman"/>
                <w:color w:val="000000"/>
                <w:sz w:val="20"/>
                <w:szCs w:val="20"/>
                <w:lang w:eastAsia="zh-CN"/>
              </w:rPr>
              <w:fldChar w:fldCharType="separate"/>
            </w:r>
            <w:r w:rsidR="00DD7036" w:rsidRPr="00DD7036">
              <w:rPr>
                <w:rFonts w:eastAsia="Times New Roman"/>
                <w:noProof/>
                <w:color w:val="000000"/>
                <w:sz w:val="20"/>
                <w:szCs w:val="20"/>
                <w:lang w:eastAsia="zh-CN"/>
              </w:rPr>
              <w:t>[42]</w:t>
            </w:r>
            <w:r w:rsidR="00BB70A1">
              <w:rPr>
                <w:rFonts w:eastAsia="Times New Roman"/>
                <w:color w:val="000000"/>
                <w:sz w:val="20"/>
                <w:szCs w:val="20"/>
                <w:lang w:eastAsia="zh-CN"/>
              </w:rPr>
              <w:fldChar w:fldCharType="end"/>
            </w:r>
          </w:p>
        </w:tc>
        <w:tc>
          <w:tcPr>
            <w:tcW w:w="0" w:type="auto"/>
            <w:gridSpan w:val="2"/>
            <w:tcBorders>
              <w:left w:val="double" w:sz="4" w:space="0" w:color="auto"/>
              <w:right w:val="nil"/>
            </w:tcBorders>
            <w:shd w:val="clear" w:color="auto" w:fill="auto"/>
            <w:noWrap/>
            <w:vAlign w:val="center"/>
            <w:hideMark/>
          </w:tcPr>
          <w:p w14:paraId="53763C1B"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Proposed method</w:t>
            </w:r>
          </w:p>
        </w:tc>
      </w:tr>
      <w:tr w:rsidR="00503BA6" w:rsidRPr="00503BA6" w14:paraId="13451F55" w14:textId="77777777" w:rsidTr="00503BA6">
        <w:trPr>
          <w:trHeight w:val="368"/>
          <w:jc w:val="center"/>
        </w:trPr>
        <w:tc>
          <w:tcPr>
            <w:tcW w:w="664" w:type="dxa"/>
            <w:vMerge/>
            <w:tcBorders>
              <w:left w:val="nil"/>
            </w:tcBorders>
            <w:vAlign w:val="center"/>
            <w:hideMark/>
          </w:tcPr>
          <w:p w14:paraId="0C6FF08D"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p>
        </w:tc>
        <w:tc>
          <w:tcPr>
            <w:tcW w:w="0" w:type="auto"/>
            <w:vMerge/>
            <w:tcBorders>
              <w:right w:val="double" w:sz="4" w:space="0" w:color="auto"/>
            </w:tcBorders>
            <w:vAlign w:val="center"/>
            <w:hideMark/>
          </w:tcPr>
          <w:p w14:paraId="3D6C1509"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p>
        </w:tc>
        <w:tc>
          <w:tcPr>
            <w:tcW w:w="0" w:type="auto"/>
            <w:tcBorders>
              <w:left w:val="double" w:sz="4" w:space="0" w:color="auto"/>
            </w:tcBorders>
            <w:shd w:val="clear" w:color="auto" w:fill="auto"/>
            <w:noWrap/>
            <w:vAlign w:val="center"/>
            <w:hideMark/>
          </w:tcPr>
          <w:p w14:paraId="766FBC81"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Predicted</w:t>
            </w:r>
          </w:p>
        </w:tc>
        <w:tc>
          <w:tcPr>
            <w:tcW w:w="0" w:type="auto"/>
            <w:tcBorders>
              <w:right w:val="double" w:sz="4" w:space="0" w:color="auto"/>
            </w:tcBorders>
            <w:shd w:val="clear" w:color="auto" w:fill="auto"/>
            <w:noWrap/>
            <w:vAlign w:val="center"/>
            <w:hideMark/>
          </w:tcPr>
          <w:p w14:paraId="379F9095"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|Error|</w:t>
            </w:r>
            <w:r w:rsidRPr="00503BA6" w:rsidDel="007236B5">
              <w:rPr>
                <w:rFonts w:eastAsia="Times New Roman"/>
                <w:color w:val="000000"/>
                <w:sz w:val="20"/>
                <w:szCs w:val="20"/>
                <w:lang w:eastAsia="zh-CN"/>
              </w:rPr>
              <w:t xml:space="preserve"> </w:t>
            </w:r>
          </w:p>
          <w:p w14:paraId="7F7A775F"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18427026"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Predicted</w:t>
            </w:r>
          </w:p>
        </w:tc>
        <w:tc>
          <w:tcPr>
            <w:tcW w:w="0" w:type="auto"/>
            <w:tcBorders>
              <w:right w:val="double" w:sz="4" w:space="0" w:color="auto"/>
            </w:tcBorders>
            <w:shd w:val="clear" w:color="auto" w:fill="auto"/>
            <w:noWrap/>
            <w:vAlign w:val="center"/>
            <w:hideMark/>
          </w:tcPr>
          <w:p w14:paraId="47D5265D"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|Error| </w:t>
            </w:r>
          </w:p>
          <w:p w14:paraId="572D9F57"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0C46B97B"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Predicted</w:t>
            </w:r>
          </w:p>
        </w:tc>
        <w:tc>
          <w:tcPr>
            <w:tcW w:w="0" w:type="auto"/>
            <w:tcBorders>
              <w:right w:val="nil"/>
            </w:tcBorders>
            <w:shd w:val="clear" w:color="auto" w:fill="auto"/>
            <w:noWrap/>
            <w:vAlign w:val="center"/>
            <w:hideMark/>
          </w:tcPr>
          <w:p w14:paraId="1046543E"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|Error| </w:t>
            </w:r>
          </w:p>
          <w:p w14:paraId="751A769B"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28258F80" w14:textId="77777777" w:rsidTr="00503BA6">
        <w:trPr>
          <w:trHeight w:val="209"/>
          <w:jc w:val="center"/>
        </w:trPr>
        <w:tc>
          <w:tcPr>
            <w:tcW w:w="664" w:type="dxa"/>
            <w:tcBorders>
              <w:left w:val="nil"/>
            </w:tcBorders>
            <w:shd w:val="clear" w:color="auto" w:fill="auto"/>
            <w:noWrap/>
            <w:vAlign w:val="center"/>
            <w:hideMark/>
          </w:tcPr>
          <w:p w14:paraId="5DCFBFA4"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w:t>
            </w:r>
          </w:p>
        </w:tc>
        <w:tc>
          <w:tcPr>
            <w:tcW w:w="0" w:type="auto"/>
            <w:tcBorders>
              <w:right w:val="double" w:sz="4" w:space="0" w:color="auto"/>
            </w:tcBorders>
            <w:shd w:val="clear" w:color="auto" w:fill="auto"/>
            <w:noWrap/>
            <w:vAlign w:val="center"/>
            <w:hideMark/>
          </w:tcPr>
          <w:p w14:paraId="05F7E686"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1.0600</w:t>
            </w:r>
          </w:p>
        </w:tc>
        <w:tc>
          <w:tcPr>
            <w:tcW w:w="0" w:type="auto"/>
            <w:tcBorders>
              <w:left w:val="double" w:sz="4" w:space="0" w:color="auto"/>
            </w:tcBorders>
            <w:shd w:val="clear" w:color="auto" w:fill="auto"/>
            <w:noWrap/>
            <w:vAlign w:val="center"/>
            <w:hideMark/>
          </w:tcPr>
          <w:p w14:paraId="12536465"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1.0600</w:t>
            </w:r>
          </w:p>
        </w:tc>
        <w:tc>
          <w:tcPr>
            <w:tcW w:w="0" w:type="auto"/>
            <w:tcBorders>
              <w:right w:val="double" w:sz="4" w:space="0" w:color="auto"/>
            </w:tcBorders>
            <w:shd w:val="clear" w:color="auto" w:fill="auto"/>
            <w:noWrap/>
            <w:vAlign w:val="center"/>
            <w:hideMark/>
          </w:tcPr>
          <w:p w14:paraId="243F35A2"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27F95182"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1.0600</w:t>
            </w:r>
          </w:p>
        </w:tc>
        <w:tc>
          <w:tcPr>
            <w:tcW w:w="0" w:type="auto"/>
            <w:tcBorders>
              <w:right w:val="double" w:sz="4" w:space="0" w:color="auto"/>
            </w:tcBorders>
            <w:shd w:val="clear" w:color="auto" w:fill="auto"/>
            <w:noWrap/>
            <w:vAlign w:val="center"/>
            <w:hideMark/>
          </w:tcPr>
          <w:p w14:paraId="22B8B0E9"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22679577"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1.0600</w:t>
            </w:r>
          </w:p>
        </w:tc>
        <w:tc>
          <w:tcPr>
            <w:tcW w:w="0" w:type="auto"/>
            <w:tcBorders>
              <w:right w:val="nil"/>
            </w:tcBorders>
            <w:shd w:val="clear" w:color="auto" w:fill="auto"/>
            <w:noWrap/>
            <w:vAlign w:val="center"/>
            <w:hideMark/>
          </w:tcPr>
          <w:p w14:paraId="7ADDC042"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7FD941B8" w14:textId="77777777" w:rsidTr="00503BA6">
        <w:trPr>
          <w:trHeight w:val="216"/>
          <w:jc w:val="center"/>
        </w:trPr>
        <w:tc>
          <w:tcPr>
            <w:tcW w:w="664" w:type="dxa"/>
            <w:tcBorders>
              <w:left w:val="nil"/>
            </w:tcBorders>
            <w:shd w:val="clear" w:color="auto" w:fill="auto"/>
            <w:noWrap/>
            <w:vAlign w:val="center"/>
            <w:hideMark/>
          </w:tcPr>
          <w:p w14:paraId="43FEEE27"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2</w:t>
            </w:r>
          </w:p>
        </w:tc>
        <w:tc>
          <w:tcPr>
            <w:tcW w:w="0" w:type="auto"/>
            <w:tcBorders>
              <w:right w:val="double" w:sz="4" w:space="0" w:color="auto"/>
            </w:tcBorders>
            <w:shd w:val="clear" w:color="auto" w:fill="auto"/>
            <w:noWrap/>
            <w:vAlign w:val="center"/>
            <w:hideMark/>
          </w:tcPr>
          <w:p w14:paraId="2603210A"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1.0450</w:t>
            </w:r>
          </w:p>
        </w:tc>
        <w:tc>
          <w:tcPr>
            <w:tcW w:w="0" w:type="auto"/>
            <w:tcBorders>
              <w:left w:val="double" w:sz="4" w:space="0" w:color="auto"/>
            </w:tcBorders>
            <w:shd w:val="clear" w:color="auto" w:fill="auto"/>
            <w:noWrap/>
            <w:vAlign w:val="center"/>
            <w:hideMark/>
          </w:tcPr>
          <w:p w14:paraId="6117526D"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1.0450</w:t>
            </w:r>
          </w:p>
        </w:tc>
        <w:tc>
          <w:tcPr>
            <w:tcW w:w="0" w:type="auto"/>
            <w:tcBorders>
              <w:right w:val="double" w:sz="4" w:space="0" w:color="auto"/>
            </w:tcBorders>
            <w:shd w:val="clear" w:color="auto" w:fill="auto"/>
            <w:noWrap/>
            <w:vAlign w:val="center"/>
            <w:hideMark/>
          </w:tcPr>
          <w:p w14:paraId="56C1F89D"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6A6B70C8"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1.0450</w:t>
            </w:r>
          </w:p>
        </w:tc>
        <w:tc>
          <w:tcPr>
            <w:tcW w:w="0" w:type="auto"/>
            <w:tcBorders>
              <w:right w:val="double" w:sz="4" w:space="0" w:color="auto"/>
            </w:tcBorders>
            <w:shd w:val="clear" w:color="auto" w:fill="auto"/>
            <w:noWrap/>
            <w:vAlign w:val="center"/>
            <w:hideMark/>
          </w:tcPr>
          <w:p w14:paraId="36D28904"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45DF288F"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1.0450</w:t>
            </w:r>
          </w:p>
        </w:tc>
        <w:tc>
          <w:tcPr>
            <w:tcW w:w="0" w:type="auto"/>
            <w:tcBorders>
              <w:right w:val="nil"/>
            </w:tcBorders>
            <w:shd w:val="clear" w:color="auto" w:fill="auto"/>
            <w:noWrap/>
            <w:vAlign w:val="center"/>
            <w:hideMark/>
          </w:tcPr>
          <w:p w14:paraId="1D23C214"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24F0BC27" w14:textId="77777777" w:rsidTr="00503BA6">
        <w:trPr>
          <w:trHeight w:val="216"/>
          <w:jc w:val="center"/>
        </w:trPr>
        <w:tc>
          <w:tcPr>
            <w:tcW w:w="664" w:type="dxa"/>
            <w:tcBorders>
              <w:left w:val="nil"/>
            </w:tcBorders>
            <w:shd w:val="clear" w:color="auto" w:fill="auto"/>
            <w:noWrap/>
            <w:vAlign w:val="center"/>
            <w:hideMark/>
          </w:tcPr>
          <w:p w14:paraId="4CBB227C"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3</w:t>
            </w:r>
          </w:p>
        </w:tc>
        <w:tc>
          <w:tcPr>
            <w:tcW w:w="0" w:type="auto"/>
            <w:tcBorders>
              <w:right w:val="double" w:sz="4" w:space="0" w:color="auto"/>
            </w:tcBorders>
            <w:shd w:val="clear" w:color="auto" w:fill="auto"/>
            <w:noWrap/>
            <w:vAlign w:val="center"/>
            <w:hideMark/>
          </w:tcPr>
          <w:p w14:paraId="4226C597"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1.0100</w:t>
            </w:r>
          </w:p>
        </w:tc>
        <w:tc>
          <w:tcPr>
            <w:tcW w:w="0" w:type="auto"/>
            <w:tcBorders>
              <w:left w:val="double" w:sz="4" w:space="0" w:color="auto"/>
            </w:tcBorders>
            <w:shd w:val="clear" w:color="auto" w:fill="auto"/>
            <w:noWrap/>
            <w:vAlign w:val="center"/>
            <w:hideMark/>
          </w:tcPr>
          <w:p w14:paraId="647703D3"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1.0100</w:t>
            </w:r>
          </w:p>
        </w:tc>
        <w:tc>
          <w:tcPr>
            <w:tcW w:w="0" w:type="auto"/>
            <w:tcBorders>
              <w:right w:val="double" w:sz="4" w:space="0" w:color="auto"/>
            </w:tcBorders>
            <w:shd w:val="clear" w:color="auto" w:fill="auto"/>
            <w:noWrap/>
            <w:vAlign w:val="center"/>
            <w:hideMark/>
          </w:tcPr>
          <w:p w14:paraId="44DAAAEA"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13DBB71D"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1.0100</w:t>
            </w:r>
          </w:p>
        </w:tc>
        <w:tc>
          <w:tcPr>
            <w:tcW w:w="0" w:type="auto"/>
            <w:tcBorders>
              <w:right w:val="double" w:sz="4" w:space="0" w:color="auto"/>
            </w:tcBorders>
            <w:shd w:val="clear" w:color="auto" w:fill="auto"/>
            <w:noWrap/>
            <w:vAlign w:val="center"/>
            <w:hideMark/>
          </w:tcPr>
          <w:p w14:paraId="6F0CA0C9"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52812346"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1.0100</w:t>
            </w:r>
          </w:p>
        </w:tc>
        <w:tc>
          <w:tcPr>
            <w:tcW w:w="0" w:type="auto"/>
            <w:tcBorders>
              <w:right w:val="nil"/>
            </w:tcBorders>
            <w:shd w:val="clear" w:color="auto" w:fill="auto"/>
            <w:noWrap/>
            <w:vAlign w:val="center"/>
            <w:hideMark/>
          </w:tcPr>
          <w:p w14:paraId="3F330FC5"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1B1A986A" w14:textId="77777777" w:rsidTr="00503BA6">
        <w:trPr>
          <w:trHeight w:val="216"/>
          <w:jc w:val="center"/>
        </w:trPr>
        <w:tc>
          <w:tcPr>
            <w:tcW w:w="664" w:type="dxa"/>
            <w:tcBorders>
              <w:left w:val="nil"/>
            </w:tcBorders>
            <w:shd w:val="clear" w:color="auto" w:fill="auto"/>
            <w:noWrap/>
            <w:vAlign w:val="center"/>
            <w:hideMark/>
          </w:tcPr>
          <w:p w14:paraId="426EF7DD"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4</w:t>
            </w:r>
          </w:p>
        </w:tc>
        <w:tc>
          <w:tcPr>
            <w:tcW w:w="0" w:type="auto"/>
            <w:tcBorders>
              <w:right w:val="double" w:sz="4" w:space="0" w:color="auto"/>
            </w:tcBorders>
            <w:shd w:val="clear" w:color="auto" w:fill="auto"/>
            <w:noWrap/>
            <w:vAlign w:val="center"/>
            <w:hideMark/>
          </w:tcPr>
          <w:p w14:paraId="3627AF01"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1.0071</w:t>
            </w:r>
          </w:p>
        </w:tc>
        <w:tc>
          <w:tcPr>
            <w:tcW w:w="0" w:type="auto"/>
            <w:tcBorders>
              <w:left w:val="double" w:sz="4" w:space="0" w:color="auto"/>
            </w:tcBorders>
            <w:shd w:val="clear" w:color="auto" w:fill="auto"/>
            <w:noWrap/>
            <w:vAlign w:val="center"/>
            <w:hideMark/>
          </w:tcPr>
          <w:p w14:paraId="2B718B69"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1.0093</w:t>
            </w:r>
          </w:p>
        </w:tc>
        <w:tc>
          <w:tcPr>
            <w:tcW w:w="0" w:type="auto"/>
            <w:tcBorders>
              <w:right w:val="double" w:sz="4" w:space="0" w:color="auto"/>
            </w:tcBorders>
            <w:shd w:val="clear" w:color="auto" w:fill="auto"/>
            <w:noWrap/>
            <w:vAlign w:val="center"/>
            <w:hideMark/>
          </w:tcPr>
          <w:p w14:paraId="3DFE1103"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0.22</w:t>
            </w:r>
          </w:p>
        </w:tc>
        <w:tc>
          <w:tcPr>
            <w:tcW w:w="0" w:type="auto"/>
            <w:tcBorders>
              <w:left w:val="double" w:sz="4" w:space="0" w:color="auto"/>
            </w:tcBorders>
            <w:shd w:val="clear" w:color="auto" w:fill="auto"/>
            <w:noWrap/>
            <w:vAlign w:val="center"/>
            <w:hideMark/>
          </w:tcPr>
          <w:p w14:paraId="56DF8012"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1.0079</w:t>
            </w:r>
          </w:p>
        </w:tc>
        <w:tc>
          <w:tcPr>
            <w:tcW w:w="0" w:type="auto"/>
            <w:tcBorders>
              <w:right w:val="double" w:sz="4" w:space="0" w:color="auto"/>
            </w:tcBorders>
            <w:shd w:val="clear" w:color="auto" w:fill="auto"/>
            <w:noWrap/>
            <w:vAlign w:val="center"/>
            <w:hideMark/>
          </w:tcPr>
          <w:p w14:paraId="57412687"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0.08</w:t>
            </w:r>
          </w:p>
        </w:tc>
        <w:tc>
          <w:tcPr>
            <w:tcW w:w="0" w:type="auto"/>
            <w:tcBorders>
              <w:left w:val="double" w:sz="4" w:space="0" w:color="auto"/>
            </w:tcBorders>
            <w:shd w:val="clear" w:color="auto" w:fill="auto"/>
            <w:noWrap/>
            <w:vAlign w:val="center"/>
            <w:hideMark/>
          </w:tcPr>
          <w:p w14:paraId="796FE9C6"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1.0070</w:t>
            </w:r>
          </w:p>
        </w:tc>
        <w:tc>
          <w:tcPr>
            <w:tcW w:w="0" w:type="auto"/>
            <w:tcBorders>
              <w:right w:val="nil"/>
            </w:tcBorders>
            <w:shd w:val="clear" w:color="auto" w:fill="auto"/>
            <w:noWrap/>
            <w:vAlign w:val="center"/>
            <w:hideMark/>
          </w:tcPr>
          <w:p w14:paraId="55683DE0"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0.01</w:t>
            </w:r>
          </w:p>
        </w:tc>
      </w:tr>
      <w:tr w:rsidR="00503BA6" w:rsidRPr="00503BA6" w14:paraId="50CB1627" w14:textId="77777777" w:rsidTr="00503BA6">
        <w:trPr>
          <w:trHeight w:val="216"/>
          <w:jc w:val="center"/>
        </w:trPr>
        <w:tc>
          <w:tcPr>
            <w:tcW w:w="664" w:type="dxa"/>
            <w:tcBorders>
              <w:left w:val="nil"/>
            </w:tcBorders>
            <w:shd w:val="clear" w:color="auto" w:fill="auto"/>
            <w:noWrap/>
            <w:vAlign w:val="center"/>
            <w:hideMark/>
          </w:tcPr>
          <w:p w14:paraId="6655CC68"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5</w:t>
            </w:r>
          </w:p>
        </w:tc>
        <w:tc>
          <w:tcPr>
            <w:tcW w:w="0" w:type="auto"/>
            <w:tcBorders>
              <w:right w:val="double" w:sz="4" w:space="0" w:color="auto"/>
            </w:tcBorders>
            <w:shd w:val="clear" w:color="auto" w:fill="auto"/>
            <w:noWrap/>
            <w:vAlign w:val="center"/>
            <w:hideMark/>
          </w:tcPr>
          <w:p w14:paraId="048FB0F0"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1.0112</w:t>
            </w:r>
          </w:p>
        </w:tc>
        <w:tc>
          <w:tcPr>
            <w:tcW w:w="0" w:type="auto"/>
            <w:tcBorders>
              <w:left w:val="double" w:sz="4" w:space="0" w:color="auto"/>
            </w:tcBorders>
            <w:shd w:val="clear" w:color="auto" w:fill="auto"/>
            <w:noWrap/>
            <w:vAlign w:val="center"/>
            <w:hideMark/>
          </w:tcPr>
          <w:p w14:paraId="1783A408"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1.0136</w:t>
            </w:r>
          </w:p>
        </w:tc>
        <w:tc>
          <w:tcPr>
            <w:tcW w:w="0" w:type="auto"/>
            <w:tcBorders>
              <w:right w:val="double" w:sz="4" w:space="0" w:color="auto"/>
            </w:tcBorders>
            <w:shd w:val="clear" w:color="auto" w:fill="auto"/>
            <w:noWrap/>
            <w:vAlign w:val="center"/>
            <w:hideMark/>
          </w:tcPr>
          <w:p w14:paraId="30388D44"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0.23</w:t>
            </w:r>
          </w:p>
        </w:tc>
        <w:tc>
          <w:tcPr>
            <w:tcW w:w="0" w:type="auto"/>
            <w:tcBorders>
              <w:left w:val="double" w:sz="4" w:space="0" w:color="auto"/>
            </w:tcBorders>
            <w:shd w:val="clear" w:color="auto" w:fill="auto"/>
            <w:noWrap/>
            <w:vAlign w:val="center"/>
            <w:hideMark/>
          </w:tcPr>
          <w:p w14:paraId="049032B0"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1.0120</w:t>
            </w:r>
          </w:p>
        </w:tc>
        <w:tc>
          <w:tcPr>
            <w:tcW w:w="0" w:type="auto"/>
            <w:tcBorders>
              <w:right w:val="double" w:sz="4" w:space="0" w:color="auto"/>
            </w:tcBorders>
            <w:shd w:val="clear" w:color="auto" w:fill="auto"/>
            <w:noWrap/>
            <w:vAlign w:val="center"/>
            <w:hideMark/>
          </w:tcPr>
          <w:p w14:paraId="2AF53A45"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0.08</w:t>
            </w:r>
          </w:p>
        </w:tc>
        <w:tc>
          <w:tcPr>
            <w:tcW w:w="0" w:type="auto"/>
            <w:tcBorders>
              <w:left w:val="double" w:sz="4" w:space="0" w:color="auto"/>
            </w:tcBorders>
            <w:shd w:val="clear" w:color="auto" w:fill="auto"/>
            <w:noWrap/>
            <w:vAlign w:val="center"/>
            <w:hideMark/>
          </w:tcPr>
          <w:p w14:paraId="1CC9229D"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1.0115</w:t>
            </w:r>
          </w:p>
        </w:tc>
        <w:tc>
          <w:tcPr>
            <w:tcW w:w="0" w:type="auto"/>
            <w:tcBorders>
              <w:right w:val="nil"/>
            </w:tcBorders>
            <w:shd w:val="clear" w:color="auto" w:fill="auto"/>
            <w:noWrap/>
            <w:vAlign w:val="center"/>
            <w:hideMark/>
          </w:tcPr>
          <w:p w14:paraId="6B41A7B1"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0.03</w:t>
            </w:r>
          </w:p>
        </w:tc>
      </w:tr>
      <w:tr w:rsidR="00503BA6" w:rsidRPr="00503BA6" w14:paraId="4AD7416C" w14:textId="77777777" w:rsidTr="00503BA6">
        <w:trPr>
          <w:trHeight w:val="216"/>
          <w:jc w:val="center"/>
        </w:trPr>
        <w:tc>
          <w:tcPr>
            <w:tcW w:w="664" w:type="dxa"/>
            <w:tcBorders>
              <w:left w:val="nil"/>
            </w:tcBorders>
            <w:shd w:val="clear" w:color="auto" w:fill="auto"/>
            <w:noWrap/>
            <w:vAlign w:val="center"/>
            <w:hideMark/>
          </w:tcPr>
          <w:p w14:paraId="1A1DC2E4"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6</w:t>
            </w:r>
          </w:p>
        </w:tc>
        <w:tc>
          <w:tcPr>
            <w:tcW w:w="0" w:type="auto"/>
            <w:tcBorders>
              <w:right w:val="double" w:sz="4" w:space="0" w:color="auto"/>
            </w:tcBorders>
            <w:shd w:val="clear" w:color="auto" w:fill="auto"/>
            <w:noWrap/>
            <w:vAlign w:val="center"/>
            <w:hideMark/>
          </w:tcPr>
          <w:p w14:paraId="02CA6DD0"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1.0700</w:t>
            </w:r>
          </w:p>
        </w:tc>
        <w:tc>
          <w:tcPr>
            <w:tcW w:w="0" w:type="auto"/>
            <w:tcBorders>
              <w:left w:val="double" w:sz="4" w:space="0" w:color="auto"/>
            </w:tcBorders>
            <w:shd w:val="clear" w:color="auto" w:fill="auto"/>
            <w:noWrap/>
            <w:vAlign w:val="center"/>
            <w:hideMark/>
          </w:tcPr>
          <w:p w14:paraId="2AE374E5"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1.0700</w:t>
            </w:r>
          </w:p>
        </w:tc>
        <w:tc>
          <w:tcPr>
            <w:tcW w:w="0" w:type="auto"/>
            <w:tcBorders>
              <w:right w:val="double" w:sz="4" w:space="0" w:color="auto"/>
            </w:tcBorders>
            <w:shd w:val="clear" w:color="auto" w:fill="auto"/>
            <w:noWrap/>
            <w:vAlign w:val="center"/>
            <w:hideMark/>
          </w:tcPr>
          <w:p w14:paraId="73082EBC"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1BF5E653"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1.0700</w:t>
            </w:r>
          </w:p>
        </w:tc>
        <w:tc>
          <w:tcPr>
            <w:tcW w:w="0" w:type="auto"/>
            <w:tcBorders>
              <w:right w:val="double" w:sz="4" w:space="0" w:color="auto"/>
            </w:tcBorders>
            <w:shd w:val="clear" w:color="auto" w:fill="auto"/>
            <w:noWrap/>
            <w:vAlign w:val="center"/>
            <w:hideMark/>
          </w:tcPr>
          <w:p w14:paraId="4391B3BA"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47A8BB8A"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1.0700</w:t>
            </w:r>
          </w:p>
        </w:tc>
        <w:tc>
          <w:tcPr>
            <w:tcW w:w="0" w:type="auto"/>
            <w:tcBorders>
              <w:right w:val="nil"/>
            </w:tcBorders>
            <w:shd w:val="clear" w:color="auto" w:fill="auto"/>
            <w:noWrap/>
            <w:vAlign w:val="center"/>
            <w:hideMark/>
          </w:tcPr>
          <w:p w14:paraId="2F2F7639"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28463AD0" w14:textId="77777777" w:rsidTr="00503BA6">
        <w:trPr>
          <w:trHeight w:val="216"/>
          <w:jc w:val="center"/>
        </w:trPr>
        <w:tc>
          <w:tcPr>
            <w:tcW w:w="664" w:type="dxa"/>
            <w:tcBorders>
              <w:left w:val="nil"/>
            </w:tcBorders>
            <w:shd w:val="clear" w:color="auto" w:fill="auto"/>
            <w:noWrap/>
            <w:vAlign w:val="center"/>
            <w:hideMark/>
          </w:tcPr>
          <w:p w14:paraId="3EF5A879"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7</w:t>
            </w:r>
          </w:p>
        </w:tc>
        <w:tc>
          <w:tcPr>
            <w:tcW w:w="0" w:type="auto"/>
            <w:tcBorders>
              <w:right w:val="double" w:sz="4" w:space="0" w:color="auto"/>
            </w:tcBorders>
            <w:shd w:val="clear" w:color="auto" w:fill="auto"/>
            <w:noWrap/>
            <w:vAlign w:val="center"/>
            <w:hideMark/>
          </w:tcPr>
          <w:p w14:paraId="714CF46F"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1.0564</w:t>
            </w:r>
          </w:p>
        </w:tc>
        <w:tc>
          <w:tcPr>
            <w:tcW w:w="0" w:type="auto"/>
            <w:tcBorders>
              <w:left w:val="double" w:sz="4" w:space="0" w:color="auto"/>
            </w:tcBorders>
            <w:shd w:val="clear" w:color="auto" w:fill="auto"/>
            <w:noWrap/>
            <w:vAlign w:val="center"/>
            <w:hideMark/>
          </w:tcPr>
          <w:p w14:paraId="304A354B"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1.0575</w:t>
            </w:r>
          </w:p>
        </w:tc>
        <w:tc>
          <w:tcPr>
            <w:tcW w:w="0" w:type="auto"/>
            <w:tcBorders>
              <w:right w:val="double" w:sz="4" w:space="0" w:color="auto"/>
            </w:tcBorders>
            <w:shd w:val="clear" w:color="auto" w:fill="auto"/>
            <w:noWrap/>
            <w:vAlign w:val="center"/>
            <w:hideMark/>
          </w:tcPr>
          <w:p w14:paraId="29EB5889"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0.11</w:t>
            </w:r>
          </w:p>
        </w:tc>
        <w:tc>
          <w:tcPr>
            <w:tcW w:w="0" w:type="auto"/>
            <w:tcBorders>
              <w:left w:val="double" w:sz="4" w:space="0" w:color="auto"/>
            </w:tcBorders>
            <w:shd w:val="clear" w:color="auto" w:fill="auto"/>
            <w:noWrap/>
            <w:vAlign w:val="center"/>
            <w:hideMark/>
          </w:tcPr>
          <w:p w14:paraId="44B054E3"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1.0567</w:t>
            </w:r>
          </w:p>
        </w:tc>
        <w:tc>
          <w:tcPr>
            <w:tcW w:w="0" w:type="auto"/>
            <w:tcBorders>
              <w:right w:val="double" w:sz="4" w:space="0" w:color="auto"/>
            </w:tcBorders>
            <w:shd w:val="clear" w:color="auto" w:fill="auto"/>
            <w:noWrap/>
            <w:vAlign w:val="center"/>
            <w:hideMark/>
          </w:tcPr>
          <w:p w14:paraId="3BB56F7E"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0.03</w:t>
            </w:r>
          </w:p>
        </w:tc>
        <w:tc>
          <w:tcPr>
            <w:tcW w:w="0" w:type="auto"/>
            <w:tcBorders>
              <w:left w:val="double" w:sz="4" w:space="0" w:color="auto"/>
            </w:tcBorders>
            <w:shd w:val="clear" w:color="auto" w:fill="auto"/>
            <w:noWrap/>
            <w:vAlign w:val="center"/>
            <w:hideMark/>
          </w:tcPr>
          <w:p w14:paraId="3A83053F"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1.0563</w:t>
            </w:r>
          </w:p>
        </w:tc>
        <w:tc>
          <w:tcPr>
            <w:tcW w:w="0" w:type="auto"/>
            <w:tcBorders>
              <w:right w:val="nil"/>
            </w:tcBorders>
            <w:shd w:val="clear" w:color="auto" w:fill="auto"/>
            <w:noWrap/>
            <w:vAlign w:val="center"/>
            <w:hideMark/>
          </w:tcPr>
          <w:p w14:paraId="4F6D1EDF"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5FDE2E16" w14:textId="77777777" w:rsidTr="00503BA6">
        <w:trPr>
          <w:trHeight w:val="216"/>
          <w:jc w:val="center"/>
        </w:trPr>
        <w:tc>
          <w:tcPr>
            <w:tcW w:w="664" w:type="dxa"/>
            <w:tcBorders>
              <w:left w:val="nil"/>
            </w:tcBorders>
            <w:shd w:val="clear" w:color="auto" w:fill="auto"/>
            <w:noWrap/>
            <w:vAlign w:val="center"/>
            <w:hideMark/>
          </w:tcPr>
          <w:p w14:paraId="294B0353"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8</w:t>
            </w:r>
          </w:p>
        </w:tc>
        <w:tc>
          <w:tcPr>
            <w:tcW w:w="0" w:type="auto"/>
            <w:tcBorders>
              <w:right w:val="double" w:sz="4" w:space="0" w:color="auto"/>
            </w:tcBorders>
            <w:shd w:val="clear" w:color="auto" w:fill="auto"/>
            <w:noWrap/>
            <w:vAlign w:val="center"/>
            <w:hideMark/>
          </w:tcPr>
          <w:p w14:paraId="3DCB3EC0"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1.0900</w:t>
            </w:r>
          </w:p>
        </w:tc>
        <w:tc>
          <w:tcPr>
            <w:tcW w:w="0" w:type="auto"/>
            <w:tcBorders>
              <w:left w:val="double" w:sz="4" w:space="0" w:color="auto"/>
            </w:tcBorders>
            <w:shd w:val="clear" w:color="auto" w:fill="auto"/>
            <w:noWrap/>
            <w:vAlign w:val="center"/>
            <w:hideMark/>
          </w:tcPr>
          <w:p w14:paraId="39331D0C"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1.0900</w:t>
            </w:r>
          </w:p>
        </w:tc>
        <w:tc>
          <w:tcPr>
            <w:tcW w:w="0" w:type="auto"/>
            <w:tcBorders>
              <w:right w:val="double" w:sz="4" w:space="0" w:color="auto"/>
            </w:tcBorders>
            <w:shd w:val="clear" w:color="auto" w:fill="auto"/>
            <w:noWrap/>
            <w:vAlign w:val="center"/>
            <w:hideMark/>
          </w:tcPr>
          <w:p w14:paraId="78EE3244"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650B63E5"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1.0900</w:t>
            </w:r>
          </w:p>
        </w:tc>
        <w:tc>
          <w:tcPr>
            <w:tcW w:w="0" w:type="auto"/>
            <w:tcBorders>
              <w:right w:val="double" w:sz="4" w:space="0" w:color="auto"/>
            </w:tcBorders>
            <w:shd w:val="clear" w:color="auto" w:fill="auto"/>
            <w:noWrap/>
            <w:vAlign w:val="center"/>
            <w:hideMark/>
          </w:tcPr>
          <w:p w14:paraId="01043883"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19F8B7C8"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1.0900</w:t>
            </w:r>
          </w:p>
        </w:tc>
        <w:tc>
          <w:tcPr>
            <w:tcW w:w="0" w:type="auto"/>
            <w:tcBorders>
              <w:right w:val="nil"/>
            </w:tcBorders>
            <w:shd w:val="clear" w:color="auto" w:fill="auto"/>
            <w:noWrap/>
            <w:vAlign w:val="center"/>
            <w:hideMark/>
          </w:tcPr>
          <w:p w14:paraId="75AF445A"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3AE906F5" w14:textId="77777777" w:rsidTr="00503BA6">
        <w:trPr>
          <w:trHeight w:val="216"/>
          <w:jc w:val="center"/>
        </w:trPr>
        <w:tc>
          <w:tcPr>
            <w:tcW w:w="664" w:type="dxa"/>
            <w:tcBorders>
              <w:left w:val="nil"/>
            </w:tcBorders>
            <w:shd w:val="clear" w:color="auto" w:fill="auto"/>
            <w:noWrap/>
            <w:vAlign w:val="center"/>
            <w:hideMark/>
          </w:tcPr>
          <w:p w14:paraId="699AEE1D"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9</w:t>
            </w:r>
          </w:p>
        </w:tc>
        <w:tc>
          <w:tcPr>
            <w:tcW w:w="0" w:type="auto"/>
            <w:tcBorders>
              <w:right w:val="double" w:sz="4" w:space="0" w:color="auto"/>
            </w:tcBorders>
            <w:shd w:val="clear" w:color="auto" w:fill="auto"/>
            <w:noWrap/>
            <w:vAlign w:val="center"/>
            <w:hideMark/>
          </w:tcPr>
          <w:p w14:paraId="77ADAC7E"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1.0504</w:t>
            </w:r>
          </w:p>
        </w:tc>
        <w:tc>
          <w:tcPr>
            <w:tcW w:w="0" w:type="auto"/>
            <w:tcBorders>
              <w:left w:val="double" w:sz="4" w:space="0" w:color="auto"/>
            </w:tcBorders>
            <w:shd w:val="clear" w:color="auto" w:fill="auto"/>
            <w:noWrap/>
            <w:vAlign w:val="center"/>
            <w:hideMark/>
          </w:tcPr>
          <w:p w14:paraId="5CBF556F"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1.0518</w:t>
            </w:r>
          </w:p>
        </w:tc>
        <w:tc>
          <w:tcPr>
            <w:tcW w:w="0" w:type="auto"/>
            <w:tcBorders>
              <w:right w:val="double" w:sz="4" w:space="0" w:color="auto"/>
            </w:tcBorders>
            <w:shd w:val="clear" w:color="auto" w:fill="auto"/>
            <w:noWrap/>
            <w:vAlign w:val="center"/>
            <w:hideMark/>
          </w:tcPr>
          <w:p w14:paraId="333D6050"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0.13</w:t>
            </w:r>
          </w:p>
        </w:tc>
        <w:tc>
          <w:tcPr>
            <w:tcW w:w="0" w:type="auto"/>
            <w:tcBorders>
              <w:left w:val="double" w:sz="4" w:space="0" w:color="auto"/>
            </w:tcBorders>
            <w:shd w:val="clear" w:color="auto" w:fill="auto"/>
            <w:noWrap/>
            <w:vAlign w:val="center"/>
            <w:hideMark/>
          </w:tcPr>
          <w:p w14:paraId="54A4A07F"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1.0508</w:t>
            </w:r>
          </w:p>
        </w:tc>
        <w:tc>
          <w:tcPr>
            <w:tcW w:w="0" w:type="auto"/>
            <w:tcBorders>
              <w:right w:val="double" w:sz="4" w:space="0" w:color="auto"/>
            </w:tcBorders>
            <w:shd w:val="clear" w:color="auto" w:fill="auto"/>
            <w:noWrap/>
            <w:vAlign w:val="center"/>
            <w:hideMark/>
          </w:tcPr>
          <w:p w14:paraId="4AAE1442"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0.04</w:t>
            </w:r>
          </w:p>
        </w:tc>
        <w:tc>
          <w:tcPr>
            <w:tcW w:w="0" w:type="auto"/>
            <w:tcBorders>
              <w:left w:val="double" w:sz="4" w:space="0" w:color="auto"/>
            </w:tcBorders>
            <w:shd w:val="clear" w:color="auto" w:fill="auto"/>
            <w:noWrap/>
            <w:vAlign w:val="center"/>
            <w:hideMark/>
          </w:tcPr>
          <w:p w14:paraId="134C05F1"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1.0504</w:t>
            </w:r>
          </w:p>
        </w:tc>
        <w:tc>
          <w:tcPr>
            <w:tcW w:w="0" w:type="auto"/>
            <w:tcBorders>
              <w:right w:val="nil"/>
            </w:tcBorders>
            <w:shd w:val="clear" w:color="auto" w:fill="auto"/>
            <w:noWrap/>
            <w:vAlign w:val="center"/>
            <w:hideMark/>
          </w:tcPr>
          <w:p w14:paraId="668C997C"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2A68C202" w14:textId="77777777" w:rsidTr="00503BA6">
        <w:trPr>
          <w:trHeight w:val="216"/>
          <w:jc w:val="center"/>
        </w:trPr>
        <w:tc>
          <w:tcPr>
            <w:tcW w:w="664" w:type="dxa"/>
            <w:tcBorders>
              <w:left w:val="nil"/>
            </w:tcBorders>
            <w:shd w:val="clear" w:color="auto" w:fill="auto"/>
            <w:noWrap/>
            <w:vAlign w:val="center"/>
            <w:hideMark/>
          </w:tcPr>
          <w:p w14:paraId="18BCC7D6"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w:t>
            </w:r>
          </w:p>
        </w:tc>
        <w:tc>
          <w:tcPr>
            <w:tcW w:w="0" w:type="auto"/>
            <w:tcBorders>
              <w:right w:val="double" w:sz="4" w:space="0" w:color="auto"/>
            </w:tcBorders>
            <w:shd w:val="clear" w:color="auto" w:fill="auto"/>
            <w:noWrap/>
            <w:vAlign w:val="center"/>
            <w:hideMark/>
          </w:tcPr>
          <w:p w14:paraId="1D4B26A0"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1.0463</w:t>
            </w:r>
          </w:p>
        </w:tc>
        <w:tc>
          <w:tcPr>
            <w:tcW w:w="0" w:type="auto"/>
            <w:tcBorders>
              <w:left w:val="double" w:sz="4" w:space="0" w:color="auto"/>
            </w:tcBorders>
            <w:shd w:val="clear" w:color="auto" w:fill="auto"/>
            <w:noWrap/>
            <w:vAlign w:val="center"/>
            <w:hideMark/>
          </w:tcPr>
          <w:p w14:paraId="67157F58"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1.0475</w:t>
            </w:r>
          </w:p>
        </w:tc>
        <w:tc>
          <w:tcPr>
            <w:tcW w:w="0" w:type="auto"/>
            <w:tcBorders>
              <w:right w:val="double" w:sz="4" w:space="0" w:color="auto"/>
            </w:tcBorders>
            <w:shd w:val="clear" w:color="auto" w:fill="auto"/>
            <w:noWrap/>
            <w:vAlign w:val="center"/>
            <w:hideMark/>
          </w:tcPr>
          <w:p w14:paraId="3EC34E27"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0.11</w:t>
            </w:r>
          </w:p>
        </w:tc>
        <w:tc>
          <w:tcPr>
            <w:tcW w:w="0" w:type="auto"/>
            <w:tcBorders>
              <w:left w:val="double" w:sz="4" w:space="0" w:color="auto"/>
            </w:tcBorders>
            <w:shd w:val="clear" w:color="auto" w:fill="auto"/>
            <w:noWrap/>
            <w:vAlign w:val="center"/>
            <w:hideMark/>
          </w:tcPr>
          <w:p w14:paraId="6599F952"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1.0466</w:t>
            </w:r>
          </w:p>
        </w:tc>
        <w:tc>
          <w:tcPr>
            <w:tcW w:w="0" w:type="auto"/>
            <w:tcBorders>
              <w:right w:val="double" w:sz="4" w:space="0" w:color="auto"/>
            </w:tcBorders>
            <w:shd w:val="clear" w:color="auto" w:fill="auto"/>
            <w:noWrap/>
            <w:vAlign w:val="center"/>
            <w:hideMark/>
          </w:tcPr>
          <w:p w14:paraId="5EFE9FBF"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0.03</w:t>
            </w:r>
          </w:p>
        </w:tc>
        <w:tc>
          <w:tcPr>
            <w:tcW w:w="0" w:type="auto"/>
            <w:tcBorders>
              <w:left w:val="double" w:sz="4" w:space="0" w:color="auto"/>
            </w:tcBorders>
            <w:shd w:val="clear" w:color="auto" w:fill="auto"/>
            <w:noWrap/>
            <w:vAlign w:val="center"/>
            <w:hideMark/>
          </w:tcPr>
          <w:p w14:paraId="69433DDF"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1.0463</w:t>
            </w:r>
          </w:p>
        </w:tc>
        <w:tc>
          <w:tcPr>
            <w:tcW w:w="0" w:type="auto"/>
            <w:tcBorders>
              <w:right w:val="nil"/>
            </w:tcBorders>
            <w:shd w:val="clear" w:color="auto" w:fill="auto"/>
            <w:noWrap/>
            <w:vAlign w:val="center"/>
            <w:hideMark/>
          </w:tcPr>
          <w:p w14:paraId="53A98BE5"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7745B2B6" w14:textId="77777777" w:rsidTr="00503BA6">
        <w:trPr>
          <w:trHeight w:val="216"/>
          <w:jc w:val="center"/>
        </w:trPr>
        <w:tc>
          <w:tcPr>
            <w:tcW w:w="664" w:type="dxa"/>
            <w:tcBorders>
              <w:left w:val="nil"/>
            </w:tcBorders>
            <w:shd w:val="clear" w:color="auto" w:fill="auto"/>
            <w:noWrap/>
            <w:vAlign w:val="center"/>
            <w:hideMark/>
          </w:tcPr>
          <w:p w14:paraId="0FE79D32"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11</w:t>
            </w:r>
          </w:p>
        </w:tc>
        <w:tc>
          <w:tcPr>
            <w:tcW w:w="0" w:type="auto"/>
            <w:tcBorders>
              <w:right w:val="double" w:sz="4" w:space="0" w:color="auto"/>
            </w:tcBorders>
            <w:shd w:val="clear" w:color="auto" w:fill="auto"/>
            <w:noWrap/>
            <w:vAlign w:val="center"/>
            <w:hideMark/>
          </w:tcPr>
          <w:p w14:paraId="4386522B"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1.0544</w:t>
            </w:r>
          </w:p>
        </w:tc>
        <w:tc>
          <w:tcPr>
            <w:tcW w:w="0" w:type="auto"/>
            <w:tcBorders>
              <w:left w:val="double" w:sz="4" w:space="0" w:color="auto"/>
            </w:tcBorders>
            <w:shd w:val="clear" w:color="auto" w:fill="auto"/>
            <w:noWrap/>
            <w:vAlign w:val="center"/>
            <w:hideMark/>
          </w:tcPr>
          <w:p w14:paraId="130B0EA5"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1.0551</w:t>
            </w:r>
          </w:p>
        </w:tc>
        <w:tc>
          <w:tcPr>
            <w:tcW w:w="0" w:type="auto"/>
            <w:tcBorders>
              <w:right w:val="double" w:sz="4" w:space="0" w:color="auto"/>
            </w:tcBorders>
            <w:shd w:val="clear" w:color="auto" w:fill="auto"/>
            <w:noWrap/>
            <w:vAlign w:val="center"/>
            <w:hideMark/>
          </w:tcPr>
          <w:p w14:paraId="2A3D8D4F"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0.06</w:t>
            </w:r>
          </w:p>
        </w:tc>
        <w:tc>
          <w:tcPr>
            <w:tcW w:w="0" w:type="auto"/>
            <w:tcBorders>
              <w:left w:val="double" w:sz="4" w:space="0" w:color="auto"/>
            </w:tcBorders>
            <w:shd w:val="clear" w:color="auto" w:fill="auto"/>
            <w:noWrap/>
            <w:vAlign w:val="center"/>
            <w:hideMark/>
          </w:tcPr>
          <w:p w14:paraId="1662E07A"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1.0546</w:t>
            </w:r>
          </w:p>
        </w:tc>
        <w:tc>
          <w:tcPr>
            <w:tcW w:w="0" w:type="auto"/>
            <w:tcBorders>
              <w:right w:val="double" w:sz="4" w:space="0" w:color="auto"/>
            </w:tcBorders>
            <w:shd w:val="clear" w:color="auto" w:fill="auto"/>
            <w:noWrap/>
            <w:vAlign w:val="center"/>
            <w:hideMark/>
          </w:tcPr>
          <w:p w14:paraId="6A4A5473"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0.02</w:t>
            </w:r>
          </w:p>
        </w:tc>
        <w:tc>
          <w:tcPr>
            <w:tcW w:w="0" w:type="auto"/>
            <w:tcBorders>
              <w:left w:val="double" w:sz="4" w:space="0" w:color="auto"/>
            </w:tcBorders>
            <w:shd w:val="clear" w:color="auto" w:fill="auto"/>
            <w:noWrap/>
            <w:vAlign w:val="center"/>
            <w:hideMark/>
          </w:tcPr>
          <w:p w14:paraId="4096BF75"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1.0544</w:t>
            </w:r>
          </w:p>
        </w:tc>
        <w:tc>
          <w:tcPr>
            <w:tcW w:w="0" w:type="auto"/>
            <w:tcBorders>
              <w:right w:val="nil"/>
            </w:tcBorders>
            <w:shd w:val="clear" w:color="auto" w:fill="auto"/>
            <w:noWrap/>
            <w:vAlign w:val="center"/>
            <w:hideMark/>
          </w:tcPr>
          <w:p w14:paraId="723BB2C2"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1065DA4C" w14:textId="77777777" w:rsidTr="00503BA6">
        <w:trPr>
          <w:trHeight w:val="216"/>
          <w:jc w:val="center"/>
        </w:trPr>
        <w:tc>
          <w:tcPr>
            <w:tcW w:w="664" w:type="dxa"/>
            <w:tcBorders>
              <w:left w:val="nil"/>
            </w:tcBorders>
            <w:shd w:val="clear" w:color="auto" w:fill="auto"/>
            <w:noWrap/>
            <w:vAlign w:val="center"/>
            <w:hideMark/>
          </w:tcPr>
          <w:p w14:paraId="47E5E23C"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12</w:t>
            </w:r>
          </w:p>
        </w:tc>
        <w:tc>
          <w:tcPr>
            <w:tcW w:w="0" w:type="auto"/>
            <w:tcBorders>
              <w:right w:val="double" w:sz="4" w:space="0" w:color="auto"/>
            </w:tcBorders>
            <w:shd w:val="clear" w:color="auto" w:fill="auto"/>
            <w:noWrap/>
            <w:vAlign w:val="center"/>
            <w:hideMark/>
          </w:tcPr>
          <w:p w14:paraId="5924E3D9"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1.0548</w:t>
            </w:r>
          </w:p>
        </w:tc>
        <w:tc>
          <w:tcPr>
            <w:tcW w:w="0" w:type="auto"/>
            <w:tcBorders>
              <w:left w:val="double" w:sz="4" w:space="0" w:color="auto"/>
            </w:tcBorders>
            <w:shd w:val="clear" w:color="auto" w:fill="auto"/>
            <w:noWrap/>
            <w:vAlign w:val="center"/>
            <w:hideMark/>
          </w:tcPr>
          <w:p w14:paraId="7745E3AE"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1.0549</w:t>
            </w:r>
          </w:p>
        </w:tc>
        <w:tc>
          <w:tcPr>
            <w:tcW w:w="0" w:type="auto"/>
            <w:tcBorders>
              <w:right w:val="double" w:sz="4" w:space="0" w:color="auto"/>
            </w:tcBorders>
            <w:shd w:val="clear" w:color="auto" w:fill="auto"/>
            <w:noWrap/>
            <w:vAlign w:val="center"/>
            <w:hideMark/>
          </w:tcPr>
          <w:p w14:paraId="4F3C80F9"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0.01</w:t>
            </w:r>
          </w:p>
        </w:tc>
        <w:tc>
          <w:tcPr>
            <w:tcW w:w="0" w:type="auto"/>
            <w:tcBorders>
              <w:left w:val="double" w:sz="4" w:space="0" w:color="auto"/>
            </w:tcBorders>
            <w:shd w:val="clear" w:color="auto" w:fill="auto"/>
            <w:noWrap/>
            <w:vAlign w:val="center"/>
            <w:hideMark/>
          </w:tcPr>
          <w:p w14:paraId="5F2CA68C"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1.0549</w:t>
            </w:r>
          </w:p>
        </w:tc>
        <w:tc>
          <w:tcPr>
            <w:tcW w:w="0" w:type="auto"/>
            <w:tcBorders>
              <w:right w:val="double" w:sz="4" w:space="0" w:color="auto"/>
            </w:tcBorders>
            <w:shd w:val="clear" w:color="auto" w:fill="auto"/>
            <w:noWrap/>
            <w:vAlign w:val="center"/>
            <w:hideMark/>
          </w:tcPr>
          <w:p w14:paraId="4EFE3DBF"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c>
          <w:tcPr>
            <w:tcW w:w="0" w:type="auto"/>
            <w:tcBorders>
              <w:left w:val="double" w:sz="4" w:space="0" w:color="auto"/>
            </w:tcBorders>
            <w:shd w:val="clear" w:color="auto" w:fill="auto"/>
            <w:noWrap/>
            <w:vAlign w:val="center"/>
            <w:hideMark/>
          </w:tcPr>
          <w:p w14:paraId="0A93B004"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1.0548</w:t>
            </w:r>
          </w:p>
        </w:tc>
        <w:tc>
          <w:tcPr>
            <w:tcW w:w="0" w:type="auto"/>
            <w:tcBorders>
              <w:right w:val="nil"/>
            </w:tcBorders>
            <w:shd w:val="clear" w:color="auto" w:fill="auto"/>
            <w:noWrap/>
            <w:vAlign w:val="center"/>
            <w:hideMark/>
          </w:tcPr>
          <w:p w14:paraId="5ED444F2"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694C661C" w14:textId="77777777" w:rsidTr="00503BA6">
        <w:trPr>
          <w:trHeight w:val="216"/>
          <w:jc w:val="center"/>
        </w:trPr>
        <w:tc>
          <w:tcPr>
            <w:tcW w:w="664" w:type="dxa"/>
            <w:tcBorders>
              <w:left w:val="nil"/>
            </w:tcBorders>
            <w:shd w:val="clear" w:color="auto" w:fill="auto"/>
            <w:noWrap/>
            <w:vAlign w:val="center"/>
            <w:hideMark/>
          </w:tcPr>
          <w:p w14:paraId="2E745C0B"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13</w:t>
            </w:r>
          </w:p>
        </w:tc>
        <w:tc>
          <w:tcPr>
            <w:tcW w:w="0" w:type="auto"/>
            <w:tcBorders>
              <w:right w:val="double" w:sz="4" w:space="0" w:color="auto"/>
            </w:tcBorders>
            <w:shd w:val="clear" w:color="auto" w:fill="auto"/>
            <w:noWrap/>
            <w:vAlign w:val="center"/>
            <w:hideMark/>
          </w:tcPr>
          <w:p w14:paraId="40FBE1F2"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1.0495</w:t>
            </w:r>
          </w:p>
        </w:tc>
        <w:tc>
          <w:tcPr>
            <w:tcW w:w="0" w:type="auto"/>
            <w:tcBorders>
              <w:left w:val="double" w:sz="4" w:space="0" w:color="auto"/>
            </w:tcBorders>
            <w:shd w:val="clear" w:color="auto" w:fill="auto"/>
            <w:noWrap/>
            <w:vAlign w:val="center"/>
            <w:hideMark/>
          </w:tcPr>
          <w:p w14:paraId="1A17D37D"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1.0497</w:t>
            </w:r>
          </w:p>
        </w:tc>
        <w:tc>
          <w:tcPr>
            <w:tcW w:w="0" w:type="auto"/>
            <w:tcBorders>
              <w:right w:val="double" w:sz="4" w:space="0" w:color="auto"/>
            </w:tcBorders>
            <w:shd w:val="clear" w:color="auto" w:fill="auto"/>
            <w:noWrap/>
            <w:vAlign w:val="center"/>
            <w:hideMark/>
          </w:tcPr>
          <w:p w14:paraId="1F191C55"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0.02</w:t>
            </w:r>
          </w:p>
        </w:tc>
        <w:tc>
          <w:tcPr>
            <w:tcW w:w="0" w:type="auto"/>
            <w:tcBorders>
              <w:left w:val="double" w:sz="4" w:space="0" w:color="auto"/>
            </w:tcBorders>
            <w:shd w:val="clear" w:color="auto" w:fill="auto"/>
            <w:noWrap/>
            <w:vAlign w:val="center"/>
            <w:hideMark/>
          </w:tcPr>
          <w:p w14:paraId="2160AC04"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1.0495</w:t>
            </w:r>
          </w:p>
        </w:tc>
        <w:tc>
          <w:tcPr>
            <w:tcW w:w="0" w:type="auto"/>
            <w:tcBorders>
              <w:right w:val="double" w:sz="4" w:space="0" w:color="auto"/>
            </w:tcBorders>
            <w:shd w:val="clear" w:color="auto" w:fill="auto"/>
            <w:noWrap/>
            <w:vAlign w:val="center"/>
            <w:hideMark/>
          </w:tcPr>
          <w:p w14:paraId="14B3E5B4"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0.01</w:t>
            </w:r>
          </w:p>
        </w:tc>
        <w:tc>
          <w:tcPr>
            <w:tcW w:w="0" w:type="auto"/>
            <w:tcBorders>
              <w:left w:val="double" w:sz="4" w:space="0" w:color="auto"/>
            </w:tcBorders>
            <w:shd w:val="clear" w:color="auto" w:fill="auto"/>
            <w:noWrap/>
            <w:vAlign w:val="center"/>
            <w:hideMark/>
          </w:tcPr>
          <w:p w14:paraId="547FF279"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1.0495</w:t>
            </w:r>
          </w:p>
        </w:tc>
        <w:tc>
          <w:tcPr>
            <w:tcW w:w="0" w:type="auto"/>
            <w:tcBorders>
              <w:right w:val="nil"/>
            </w:tcBorders>
            <w:shd w:val="clear" w:color="auto" w:fill="auto"/>
            <w:noWrap/>
            <w:vAlign w:val="center"/>
            <w:hideMark/>
          </w:tcPr>
          <w:p w14:paraId="4B85DBC1"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2FEE98B0" w14:textId="77777777" w:rsidTr="00503BA6">
        <w:trPr>
          <w:trHeight w:val="216"/>
          <w:jc w:val="center"/>
        </w:trPr>
        <w:tc>
          <w:tcPr>
            <w:tcW w:w="664" w:type="dxa"/>
            <w:tcBorders>
              <w:left w:val="nil"/>
            </w:tcBorders>
            <w:shd w:val="clear" w:color="auto" w:fill="auto"/>
            <w:noWrap/>
            <w:vAlign w:val="center"/>
            <w:hideMark/>
          </w:tcPr>
          <w:p w14:paraId="32F628B3"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14</w:t>
            </w:r>
          </w:p>
        </w:tc>
        <w:tc>
          <w:tcPr>
            <w:tcW w:w="0" w:type="auto"/>
            <w:tcBorders>
              <w:right w:val="double" w:sz="4" w:space="0" w:color="auto"/>
            </w:tcBorders>
            <w:shd w:val="clear" w:color="auto" w:fill="auto"/>
            <w:noWrap/>
            <w:vAlign w:val="center"/>
            <w:hideMark/>
          </w:tcPr>
          <w:p w14:paraId="28841D6A"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r w:rsidRPr="00503BA6">
              <w:rPr>
                <w:rFonts w:eastAsia="Times New Roman"/>
                <w:color w:val="000000"/>
                <w:sz w:val="20"/>
                <w:szCs w:val="20"/>
                <w:lang w:eastAsia="zh-CN"/>
              </w:rPr>
              <w:t>1.0319</w:t>
            </w:r>
          </w:p>
        </w:tc>
        <w:tc>
          <w:tcPr>
            <w:tcW w:w="0" w:type="auto"/>
            <w:tcBorders>
              <w:left w:val="double" w:sz="4" w:space="0" w:color="auto"/>
              <w:bottom w:val="single" w:sz="4" w:space="0" w:color="auto"/>
            </w:tcBorders>
            <w:shd w:val="clear" w:color="auto" w:fill="auto"/>
            <w:noWrap/>
            <w:vAlign w:val="center"/>
            <w:hideMark/>
          </w:tcPr>
          <w:p w14:paraId="6F6942CC"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1.0328</w:t>
            </w:r>
          </w:p>
        </w:tc>
        <w:tc>
          <w:tcPr>
            <w:tcW w:w="0" w:type="auto"/>
            <w:tcBorders>
              <w:right w:val="double" w:sz="4" w:space="0" w:color="auto"/>
            </w:tcBorders>
            <w:shd w:val="clear" w:color="auto" w:fill="auto"/>
            <w:noWrap/>
            <w:vAlign w:val="center"/>
            <w:hideMark/>
          </w:tcPr>
          <w:p w14:paraId="34347D67" w14:textId="77777777" w:rsidR="00503BA6" w:rsidRPr="00503BA6" w:rsidRDefault="00503BA6" w:rsidP="00503BA6">
            <w:pPr>
              <w:spacing w:line="240" w:lineRule="auto"/>
              <w:ind w:left="-108" w:right="-40" w:firstLine="0"/>
              <w:jc w:val="center"/>
              <w:rPr>
                <w:rFonts w:eastAsia="Times New Roman"/>
                <w:color w:val="000000"/>
                <w:sz w:val="20"/>
                <w:szCs w:val="20"/>
                <w:lang w:eastAsia="zh-CN"/>
              </w:rPr>
            </w:pPr>
            <w:r w:rsidRPr="00503BA6">
              <w:rPr>
                <w:rFonts w:eastAsia="Times New Roman"/>
                <w:color w:val="000000"/>
                <w:sz w:val="20"/>
                <w:szCs w:val="20"/>
                <w:lang w:eastAsia="zh-CN"/>
              </w:rPr>
              <w:t>0.08</w:t>
            </w:r>
          </w:p>
        </w:tc>
        <w:tc>
          <w:tcPr>
            <w:tcW w:w="0" w:type="auto"/>
            <w:tcBorders>
              <w:left w:val="double" w:sz="4" w:space="0" w:color="auto"/>
              <w:bottom w:val="single" w:sz="4" w:space="0" w:color="auto"/>
            </w:tcBorders>
            <w:shd w:val="clear" w:color="auto" w:fill="auto"/>
            <w:noWrap/>
            <w:vAlign w:val="center"/>
            <w:hideMark/>
          </w:tcPr>
          <w:p w14:paraId="5CBBA478"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1.0322</w:t>
            </w:r>
          </w:p>
        </w:tc>
        <w:tc>
          <w:tcPr>
            <w:tcW w:w="0" w:type="auto"/>
            <w:tcBorders>
              <w:right w:val="double" w:sz="4" w:space="0" w:color="auto"/>
            </w:tcBorders>
            <w:shd w:val="clear" w:color="auto" w:fill="auto"/>
            <w:noWrap/>
            <w:vAlign w:val="center"/>
            <w:hideMark/>
          </w:tcPr>
          <w:p w14:paraId="25A17772" w14:textId="77777777" w:rsidR="00503BA6" w:rsidRPr="00503BA6" w:rsidRDefault="00503BA6" w:rsidP="00503BA6">
            <w:pPr>
              <w:spacing w:line="240" w:lineRule="auto"/>
              <w:ind w:left="-108" w:right="-63" w:firstLine="0"/>
              <w:jc w:val="center"/>
              <w:rPr>
                <w:rFonts w:eastAsia="Times New Roman"/>
                <w:color w:val="000000"/>
                <w:sz w:val="20"/>
                <w:szCs w:val="20"/>
                <w:lang w:eastAsia="zh-CN"/>
              </w:rPr>
            </w:pPr>
            <w:r w:rsidRPr="00503BA6">
              <w:rPr>
                <w:rFonts w:eastAsia="Times New Roman"/>
                <w:color w:val="000000"/>
                <w:sz w:val="20"/>
                <w:szCs w:val="20"/>
                <w:lang w:eastAsia="zh-CN"/>
              </w:rPr>
              <w:t>0.02</w:t>
            </w:r>
          </w:p>
        </w:tc>
        <w:tc>
          <w:tcPr>
            <w:tcW w:w="0" w:type="auto"/>
            <w:tcBorders>
              <w:left w:val="double" w:sz="4" w:space="0" w:color="auto"/>
              <w:bottom w:val="single" w:sz="4" w:space="0" w:color="auto"/>
            </w:tcBorders>
            <w:shd w:val="clear" w:color="auto" w:fill="auto"/>
            <w:noWrap/>
            <w:vAlign w:val="center"/>
            <w:hideMark/>
          </w:tcPr>
          <w:p w14:paraId="3E7020D0" w14:textId="77777777" w:rsidR="00503BA6" w:rsidRPr="00503BA6" w:rsidRDefault="00503BA6" w:rsidP="00503BA6">
            <w:pPr>
              <w:spacing w:line="240" w:lineRule="auto"/>
              <w:ind w:left="-108" w:right="-86" w:firstLine="0"/>
              <w:jc w:val="center"/>
              <w:rPr>
                <w:rFonts w:eastAsia="Times New Roman"/>
                <w:color w:val="000000"/>
                <w:sz w:val="20"/>
                <w:szCs w:val="20"/>
                <w:lang w:eastAsia="zh-CN"/>
              </w:rPr>
            </w:pPr>
            <w:r w:rsidRPr="00503BA6">
              <w:rPr>
                <w:rFonts w:eastAsia="Times New Roman"/>
                <w:color w:val="000000"/>
                <w:sz w:val="20"/>
                <w:szCs w:val="20"/>
                <w:lang w:eastAsia="zh-CN"/>
              </w:rPr>
              <w:t>1.0319</w:t>
            </w:r>
          </w:p>
        </w:tc>
        <w:tc>
          <w:tcPr>
            <w:tcW w:w="0" w:type="auto"/>
            <w:tcBorders>
              <w:right w:val="nil"/>
            </w:tcBorders>
            <w:shd w:val="clear" w:color="auto" w:fill="auto"/>
            <w:noWrap/>
            <w:vAlign w:val="center"/>
            <w:hideMark/>
          </w:tcPr>
          <w:p w14:paraId="6EA7A194"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r w:rsidR="00503BA6" w:rsidRPr="00503BA6" w14:paraId="158F8DD5" w14:textId="77777777" w:rsidTr="00503BA6">
        <w:trPr>
          <w:trHeight w:val="216"/>
          <w:jc w:val="center"/>
        </w:trPr>
        <w:tc>
          <w:tcPr>
            <w:tcW w:w="1627" w:type="dxa"/>
            <w:gridSpan w:val="2"/>
            <w:tcBorders>
              <w:left w:val="nil"/>
              <w:right w:val="double" w:sz="4" w:space="0" w:color="auto"/>
            </w:tcBorders>
            <w:shd w:val="clear" w:color="auto" w:fill="auto"/>
            <w:noWrap/>
            <w:vAlign w:val="center"/>
          </w:tcPr>
          <w:p w14:paraId="6F645D65" w14:textId="77777777" w:rsidR="00503BA6" w:rsidRPr="00503BA6" w:rsidRDefault="00503BA6" w:rsidP="00503BA6">
            <w:pPr>
              <w:spacing w:line="240" w:lineRule="auto"/>
              <w:ind w:left="-174" w:right="-75" w:firstLine="0"/>
              <w:jc w:val="center"/>
              <w:rPr>
                <w:rFonts w:eastAsia="Times New Roman"/>
                <w:color w:val="000000"/>
                <w:sz w:val="20"/>
                <w:szCs w:val="20"/>
                <w:lang w:eastAsia="zh-CN"/>
              </w:rPr>
            </w:pPr>
            <w:r w:rsidRPr="00503BA6">
              <w:rPr>
                <w:rFonts w:eastAsia="Times New Roman"/>
                <w:color w:val="000000"/>
                <w:sz w:val="20"/>
                <w:szCs w:val="20"/>
                <w:lang w:eastAsia="zh-CN"/>
              </w:rPr>
              <w:t>Ave. of |Error| (%)</w:t>
            </w:r>
          </w:p>
        </w:tc>
        <w:tc>
          <w:tcPr>
            <w:tcW w:w="0" w:type="auto"/>
            <w:tcBorders>
              <w:left w:val="double" w:sz="4" w:space="0" w:color="auto"/>
              <w:right w:val="nil"/>
            </w:tcBorders>
            <w:shd w:val="clear" w:color="auto" w:fill="auto"/>
            <w:noWrap/>
            <w:vAlign w:val="center"/>
          </w:tcPr>
          <w:p w14:paraId="785FD423"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p>
        </w:tc>
        <w:tc>
          <w:tcPr>
            <w:tcW w:w="0" w:type="auto"/>
            <w:tcBorders>
              <w:left w:val="nil"/>
              <w:right w:val="double" w:sz="4" w:space="0" w:color="auto"/>
            </w:tcBorders>
            <w:shd w:val="clear" w:color="auto" w:fill="auto"/>
            <w:noWrap/>
            <w:vAlign w:val="center"/>
          </w:tcPr>
          <w:p w14:paraId="0F5A4B03" w14:textId="77777777" w:rsidR="00503BA6" w:rsidRPr="00503BA6" w:rsidRDefault="00503BA6" w:rsidP="00503BA6">
            <w:pPr>
              <w:spacing w:line="240" w:lineRule="auto"/>
              <w:ind w:left="-140" w:right="-108" w:firstLine="0"/>
              <w:jc w:val="center"/>
              <w:rPr>
                <w:rFonts w:eastAsia="Times New Roman"/>
                <w:color w:val="000000"/>
                <w:sz w:val="20"/>
                <w:szCs w:val="20"/>
                <w:lang w:eastAsia="zh-CN"/>
              </w:rPr>
            </w:pPr>
            <w:r w:rsidRPr="00503BA6">
              <w:rPr>
                <w:rFonts w:eastAsia="Times New Roman"/>
                <w:color w:val="000000"/>
                <w:sz w:val="20"/>
                <w:szCs w:val="20"/>
                <w:lang w:eastAsia="zh-CN"/>
              </w:rPr>
              <w:t>0.11</w:t>
            </w:r>
          </w:p>
        </w:tc>
        <w:tc>
          <w:tcPr>
            <w:tcW w:w="0" w:type="auto"/>
            <w:tcBorders>
              <w:left w:val="double" w:sz="4" w:space="0" w:color="auto"/>
              <w:right w:val="nil"/>
            </w:tcBorders>
            <w:shd w:val="clear" w:color="auto" w:fill="auto"/>
            <w:noWrap/>
            <w:vAlign w:val="center"/>
          </w:tcPr>
          <w:p w14:paraId="15FC7527"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p>
        </w:tc>
        <w:tc>
          <w:tcPr>
            <w:tcW w:w="0" w:type="auto"/>
            <w:tcBorders>
              <w:left w:val="nil"/>
              <w:right w:val="double" w:sz="4" w:space="0" w:color="auto"/>
            </w:tcBorders>
            <w:shd w:val="clear" w:color="auto" w:fill="auto"/>
            <w:noWrap/>
            <w:vAlign w:val="center"/>
          </w:tcPr>
          <w:p w14:paraId="11272273" w14:textId="77777777" w:rsidR="00503BA6" w:rsidRPr="00503BA6" w:rsidRDefault="00503BA6" w:rsidP="00503BA6">
            <w:pPr>
              <w:spacing w:line="240" w:lineRule="auto"/>
              <w:ind w:left="-140" w:right="-68" w:firstLine="0"/>
              <w:jc w:val="center"/>
              <w:rPr>
                <w:rFonts w:eastAsia="Times New Roman"/>
                <w:color w:val="000000"/>
                <w:sz w:val="20"/>
                <w:szCs w:val="20"/>
                <w:lang w:eastAsia="zh-CN"/>
              </w:rPr>
            </w:pPr>
            <w:r w:rsidRPr="00503BA6">
              <w:rPr>
                <w:rFonts w:eastAsia="Times New Roman"/>
                <w:color w:val="000000"/>
                <w:sz w:val="20"/>
                <w:szCs w:val="20"/>
                <w:lang w:eastAsia="zh-CN"/>
              </w:rPr>
              <w:t>0.03</w:t>
            </w:r>
          </w:p>
        </w:tc>
        <w:tc>
          <w:tcPr>
            <w:tcW w:w="0" w:type="auto"/>
            <w:tcBorders>
              <w:left w:val="double" w:sz="4" w:space="0" w:color="auto"/>
              <w:right w:val="nil"/>
            </w:tcBorders>
            <w:shd w:val="clear" w:color="auto" w:fill="auto"/>
            <w:noWrap/>
            <w:vAlign w:val="center"/>
          </w:tcPr>
          <w:p w14:paraId="256161FB" w14:textId="77777777" w:rsidR="00503BA6" w:rsidRPr="00503BA6" w:rsidRDefault="00503BA6" w:rsidP="00503BA6">
            <w:pPr>
              <w:spacing w:line="240" w:lineRule="auto"/>
              <w:ind w:left="-32" w:right="-22" w:firstLine="0"/>
              <w:jc w:val="center"/>
              <w:rPr>
                <w:rFonts w:eastAsia="Times New Roman"/>
                <w:color w:val="000000"/>
                <w:sz w:val="20"/>
                <w:szCs w:val="20"/>
                <w:lang w:eastAsia="zh-CN"/>
              </w:rPr>
            </w:pPr>
          </w:p>
        </w:tc>
        <w:tc>
          <w:tcPr>
            <w:tcW w:w="0" w:type="auto"/>
            <w:tcBorders>
              <w:left w:val="nil"/>
              <w:right w:val="nil"/>
            </w:tcBorders>
            <w:shd w:val="clear" w:color="auto" w:fill="auto"/>
            <w:noWrap/>
            <w:vAlign w:val="center"/>
          </w:tcPr>
          <w:p w14:paraId="23F8A99C" w14:textId="77777777" w:rsidR="00503BA6" w:rsidRPr="00503BA6" w:rsidRDefault="00503BA6" w:rsidP="00503BA6">
            <w:pPr>
              <w:spacing w:line="240" w:lineRule="auto"/>
              <w:ind w:left="-108" w:right="-97"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r>
    </w:tbl>
    <w:p w14:paraId="223F143B" w14:textId="77777777" w:rsidR="00D529FE" w:rsidRDefault="00D529FE" w:rsidP="00D529FE">
      <w:pPr>
        <w:ind w:firstLine="0"/>
        <w:jc w:val="center"/>
      </w:pPr>
      <w:bookmarkStart w:id="75" w:name="_Ref361664329"/>
      <w:bookmarkStart w:id="76" w:name="_Toc459076659"/>
    </w:p>
    <w:p w14:paraId="352FE389" w14:textId="77777777" w:rsidR="00503BA6" w:rsidRPr="00503BA6" w:rsidRDefault="00503BA6" w:rsidP="009D0201">
      <w:pPr>
        <w:pStyle w:val="Caption"/>
        <w:rPr>
          <w:b/>
        </w:rPr>
      </w:pPr>
      <w:r>
        <w:t xml:space="preserve">Table </w:t>
      </w:r>
      <w:fldSimple w:instr=" SEQ Table \* ARABIC ">
        <w:r w:rsidR="00656B13">
          <w:rPr>
            <w:noProof/>
          </w:rPr>
          <w:t>2</w:t>
        </w:r>
      </w:fldSimple>
      <w:bookmarkEnd w:id="75"/>
      <w:r w:rsidRPr="00503BA6">
        <w:t>: Comparison of Predicted Voltage Angles</w:t>
      </w:r>
      <w:bookmarkEnd w:id="7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1097"/>
        <w:gridCol w:w="881"/>
        <w:gridCol w:w="546"/>
        <w:gridCol w:w="817"/>
        <w:gridCol w:w="610"/>
        <w:gridCol w:w="896"/>
        <w:gridCol w:w="715"/>
      </w:tblGrid>
      <w:tr w:rsidR="00503BA6" w:rsidRPr="00503BA6" w14:paraId="4069E2FD" w14:textId="77777777" w:rsidTr="00503BA6">
        <w:trPr>
          <w:trHeight w:val="288"/>
          <w:jc w:val="center"/>
        </w:trPr>
        <w:tc>
          <w:tcPr>
            <w:tcW w:w="0" w:type="auto"/>
            <w:vMerge w:val="restart"/>
            <w:tcBorders>
              <w:left w:val="nil"/>
            </w:tcBorders>
            <w:shd w:val="clear" w:color="auto" w:fill="auto"/>
            <w:noWrap/>
            <w:vAlign w:val="center"/>
            <w:hideMark/>
          </w:tcPr>
          <w:p w14:paraId="0938C14F"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Bus </w:t>
            </w:r>
          </w:p>
          <w:p w14:paraId="615CB290"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No</w:t>
            </w:r>
          </w:p>
        </w:tc>
        <w:tc>
          <w:tcPr>
            <w:tcW w:w="0" w:type="auto"/>
            <w:vMerge w:val="restart"/>
            <w:tcBorders>
              <w:right w:val="double" w:sz="4" w:space="0" w:color="auto"/>
            </w:tcBorders>
            <w:shd w:val="clear" w:color="auto" w:fill="auto"/>
            <w:noWrap/>
            <w:vAlign w:val="center"/>
            <w:hideMark/>
          </w:tcPr>
          <w:p w14:paraId="3C3B275D" w14:textId="77777777" w:rsidR="00503BA6" w:rsidRPr="00503BA6" w:rsidRDefault="00503BA6" w:rsidP="00503BA6">
            <w:pPr>
              <w:spacing w:line="240" w:lineRule="auto"/>
              <w:ind w:left="-108" w:right="-54" w:firstLine="0"/>
              <w:jc w:val="center"/>
              <w:rPr>
                <w:rFonts w:eastAsia="Times New Roman"/>
                <w:color w:val="000000"/>
                <w:sz w:val="20"/>
                <w:szCs w:val="20"/>
                <w:lang w:eastAsia="zh-CN"/>
              </w:rPr>
            </w:pPr>
            <w:r w:rsidRPr="00503BA6">
              <w:rPr>
                <w:rFonts w:eastAsia="Times New Roman"/>
                <w:color w:val="000000"/>
                <w:sz w:val="20"/>
                <w:szCs w:val="20"/>
                <w:lang w:eastAsia="zh-CN"/>
              </w:rPr>
              <w:t>Exact Value</w:t>
            </w:r>
          </w:p>
          <w:p w14:paraId="4461E796" w14:textId="77777777" w:rsidR="00503BA6" w:rsidRPr="00503BA6" w:rsidRDefault="00503BA6" w:rsidP="00503BA6">
            <w:pPr>
              <w:spacing w:line="240" w:lineRule="auto"/>
              <w:ind w:left="-108" w:right="-54" w:firstLine="0"/>
              <w:jc w:val="center"/>
              <w:rPr>
                <w:rFonts w:eastAsia="Times New Roman"/>
                <w:color w:val="000000"/>
                <w:sz w:val="20"/>
                <w:szCs w:val="20"/>
                <w:lang w:eastAsia="zh-CN"/>
              </w:rPr>
            </w:pPr>
            <w:r w:rsidRPr="00503BA6">
              <w:rPr>
                <w:rFonts w:eastAsia="Times New Roman"/>
                <w:color w:val="000000"/>
                <w:sz w:val="20"/>
                <w:szCs w:val="20"/>
                <w:lang w:eastAsia="zh-CN"/>
              </w:rPr>
              <w:t>(degree)</w:t>
            </w:r>
          </w:p>
        </w:tc>
        <w:tc>
          <w:tcPr>
            <w:tcW w:w="0" w:type="auto"/>
            <w:gridSpan w:val="2"/>
            <w:tcBorders>
              <w:left w:val="double" w:sz="4" w:space="0" w:color="auto"/>
              <w:right w:val="double" w:sz="4" w:space="0" w:color="auto"/>
            </w:tcBorders>
            <w:shd w:val="clear" w:color="auto" w:fill="auto"/>
            <w:noWrap/>
            <w:vAlign w:val="center"/>
            <w:hideMark/>
          </w:tcPr>
          <w:p w14:paraId="7AFE464C" w14:textId="77777777" w:rsidR="00503BA6" w:rsidRPr="00503BA6" w:rsidRDefault="00503BA6" w:rsidP="00BB70A1">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Method in </w:t>
            </w:r>
            <w:r w:rsidR="00BB70A1">
              <w:rPr>
                <w:rFonts w:eastAsia="Times New Roman"/>
                <w:color w:val="000000"/>
                <w:sz w:val="20"/>
                <w:szCs w:val="20"/>
                <w:lang w:eastAsia="zh-CN"/>
              </w:rPr>
              <w:fldChar w:fldCharType="begin" w:fldLock="1"/>
            </w:r>
            <w:r w:rsidR="00351740">
              <w:rPr>
                <w:rFonts w:eastAsia="Times New Roman"/>
                <w:color w:val="000000"/>
                <w:sz w:val="20"/>
                <w:szCs w:val="20"/>
                <w:lang w:eastAsia="zh-CN"/>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BB70A1">
              <w:rPr>
                <w:rFonts w:eastAsia="Times New Roman"/>
                <w:color w:val="000000"/>
                <w:sz w:val="20"/>
                <w:szCs w:val="20"/>
                <w:lang w:eastAsia="zh-CN"/>
              </w:rPr>
              <w:fldChar w:fldCharType="separate"/>
            </w:r>
            <w:r w:rsidR="00DD7036" w:rsidRPr="00DD7036">
              <w:rPr>
                <w:rFonts w:eastAsia="Times New Roman"/>
                <w:noProof/>
                <w:color w:val="000000"/>
                <w:sz w:val="20"/>
                <w:szCs w:val="20"/>
                <w:lang w:eastAsia="zh-CN"/>
              </w:rPr>
              <w:t>[41]</w:t>
            </w:r>
            <w:r w:rsidR="00BB70A1">
              <w:rPr>
                <w:rFonts w:eastAsia="Times New Roman"/>
                <w:color w:val="000000"/>
                <w:sz w:val="20"/>
                <w:szCs w:val="20"/>
                <w:lang w:eastAsia="zh-CN"/>
              </w:rPr>
              <w:fldChar w:fldCharType="end"/>
            </w:r>
          </w:p>
        </w:tc>
        <w:tc>
          <w:tcPr>
            <w:tcW w:w="0" w:type="auto"/>
            <w:gridSpan w:val="2"/>
            <w:tcBorders>
              <w:left w:val="double" w:sz="4" w:space="0" w:color="auto"/>
              <w:right w:val="double" w:sz="4" w:space="0" w:color="auto"/>
            </w:tcBorders>
            <w:shd w:val="clear" w:color="auto" w:fill="auto"/>
            <w:noWrap/>
            <w:vAlign w:val="center"/>
            <w:hideMark/>
          </w:tcPr>
          <w:p w14:paraId="07DBC587" w14:textId="77777777" w:rsidR="00503BA6" w:rsidRPr="00503BA6" w:rsidRDefault="00503BA6" w:rsidP="00BB70A1">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Method in </w:t>
            </w:r>
            <w:r w:rsidR="00BB70A1">
              <w:rPr>
                <w:rFonts w:eastAsia="Times New Roman"/>
                <w:color w:val="000000"/>
                <w:sz w:val="20"/>
                <w:szCs w:val="20"/>
                <w:lang w:eastAsia="zh-CN"/>
              </w:rPr>
              <w:fldChar w:fldCharType="begin" w:fldLock="1"/>
            </w:r>
            <w:r w:rsidR="00351740">
              <w:rPr>
                <w:rFonts w:eastAsia="Times New Roman"/>
                <w:color w:val="000000"/>
                <w:sz w:val="20"/>
                <w:szCs w:val="20"/>
                <w:lang w:eastAsia="zh-CN"/>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rFonts w:eastAsia="Times New Roman"/>
                <w:color w:val="000000"/>
                <w:sz w:val="20"/>
                <w:szCs w:val="20"/>
                <w:lang w:eastAsia="zh-CN"/>
              </w:rPr>
              <w:fldChar w:fldCharType="separate"/>
            </w:r>
            <w:r w:rsidR="00DD7036" w:rsidRPr="00DD7036">
              <w:rPr>
                <w:rFonts w:eastAsia="Times New Roman"/>
                <w:noProof/>
                <w:color w:val="000000"/>
                <w:sz w:val="20"/>
                <w:szCs w:val="20"/>
                <w:lang w:eastAsia="zh-CN"/>
              </w:rPr>
              <w:t>[42]</w:t>
            </w:r>
            <w:r w:rsidR="00BB70A1">
              <w:rPr>
                <w:rFonts w:eastAsia="Times New Roman"/>
                <w:color w:val="000000"/>
                <w:sz w:val="20"/>
                <w:szCs w:val="20"/>
                <w:lang w:eastAsia="zh-CN"/>
              </w:rPr>
              <w:fldChar w:fldCharType="end"/>
            </w:r>
          </w:p>
        </w:tc>
        <w:tc>
          <w:tcPr>
            <w:tcW w:w="0" w:type="auto"/>
            <w:gridSpan w:val="2"/>
            <w:tcBorders>
              <w:left w:val="double" w:sz="4" w:space="0" w:color="auto"/>
              <w:right w:val="nil"/>
            </w:tcBorders>
            <w:shd w:val="clear" w:color="auto" w:fill="auto"/>
            <w:noWrap/>
            <w:vAlign w:val="center"/>
            <w:hideMark/>
          </w:tcPr>
          <w:p w14:paraId="15357F86"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Proposed method</w:t>
            </w:r>
          </w:p>
        </w:tc>
      </w:tr>
      <w:tr w:rsidR="00503BA6" w:rsidRPr="00503BA6" w14:paraId="13EFF172" w14:textId="77777777" w:rsidTr="00503BA6">
        <w:trPr>
          <w:trHeight w:val="288"/>
          <w:jc w:val="center"/>
        </w:trPr>
        <w:tc>
          <w:tcPr>
            <w:tcW w:w="0" w:type="auto"/>
            <w:vMerge/>
            <w:tcBorders>
              <w:left w:val="nil"/>
            </w:tcBorders>
            <w:vAlign w:val="center"/>
            <w:hideMark/>
          </w:tcPr>
          <w:p w14:paraId="3935DD4D"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p>
        </w:tc>
        <w:tc>
          <w:tcPr>
            <w:tcW w:w="0" w:type="auto"/>
            <w:vMerge/>
            <w:tcBorders>
              <w:right w:val="double" w:sz="4" w:space="0" w:color="auto"/>
            </w:tcBorders>
            <w:vAlign w:val="center"/>
            <w:hideMark/>
          </w:tcPr>
          <w:p w14:paraId="6277A132" w14:textId="77777777" w:rsidR="00503BA6" w:rsidRPr="00503BA6" w:rsidRDefault="00503BA6" w:rsidP="00503BA6">
            <w:pPr>
              <w:spacing w:line="240" w:lineRule="auto"/>
              <w:ind w:left="-108" w:firstLine="0"/>
              <w:jc w:val="center"/>
              <w:rPr>
                <w:rFonts w:eastAsia="Times New Roman"/>
                <w:color w:val="000000"/>
                <w:sz w:val="20"/>
                <w:szCs w:val="20"/>
                <w:lang w:eastAsia="zh-CN"/>
              </w:rPr>
            </w:pPr>
          </w:p>
        </w:tc>
        <w:tc>
          <w:tcPr>
            <w:tcW w:w="0" w:type="auto"/>
            <w:tcBorders>
              <w:left w:val="double" w:sz="4" w:space="0" w:color="auto"/>
            </w:tcBorders>
            <w:shd w:val="clear" w:color="auto" w:fill="auto"/>
            <w:noWrap/>
            <w:vAlign w:val="center"/>
            <w:hideMark/>
          </w:tcPr>
          <w:p w14:paraId="226FED48" w14:textId="77777777" w:rsidR="00503BA6" w:rsidRPr="00503BA6" w:rsidRDefault="00503BA6" w:rsidP="00503BA6">
            <w:pPr>
              <w:spacing w:line="240" w:lineRule="auto"/>
              <w:ind w:left="-20" w:right="-113"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Predict </w:t>
            </w:r>
          </w:p>
          <w:p w14:paraId="3AEEAF22" w14:textId="77777777" w:rsidR="00503BA6" w:rsidRPr="00503BA6" w:rsidRDefault="00503BA6" w:rsidP="00503BA6">
            <w:pPr>
              <w:spacing w:line="240" w:lineRule="auto"/>
              <w:ind w:left="-20" w:right="-113" w:firstLine="0"/>
              <w:jc w:val="center"/>
              <w:rPr>
                <w:rFonts w:eastAsia="Times New Roman"/>
                <w:color w:val="000000"/>
                <w:sz w:val="20"/>
                <w:szCs w:val="20"/>
                <w:lang w:eastAsia="zh-CN"/>
              </w:rPr>
            </w:pPr>
            <w:r w:rsidRPr="00503BA6">
              <w:rPr>
                <w:rFonts w:eastAsia="Times New Roman"/>
                <w:color w:val="000000"/>
                <w:sz w:val="20"/>
                <w:szCs w:val="20"/>
                <w:lang w:eastAsia="zh-CN"/>
              </w:rPr>
              <w:t>(degree)</w:t>
            </w:r>
          </w:p>
        </w:tc>
        <w:tc>
          <w:tcPr>
            <w:tcW w:w="0" w:type="auto"/>
            <w:tcBorders>
              <w:right w:val="double" w:sz="4" w:space="0" w:color="auto"/>
            </w:tcBorders>
            <w:shd w:val="clear" w:color="auto" w:fill="auto"/>
            <w:noWrap/>
            <w:vAlign w:val="center"/>
            <w:hideMark/>
          </w:tcPr>
          <w:p w14:paraId="71C18C3B"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|Error| </w:t>
            </w:r>
          </w:p>
          <w:p w14:paraId="292DAE51"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58852F11"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Predict </w:t>
            </w:r>
          </w:p>
          <w:p w14:paraId="086B909F"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(degree)</w:t>
            </w:r>
          </w:p>
        </w:tc>
        <w:tc>
          <w:tcPr>
            <w:tcW w:w="0" w:type="auto"/>
            <w:tcBorders>
              <w:right w:val="double" w:sz="4" w:space="0" w:color="auto"/>
            </w:tcBorders>
            <w:shd w:val="clear" w:color="auto" w:fill="auto"/>
            <w:noWrap/>
            <w:vAlign w:val="center"/>
            <w:hideMark/>
          </w:tcPr>
          <w:p w14:paraId="2197D764"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|Error|</w:t>
            </w:r>
          </w:p>
          <w:p w14:paraId="592ED092"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7404688C"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Predict </w:t>
            </w:r>
          </w:p>
          <w:p w14:paraId="682BB832"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(degree)</w:t>
            </w:r>
          </w:p>
        </w:tc>
        <w:tc>
          <w:tcPr>
            <w:tcW w:w="0" w:type="auto"/>
            <w:tcBorders>
              <w:right w:val="nil"/>
            </w:tcBorders>
            <w:shd w:val="clear" w:color="auto" w:fill="auto"/>
            <w:noWrap/>
            <w:vAlign w:val="center"/>
            <w:hideMark/>
          </w:tcPr>
          <w:p w14:paraId="70464162"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|Error| </w:t>
            </w:r>
          </w:p>
          <w:p w14:paraId="52474A08"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06E0141E" w14:textId="77777777" w:rsidTr="00503BA6">
        <w:trPr>
          <w:trHeight w:val="288"/>
          <w:jc w:val="center"/>
        </w:trPr>
        <w:tc>
          <w:tcPr>
            <w:tcW w:w="0" w:type="auto"/>
            <w:tcBorders>
              <w:left w:val="nil"/>
            </w:tcBorders>
            <w:shd w:val="clear" w:color="auto" w:fill="auto"/>
            <w:noWrap/>
            <w:vAlign w:val="center"/>
            <w:hideMark/>
          </w:tcPr>
          <w:p w14:paraId="770E6266"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w:t>
            </w:r>
          </w:p>
        </w:tc>
        <w:tc>
          <w:tcPr>
            <w:tcW w:w="0" w:type="auto"/>
            <w:tcBorders>
              <w:right w:val="double" w:sz="4" w:space="0" w:color="auto"/>
            </w:tcBorders>
            <w:shd w:val="clear" w:color="auto" w:fill="auto"/>
            <w:noWrap/>
            <w:vAlign w:val="center"/>
            <w:hideMark/>
          </w:tcPr>
          <w:p w14:paraId="7DE1E7E6"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0.0000</w:t>
            </w:r>
          </w:p>
        </w:tc>
        <w:tc>
          <w:tcPr>
            <w:tcW w:w="0" w:type="auto"/>
            <w:tcBorders>
              <w:left w:val="double" w:sz="4" w:space="0" w:color="auto"/>
            </w:tcBorders>
            <w:shd w:val="clear" w:color="auto" w:fill="auto"/>
            <w:noWrap/>
            <w:vAlign w:val="center"/>
            <w:hideMark/>
          </w:tcPr>
          <w:p w14:paraId="5E8A64B4"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0.0000</w:t>
            </w:r>
          </w:p>
        </w:tc>
        <w:tc>
          <w:tcPr>
            <w:tcW w:w="0" w:type="auto"/>
            <w:tcBorders>
              <w:right w:val="double" w:sz="4" w:space="0" w:color="auto"/>
            </w:tcBorders>
            <w:shd w:val="clear" w:color="auto" w:fill="auto"/>
            <w:noWrap/>
            <w:vAlign w:val="center"/>
            <w:hideMark/>
          </w:tcPr>
          <w:p w14:paraId="7E463ADB"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c>
          <w:tcPr>
            <w:tcW w:w="0" w:type="auto"/>
            <w:tcBorders>
              <w:left w:val="double" w:sz="4" w:space="0" w:color="auto"/>
            </w:tcBorders>
            <w:shd w:val="clear" w:color="auto" w:fill="auto"/>
            <w:noWrap/>
            <w:vAlign w:val="center"/>
            <w:hideMark/>
          </w:tcPr>
          <w:p w14:paraId="674CF238"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0.0000</w:t>
            </w:r>
          </w:p>
        </w:tc>
        <w:tc>
          <w:tcPr>
            <w:tcW w:w="0" w:type="auto"/>
            <w:tcBorders>
              <w:right w:val="double" w:sz="4" w:space="0" w:color="auto"/>
            </w:tcBorders>
            <w:shd w:val="clear" w:color="auto" w:fill="auto"/>
            <w:noWrap/>
            <w:vAlign w:val="center"/>
            <w:hideMark/>
          </w:tcPr>
          <w:p w14:paraId="0DF5488E"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0.00</w:t>
            </w:r>
          </w:p>
        </w:tc>
        <w:tc>
          <w:tcPr>
            <w:tcW w:w="0" w:type="auto"/>
            <w:tcBorders>
              <w:left w:val="double" w:sz="4" w:space="0" w:color="auto"/>
            </w:tcBorders>
            <w:shd w:val="clear" w:color="auto" w:fill="auto"/>
            <w:noWrap/>
            <w:vAlign w:val="center"/>
            <w:hideMark/>
          </w:tcPr>
          <w:p w14:paraId="15ED2CE1"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0.0000</w:t>
            </w:r>
          </w:p>
        </w:tc>
        <w:tc>
          <w:tcPr>
            <w:tcW w:w="0" w:type="auto"/>
            <w:tcBorders>
              <w:right w:val="nil"/>
            </w:tcBorders>
            <w:shd w:val="clear" w:color="auto" w:fill="auto"/>
            <w:noWrap/>
            <w:vAlign w:val="center"/>
            <w:hideMark/>
          </w:tcPr>
          <w:p w14:paraId="46DF7D8B"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w:t>
            </w:r>
          </w:p>
        </w:tc>
      </w:tr>
      <w:tr w:rsidR="00503BA6" w:rsidRPr="00503BA6" w14:paraId="3BF7C16E" w14:textId="77777777" w:rsidTr="00503BA6">
        <w:trPr>
          <w:trHeight w:val="216"/>
          <w:jc w:val="center"/>
        </w:trPr>
        <w:tc>
          <w:tcPr>
            <w:tcW w:w="0" w:type="auto"/>
            <w:tcBorders>
              <w:left w:val="nil"/>
            </w:tcBorders>
            <w:shd w:val="clear" w:color="auto" w:fill="auto"/>
            <w:noWrap/>
            <w:vAlign w:val="center"/>
            <w:hideMark/>
          </w:tcPr>
          <w:p w14:paraId="5D707579"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2</w:t>
            </w:r>
          </w:p>
        </w:tc>
        <w:tc>
          <w:tcPr>
            <w:tcW w:w="0" w:type="auto"/>
            <w:tcBorders>
              <w:right w:val="double" w:sz="4" w:space="0" w:color="auto"/>
            </w:tcBorders>
            <w:shd w:val="clear" w:color="auto" w:fill="auto"/>
            <w:noWrap/>
            <w:vAlign w:val="center"/>
            <w:hideMark/>
          </w:tcPr>
          <w:p w14:paraId="3E579419"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-4.5038</w:t>
            </w:r>
          </w:p>
        </w:tc>
        <w:tc>
          <w:tcPr>
            <w:tcW w:w="0" w:type="auto"/>
            <w:tcBorders>
              <w:left w:val="double" w:sz="4" w:space="0" w:color="auto"/>
            </w:tcBorders>
            <w:shd w:val="clear" w:color="auto" w:fill="auto"/>
            <w:noWrap/>
            <w:vAlign w:val="center"/>
            <w:hideMark/>
          </w:tcPr>
          <w:p w14:paraId="40D96790"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-4.6946</w:t>
            </w:r>
          </w:p>
        </w:tc>
        <w:tc>
          <w:tcPr>
            <w:tcW w:w="0" w:type="auto"/>
            <w:tcBorders>
              <w:right w:val="double" w:sz="4" w:space="0" w:color="auto"/>
            </w:tcBorders>
            <w:shd w:val="clear" w:color="auto" w:fill="auto"/>
            <w:noWrap/>
            <w:vAlign w:val="center"/>
            <w:hideMark/>
          </w:tcPr>
          <w:p w14:paraId="6F66C90A"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4.24</w:t>
            </w:r>
          </w:p>
        </w:tc>
        <w:tc>
          <w:tcPr>
            <w:tcW w:w="0" w:type="auto"/>
            <w:tcBorders>
              <w:left w:val="double" w:sz="4" w:space="0" w:color="auto"/>
            </w:tcBorders>
            <w:shd w:val="clear" w:color="auto" w:fill="auto"/>
            <w:noWrap/>
            <w:vAlign w:val="center"/>
            <w:hideMark/>
          </w:tcPr>
          <w:p w14:paraId="553B7AA5"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-4.4792</w:t>
            </w:r>
          </w:p>
        </w:tc>
        <w:tc>
          <w:tcPr>
            <w:tcW w:w="0" w:type="auto"/>
            <w:tcBorders>
              <w:right w:val="double" w:sz="4" w:space="0" w:color="auto"/>
            </w:tcBorders>
            <w:shd w:val="clear" w:color="auto" w:fill="auto"/>
            <w:noWrap/>
            <w:vAlign w:val="center"/>
            <w:hideMark/>
          </w:tcPr>
          <w:p w14:paraId="65DCE913"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0.55</w:t>
            </w:r>
          </w:p>
        </w:tc>
        <w:tc>
          <w:tcPr>
            <w:tcW w:w="0" w:type="auto"/>
            <w:tcBorders>
              <w:left w:val="double" w:sz="4" w:space="0" w:color="auto"/>
            </w:tcBorders>
            <w:shd w:val="clear" w:color="auto" w:fill="auto"/>
            <w:noWrap/>
            <w:vAlign w:val="center"/>
            <w:hideMark/>
          </w:tcPr>
          <w:p w14:paraId="66E675A3"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-4.4805</w:t>
            </w:r>
          </w:p>
        </w:tc>
        <w:tc>
          <w:tcPr>
            <w:tcW w:w="0" w:type="auto"/>
            <w:tcBorders>
              <w:right w:val="nil"/>
            </w:tcBorders>
            <w:shd w:val="clear" w:color="auto" w:fill="auto"/>
            <w:noWrap/>
            <w:vAlign w:val="center"/>
            <w:hideMark/>
          </w:tcPr>
          <w:p w14:paraId="323BD218"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0.52</w:t>
            </w:r>
          </w:p>
        </w:tc>
      </w:tr>
      <w:tr w:rsidR="00503BA6" w:rsidRPr="00503BA6" w14:paraId="3F84A068" w14:textId="77777777" w:rsidTr="00503BA6">
        <w:trPr>
          <w:trHeight w:val="216"/>
          <w:jc w:val="center"/>
        </w:trPr>
        <w:tc>
          <w:tcPr>
            <w:tcW w:w="0" w:type="auto"/>
            <w:tcBorders>
              <w:left w:val="nil"/>
            </w:tcBorders>
            <w:shd w:val="clear" w:color="auto" w:fill="auto"/>
            <w:noWrap/>
            <w:vAlign w:val="center"/>
            <w:hideMark/>
          </w:tcPr>
          <w:p w14:paraId="2AC46337"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3</w:t>
            </w:r>
          </w:p>
        </w:tc>
        <w:tc>
          <w:tcPr>
            <w:tcW w:w="0" w:type="auto"/>
            <w:tcBorders>
              <w:right w:val="double" w:sz="4" w:space="0" w:color="auto"/>
            </w:tcBorders>
            <w:shd w:val="clear" w:color="auto" w:fill="auto"/>
            <w:noWrap/>
            <w:vAlign w:val="center"/>
            <w:hideMark/>
          </w:tcPr>
          <w:p w14:paraId="4B1F0F0B"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-14.131</w:t>
            </w:r>
          </w:p>
        </w:tc>
        <w:tc>
          <w:tcPr>
            <w:tcW w:w="0" w:type="auto"/>
            <w:tcBorders>
              <w:left w:val="double" w:sz="4" w:space="0" w:color="auto"/>
            </w:tcBorders>
            <w:shd w:val="clear" w:color="auto" w:fill="auto"/>
            <w:noWrap/>
            <w:vAlign w:val="center"/>
            <w:hideMark/>
          </w:tcPr>
          <w:p w14:paraId="0190FF94"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-13.601</w:t>
            </w:r>
          </w:p>
        </w:tc>
        <w:tc>
          <w:tcPr>
            <w:tcW w:w="0" w:type="auto"/>
            <w:tcBorders>
              <w:right w:val="double" w:sz="4" w:space="0" w:color="auto"/>
            </w:tcBorders>
            <w:shd w:val="clear" w:color="auto" w:fill="auto"/>
            <w:noWrap/>
            <w:vAlign w:val="center"/>
            <w:hideMark/>
          </w:tcPr>
          <w:p w14:paraId="32A9776E"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3.75</w:t>
            </w:r>
          </w:p>
        </w:tc>
        <w:tc>
          <w:tcPr>
            <w:tcW w:w="0" w:type="auto"/>
            <w:tcBorders>
              <w:left w:val="double" w:sz="4" w:space="0" w:color="auto"/>
            </w:tcBorders>
            <w:shd w:val="clear" w:color="auto" w:fill="auto"/>
            <w:noWrap/>
            <w:vAlign w:val="center"/>
            <w:hideMark/>
          </w:tcPr>
          <w:p w14:paraId="2A578650"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-14.069</w:t>
            </w:r>
          </w:p>
        </w:tc>
        <w:tc>
          <w:tcPr>
            <w:tcW w:w="0" w:type="auto"/>
            <w:tcBorders>
              <w:right w:val="double" w:sz="4" w:space="0" w:color="auto"/>
            </w:tcBorders>
            <w:shd w:val="clear" w:color="auto" w:fill="auto"/>
            <w:noWrap/>
            <w:vAlign w:val="center"/>
            <w:hideMark/>
          </w:tcPr>
          <w:p w14:paraId="7AC877C0"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0.44</w:t>
            </w:r>
          </w:p>
        </w:tc>
        <w:tc>
          <w:tcPr>
            <w:tcW w:w="0" w:type="auto"/>
            <w:tcBorders>
              <w:left w:val="double" w:sz="4" w:space="0" w:color="auto"/>
            </w:tcBorders>
            <w:shd w:val="clear" w:color="auto" w:fill="auto"/>
            <w:noWrap/>
            <w:vAlign w:val="center"/>
            <w:hideMark/>
          </w:tcPr>
          <w:p w14:paraId="77A6EA49"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-14.075</w:t>
            </w:r>
          </w:p>
        </w:tc>
        <w:tc>
          <w:tcPr>
            <w:tcW w:w="0" w:type="auto"/>
            <w:tcBorders>
              <w:right w:val="nil"/>
            </w:tcBorders>
            <w:shd w:val="clear" w:color="auto" w:fill="auto"/>
            <w:noWrap/>
            <w:vAlign w:val="center"/>
            <w:hideMark/>
          </w:tcPr>
          <w:p w14:paraId="5976D98B"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0.40</w:t>
            </w:r>
          </w:p>
        </w:tc>
      </w:tr>
      <w:tr w:rsidR="00503BA6" w:rsidRPr="00503BA6" w14:paraId="0ABA0E89" w14:textId="77777777" w:rsidTr="00503BA6">
        <w:trPr>
          <w:trHeight w:val="216"/>
          <w:jc w:val="center"/>
        </w:trPr>
        <w:tc>
          <w:tcPr>
            <w:tcW w:w="0" w:type="auto"/>
            <w:tcBorders>
              <w:left w:val="nil"/>
            </w:tcBorders>
            <w:shd w:val="clear" w:color="auto" w:fill="auto"/>
            <w:noWrap/>
            <w:vAlign w:val="center"/>
            <w:hideMark/>
          </w:tcPr>
          <w:p w14:paraId="5E0A99BC"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4</w:t>
            </w:r>
          </w:p>
        </w:tc>
        <w:tc>
          <w:tcPr>
            <w:tcW w:w="0" w:type="auto"/>
            <w:tcBorders>
              <w:right w:val="double" w:sz="4" w:space="0" w:color="auto"/>
            </w:tcBorders>
            <w:shd w:val="clear" w:color="auto" w:fill="auto"/>
            <w:noWrap/>
            <w:vAlign w:val="center"/>
            <w:hideMark/>
          </w:tcPr>
          <w:p w14:paraId="57B8A6F9"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-13.234</w:t>
            </w:r>
          </w:p>
        </w:tc>
        <w:tc>
          <w:tcPr>
            <w:tcW w:w="0" w:type="auto"/>
            <w:tcBorders>
              <w:left w:val="double" w:sz="4" w:space="0" w:color="auto"/>
            </w:tcBorders>
            <w:shd w:val="clear" w:color="auto" w:fill="auto"/>
            <w:noWrap/>
            <w:vAlign w:val="center"/>
            <w:hideMark/>
          </w:tcPr>
          <w:p w14:paraId="61EA8AF4"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-12.092</w:t>
            </w:r>
          </w:p>
        </w:tc>
        <w:tc>
          <w:tcPr>
            <w:tcW w:w="0" w:type="auto"/>
            <w:tcBorders>
              <w:right w:val="double" w:sz="4" w:space="0" w:color="auto"/>
            </w:tcBorders>
            <w:shd w:val="clear" w:color="auto" w:fill="auto"/>
            <w:noWrap/>
            <w:vAlign w:val="center"/>
            <w:hideMark/>
          </w:tcPr>
          <w:p w14:paraId="7DE18D13"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8.62</w:t>
            </w:r>
          </w:p>
        </w:tc>
        <w:tc>
          <w:tcPr>
            <w:tcW w:w="0" w:type="auto"/>
            <w:tcBorders>
              <w:left w:val="double" w:sz="4" w:space="0" w:color="auto"/>
            </w:tcBorders>
            <w:shd w:val="clear" w:color="auto" w:fill="auto"/>
            <w:noWrap/>
            <w:vAlign w:val="center"/>
            <w:hideMark/>
          </w:tcPr>
          <w:p w14:paraId="50EE1B52"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-13.160</w:t>
            </w:r>
          </w:p>
        </w:tc>
        <w:tc>
          <w:tcPr>
            <w:tcW w:w="0" w:type="auto"/>
            <w:tcBorders>
              <w:right w:val="double" w:sz="4" w:space="0" w:color="auto"/>
            </w:tcBorders>
            <w:shd w:val="clear" w:color="auto" w:fill="auto"/>
            <w:noWrap/>
            <w:vAlign w:val="center"/>
            <w:hideMark/>
          </w:tcPr>
          <w:p w14:paraId="599AF7B9"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0.55</w:t>
            </w:r>
          </w:p>
        </w:tc>
        <w:tc>
          <w:tcPr>
            <w:tcW w:w="0" w:type="auto"/>
            <w:tcBorders>
              <w:left w:val="double" w:sz="4" w:space="0" w:color="auto"/>
            </w:tcBorders>
            <w:shd w:val="clear" w:color="auto" w:fill="auto"/>
            <w:noWrap/>
            <w:vAlign w:val="center"/>
            <w:hideMark/>
          </w:tcPr>
          <w:p w14:paraId="291E535E"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-13.148</w:t>
            </w:r>
          </w:p>
        </w:tc>
        <w:tc>
          <w:tcPr>
            <w:tcW w:w="0" w:type="auto"/>
            <w:tcBorders>
              <w:right w:val="nil"/>
            </w:tcBorders>
            <w:shd w:val="clear" w:color="auto" w:fill="auto"/>
            <w:noWrap/>
            <w:vAlign w:val="center"/>
            <w:hideMark/>
          </w:tcPr>
          <w:p w14:paraId="0B710ADA"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0.65</w:t>
            </w:r>
          </w:p>
        </w:tc>
      </w:tr>
      <w:tr w:rsidR="00503BA6" w:rsidRPr="00503BA6" w14:paraId="19918C9D" w14:textId="77777777" w:rsidTr="00503BA6">
        <w:trPr>
          <w:trHeight w:val="216"/>
          <w:jc w:val="center"/>
        </w:trPr>
        <w:tc>
          <w:tcPr>
            <w:tcW w:w="0" w:type="auto"/>
            <w:tcBorders>
              <w:left w:val="nil"/>
            </w:tcBorders>
            <w:shd w:val="clear" w:color="auto" w:fill="auto"/>
            <w:noWrap/>
            <w:vAlign w:val="center"/>
            <w:hideMark/>
          </w:tcPr>
          <w:p w14:paraId="1ECC603C"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5</w:t>
            </w:r>
          </w:p>
        </w:tc>
        <w:tc>
          <w:tcPr>
            <w:tcW w:w="0" w:type="auto"/>
            <w:tcBorders>
              <w:right w:val="double" w:sz="4" w:space="0" w:color="auto"/>
            </w:tcBorders>
            <w:shd w:val="clear" w:color="auto" w:fill="auto"/>
            <w:noWrap/>
            <w:vAlign w:val="center"/>
            <w:hideMark/>
          </w:tcPr>
          <w:p w14:paraId="219495B2"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-10.765</w:t>
            </w:r>
          </w:p>
        </w:tc>
        <w:tc>
          <w:tcPr>
            <w:tcW w:w="0" w:type="auto"/>
            <w:tcBorders>
              <w:left w:val="double" w:sz="4" w:space="0" w:color="auto"/>
            </w:tcBorders>
            <w:shd w:val="clear" w:color="auto" w:fill="auto"/>
            <w:noWrap/>
            <w:vAlign w:val="center"/>
            <w:hideMark/>
          </w:tcPr>
          <w:p w14:paraId="5C3F9478"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-9.9934</w:t>
            </w:r>
          </w:p>
        </w:tc>
        <w:tc>
          <w:tcPr>
            <w:tcW w:w="0" w:type="auto"/>
            <w:tcBorders>
              <w:right w:val="double" w:sz="4" w:space="0" w:color="auto"/>
            </w:tcBorders>
            <w:shd w:val="clear" w:color="auto" w:fill="auto"/>
            <w:noWrap/>
            <w:vAlign w:val="center"/>
            <w:hideMark/>
          </w:tcPr>
          <w:p w14:paraId="0E2FB263"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7.17</w:t>
            </w:r>
          </w:p>
        </w:tc>
        <w:tc>
          <w:tcPr>
            <w:tcW w:w="0" w:type="auto"/>
            <w:tcBorders>
              <w:left w:val="double" w:sz="4" w:space="0" w:color="auto"/>
            </w:tcBorders>
            <w:shd w:val="clear" w:color="auto" w:fill="auto"/>
            <w:noWrap/>
            <w:vAlign w:val="center"/>
            <w:hideMark/>
          </w:tcPr>
          <w:p w14:paraId="56DB3DEE"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-10.713</w:t>
            </w:r>
          </w:p>
        </w:tc>
        <w:tc>
          <w:tcPr>
            <w:tcW w:w="0" w:type="auto"/>
            <w:tcBorders>
              <w:right w:val="double" w:sz="4" w:space="0" w:color="auto"/>
            </w:tcBorders>
            <w:shd w:val="clear" w:color="auto" w:fill="auto"/>
            <w:noWrap/>
            <w:vAlign w:val="center"/>
            <w:hideMark/>
          </w:tcPr>
          <w:p w14:paraId="33E3B59E"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0.49</w:t>
            </w:r>
          </w:p>
        </w:tc>
        <w:tc>
          <w:tcPr>
            <w:tcW w:w="0" w:type="auto"/>
            <w:tcBorders>
              <w:left w:val="double" w:sz="4" w:space="0" w:color="auto"/>
            </w:tcBorders>
            <w:shd w:val="clear" w:color="auto" w:fill="auto"/>
            <w:noWrap/>
            <w:vAlign w:val="center"/>
            <w:hideMark/>
          </w:tcPr>
          <w:p w14:paraId="41BB464A"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-10.706</w:t>
            </w:r>
          </w:p>
        </w:tc>
        <w:tc>
          <w:tcPr>
            <w:tcW w:w="0" w:type="auto"/>
            <w:tcBorders>
              <w:right w:val="nil"/>
            </w:tcBorders>
            <w:shd w:val="clear" w:color="auto" w:fill="auto"/>
            <w:noWrap/>
            <w:vAlign w:val="center"/>
            <w:hideMark/>
          </w:tcPr>
          <w:p w14:paraId="48846132"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0.55</w:t>
            </w:r>
          </w:p>
        </w:tc>
      </w:tr>
      <w:tr w:rsidR="00503BA6" w:rsidRPr="00503BA6" w14:paraId="4662F913" w14:textId="77777777" w:rsidTr="00503BA6">
        <w:trPr>
          <w:trHeight w:val="216"/>
          <w:jc w:val="center"/>
        </w:trPr>
        <w:tc>
          <w:tcPr>
            <w:tcW w:w="0" w:type="auto"/>
            <w:tcBorders>
              <w:left w:val="nil"/>
            </w:tcBorders>
            <w:shd w:val="clear" w:color="auto" w:fill="auto"/>
            <w:noWrap/>
            <w:vAlign w:val="center"/>
            <w:hideMark/>
          </w:tcPr>
          <w:p w14:paraId="7FCC2784"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6</w:t>
            </w:r>
          </w:p>
        </w:tc>
        <w:tc>
          <w:tcPr>
            <w:tcW w:w="0" w:type="auto"/>
            <w:tcBorders>
              <w:right w:val="double" w:sz="4" w:space="0" w:color="auto"/>
            </w:tcBorders>
            <w:shd w:val="clear" w:color="auto" w:fill="auto"/>
            <w:noWrap/>
            <w:vAlign w:val="center"/>
            <w:hideMark/>
          </w:tcPr>
          <w:p w14:paraId="5614F3E7"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-16.593</w:t>
            </w:r>
          </w:p>
        </w:tc>
        <w:tc>
          <w:tcPr>
            <w:tcW w:w="0" w:type="auto"/>
            <w:tcBorders>
              <w:left w:val="double" w:sz="4" w:space="0" w:color="auto"/>
            </w:tcBorders>
            <w:shd w:val="clear" w:color="auto" w:fill="auto"/>
            <w:noWrap/>
            <w:vAlign w:val="center"/>
            <w:hideMark/>
          </w:tcPr>
          <w:p w14:paraId="7CDDD5FB"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-15.683</w:t>
            </w:r>
          </w:p>
        </w:tc>
        <w:tc>
          <w:tcPr>
            <w:tcW w:w="0" w:type="auto"/>
            <w:tcBorders>
              <w:right w:val="double" w:sz="4" w:space="0" w:color="auto"/>
            </w:tcBorders>
            <w:shd w:val="clear" w:color="auto" w:fill="auto"/>
            <w:noWrap/>
            <w:vAlign w:val="center"/>
            <w:hideMark/>
          </w:tcPr>
          <w:p w14:paraId="6567020E"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5.49</w:t>
            </w:r>
          </w:p>
        </w:tc>
        <w:tc>
          <w:tcPr>
            <w:tcW w:w="0" w:type="auto"/>
            <w:tcBorders>
              <w:left w:val="double" w:sz="4" w:space="0" w:color="auto"/>
            </w:tcBorders>
            <w:shd w:val="clear" w:color="auto" w:fill="auto"/>
            <w:noWrap/>
            <w:vAlign w:val="center"/>
            <w:hideMark/>
          </w:tcPr>
          <w:p w14:paraId="3BC6C74D"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-16.526</w:t>
            </w:r>
          </w:p>
        </w:tc>
        <w:tc>
          <w:tcPr>
            <w:tcW w:w="0" w:type="auto"/>
            <w:tcBorders>
              <w:right w:val="double" w:sz="4" w:space="0" w:color="auto"/>
            </w:tcBorders>
            <w:shd w:val="clear" w:color="auto" w:fill="auto"/>
            <w:noWrap/>
            <w:vAlign w:val="center"/>
            <w:hideMark/>
          </w:tcPr>
          <w:p w14:paraId="53D8A43F"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0.41</w:t>
            </w:r>
          </w:p>
        </w:tc>
        <w:tc>
          <w:tcPr>
            <w:tcW w:w="0" w:type="auto"/>
            <w:tcBorders>
              <w:left w:val="double" w:sz="4" w:space="0" w:color="auto"/>
            </w:tcBorders>
            <w:shd w:val="clear" w:color="auto" w:fill="auto"/>
            <w:noWrap/>
            <w:vAlign w:val="center"/>
            <w:hideMark/>
          </w:tcPr>
          <w:p w14:paraId="3921E578"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-16.524</w:t>
            </w:r>
          </w:p>
        </w:tc>
        <w:tc>
          <w:tcPr>
            <w:tcW w:w="0" w:type="auto"/>
            <w:tcBorders>
              <w:right w:val="nil"/>
            </w:tcBorders>
            <w:shd w:val="clear" w:color="auto" w:fill="auto"/>
            <w:noWrap/>
            <w:vAlign w:val="center"/>
            <w:hideMark/>
          </w:tcPr>
          <w:p w14:paraId="646D0B9A"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0.42</w:t>
            </w:r>
          </w:p>
        </w:tc>
      </w:tr>
      <w:tr w:rsidR="00503BA6" w:rsidRPr="00503BA6" w14:paraId="4CD3A8EF" w14:textId="77777777" w:rsidTr="00503BA6">
        <w:trPr>
          <w:trHeight w:val="216"/>
          <w:jc w:val="center"/>
        </w:trPr>
        <w:tc>
          <w:tcPr>
            <w:tcW w:w="0" w:type="auto"/>
            <w:tcBorders>
              <w:left w:val="nil"/>
            </w:tcBorders>
            <w:shd w:val="clear" w:color="auto" w:fill="auto"/>
            <w:noWrap/>
            <w:vAlign w:val="center"/>
            <w:hideMark/>
          </w:tcPr>
          <w:p w14:paraId="5DFA177B"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7</w:t>
            </w:r>
          </w:p>
        </w:tc>
        <w:tc>
          <w:tcPr>
            <w:tcW w:w="0" w:type="auto"/>
            <w:tcBorders>
              <w:right w:val="double" w:sz="4" w:space="0" w:color="auto"/>
            </w:tcBorders>
            <w:shd w:val="clear" w:color="auto" w:fill="auto"/>
            <w:noWrap/>
            <w:vAlign w:val="center"/>
            <w:hideMark/>
          </w:tcPr>
          <w:p w14:paraId="5E63B1C2"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-16.145</w:t>
            </w:r>
          </w:p>
        </w:tc>
        <w:tc>
          <w:tcPr>
            <w:tcW w:w="0" w:type="auto"/>
            <w:tcBorders>
              <w:left w:val="double" w:sz="4" w:space="0" w:color="auto"/>
            </w:tcBorders>
            <w:shd w:val="clear" w:color="auto" w:fill="auto"/>
            <w:noWrap/>
            <w:vAlign w:val="center"/>
            <w:hideMark/>
          </w:tcPr>
          <w:p w14:paraId="31A744C8"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-15.062</w:t>
            </w:r>
          </w:p>
        </w:tc>
        <w:tc>
          <w:tcPr>
            <w:tcW w:w="0" w:type="auto"/>
            <w:tcBorders>
              <w:right w:val="double" w:sz="4" w:space="0" w:color="auto"/>
            </w:tcBorders>
            <w:shd w:val="clear" w:color="auto" w:fill="auto"/>
            <w:noWrap/>
            <w:vAlign w:val="center"/>
            <w:hideMark/>
          </w:tcPr>
          <w:p w14:paraId="7906764F"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6.71</w:t>
            </w:r>
          </w:p>
        </w:tc>
        <w:tc>
          <w:tcPr>
            <w:tcW w:w="0" w:type="auto"/>
            <w:tcBorders>
              <w:left w:val="double" w:sz="4" w:space="0" w:color="auto"/>
            </w:tcBorders>
            <w:shd w:val="clear" w:color="auto" w:fill="auto"/>
            <w:noWrap/>
            <w:vAlign w:val="center"/>
            <w:hideMark/>
          </w:tcPr>
          <w:p w14:paraId="07F5A3BF"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-16.074</w:t>
            </w:r>
          </w:p>
        </w:tc>
        <w:tc>
          <w:tcPr>
            <w:tcW w:w="0" w:type="auto"/>
            <w:tcBorders>
              <w:right w:val="double" w:sz="4" w:space="0" w:color="auto"/>
            </w:tcBorders>
            <w:shd w:val="clear" w:color="auto" w:fill="auto"/>
            <w:noWrap/>
            <w:vAlign w:val="center"/>
            <w:hideMark/>
          </w:tcPr>
          <w:p w14:paraId="7597915A"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0.44</w:t>
            </w:r>
          </w:p>
        </w:tc>
        <w:tc>
          <w:tcPr>
            <w:tcW w:w="0" w:type="auto"/>
            <w:tcBorders>
              <w:left w:val="double" w:sz="4" w:space="0" w:color="auto"/>
            </w:tcBorders>
            <w:shd w:val="clear" w:color="auto" w:fill="auto"/>
            <w:noWrap/>
            <w:vAlign w:val="center"/>
            <w:hideMark/>
          </w:tcPr>
          <w:p w14:paraId="52B02806"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-16.064</w:t>
            </w:r>
          </w:p>
        </w:tc>
        <w:tc>
          <w:tcPr>
            <w:tcW w:w="0" w:type="auto"/>
            <w:tcBorders>
              <w:right w:val="nil"/>
            </w:tcBorders>
            <w:shd w:val="clear" w:color="auto" w:fill="auto"/>
            <w:noWrap/>
            <w:vAlign w:val="center"/>
            <w:hideMark/>
          </w:tcPr>
          <w:p w14:paraId="4AFC519C"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0.50</w:t>
            </w:r>
          </w:p>
        </w:tc>
      </w:tr>
      <w:tr w:rsidR="00503BA6" w:rsidRPr="00503BA6" w14:paraId="096A64E1" w14:textId="77777777" w:rsidTr="00503BA6">
        <w:trPr>
          <w:trHeight w:val="216"/>
          <w:jc w:val="center"/>
        </w:trPr>
        <w:tc>
          <w:tcPr>
            <w:tcW w:w="0" w:type="auto"/>
            <w:tcBorders>
              <w:left w:val="nil"/>
            </w:tcBorders>
            <w:shd w:val="clear" w:color="auto" w:fill="auto"/>
            <w:noWrap/>
            <w:vAlign w:val="center"/>
            <w:hideMark/>
          </w:tcPr>
          <w:p w14:paraId="6F04BBCD"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8</w:t>
            </w:r>
          </w:p>
        </w:tc>
        <w:tc>
          <w:tcPr>
            <w:tcW w:w="0" w:type="auto"/>
            <w:tcBorders>
              <w:right w:val="double" w:sz="4" w:space="0" w:color="auto"/>
            </w:tcBorders>
            <w:shd w:val="clear" w:color="auto" w:fill="auto"/>
            <w:noWrap/>
            <w:vAlign w:val="center"/>
            <w:hideMark/>
          </w:tcPr>
          <w:p w14:paraId="23A5A5A7"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-16.145</w:t>
            </w:r>
          </w:p>
        </w:tc>
        <w:tc>
          <w:tcPr>
            <w:tcW w:w="0" w:type="auto"/>
            <w:tcBorders>
              <w:left w:val="double" w:sz="4" w:space="0" w:color="auto"/>
            </w:tcBorders>
            <w:shd w:val="clear" w:color="auto" w:fill="auto"/>
            <w:noWrap/>
            <w:vAlign w:val="center"/>
            <w:hideMark/>
          </w:tcPr>
          <w:p w14:paraId="24D0CD03"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-15.062</w:t>
            </w:r>
          </w:p>
        </w:tc>
        <w:tc>
          <w:tcPr>
            <w:tcW w:w="0" w:type="auto"/>
            <w:tcBorders>
              <w:right w:val="double" w:sz="4" w:space="0" w:color="auto"/>
            </w:tcBorders>
            <w:shd w:val="clear" w:color="auto" w:fill="auto"/>
            <w:noWrap/>
            <w:vAlign w:val="center"/>
            <w:hideMark/>
          </w:tcPr>
          <w:p w14:paraId="7955C1A8"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6.71</w:t>
            </w:r>
          </w:p>
        </w:tc>
        <w:tc>
          <w:tcPr>
            <w:tcW w:w="0" w:type="auto"/>
            <w:tcBorders>
              <w:left w:val="double" w:sz="4" w:space="0" w:color="auto"/>
            </w:tcBorders>
            <w:shd w:val="clear" w:color="auto" w:fill="auto"/>
            <w:noWrap/>
            <w:vAlign w:val="center"/>
            <w:hideMark/>
          </w:tcPr>
          <w:p w14:paraId="69F33481"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-16.074</w:t>
            </w:r>
          </w:p>
        </w:tc>
        <w:tc>
          <w:tcPr>
            <w:tcW w:w="0" w:type="auto"/>
            <w:tcBorders>
              <w:right w:val="double" w:sz="4" w:space="0" w:color="auto"/>
            </w:tcBorders>
            <w:shd w:val="clear" w:color="auto" w:fill="auto"/>
            <w:noWrap/>
            <w:vAlign w:val="center"/>
            <w:hideMark/>
          </w:tcPr>
          <w:p w14:paraId="3232170D"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0.44</w:t>
            </w:r>
          </w:p>
        </w:tc>
        <w:tc>
          <w:tcPr>
            <w:tcW w:w="0" w:type="auto"/>
            <w:tcBorders>
              <w:left w:val="double" w:sz="4" w:space="0" w:color="auto"/>
            </w:tcBorders>
            <w:shd w:val="clear" w:color="auto" w:fill="auto"/>
            <w:noWrap/>
            <w:vAlign w:val="center"/>
            <w:hideMark/>
          </w:tcPr>
          <w:p w14:paraId="46AB0D90"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-16.064</w:t>
            </w:r>
          </w:p>
        </w:tc>
        <w:tc>
          <w:tcPr>
            <w:tcW w:w="0" w:type="auto"/>
            <w:tcBorders>
              <w:right w:val="nil"/>
            </w:tcBorders>
            <w:shd w:val="clear" w:color="auto" w:fill="auto"/>
            <w:noWrap/>
            <w:vAlign w:val="center"/>
            <w:hideMark/>
          </w:tcPr>
          <w:p w14:paraId="2B341DDD"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0.50</w:t>
            </w:r>
          </w:p>
        </w:tc>
      </w:tr>
      <w:tr w:rsidR="00503BA6" w:rsidRPr="00503BA6" w14:paraId="01E084FB" w14:textId="77777777" w:rsidTr="00503BA6">
        <w:trPr>
          <w:trHeight w:val="216"/>
          <w:jc w:val="center"/>
        </w:trPr>
        <w:tc>
          <w:tcPr>
            <w:tcW w:w="0" w:type="auto"/>
            <w:tcBorders>
              <w:left w:val="nil"/>
            </w:tcBorders>
            <w:shd w:val="clear" w:color="auto" w:fill="auto"/>
            <w:noWrap/>
            <w:vAlign w:val="center"/>
            <w:hideMark/>
          </w:tcPr>
          <w:p w14:paraId="51ACCB0D"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9</w:t>
            </w:r>
          </w:p>
        </w:tc>
        <w:tc>
          <w:tcPr>
            <w:tcW w:w="0" w:type="auto"/>
            <w:tcBorders>
              <w:right w:val="double" w:sz="4" w:space="0" w:color="auto"/>
            </w:tcBorders>
            <w:shd w:val="clear" w:color="auto" w:fill="auto"/>
            <w:noWrap/>
            <w:vAlign w:val="center"/>
            <w:hideMark/>
          </w:tcPr>
          <w:p w14:paraId="6CF69E37"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-17.646</w:t>
            </w:r>
          </w:p>
        </w:tc>
        <w:tc>
          <w:tcPr>
            <w:tcW w:w="0" w:type="auto"/>
            <w:tcBorders>
              <w:left w:val="double" w:sz="4" w:space="0" w:color="auto"/>
            </w:tcBorders>
            <w:shd w:val="clear" w:color="auto" w:fill="auto"/>
            <w:noWrap/>
            <w:vAlign w:val="center"/>
            <w:hideMark/>
          </w:tcPr>
          <w:p w14:paraId="4C20A4C8"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-16.594</w:t>
            </w:r>
          </w:p>
        </w:tc>
        <w:tc>
          <w:tcPr>
            <w:tcW w:w="0" w:type="auto"/>
            <w:tcBorders>
              <w:right w:val="double" w:sz="4" w:space="0" w:color="auto"/>
            </w:tcBorders>
            <w:shd w:val="clear" w:color="auto" w:fill="auto"/>
            <w:noWrap/>
            <w:vAlign w:val="center"/>
            <w:hideMark/>
          </w:tcPr>
          <w:p w14:paraId="1B5E6FCA"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5.96</w:t>
            </w:r>
          </w:p>
        </w:tc>
        <w:tc>
          <w:tcPr>
            <w:tcW w:w="0" w:type="auto"/>
            <w:tcBorders>
              <w:left w:val="double" w:sz="4" w:space="0" w:color="auto"/>
            </w:tcBorders>
            <w:shd w:val="clear" w:color="auto" w:fill="auto"/>
            <w:noWrap/>
            <w:vAlign w:val="center"/>
            <w:hideMark/>
          </w:tcPr>
          <w:p w14:paraId="10F357C6"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-17.576</w:t>
            </w:r>
          </w:p>
        </w:tc>
        <w:tc>
          <w:tcPr>
            <w:tcW w:w="0" w:type="auto"/>
            <w:tcBorders>
              <w:right w:val="double" w:sz="4" w:space="0" w:color="auto"/>
            </w:tcBorders>
            <w:shd w:val="clear" w:color="auto" w:fill="auto"/>
            <w:noWrap/>
            <w:vAlign w:val="center"/>
            <w:hideMark/>
          </w:tcPr>
          <w:p w14:paraId="627B1407"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0.39</w:t>
            </w:r>
          </w:p>
        </w:tc>
        <w:tc>
          <w:tcPr>
            <w:tcW w:w="0" w:type="auto"/>
            <w:tcBorders>
              <w:left w:val="double" w:sz="4" w:space="0" w:color="auto"/>
            </w:tcBorders>
            <w:shd w:val="clear" w:color="auto" w:fill="auto"/>
            <w:noWrap/>
            <w:vAlign w:val="center"/>
            <w:hideMark/>
          </w:tcPr>
          <w:p w14:paraId="26BC4D3A"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-17.567</w:t>
            </w:r>
          </w:p>
        </w:tc>
        <w:tc>
          <w:tcPr>
            <w:tcW w:w="0" w:type="auto"/>
            <w:tcBorders>
              <w:right w:val="nil"/>
            </w:tcBorders>
            <w:shd w:val="clear" w:color="auto" w:fill="auto"/>
            <w:noWrap/>
            <w:vAlign w:val="center"/>
            <w:hideMark/>
          </w:tcPr>
          <w:p w14:paraId="20EB6724"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0.44</w:t>
            </w:r>
          </w:p>
        </w:tc>
      </w:tr>
      <w:tr w:rsidR="00503BA6" w:rsidRPr="00503BA6" w14:paraId="19A77D77" w14:textId="77777777" w:rsidTr="00503BA6">
        <w:trPr>
          <w:trHeight w:val="216"/>
          <w:jc w:val="center"/>
        </w:trPr>
        <w:tc>
          <w:tcPr>
            <w:tcW w:w="0" w:type="auto"/>
            <w:tcBorders>
              <w:left w:val="nil"/>
            </w:tcBorders>
            <w:shd w:val="clear" w:color="auto" w:fill="auto"/>
            <w:noWrap/>
            <w:vAlign w:val="center"/>
            <w:hideMark/>
          </w:tcPr>
          <w:p w14:paraId="1D5A4DCE"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10</w:t>
            </w:r>
          </w:p>
        </w:tc>
        <w:tc>
          <w:tcPr>
            <w:tcW w:w="0" w:type="auto"/>
            <w:tcBorders>
              <w:right w:val="double" w:sz="4" w:space="0" w:color="auto"/>
            </w:tcBorders>
            <w:shd w:val="clear" w:color="auto" w:fill="auto"/>
            <w:noWrap/>
            <w:vAlign w:val="center"/>
            <w:hideMark/>
          </w:tcPr>
          <w:p w14:paraId="2C67894B"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-17.745</w:t>
            </w:r>
          </w:p>
        </w:tc>
        <w:tc>
          <w:tcPr>
            <w:tcW w:w="0" w:type="auto"/>
            <w:tcBorders>
              <w:left w:val="double" w:sz="4" w:space="0" w:color="auto"/>
            </w:tcBorders>
            <w:shd w:val="clear" w:color="auto" w:fill="auto"/>
            <w:noWrap/>
            <w:vAlign w:val="center"/>
            <w:hideMark/>
          </w:tcPr>
          <w:p w14:paraId="1B0AC83B"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-16.718</w:t>
            </w:r>
          </w:p>
        </w:tc>
        <w:tc>
          <w:tcPr>
            <w:tcW w:w="0" w:type="auto"/>
            <w:tcBorders>
              <w:right w:val="double" w:sz="4" w:space="0" w:color="auto"/>
            </w:tcBorders>
            <w:shd w:val="clear" w:color="auto" w:fill="auto"/>
            <w:noWrap/>
            <w:vAlign w:val="center"/>
            <w:hideMark/>
          </w:tcPr>
          <w:p w14:paraId="07B04BF0"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5.78</w:t>
            </w:r>
          </w:p>
        </w:tc>
        <w:tc>
          <w:tcPr>
            <w:tcW w:w="0" w:type="auto"/>
            <w:tcBorders>
              <w:left w:val="double" w:sz="4" w:space="0" w:color="auto"/>
            </w:tcBorders>
            <w:shd w:val="clear" w:color="auto" w:fill="auto"/>
            <w:noWrap/>
            <w:vAlign w:val="center"/>
            <w:hideMark/>
          </w:tcPr>
          <w:p w14:paraId="115DFB20"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-17.676</w:t>
            </w:r>
          </w:p>
        </w:tc>
        <w:tc>
          <w:tcPr>
            <w:tcW w:w="0" w:type="auto"/>
            <w:tcBorders>
              <w:right w:val="double" w:sz="4" w:space="0" w:color="auto"/>
            </w:tcBorders>
            <w:shd w:val="clear" w:color="auto" w:fill="auto"/>
            <w:noWrap/>
            <w:vAlign w:val="center"/>
            <w:hideMark/>
          </w:tcPr>
          <w:p w14:paraId="5D77B24C"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0.39</w:t>
            </w:r>
          </w:p>
        </w:tc>
        <w:tc>
          <w:tcPr>
            <w:tcW w:w="0" w:type="auto"/>
            <w:tcBorders>
              <w:left w:val="double" w:sz="4" w:space="0" w:color="auto"/>
            </w:tcBorders>
            <w:shd w:val="clear" w:color="auto" w:fill="auto"/>
            <w:noWrap/>
            <w:vAlign w:val="center"/>
            <w:hideMark/>
          </w:tcPr>
          <w:p w14:paraId="53FFE5E0"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-17.668</w:t>
            </w:r>
          </w:p>
        </w:tc>
        <w:tc>
          <w:tcPr>
            <w:tcW w:w="0" w:type="auto"/>
            <w:tcBorders>
              <w:right w:val="nil"/>
            </w:tcBorders>
            <w:shd w:val="clear" w:color="auto" w:fill="auto"/>
            <w:noWrap/>
            <w:vAlign w:val="center"/>
            <w:hideMark/>
          </w:tcPr>
          <w:p w14:paraId="1B229B2B"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0.43</w:t>
            </w:r>
          </w:p>
        </w:tc>
      </w:tr>
      <w:tr w:rsidR="00503BA6" w:rsidRPr="00503BA6" w14:paraId="44F6B44F" w14:textId="77777777" w:rsidTr="00503BA6">
        <w:trPr>
          <w:trHeight w:val="216"/>
          <w:jc w:val="center"/>
        </w:trPr>
        <w:tc>
          <w:tcPr>
            <w:tcW w:w="0" w:type="auto"/>
            <w:tcBorders>
              <w:left w:val="nil"/>
            </w:tcBorders>
            <w:shd w:val="clear" w:color="auto" w:fill="auto"/>
            <w:noWrap/>
            <w:vAlign w:val="center"/>
            <w:hideMark/>
          </w:tcPr>
          <w:p w14:paraId="49850496"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11</w:t>
            </w:r>
          </w:p>
        </w:tc>
        <w:tc>
          <w:tcPr>
            <w:tcW w:w="0" w:type="auto"/>
            <w:tcBorders>
              <w:right w:val="double" w:sz="4" w:space="0" w:color="auto"/>
            </w:tcBorders>
            <w:shd w:val="clear" w:color="auto" w:fill="auto"/>
            <w:noWrap/>
            <w:vAlign w:val="center"/>
            <w:hideMark/>
          </w:tcPr>
          <w:p w14:paraId="0F0DDDD7"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-17.300</w:t>
            </w:r>
          </w:p>
        </w:tc>
        <w:tc>
          <w:tcPr>
            <w:tcW w:w="0" w:type="auto"/>
            <w:tcBorders>
              <w:left w:val="double" w:sz="4" w:space="0" w:color="auto"/>
            </w:tcBorders>
            <w:shd w:val="clear" w:color="auto" w:fill="auto"/>
            <w:noWrap/>
            <w:vAlign w:val="center"/>
            <w:hideMark/>
          </w:tcPr>
          <w:p w14:paraId="22043170"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-16.331</w:t>
            </w:r>
          </w:p>
        </w:tc>
        <w:tc>
          <w:tcPr>
            <w:tcW w:w="0" w:type="auto"/>
            <w:tcBorders>
              <w:right w:val="double" w:sz="4" w:space="0" w:color="auto"/>
            </w:tcBorders>
            <w:shd w:val="clear" w:color="auto" w:fill="auto"/>
            <w:noWrap/>
            <w:vAlign w:val="center"/>
            <w:hideMark/>
          </w:tcPr>
          <w:p w14:paraId="15E94F3C"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5.60</w:t>
            </w:r>
          </w:p>
        </w:tc>
        <w:tc>
          <w:tcPr>
            <w:tcW w:w="0" w:type="auto"/>
            <w:tcBorders>
              <w:left w:val="double" w:sz="4" w:space="0" w:color="auto"/>
            </w:tcBorders>
            <w:shd w:val="clear" w:color="auto" w:fill="auto"/>
            <w:noWrap/>
            <w:vAlign w:val="center"/>
            <w:hideMark/>
          </w:tcPr>
          <w:p w14:paraId="32917775"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-17.232</w:t>
            </w:r>
          </w:p>
        </w:tc>
        <w:tc>
          <w:tcPr>
            <w:tcW w:w="0" w:type="auto"/>
            <w:tcBorders>
              <w:right w:val="double" w:sz="4" w:space="0" w:color="auto"/>
            </w:tcBorders>
            <w:shd w:val="clear" w:color="auto" w:fill="auto"/>
            <w:noWrap/>
            <w:vAlign w:val="center"/>
            <w:hideMark/>
          </w:tcPr>
          <w:p w14:paraId="11A081FF"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0.39</w:t>
            </w:r>
          </w:p>
        </w:tc>
        <w:tc>
          <w:tcPr>
            <w:tcW w:w="0" w:type="auto"/>
            <w:tcBorders>
              <w:left w:val="double" w:sz="4" w:space="0" w:color="auto"/>
            </w:tcBorders>
            <w:shd w:val="clear" w:color="auto" w:fill="auto"/>
            <w:noWrap/>
            <w:vAlign w:val="center"/>
            <w:hideMark/>
          </w:tcPr>
          <w:p w14:paraId="55A7D9D8"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-17.227</w:t>
            </w:r>
          </w:p>
        </w:tc>
        <w:tc>
          <w:tcPr>
            <w:tcW w:w="0" w:type="auto"/>
            <w:tcBorders>
              <w:right w:val="nil"/>
            </w:tcBorders>
            <w:shd w:val="clear" w:color="auto" w:fill="auto"/>
            <w:noWrap/>
            <w:vAlign w:val="center"/>
            <w:hideMark/>
          </w:tcPr>
          <w:p w14:paraId="235D14E1"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0.42</w:t>
            </w:r>
          </w:p>
        </w:tc>
      </w:tr>
      <w:tr w:rsidR="00503BA6" w:rsidRPr="00503BA6" w14:paraId="0899DAF0" w14:textId="77777777" w:rsidTr="00503BA6">
        <w:trPr>
          <w:trHeight w:val="216"/>
          <w:jc w:val="center"/>
        </w:trPr>
        <w:tc>
          <w:tcPr>
            <w:tcW w:w="0" w:type="auto"/>
            <w:tcBorders>
              <w:left w:val="nil"/>
            </w:tcBorders>
            <w:shd w:val="clear" w:color="auto" w:fill="auto"/>
            <w:noWrap/>
            <w:vAlign w:val="center"/>
            <w:hideMark/>
          </w:tcPr>
          <w:p w14:paraId="477019DC"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12</w:t>
            </w:r>
          </w:p>
        </w:tc>
        <w:tc>
          <w:tcPr>
            <w:tcW w:w="0" w:type="auto"/>
            <w:tcBorders>
              <w:right w:val="double" w:sz="4" w:space="0" w:color="auto"/>
            </w:tcBorders>
            <w:shd w:val="clear" w:color="auto" w:fill="auto"/>
            <w:noWrap/>
            <w:vAlign w:val="center"/>
            <w:hideMark/>
          </w:tcPr>
          <w:p w14:paraId="329CDAA0"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-17.475</w:t>
            </w:r>
          </w:p>
        </w:tc>
        <w:tc>
          <w:tcPr>
            <w:tcW w:w="0" w:type="auto"/>
            <w:tcBorders>
              <w:left w:val="double" w:sz="4" w:space="0" w:color="auto"/>
            </w:tcBorders>
            <w:shd w:val="clear" w:color="auto" w:fill="auto"/>
            <w:noWrap/>
            <w:vAlign w:val="center"/>
            <w:hideMark/>
          </w:tcPr>
          <w:p w14:paraId="467BED76"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-16.554</w:t>
            </w:r>
          </w:p>
        </w:tc>
        <w:tc>
          <w:tcPr>
            <w:tcW w:w="0" w:type="auto"/>
            <w:tcBorders>
              <w:right w:val="double" w:sz="4" w:space="0" w:color="auto"/>
            </w:tcBorders>
            <w:shd w:val="clear" w:color="auto" w:fill="auto"/>
            <w:noWrap/>
            <w:vAlign w:val="center"/>
            <w:hideMark/>
          </w:tcPr>
          <w:p w14:paraId="1B51B0B2"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5.27</w:t>
            </w:r>
          </w:p>
        </w:tc>
        <w:tc>
          <w:tcPr>
            <w:tcW w:w="0" w:type="auto"/>
            <w:tcBorders>
              <w:left w:val="double" w:sz="4" w:space="0" w:color="auto"/>
            </w:tcBorders>
            <w:shd w:val="clear" w:color="auto" w:fill="auto"/>
            <w:noWrap/>
            <w:vAlign w:val="center"/>
            <w:hideMark/>
          </w:tcPr>
          <w:p w14:paraId="27F45490"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-17.407</w:t>
            </w:r>
          </w:p>
        </w:tc>
        <w:tc>
          <w:tcPr>
            <w:tcW w:w="0" w:type="auto"/>
            <w:tcBorders>
              <w:right w:val="double" w:sz="4" w:space="0" w:color="auto"/>
            </w:tcBorders>
            <w:shd w:val="clear" w:color="auto" w:fill="auto"/>
            <w:noWrap/>
            <w:vAlign w:val="center"/>
            <w:hideMark/>
          </w:tcPr>
          <w:p w14:paraId="635CDF1E"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0.39</w:t>
            </w:r>
          </w:p>
        </w:tc>
        <w:tc>
          <w:tcPr>
            <w:tcW w:w="0" w:type="auto"/>
            <w:tcBorders>
              <w:left w:val="double" w:sz="4" w:space="0" w:color="auto"/>
            </w:tcBorders>
            <w:shd w:val="clear" w:color="auto" w:fill="auto"/>
            <w:noWrap/>
            <w:vAlign w:val="center"/>
            <w:hideMark/>
          </w:tcPr>
          <w:p w14:paraId="7CE874AF"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-17.405</w:t>
            </w:r>
          </w:p>
        </w:tc>
        <w:tc>
          <w:tcPr>
            <w:tcW w:w="0" w:type="auto"/>
            <w:tcBorders>
              <w:right w:val="nil"/>
            </w:tcBorders>
            <w:shd w:val="clear" w:color="auto" w:fill="auto"/>
            <w:noWrap/>
            <w:vAlign w:val="center"/>
            <w:hideMark/>
          </w:tcPr>
          <w:p w14:paraId="7CD16843"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0.40</w:t>
            </w:r>
          </w:p>
        </w:tc>
      </w:tr>
      <w:tr w:rsidR="00503BA6" w:rsidRPr="00503BA6" w14:paraId="65FC0597" w14:textId="77777777" w:rsidTr="00503BA6">
        <w:trPr>
          <w:trHeight w:val="216"/>
          <w:jc w:val="center"/>
        </w:trPr>
        <w:tc>
          <w:tcPr>
            <w:tcW w:w="0" w:type="auto"/>
            <w:tcBorders>
              <w:left w:val="nil"/>
            </w:tcBorders>
            <w:shd w:val="clear" w:color="auto" w:fill="auto"/>
            <w:noWrap/>
            <w:vAlign w:val="center"/>
            <w:hideMark/>
          </w:tcPr>
          <w:p w14:paraId="1170E1C3"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13</w:t>
            </w:r>
          </w:p>
        </w:tc>
        <w:tc>
          <w:tcPr>
            <w:tcW w:w="0" w:type="auto"/>
            <w:tcBorders>
              <w:right w:val="double" w:sz="4" w:space="0" w:color="auto"/>
            </w:tcBorders>
            <w:shd w:val="clear" w:color="auto" w:fill="auto"/>
            <w:noWrap/>
            <w:vAlign w:val="center"/>
            <w:hideMark/>
          </w:tcPr>
          <w:p w14:paraId="3291AEA3"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-17.575</w:t>
            </w:r>
          </w:p>
        </w:tc>
        <w:tc>
          <w:tcPr>
            <w:tcW w:w="0" w:type="auto"/>
            <w:tcBorders>
              <w:left w:val="double" w:sz="4" w:space="0" w:color="auto"/>
            </w:tcBorders>
            <w:shd w:val="clear" w:color="auto" w:fill="auto"/>
            <w:noWrap/>
            <w:vAlign w:val="center"/>
            <w:hideMark/>
          </w:tcPr>
          <w:p w14:paraId="19E570EB"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-16.645</w:t>
            </w:r>
          </w:p>
        </w:tc>
        <w:tc>
          <w:tcPr>
            <w:tcW w:w="0" w:type="auto"/>
            <w:tcBorders>
              <w:right w:val="double" w:sz="4" w:space="0" w:color="auto"/>
            </w:tcBorders>
            <w:shd w:val="clear" w:color="auto" w:fill="auto"/>
            <w:noWrap/>
            <w:vAlign w:val="center"/>
            <w:hideMark/>
          </w:tcPr>
          <w:p w14:paraId="1229A8B6"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5.29</w:t>
            </w:r>
          </w:p>
        </w:tc>
        <w:tc>
          <w:tcPr>
            <w:tcW w:w="0" w:type="auto"/>
            <w:tcBorders>
              <w:left w:val="double" w:sz="4" w:space="0" w:color="auto"/>
            </w:tcBorders>
            <w:shd w:val="clear" w:color="auto" w:fill="auto"/>
            <w:noWrap/>
            <w:vAlign w:val="center"/>
            <w:hideMark/>
          </w:tcPr>
          <w:p w14:paraId="633A1094"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-17.508</w:t>
            </w:r>
          </w:p>
        </w:tc>
        <w:tc>
          <w:tcPr>
            <w:tcW w:w="0" w:type="auto"/>
            <w:tcBorders>
              <w:right w:val="double" w:sz="4" w:space="0" w:color="auto"/>
            </w:tcBorders>
            <w:shd w:val="clear" w:color="auto" w:fill="auto"/>
            <w:noWrap/>
            <w:vAlign w:val="center"/>
            <w:hideMark/>
          </w:tcPr>
          <w:p w14:paraId="459ADC07"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0.38</w:t>
            </w:r>
          </w:p>
        </w:tc>
        <w:tc>
          <w:tcPr>
            <w:tcW w:w="0" w:type="auto"/>
            <w:tcBorders>
              <w:left w:val="double" w:sz="4" w:space="0" w:color="auto"/>
            </w:tcBorders>
            <w:shd w:val="clear" w:color="auto" w:fill="auto"/>
            <w:noWrap/>
            <w:vAlign w:val="center"/>
            <w:hideMark/>
          </w:tcPr>
          <w:p w14:paraId="60F7BF59"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-17.505</w:t>
            </w:r>
          </w:p>
        </w:tc>
        <w:tc>
          <w:tcPr>
            <w:tcW w:w="0" w:type="auto"/>
            <w:tcBorders>
              <w:right w:val="nil"/>
            </w:tcBorders>
            <w:shd w:val="clear" w:color="auto" w:fill="auto"/>
            <w:noWrap/>
            <w:vAlign w:val="center"/>
            <w:hideMark/>
          </w:tcPr>
          <w:p w14:paraId="1B74AC20"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0.40</w:t>
            </w:r>
          </w:p>
        </w:tc>
      </w:tr>
      <w:tr w:rsidR="00503BA6" w:rsidRPr="00503BA6" w14:paraId="1B1132EE" w14:textId="77777777" w:rsidTr="00503BA6">
        <w:trPr>
          <w:trHeight w:val="216"/>
          <w:jc w:val="center"/>
        </w:trPr>
        <w:tc>
          <w:tcPr>
            <w:tcW w:w="0" w:type="auto"/>
            <w:tcBorders>
              <w:left w:val="nil"/>
            </w:tcBorders>
            <w:shd w:val="clear" w:color="auto" w:fill="auto"/>
            <w:noWrap/>
            <w:vAlign w:val="center"/>
            <w:hideMark/>
          </w:tcPr>
          <w:p w14:paraId="106F5404" w14:textId="77777777" w:rsidR="00503BA6" w:rsidRPr="00503BA6" w:rsidRDefault="00503BA6" w:rsidP="00503BA6">
            <w:pPr>
              <w:spacing w:line="240" w:lineRule="auto"/>
              <w:ind w:left="-81" w:right="-54" w:firstLine="0"/>
              <w:jc w:val="center"/>
              <w:rPr>
                <w:rFonts w:eastAsia="Times New Roman"/>
                <w:color w:val="000000"/>
                <w:sz w:val="20"/>
                <w:szCs w:val="20"/>
                <w:lang w:eastAsia="zh-CN"/>
              </w:rPr>
            </w:pPr>
            <w:r w:rsidRPr="00503BA6">
              <w:rPr>
                <w:rFonts w:eastAsia="Times New Roman"/>
                <w:color w:val="000000"/>
                <w:sz w:val="20"/>
                <w:szCs w:val="20"/>
                <w:lang w:eastAsia="zh-CN"/>
              </w:rPr>
              <w:t>14</w:t>
            </w:r>
          </w:p>
        </w:tc>
        <w:tc>
          <w:tcPr>
            <w:tcW w:w="0" w:type="auto"/>
            <w:tcBorders>
              <w:right w:val="double" w:sz="4" w:space="0" w:color="auto"/>
            </w:tcBorders>
            <w:shd w:val="clear" w:color="auto" w:fill="auto"/>
            <w:noWrap/>
            <w:vAlign w:val="center"/>
            <w:hideMark/>
          </w:tcPr>
          <w:p w14:paraId="19F6CEFC"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-18.622</w:t>
            </w:r>
          </w:p>
        </w:tc>
        <w:tc>
          <w:tcPr>
            <w:tcW w:w="0" w:type="auto"/>
            <w:tcBorders>
              <w:left w:val="double" w:sz="4" w:space="0" w:color="auto"/>
              <w:bottom w:val="single" w:sz="4" w:space="0" w:color="auto"/>
            </w:tcBorders>
            <w:shd w:val="clear" w:color="auto" w:fill="auto"/>
            <w:noWrap/>
            <w:vAlign w:val="center"/>
            <w:hideMark/>
          </w:tcPr>
          <w:p w14:paraId="2C6F4F7F" w14:textId="77777777" w:rsidR="00503BA6" w:rsidRPr="00503BA6" w:rsidRDefault="00503BA6" w:rsidP="00503BA6">
            <w:pPr>
              <w:spacing w:line="240" w:lineRule="auto"/>
              <w:ind w:firstLine="0"/>
              <w:jc w:val="center"/>
              <w:rPr>
                <w:rFonts w:eastAsia="Times New Roman"/>
                <w:color w:val="000000"/>
                <w:sz w:val="20"/>
                <w:szCs w:val="20"/>
                <w:lang w:eastAsia="zh-CN"/>
              </w:rPr>
            </w:pPr>
            <w:r w:rsidRPr="00503BA6">
              <w:rPr>
                <w:rFonts w:eastAsia="Times New Roman"/>
                <w:color w:val="000000"/>
                <w:sz w:val="20"/>
                <w:szCs w:val="20"/>
                <w:lang w:eastAsia="zh-CN"/>
              </w:rPr>
              <w:t>-17.622</w:t>
            </w:r>
          </w:p>
        </w:tc>
        <w:tc>
          <w:tcPr>
            <w:tcW w:w="0" w:type="auto"/>
            <w:tcBorders>
              <w:right w:val="double" w:sz="4" w:space="0" w:color="auto"/>
            </w:tcBorders>
            <w:shd w:val="clear" w:color="auto" w:fill="auto"/>
            <w:noWrap/>
            <w:vAlign w:val="center"/>
            <w:hideMark/>
          </w:tcPr>
          <w:p w14:paraId="45498C95" w14:textId="77777777" w:rsidR="00503BA6" w:rsidRPr="00503BA6" w:rsidRDefault="00503BA6" w:rsidP="00503BA6">
            <w:pPr>
              <w:spacing w:line="240" w:lineRule="auto"/>
              <w:ind w:left="-103" w:right="-99" w:firstLine="0"/>
              <w:jc w:val="center"/>
              <w:rPr>
                <w:rFonts w:eastAsia="Times New Roman"/>
                <w:color w:val="000000"/>
                <w:sz w:val="20"/>
                <w:szCs w:val="20"/>
                <w:lang w:eastAsia="zh-CN"/>
              </w:rPr>
            </w:pPr>
            <w:r w:rsidRPr="00503BA6">
              <w:rPr>
                <w:rFonts w:eastAsia="Times New Roman"/>
                <w:color w:val="000000"/>
                <w:sz w:val="20"/>
                <w:szCs w:val="20"/>
                <w:lang w:eastAsia="zh-CN"/>
              </w:rPr>
              <w:t>5.37</w:t>
            </w:r>
          </w:p>
        </w:tc>
        <w:tc>
          <w:tcPr>
            <w:tcW w:w="0" w:type="auto"/>
            <w:tcBorders>
              <w:left w:val="double" w:sz="4" w:space="0" w:color="auto"/>
              <w:bottom w:val="single" w:sz="4" w:space="0" w:color="auto"/>
            </w:tcBorders>
            <w:shd w:val="clear" w:color="auto" w:fill="auto"/>
            <w:noWrap/>
            <w:vAlign w:val="center"/>
            <w:hideMark/>
          </w:tcPr>
          <w:p w14:paraId="31A31AFA"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-18.553</w:t>
            </w:r>
          </w:p>
        </w:tc>
        <w:tc>
          <w:tcPr>
            <w:tcW w:w="0" w:type="auto"/>
            <w:tcBorders>
              <w:right w:val="double" w:sz="4" w:space="0" w:color="auto"/>
            </w:tcBorders>
            <w:shd w:val="clear" w:color="auto" w:fill="auto"/>
            <w:noWrap/>
            <w:vAlign w:val="center"/>
            <w:hideMark/>
          </w:tcPr>
          <w:p w14:paraId="594EC368" w14:textId="77777777" w:rsidR="00503BA6" w:rsidRPr="00503BA6" w:rsidRDefault="00503BA6" w:rsidP="00503BA6">
            <w:pPr>
              <w:spacing w:line="240" w:lineRule="auto"/>
              <w:ind w:left="-108" w:right="-129" w:firstLine="0"/>
              <w:jc w:val="center"/>
              <w:rPr>
                <w:rFonts w:eastAsia="Times New Roman"/>
                <w:color w:val="000000"/>
                <w:sz w:val="20"/>
                <w:szCs w:val="20"/>
                <w:lang w:eastAsia="zh-CN"/>
              </w:rPr>
            </w:pPr>
            <w:r w:rsidRPr="00503BA6">
              <w:rPr>
                <w:rFonts w:eastAsia="Times New Roman"/>
                <w:color w:val="000000"/>
                <w:sz w:val="20"/>
                <w:szCs w:val="20"/>
                <w:lang w:eastAsia="zh-CN"/>
              </w:rPr>
              <w:t>0.37</w:t>
            </w:r>
          </w:p>
        </w:tc>
        <w:tc>
          <w:tcPr>
            <w:tcW w:w="0" w:type="auto"/>
            <w:tcBorders>
              <w:left w:val="double" w:sz="4" w:space="0" w:color="auto"/>
              <w:bottom w:val="single" w:sz="4" w:space="0" w:color="auto"/>
            </w:tcBorders>
            <w:shd w:val="clear" w:color="auto" w:fill="auto"/>
            <w:noWrap/>
            <w:vAlign w:val="center"/>
            <w:hideMark/>
          </w:tcPr>
          <w:p w14:paraId="3DAB5DC6" w14:textId="77777777" w:rsidR="00503BA6" w:rsidRPr="00503BA6" w:rsidRDefault="00503BA6" w:rsidP="00503BA6">
            <w:pPr>
              <w:spacing w:line="240" w:lineRule="auto"/>
              <w:ind w:left="-108" w:right="-144" w:firstLine="0"/>
              <w:jc w:val="center"/>
              <w:rPr>
                <w:rFonts w:eastAsia="Times New Roman"/>
                <w:color w:val="000000"/>
                <w:sz w:val="20"/>
                <w:szCs w:val="20"/>
                <w:lang w:eastAsia="zh-CN"/>
              </w:rPr>
            </w:pPr>
            <w:r w:rsidRPr="00503BA6">
              <w:rPr>
                <w:rFonts w:eastAsia="Times New Roman"/>
                <w:color w:val="000000"/>
                <w:sz w:val="20"/>
                <w:szCs w:val="20"/>
                <w:lang w:eastAsia="zh-CN"/>
              </w:rPr>
              <w:t>-18.547</w:t>
            </w:r>
          </w:p>
        </w:tc>
        <w:tc>
          <w:tcPr>
            <w:tcW w:w="0" w:type="auto"/>
            <w:tcBorders>
              <w:right w:val="nil"/>
            </w:tcBorders>
            <w:shd w:val="clear" w:color="auto" w:fill="auto"/>
            <w:noWrap/>
            <w:vAlign w:val="center"/>
            <w:hideMark/>
          </w:tcPr>
          <w:p w14:paraId="72394B78" w14:textId="77777777" w:rsidR="00503BA6" w:rsidRPr="00503BA6" w:rsidRDefault="00503BA6" w:rsidP="00503BA6">
            <w:pPr>
              <w:spacing w:line="240" w:lineRule="auto"/>
              <w:ind w:left="-72" w:right="-144" w:firstLine="0"/>
              <w:jc w:val="center"/>
              <w:rPr>
                <w:rFonts w:eastAsia="Times New Roman"/>
                <w:color w:val="000000"/>
                <w:sz w:val="20"/>
                <w:szCs w:val="20"/>
                <w:lang w:eastAsia="zh-CN"/>
              </w:rPr>
            </w:pPr>
            <w:r w:rsidRPr="00503BA6">
              <w:rPr>
                <w:rFonts w:eastAsia="Times New Roman"/>
                <w:color w:val="000000"/>
                <w:sz w:val="20"/>
                <w:szCs w:val="20"/>
                <w:lang w:eastAsia="zh-CN"/>
              </w:rPr>
              <w:t>0.40</w:t>
            </w:r>
          </w:p>
        </w:tc>
      </w:tr>
      <w:tr w:rsidR="00503BA6" w:rsidRPr="00503BA6" w14:paraId="51DB54FA" w14:textId="77777777" w:rsidTr="00503BA6">
        <w:trPr>
          <w:trHeight w:val="216"/>
          <w:jc w:val="center"/>
        </w:trPr>
        <w:tc>
          <w:tcPr>
            <w:tcW w:w="0" w:type="auto"/>
            <w:gridSpan w:val="2"/>
            <w:tcBorders>
              <w:left w:val="nil"/>
              <w:right w:val="double" w:sz="4" w:space="0" w:color="auto"/>
            </w:tcBorders>
            <w:shd w:val="clear" w:color="auto" w:fill="auto"/>
            <w:noWrap/>
            <w:vAlign w:val="center"/>
          </w:tcPr>
          <w:p w14:paraId="7DDBA382" w14:textId="77777777" w:rsidR="00503BA6" w:rsidRPr="00503BA6" w:rsidRDefault="00503BA6" w:rsidP="00503BA6">
            <w:pPr>
              <w:spacing w:line="240" w:lineRule="auto"/>
              <w:ind w:left="-108" w:right="-108" w:firstLine="0"/>
              <w:jc w:val="center"/>
              <w:rPr>
                <w:rFonts w:eastAsia="Times New Roman"/>
                <w:color w:val="000000"/>
                <w:sz w:val="20"/>
                <w:szCs w:val="20"/>
                <w:lang w:eastAsia="zh-CN"/>
              </w:rPr>
            </w:pPr>
            <w:r w:rsidRPr="00503BA6">
              <w:rPr>
                <w:rFonts w:eastAsia="Times New Roman"/>
                <w:color w:val="000000"/>
                <w:sz w:val="20"/>
                <w:szCs w:val="20"/>
                <w:lang w:eastAsia="zh-CN"/>
              </w:rPr>
              <w:t>Avg. of |Error| (%)</w:t>
            </w:r>
          </w:p>
        </w:tc>
        <w:tc>
          <w:tcPr>
            <w:tcW w:w="0" w:type="auto"/>
            <w:tcBorders>
              <w:left w:val="double" w:sz="4" w:space="0" w:color="auto"/>
              <w:right w:val="nil"/>
            </w:tcBorders>
            <w:shd w:val="clear" w:color="auto" w:fill="auto"/>
            <w:noWrap/>
            <w:vAlign w:val="center"/>
          </w:tcPr>
          <w:p w14:paraId="6E1CA444" w14:textId="77777777" w:rsidR="00503BA6" w:rsidRPr="00503BA6" w:rsidRDefault="00503BA6" w:rsidP="00503BA6">
            <w:pPr>
              <w:spacing w:line="240" w:lineRule="auto"/>
              <w:ind w:firstLine="0"/>
              <w:jc w:val="center"/>
              <w:rPr>
                <w:rFonts w:eastAsia="Times New Roman"/>
                <w:color w:val="000000"/>
                <w:sz w:val="20"/>
                <w:szCs w:val="20"/>
                <w:lang w:eastAsia="zh-CN"/>
              </w:rPr>
            </w:pPr>
          </w:p>
        </w:tc>
        <w:tc>
          <w:tcPr>
            <w:tcW w:w="0" w:type="auto"/>
            <w:tcBorders>
              <w:left w:val="nil"/>
              <w:right w:val="double" w:sz="4" w:space="0" w:color="auto"/>
            </w:tcBorders>
            <w:shd w:val="clear" w:color="auto" w:fill="auto"/>
            <w:noWrap/>
            <w:vAlign w:val="center"/>
          </w:tcPr>
          <w:p w14:paraId="5BD6B039" w14:textId="77777777" w:rsidR="00503BA6" w:rsidRPr="00503BA6" w:rsidRDefault="00503BA6" w:rsidP="00503BA6">
            <w:pPr>
              <w:spacing w:line="240" w:lineRule="auto"/>
              <w:ind w:left="-134" w:right="-91" w:firstLine="0"/>
              <w:jc w:val="center"/>
              <w:rPr>
                <w:rFonts w:eastAsia="Times New Roman"/>
                <w:color w:val="000000"/>
                <w:sz w:val="20"/>
                <w:szCs w:val="20"/>
                <w:lang w:eastAsia="zh-CN"/>
              </w:rPr>
            </w:pPr>
            <w:r w:rsidRPr="00503BA6">
              <w:rPr>
                <w:rFonts w:eastAsia="Times New Roman"/>
                <w:color w:val="000000"/>
                <w:sz w:val="20"/>
                <w:szCs w:val="20"/>
                <w:lang w:eastAsia="zh-CN"/>
              </w:rPr>
              <w:t>5.43</w:t>
            </w:r>
          </w:p>
        </w:tc>
        <w:tc>
          <w:tcPr>
            <w:tcW w:w="0" w:type="auto"/>
            <w:tcBorders>
              <w:left w:val="double" w:sz="4" w:space="0" w:color="auto"/>
              <w:right w:val="nil"/>
            </w:tcBorders>
            <w:shd w:val="clear" w:color="auto" w:fill="auto"/>
            <w:noWrap/>
            <w:vAlign w:val="center"/>
          </w:tcPr>
          <w:p w14:paraId="56336DB9" w14:textId="77777777" w:rsidR="00503BA6" w:rsidRPr="00503BA6" w:rsidRDefault="00503BA6" w:rsidP="00503BA6">
            <w:pPr>
              <w:spacing w:line="240" w:lineRule="auto"/>
              <w:ind w:firstLine="0"/>
              <w:jc w:val="center"/>
              <w:rPr>
                <w:rFonts w:eastAsia="Times New Roman"/>
                <w:color w:val="000000"/>
                <w:sz w:val="20"/>
                <w:szCs w:val="20"/>
                <w:lang w:eastAsia="zh-CN"/>
              </w:rPr>
            </w:pPr>
          </w:p>
        </w:tc>
        <w:tc>
          <w:tcPr>
            <w:tcW w:w="0" w:type="auto"/>
            <w:tcBorders>
              <w:left w:val="nil"/>
              <w:right w:val="double" w:sz="4" w:space="0" w:color="auto"/>
            </w:tcBorders>
            <w:shd w:val="clear" w:color="auto" w:fill="auto"/>
            <w:noWrap/>
            <w:vAlign w:val="center"/>
          </w:tcPr>
          <w:p w14:paraId="0E052515" w14:textId="77777777" w:rsidR="00503BA6" w:rsidRPr="00503BA6" w:rsidRDefault="00503BA6" w:rsidP="00503BA6">
            <w:pPr>
              <w:spacing w:line="240" w:lineRule="auto"/>
              <w:ind w:left="-125" w:right="-91"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 0.40</w:t>
            </w:r>
          </w:p>
        </w:tc>
        <w:tc>
          <w:tcPr>
            <w:tcW w:w="0" w:type="auto"/>
            <w:tcBorders>
              <w:left w:val="double" w:sz="4" w:space="0" w:color="auto"/>
              <w:right w:val="nil"/>
            </w:tcBorders>
            <w:shd w:val="clear" w:color="auto" w:fill="auto"/>
            <w:noWrap/>
            <w:vAlign w:val="center"/>
          </w:tcPr>
          <w:p w14:paraId="766C460E" w14:textId="77777777" w:rsidR="00503BA6" w:rsidRPr="00503BA6" w:rsidRDefault="00503BA6" w:rsidP="00503BA6">
            <w:pPr>
              <w:spacing w:line="240" w:lineRule="auto"/>
              <w:ind w:firstLine="0"/>
              <w:jc w:val="center"/>
              <w:rPr>
                <w:rFonts w:eastAsia="Times New Roman"/>
                <w:color w:val="000000"/>
                <w:sz w:val="20"/>
                <w:szCs w:val="20"/>
                <w:lang w:eastAsia="zh-CN"/>
              </w:rPr>
            </w:pPr>
          </w:p>
        </w:tc>
        <w:tc>
          <w:tcPr>
            <w:tcW w:w="0" w:type="auto"/>
            <w:tcBorders>
              <w:left w:val="nil"/>
              <w:right w:val="nil"/>
            </w:tcBorders>
            <w:shd w:val="clear" w:color="auto" w:fill="auto"/>
            <w:noWrap/>
            <w:vAlign w:val="center"/>
          </w:tcPr>
          <w:p w14:paraId="32C88677" w14:textId="77777777" w:rsidR="00503BA6" w:rsidRPr="00503BA6" w:rsidRDefault="00503BA6" w:rsidP="00503BA6">
            <w:pPr>
              <w:spacing w:line="240" w:lineRule="auto"/>
              <w:ind w:left="-125" w:right="-91" w:firstLine="0"/>
              <w:jc w:val="center"/>
              <w:rPr>
                <w:rFonts w:eastAsia="Times New Roman"/>
                <w:color w:val="000000"/>
                <w:sz w:val="20"/>
                <w:szCs w:val="20"/>
                <w:lang w:eastAsia="zh-CN"/>
              </w:rPr>
            </w:pPr>
            <w:r w:rsidRPr="00503BA6">
              <w:rPr>
                <w:rFonts w:eastAsia="Times New Roman"/>
                <w:color w:val="000000"/>
                <w:sz w:val="20"/>
                <w:szCs w:val="20"/>
                <w:lang w:eastAsia="zh-CN"/>
              </w:rPr>
              <w:t xml:space="preserve">  0.43</w:t>
            </w:r>
          </w:p>
        </w:tc>
      </w:tr>
    </w:tbl>
    <w:p w14:paraId="2B5979C7" w14:textId="77777777" w:rsidR="00D529FE" w:rsidRDefault="00D529FE" w:rsidP="00D529FE">
      <w:pPr>
        <w:ind w:firstLine="0"/>
        <w:jc w:val="center"/>
      </w:pPr>
    </w:p>
    <w:p w14:paraId="7FA41125" w14:textId="4383F3A3" w:rsidR="00AE0500" w:rsidRDefault="00AE0500">
      <w:pPr>
        <w:rPr>
          <w:lang w:val="en-GB"/>
        </w:rPr>
      </w:pPr>
      <w:bookmarkStart w:id="77" w:name="_GoBack"/>
      <w:bookmarkEnd w:id="77"/>
      <w:r>
        <w:rPr>
          <w:lang w:val="en-GB"/>
        </w:rPr>
        <w:br w:type="page"/>
      </w:r>
    </w:p>
    <w:p w14:paraId="3A1315FB" w14:textId="77777777" w:rsidR="00AE0500" w:rsidRDefault="00AE0500" w:rsidP="00AE0500">
      <w:pPr>
        <w:ind w:firstLine="0"/>
        <w:rPr>
          <w:lang w:val="en-GB"/>
        </w:rPr>
      </w:pPr>
      <w:r w:rsidRPr="00503BA6">
        <w:rPr>
          <w:lang w:val="en-GB"/>
        </w:rPr>
        <w:lastRenderedPageBreak/>
        <w:t>flow. Although all three methods achieve acceptable results, the proposed method performs even better than the other two.</w:t>
      </w:r>
    </w:p>
    <w:p w14:paraId="76089D35" w14:textId="77777777" w:rsidR="00AE0500" w:rsidRPr="00503BA6" w:rsidRDefault="00AE0500" w:rsidP="00AE0500">
      <w:r w:rsidRPr="00503BA6">
        <w:t>Note</w:t>
      </w:r>
      <w:r>
        <w:t>,</w:t>
      </w:r>
      <w:r w:rsidRPr="00503BA6">
        <w:t xml:space="preserve"> Bus1 is the slack bus, and Buses 2, 3, and 6 are PV buses. Thus, the error is not applicable to these buses.</w:t>
      </w:r>
    </w:p>
    <w:p w14:paraId="093F0FB6" w14:textId="77777777" w:rsidR="00AE0500" w:rsidRPr="00503BA6" w:rsidRDefault="00AE0500" w:rsidP="00AE0500">
      <w:pPr>
        <w:rPr>
          <w:lang w:val="en-GB"/>
        </w:rPr>
      </w:pPr>
      <w:r>
        <w:rPr>
          <w:lang w:val="en-GB"/>
        </w:rPr>
        <w:fldChar w:fldCharType="begin"/>
      </w:r>
      <w:r>
        <w:rPr>
          <w:lang w:val="en-GB"/>
        </w:rPr>
        <w:instrText xml:space="preserve"> REF _Ref361664329 </w:instrText>
      </w:r>
      <w:r>
        <w:rPr>
          <w:lang w:val="en-GB"/>
        </w:rPr>
        <w:fldChar w:fldCharType="separate"/>
      </w:r>
      <w:r>
        <w:t xml:space="preserve">Table </w:t>
      </w:r>
      <w:r>
        <w:rPr>
          <w:noProof/>
        </w:rPr>
        <w:t>2</w:t>
      </w:r>
      <w:r>
        <w:rPr>
          <w:lang w:val="en-GB"/>
        </w:rPr>
        <w:fldChar w:fldCharType="end"/>
      </w:r>
      <w:r>
        <w:rPr>
          <w:lang w:val="en-GB"/>
        </w:rPr>
        <w:t xml:space="preserve"> </w:t>
      </w:r>
      <w:r w:rsidRPr="00503BA6">
        <w:rPr>
          <w:lang w:val="en-GB"/>
        </w:rPr>
        <w:t xml:space="preserve">shows the voltage phase angle of the predicted results. Similarly, the column ‘Exact Value’ comes from the post-contingency power flow. From the table, the proposed method and the method in </w:t>
      </w:r>
      <w:r>
        <w:rPr>
          <w:lang w:val="en-GB"/>
        </w:rPr>
        <w:fldChar w:fldCharType="begin" w:fldLock="1"/>
      </w:r>
      <w:r>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Pr>
          <w:lang w:val="en-GB"/>
        </w:rPr>
        <w:fldChar w:fldCharType="separate"/>
      </w:r>
      <w:r w:rsidRPr="00DD7036">
        <w:rPr>
          <w:noProof/>
          <w:lang w:val="en-GB"/>
        </w:rPr>
        <w:t>[42]</w:t>
      </w:r>
      <w:r>
        <w:rPr>
          <w:lang w:val="en-GB"/>
        </w:rPr>
        <w:fldChar w:fldCharType="end"/>
      </w:r>
      <w:r w:rsidRPr="00503BA6">
        <w:rPr>
          <w:lang w:val="en-GB"/>
        </w:rPr>
        <w:t xml:space="preserve"> are very accurate in predicting the angles with an average error of 0.43% and 0.40%, respectively. However, method in </w:t>
      </w:r>
      <w:r>
        <w:rPr>
          <w:lang w:val="en-GB"/>
        </w:rPr>
        <w:fldChar w:fldCharType="begin" w:fldLock="1"/>
      </w:r>
      <w:r>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Pr>
          <w:lang w:val="en-GB"/>
        </w:rPr>
        <w:fldChar w:fldCharType="separate"/>
      </w:r>
      <w:r w:rsidRPr="00DD7036">
        <w:rPr>
          <w:noProof/>
          <w:lang w:val="en-GB"/>
        </w:rPr>
        <w:t>[41]</w:t>
      </w:r>
      <w:r>
        <w:rPr>
          <w:lang w:val="en-GB"/>
        </w:rPr>
        <w:fldChar w:fldCharType="end"/>
      </w:r>
      <w:r w:rsidRPr="00503BA6">
        <w:rPr>
          <w:lang w:val="en-GB"/>
        </w:rPr>
        <w:t xml:space="preserve"> is not so accurate at an average error of 5.43%.</w:t>
      </w:r>
    </w:p>
    <w:p w14:paraId="53803DD0" w14:textId="77777777" w:rsidR="00503BA6" w:rsidRPr="00503BA6" w:rsidRDefault="00503BA6" w:rsidP="00503BA6">
      <w:pPr>
        <w:rPr>
          <w:lang w:val="en-GB"/>
        </w:rPr>
      </w:pPr>
      <w:r w:rsidRPr="00503BA6">
        <w:rPr>
          <w:lang w:val="en-GB"/>
        </w:rPr>
        <w:t xml:space="preserve">From the above results, the proposed method predicts the post-contingency status at a very high accuracy. The performance of the proposed method is very close to the method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00BB70A1">
        <w:rPr>
          <w:lang w:val="en-GB"/>
        </w:rPr>
        <w:t xml:space="preserve"> </w:t>
      </w:r>
      <w:r w:rsidRPr="00503BA6">
        <w:rPr>
          <w:lang w:val="en-GB"/>
        </w:rPr>
        <w:t>when there is no Q limit violation.</w:t>
      </w:r>
    </w:p>
    <w:p w14:paraId="79D0470D" w14:textId="77777777" w:rsidR="00503BA6" w:rsidRPr="00503BA6" w:rsidRDefault="00503BA6" w:rsidP="00503BA6">
      <w:pPr>
        <w:rPr>
          <w:lang w:val="en-GB"/>
        </w:rPr>
      </w:pPr>
      <w:r w:rsidRPr="00503BA6">
        <w:rPr>
          <w:lang w:val="en-GB"/>
        </w:rPr>
        <w:t xml:space="preserve">The second contingency, line 5-6 outage, is considered a severe contingency because this line has a large volume of power flow under normal case and its outage causes Q limit violation at Bus 6. The approach shown in </w:t>
      </w:r>
      <w:r>
        <w:rPr>
          <w:lang w:val="en-GB"/>
        </w:rPr>
        <w:fldChar w:fldCharType="begin"/>
      </w:r>
      <w:r>
        <w:rPr>
          <w:lang w:val="en-GB"/>
        </w:rPr>
        <w:instrText xml:space="preserve"> REF _Ref431907865 </w:instrText>
      </w:r>
      <w:r>
        <w:rPr>
          <w:lang w:val="en-GB"/>
        </w:rPr>
        <w:fldChar w:fldCharType="separate"/>
      </w:r>
      <w:r w:rsidR="00656B13">
        <w:t xml:space="preserve">Figure </w:t>
      </w:r>
      <w:r w:rsidR="00656B13">
        <w:rPr>
          <w:noProof/>
        </w:rPr>
        <w:t>17</w:t>
      </w:r>
      <w:r>
        <w:rPr>
          <w:lang w:val="en-GB"/>
        </w:rPr>
        <w:fldChar w:fldCharType="end"/>
      </w:r>
      <w:r>
        <w:rPr>
          <w:lang w:val="en-GB"/>
        </w:rPr>
        <w:t xml:space="preserve"> </w:t>
      </w:r>
      <w:r w:rsidRPr="00503BA6">
        <w:rPr>
          <w:lang w:val="en-GB"/>
        </w:rPr>
        <w:t xml:space="preserve">is employed here to deal the Q limit violation. </w:t>
      </w:r>
    </w:p>
    <w:p w14:paraId="4642AC8B" w14:textId="77777777" w:rsidR="00503BA6" w:rsidRPr="00503BA6" w:rsidRDefault="00503BA6" w:rsidP="00503BA6">
      <w:pPr>
        <w:rPr>
          <w:lang w:val="en-GB"/>
        </w:rPr>
      </w:pPr>
      <w:r w:rsidRPr="00503BA6">
        <w:rPr>
          <w:lang w:val="en-GB"/>
        </w:rPr>
        <w:t xml:space="preserve">Note, since Ref. </w:t>
      </w:r>
      <w:r w:rsidR="00BB70A1">
        <w:rPr>
          <w:lang w:val="en-GB"/>
        </w:rPr>
        <w:fldChar w:fldCharType="begin" w:fldLock="1"/>
      </w:r>
      <w:r w:rsidR="00351740">
        <w:rPr>
          <w:lang w:val="en-GB"/>
        </w:rPr>
        <w:instrText>ADDIN CSL_CITATION { "citationItems" : [ { "id" : "ITEM-1", "itemData" : { "DOI" : "10.1109/59.630447", "ISSN" : "08858950", "abstract" : "This paper presents the development of a simple and fast method to calculate a new set of distribution factors using the sensitivity property of Newton-Raphson load flow Jacobian at a base operating point. These factors have been used to calculate the post-outage voltages and reactive power output of the sources following outage of a transmission branch or a generator. The accuracy of post-outage results using these distribution factors has been established with respect to full AC load flow results on IEEE 14-bus, IEEE 57-bus and a practical 75-bus Indian power systems", "author" : [ { "dropping-particle" : "", "family" : "Singh", "given" : "S. N.", "non-dropping-particle" : "", "parse-names" : false, "suffix" : "" }, { "dropping-particle" : "", "family" : "Srivastava", "given" : "S. C.", "non-dropping-particle" : "", "parse-names" : false, "suffix" : "" } ], "container-title" : "IEEE Transactions on Power Systems", "id" : "ITEM-1", "issue" : "3", "issued" : { "date-parts" : [ [ "1997" ] ] }, "page" : "1085-1093", "title" : "Improved voltage and reactive power distribution factors for outage studies", "type" : "article-journal", "volume" : "12" }, "uris" : [ "http://www.mendeley.com/documents/?uuid=8359506e-3aaa-4527-8f94-0c1e1387482f" ] } ], "mendeley" : { "formattedCitation" : "[41]", "plainTextFormattedCitation" : "[41]", "previouslyFormattedCitation" : "[41]" }, "properties" : { "noteIndex" : 0 }, "schema" : "https://github.com/citation-style-language/schema/raw/master/csl-citation.json" }</w:instrText>
      </w:r>
      <w:r w:rsidR="00BB70A1">
        <w:rPr>
          <w:lang w:val="en-GB"/>
        </w:rPr>
        <w:fldChar w:fldCharType="separate"/>
      </w:r>
      <w:r w:rsidR="00DD7036" w:rsidRPr="00DD7036">
        <w:rPr>
          <w:noProof/>
          <w:lang w:val="en-GB"/>
        </w:rPr>
        <w:t>[41]</w:t>
      </w:r>
      <w:r w:rsidR="00BB70A1">
        <w:rPr>
          <w:lang w:val="en-GB"/>
        </w:rPr>
        <w:fldChar w:fldCharType="end"/>
      </w:r>
      <w:r w:rsidRPr="00503BA6">
        <w:rPr>
          <w:lang w:val="en-GB"/>
        </w:rPr>
        <w:t xml:space="preserve"> does not address this Q violation, so it cannot be compared with the proposed sensitivity approach. Also, the approach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is improved and enhanced in this study. Although, rigorously speaking, it is not completely fair to compare the proposed approach with the one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the comparison is carried out to illustrate the advantage of the proposed method. Details are elaborated next.</w:t>
      </w:r>
    </w:p>
    <w:p w14:paraId="06E21CDA" w14:textId="77777777" w:rsidR="00503BA6" w:rsidRDefault="00503BA6" w:rsidP="00503BA6">
      <w:pPr>
        <w:rPr>
          <w:lang w:val="en-GB"/>
        </w:rPr>
      </w:pPr>
      <w:r w:rsidRPr="00503BA6">
        <w:rPr>
          <w:lang w:val="en-GB"/>
        </w:rPr>
        <w:lastRenderedPageBreak/>
        <w:t xml:space="preserve">Before making any further comparison between the proposed method and the one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it should be mentioned that the exact results of post-contingency status used in the two methods are not the same because of the way the outage is modeled.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with the consideration of line outage, only the series impedance of that branch is taken out. While in this research, both the series impedance and the shunt admittance are taken out when an outage occurs. Since the shunt branch is part of the transmission PI (π) model, it is more reasonable to take out the shunt admittance with the series impedance to model a contingency event. </w:t>
      </w:r>
    </w:p>
    <w:p w14:paraId="2B798E32" w14:textId="30327089" w:rsidR="00503BA6" w:rsidRDefault="00503BA6" w:rsidP="00AE0500">
      <w:pPr>
        <w:spacing w:after="60"/>
        <w:rPr>
          <w:lang w:val="en-GB"/>
        </w:rPr>
      </w:pPr>
      <w:r w:rsidRPr="00503BA6">
        <w:rPr>
          <w:lang w:val="en-GB"/>
        </w:rPr>
        <w:t xml:space="preserve">Consequently, in the prediction of the post-contingency variables, the load injection change used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only considers the line flow through the series impedance. In contrast, the proposed method considers the flow change through the series impedance as well as the shunt admittance, which is more reasonable. Thus, the approaches in </w:t>
      </w:r>
      <w:r w:rsidR="00BB70A1">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Pr>
          <w:lang w:val="en-GB"/>
        </w:rPr>
        <w:fldChar w:fldCharType="separate"/>
      </w:r>
      <w:r w:rsidR="00DD7036" w:rsidRPr="00DD7036">
        <w:rPr>
          <w:noProof/>
          <w:lang w:val="en-GB"/>
        </w:rPr>
        <w:t>[42]</w:t>
      </w:r>
      <w:r w:rsidR="00BB70A1">
        <w:rPr>
          <w:lang w:val="en-GB"/>
        </w:rPr>
        <w:fldChar w:fldCharType="end"/>
      </w:r>
      <w:r w:rsidRPr="00503BA6">
        <w:rPr>
          <w:lang w:val="en-GB"/>
        </w:rPr>
        <w:t xml:space="preserve"> and this work are comparable, loosely speaking.</w:t>
      </w:r>
    </w:p>
    <w:p w14:paraId="3679833D" w14:textId="77777777" w:rsidR="00AE0500" w:rsidRPr="00503BA6" w:rsidRDefault="00AE0500" w:rsidP="00AE0500">
      <w:pPr>
        <w:pStyle w:val="Caption"/>
        <w:rPr>
          <w:b/>
        </w:rPr>
      </w:pPr>
      <w:bookmarkStart w:id="78" w:name="_Ref431908873"/>
      <w:bookmarkStart w:id="79" w:name="_Toc459076660"/>
      <w:r>
        <w:t xml:space="preserve">Table </w:t>
      </w:r>
      <w:fldSimple w:instr=" SEQ Table \* ARABIC ">
        <w:r>
          <w:rPr>
            <w:noProof/>
          </w:rPr>
          <w:t>3</w:t>
        </w:r>
      </w:fldSimple>
      <w:bookmarkEnd w:id="78"/>
      <w:r>
        <w:t>:</w:t>
      </w:r>
      <w:r w:rsidRPr="00503BA6">
        <w:t xml:space="preserve"> Predicted Voltage for Line 5-6 Outage</w:t>
      </w:r>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766"/>
        <w:gridCol w:w="766"/>
        <w:gridCol w:w="789"/>
        <w:gridCol w:w="833"/>
        <w:gridCol w:w="833"/>
        <w:gridCol w:w="833"/>
      </w:tblGrid>
      <w:tr w:rsidR="00AE0500" w:rsidRPr="000F23E1" w14:paraId="0BE0D321" w14:textId="77777777" w:rsidTr="00DB0BED">
        <w:trPr>
          <w:trHeight w:val="216"/>
          <w:jc w:val="center"/>
        </w:trPr>
        <w:tc>
          <w:tcPr>
            <w:tcW w:w="0" w:type="auto"/>
            <w:vMerge w:val="restart"/>
            <w:tcBorders>
              <w:left w:val="nil"/>
              <w:right w:val="double" w:sz="4" w:space="0" w:color="auto"/>
            </w:tcBorders>
            <w:shd w:val="clear" w:color="auto" w:fill="auto"/>
            <w:noWrap/>
            <w:vAlign w:val="center"/>
            <w:hideMark/>
          </w:tcPr>
          <w:p w14:paraId="6EAC947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Bus No</w:t>
            </w:r>
          </w:p>
        </w:tc>
        <w:tc>
          <w:tcPr>
            <w:tcW w:w="0" w:type="auto"/>
            <w:gridSpan w:val="3"/>
            <w:tcBorders>
              <w:left w:val="double" w:sz="4" w:space="0" w:color="auto"/>
              <w:right w:val="double" w:sz="4" w:space="0" w:color="auto"/>
            </w:tcBorders>
            <w:shd w:val="clear" w:color="auto" w:fill="auto"/>
            <w:noWrap/>
            <w:vAlign w:val="center"/>
            <w:hideMark/>
          </w:tcPr>
          <w:p w14:paraId="6DC8D39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Magnitude (p.u.)</w:t>
            </w:r>
          </w:p>
        </w:tc>
        <w:tc>
          <w:tcPr>
            <w:tcW w:w="0" w:type="auto"/>
            <w:gridSpan w:val="3"/>
            <w:tcBorders>
              <w:left w:val="double" w:sz="4" w:space="0" w:color="auto"/>
              <w:right w:val="nil"/>
            </w:tcBorders>
            <w:shd w:val="clear" w:color="auto" w:fill="auto"/>
            <w:noWrap/>
            <w:vAlign w:val="center"/>
            <w:hideMark/>
          </w:tcPr>
          <w:p w14:paraId="4C69A4B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Angle (degree)</w:t>
            </w:r>
          </w:p>
        </w:tc>
      </w:tr>
      <w:tr w:rsidR="00AE0500" w:rsidRPr="000F23E1" w14:paraId="2CE1E930" w14:textId="77777777" w:rsidTr="00DB0BED">
        <w:trPr>
          <w:trHeight w:val="216"/>
          <w:jc w:val="center"/>
        </w:trPr>
        <w:tc>
          <w:tcPr>
            <w:tcW w:w="0" w:type="auto"/>
            <w:vMerge/>
            <w:tcBorders>
              <w:left w:val="nil"/>
              <w:right w:val="double" w:sz="4" w:space="0" w:color="auto"/>
            </w:tcBorders>
            <w:shd w:val="clear" w:color="auto" w:fill="auto"/>
            <w:noWrap/>
            <w:vAlign w:val="center"/>
            <w:hideMark/>
          </w:tcPr>
          <w:p w14:paraId="4B1059E0" w14:textId="77777777" w:rsidR="00AE0500" w:rsidRPr="000F23E1" w:rsidRDefault="00AE0500" w:rsidP="00DB0BED">
            <w:pPr>
              <w:spacing w:line="240" w:lineRule="auto"/>
              <w:ind w:firstLine="0"/>
              <w:jc w:val="center"/>
              <w:rPr>
                <w:rFonts w:eastAsia="Times New Roman"/>
                <w:color w:val="000000"/>
                <w:sz w:val="20"/>
                <w:szCs w:val="20"/>
                <w:lang w:eastAsia="zh-CN"/>
              </w:rPr>
            </w:pPr>
          </w:p>
        </w:tc>
        <w:tc>
          <w:tcPr>
            <w:tcW w:w="0" w:type="auto"/>
            <w:tcBorders>
              <w:left w:val="double" w:sz="4" w:space="0" w:color="auto"/>
            </w:tcBorders>
            <w:shd w:val="clear" w:color="auto" w:fill="auto"/>
            <w:noWrap/>
            <w:vAlign w:val="center"/>
            <w:hideMark/>
          </w:tcPr>
          <w:p w14:paraId="4D54CBC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Exact</w:t>
            </w:r>
          </w:p>
        </w:tc>
        <w:tc>
          <w:tcPr>
            <w:tcW w:w="0" w:type="auto"/>
            <w:shd w:val="clear" w:color="auto" w:fill="auto"/>
            <w:noWrap/>
            <w:vAlign w:val="center"/>
            <w:hideMark/>
          </w:tcPr>
          <w:p w14:paraId="49197BB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Linear</w:t>
            </w:r>
          </w:p>
        </w:tc>
        <w:tc>
          <w:tcPr>
            <w:tcW w:w="0" w:type="auto"/>
            <w:tcBorders>
              <w:right w:val="double" w:sz="4" w:space="0" w:color="auto"/>
            </w:tcBorders>
            <w:shd w:val="clear" w:color="auto" w:fill="auto"/>
            <w:noWrap/>
            <w:vAlign w:val="center"/>
            <w:hideMark/>
          </w:tcPr>
          <w:p w14:paraId="71ACC63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P.W.L.</w:t>
            </w:r>
          </w:p>
        </w:tc>
        <w:tc>
          <w:tcPr>
            <w:tcW w:w="0" w:type="auto"/>
            <w:tcBorders>
              <w:left w:val="double" w:sz="4" w:space="0" w:color="auto"/>
            </w:tcBorders>
            <w:shd w:val="clear" w:color="auto" w:fill="auto"/>
            <w:noWrap/>
            <w:vAlign w:val="center"/>
            <w:hideMark/>
          </w:tcPr>
          <w:p w14:paraId="0C3D33E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Exact</w:t>
            </w:r>
          </w:p>
        </w:tc>
        <w:tc>
          <w:tcPr>
            <w:tcW w:w="0" w:type="auto"/>
            <w:shd w:val="clear" w:color="auto" w:fill="auto"/>
            <w:noWrap/>
            <w:vAlign w:val="center"/>
            <w:hideMark/>
          </w:tcPr>
          <w:p w14:paraId="22FCEB9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Linear</w:t>
            </w:r>
          </w:p>
        </w:tc>
        <w:tc>
          <w:tcPr>
            <w:tcW w:w="0" w:type="auto"/>
            <w:tcBorders>
              <w:right w:val="nil"/>
            </w:tcBorders>
            <w:shd w:val="clear" w:color="auto" w:fill="auto"/>
            <w:noWrap/>
            <w:vAlign w:val="center"/>
            <w:hideMark/>
          </w:tcPr>
          <w:p w14:paraId="5BE64B4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P.W.L.</w:t>
            </w:r>
          </w:p>
        </w:tc>
      </w:tr>
      <w:tr w:rsidR="00AE0500" w:rsidRPr="000F23E1" w14:paraId="62772FBD" w14:textId="77777777" w:rsidTr="00DB0BED">
        <w:trPr>
          <w:trHeight w:val="216"/>
          <w:jc w:val="center"/>
        </w:trPr>
        <w:tc>
          <w:tcPr>
            <w:tcW w:w="0" w:type="auto"/>
            <w:tcBorders>
              <w:left w:val="nil"/>
              <w:right w:val="double" w:sz="4" w:space="0" w:color="auto"/>
            </w:tcBorders>
            <w:shd w:val="clear" w:color="auto" w:fill="auto"/>
            <w:noWrap/>
            <w:vAlign w:val="center"/>
            <w:hideMark/>
          </w:tcPr>
          <w:p w14:paraId="71BB917A"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w:t>
            </w:r>
          </w:p>
        </w:tc>
        <w:tc>
          <w:tcPr>
            <w:tcW w:w="0" w:type="auto"/>
            <w:tcBorders>
              <w:left w:val="double" w:sz="4" w:space="0" w:color="auto"/>
            </w:tcBorders>
            <w:shd w:val="clear" w:color="auto" w:fill="auto"/>
            <w:noWrap/>
            <w:vAlign w:val="center"/>
            <w:hideMark/>
          </w:tcPr>
          <w:p w14:paraId="43C8FA9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1.0600</w:t>
            </w:r>
          </w:p>
        </w:tc>
        <w:tc>
          <w:tcPr>
            <w:tcW w:w="0" w:type="auto"/>
            <w:shd w:val="clear" w:color="auto" w:fill="auto"/>
            <w:noWrap/>
            <w:vAlign w:val="center"/>
            <w:hideMark/>
          </w:tcPr>
          <w:p w14:paraId="10435EA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1.0600</w:t>
            </w:r>
          </w:p>
        </w:tc>
        <w:tc>
          <w:tcPr>
            <w:tcW w:w="0" w:type="auto"/>
            <w:tcBorders>
              <w:right w:val="double" w:sz="4" w:space="0" w:color="auto"/>
            </w:tcBorders>
            <w:shd w:val="clear" w:color="auto" w:fill="auto"/>
            <w:noWrap/>
            <w:vAlign w:val="center"/>
            <w:hideMark/>
          </w:tcPr>
          <w:p w14:paraId="0392418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1.0600</w:t>
            </w:r>
          </w:p>
        </w:tc>
        <w:tc>
          <w:tcPr>
            <w:tcW w:w="0" w:type="auto"/>
            <w:tcBorders>
              <w:left w:val="double" w:sz="4" w:space="0" w:color="auto"/>
            </w:tcBorders>
            <w:shd w:val="clear" w:color="auto" w:fill="auto"/>
            <w:noWrap/>
            <w:vAlign w:val="center"/>
            <w:hideMark/>
          </w:tcPr>
          <w:p w14:paraId="1CE86EE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0.0000</w:t>
            </w:r>
          </w:p>
        </w:tc>
        <w:tc>
          <w:tcPr>
            <w:tcW w:w="0" w:type="auto"/>
            <w:shd w:val="clear" w:color="auto" w:fill="auto"/>
            <w:noWrap/>
            <w:vAlign w:val="center"/>
            <w:hideMark/>
          </w:tcPr>
          <w:p w14:paraId="1BF3306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0.0000</w:t>
            </w:r>
          </w:p>
        </w:tc>
        <w:tc>
          <w:tcPr>
            <w:tcW w:w="0" w:type="auto"/>
            <w:tcBorders>
              <w:right w:val="nil"/>
            </w:tcBorders>
            <w:shd w:val="clear" w:color="auto" w:fill="auto"/>
            <w:noWrap/>
            <w:vAlign w:val="center"/>
            <w:hideMark/>
          </w:tcPr>
          <w:p w14:paraId="5B94471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0.0000</w:t>
            </w:r>
          </w:p>
        </w:tc>
      </w:tr>
      <w:tr w:rsidR="00AE0500" w:rsidRPr="000F23E1" w14:paraId="5B358CBF" w14:textId="77777777" w:rsidTr="00DB0BED">
        <w:trPr>
          <w:trHeight w:val="216"/>
          <w:jc w:val="center"/>
        </w:trPr>
        <w:tc>
          <w:tcPr>
            <w:tcW w:w="0" w:type="auto"/>
            <w:tcBorders>
              <w:left w:val="nil"/>
              <w:right w:val="double" w:sz="4" w:space="0" w:color="auto"/>
            </w:tcBorders>
            <w:shd w:val="clear" w:color="auto" w:fill="auto"/>
            <w:noWrap/>
            <w:vAlign w:val="center"/>
            <w:hideMark/>
          </w:tcPr>
          <w:p w14:paraId="116F5A5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w:t>
            </w:r>
          </w:p>
        </w:tc>
        <w:tc>
          <w:tcPr>
            <w:tcW w:w="0" w:type="auto"/>
            <w:tcBorders>
              <w:left w:val="double" w:sz="4" w:space="0" w:color="auto"/>
            </w:tcBorders>
            <w:shd w:val="clear" w:color="auto" w:fill="auto"/>
            <w:noWrap/>
            <w:vAlign w:val="center"/>
            <w:hideMark/>
          </w:tcPr>
          <w:p w14:paraId="77E8F4DF"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1.0450</w:t>
            </w:r>
          </w:p>
        </w:tc>
        <w:tc>
          <w:tcPr>
            <w:tcW w:w="0" w:type="auto"/>
            <w:shd w:val="clear" w:color="auto" w:fill="auto"/>
            <w:noWrap/>
            <w:vAlign w:val="center"/>
            <w:hideMark/>
          </w:tcPr>
          <w:p w14:paraId="3F06FD3B"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1.0450</w:t>
            </w:r>
          </w:p>
        </w:tc>
        <w:tc>
          <w:tcPr>
            <w:tcW w:w="0" w:type="auto"/>
            <w:tcBorders>
              <w:right w:val="double" w:sz="4" w:space="0" w:color="auto"/>
            </w:tcBorders>
            <w:shd w:val="clear" w:color="auto" w:fill="auto"/>
            <w:noWrap/>
            <w:vAlign w:val="center"/>
            <w:hideMark/>
          </w:tcPr>
          <w:p w14:paraId="0A2DA1C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1.0450</w:t>
            </w:r>
          </w:p>
        </w:tc>
        <w:tc>
          <w:tcPr>
            <w:tcW w:w="0" w:type="auto"/>
            <w:tcBorders>
              <w:left w:val="double" w:sz="4" w:space="0" w:color="auto"/>
            </w:tcBorders>
            <w:shd w:val="clear" w:color="auto" w:fill="auto"/>
            <w:noWrap/>
            <w:vAlign w:val="center"/>
            <w:hideMark/>
          </w:tcPr>
          <w:p w14:paraId="13A3B42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-5.1355</w:t>
            </w:r>
          </w:p>
        </w:tc>
        <w:tc>
          <w:tcPr>
            <w:tcW w:w="0" w:type="auto"/>
            <w:shd w:val="clear" w:color="auto" w:fill="auto"/>
            <w:noWrap/>
            <w:vAlign w:val="center"/>
            <w:hideMark/>
          </w:tcPr>
          <w:p w14:paraId="0A43B8E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-5.0588</w:t>
            </w:r>
          </w:p>
        </w:tc>
        <w:tc>
          <w:tcPr>
            <w:tcW w:w="0" w:type="auto"/>
            <w:tcBorders>
              <w:right w:val="nil"/>
            </w:tcBorders>
            <w:shd w:val="clear" w:color="auto" w:fill="auto"/>
            <w:noWrap/>
            <w:vAlign w:val="center"/>
            <w:hideMark/>
          </w:tcPr>
          <w:p w14:paraId="6319433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-5.0946</w:t>
            </w:r>
          </w:p>
        </w:tc>
      </w:tr>
      <w:tr w:rsidR="00AE0500" w:rsidRPr="000F23E1" w14:paraId="16DBCD1B" w14:textId="77777777" w:rsidTr="00DB0BED">
        <w:trPr>
          <w:trHeight w:val="216"/>
          <w:jc w:val="center"/>
        </w:trPr>
        <w:tc>
          <w:tcPr>
            <w:tcW w:w="0" w:type="auto"/>
            <w:tcBorders>
              <w:left w:val="nil"/>
              <w:right w:val="double" w:sz="4" w:space="0" w:color="auto"/>
            </w:tcBorders>
            <w:shd w:val="clear" w:color="auto" w:fill="auto"/>
            <w:noWrap/>
            <w:vAlign w:val="center"/>
            <w:hideMark/>
          </w:tcPr>
          <w:p w14:paraId="3065527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3</w:t>
            </w:r>
          </w:p>
        </w:tc>
        <w:tc>
          <w:tcPr>
            <w:tcW w:w="0" w:type="auto"/>
            <w:tcBorders>
              <w:left w:val="double" w:sz="4" w:space="0" w:color="auto"/>
            </w:tcBorders>
            <w:shd w:val="clear" w:color="auto" w:fill="auto"/>
            <w:noWrap/>
            <w:vAlign w:val="center"/>
            <w:hideMark/>
          </w:tcPr>
          <w:p w14:paraId="3A19088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1.0100</w:t>
            </w:r>
          </w:p>
        </w:tc>
        <w:tc>
          <w:tcPr>
            <w:tcW w:w="0" w:type="auto"/>
            <w:shd w:val="clear" w:color="auto" w:fill="auto"/>
            <w:noWrap/>
            <w:vAlign w:val="center"/>
            <w:hideMark/>
          </w:tcPr>
          <w:p w14:paraId="6D68FB7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1.0100</w:t>
            </w:r>
          </w:p>
        </w:tc>
        <w:tc>
          <w:tcPr>
            <w:tcW w:w="0" w:type="auto"/>
            <w:tcBorders>
              <w:right w:val="double" w:sz="4" w:space="0" w:color="auto"/>
            </w:tcBorders>
            <w:shd w:val="clear" w:color="auto" w:fill="auto"/>
            <w:noWrap/>
            <w:vAlign w:val="center"/>
            <w:hideMark/>
          </w:tcPr>
          <w:p w14:paraId="6F839E3A"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1.0100</w:t>
            </w:r>
          </w:p>
        </w:tc>
        <w:tc>
          <w:tcPr>
            <w:tcW w:w="0" w:type="auto"/>
            <w:tcBorders>
              <w:left w:val="double" w:sz="4" w:space="0" w:color="auto"/>
            </w:tcBorders>
            <w:shd w:val="clear" w:color="auto" w:fill="auto"/>
            <w:noWrap/>
            <w:vAlign w:val="center"/>
            <w:hideMark/>
          </w:tcPr>
          <w:p w14:paraId="275A187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-13.187</w:t>
            </w:r>
          </w:p>
        </w:tc>
        <w:tc>
          <w:tcPr>
            <w:tcW w:w="0" w:type="auto"/>
            <w:shd w:val="clear" w:color="auto" w:fill="auto"/>
            <w:noWrap/>
            <w:vAlign w:val="center"/>
            <w:hideMark/>
          </w:tcPr>
          <w:p w14:paraId="4669A81B"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-13.025</w:t>
            </w:r>
          </w:p>
        </w:tc>
        <w:tc>
          <w:tcPr>
            <w:tcW w:w="0" w:type="auto"/>
            <w:tcBorders>
              <w:right w:val="nil"/>
            </w:tcBorders>
            <w:shd w:val="clear" w:color="auto" w:fill="auto"/>
            <w:noWrap/>
            <w:vAlign w:val="center"/>
            <w:hideMark/>
          </w:tcPr>
          <w:p w14:paraId="5E62FEF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-13.107</w:t>
            </w:r>
          </w:p>
        </w:tc>
      </w:tr>
      <w:tr w:rsidR="00AE0500" w:rsidRPr="000F23E1" w14:paraId="457E708D" w14:textId="77777777" w:rsidTr="00DB0BED">
        <w:trPr>
          <w:trHeight w:val="216"/>
          <w:jc w:val="center"/>
        </w:trPr>
        <w:tc>
          <w:tcPr>
            <w:tcW w:w="0" w:type="auto"/>
            <w:tcBorders>
              <w:left w:val="nil"/>
              <w:right w:val="double" w:sz="4" w:space="0" w:color="auto"/>
            </w:tcBorders>
            <w:shd w:val="clear" w:color="auto" w:fill="auto"/>
            <w:noWrap/>
            <w:vAlign w:val="center"/>
            <w:hideMark/>
          </w:tcPr>
          <w:p w14:paraId="09583EF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w:t>
            </w:r>
          </w:p>
        </w:tc>
        <w:tc>
          <w:tcPr>
            <w:tcW w:w="0" w:type="auto"/>
            <w:tcBorders>
              <w:left w:val="double" w:sz="4" w:space="0" w:color="auto"/>
            </w:tcBorders>
            <w:shd w:val="clear" w:color="auto" w:fill="auto"/>
            <w:noWrap/>
            <w:vAlign w:val="center"/>
            <w:hideMark/>
          </w:tcPr>
          <w:p w14:paraId="1973EEAF"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1.0140</w:t>
            </w:r>
          </w:p>
        </w:tc>
        <w:tc>
          <w:tcPr>
            <w:tcW w:w="0" w:type="auto"/>
            <w:shd w:val="clear" w:color="auto" w:fill="auto"/>
            <w:noWrap/>
            <w:vAlign w:val="center"/>
            <w:hideMark/>
          </w:tcPr>
          <w:p w14:paraId="0F98737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1.0206</w:t>
            </w:r>
          </w:p>
        </w:tc>
        <w:tc>
          <w:tcPr>
            <w:tcW w:w="0" w:type="auto"/>
            <w:tcBorders>
              <w:right w:val="double" w:sz="4" w:space="0" w:color="auto"/>
            </w:tcBorders>
            <w:shd w:val="clear" w:color="auto" w:fill="auto"/>
            <w:noWrap/>
            <w:vAlign w:val="center"/>
            <w:hideMark/>
          </w:tcPr>
          <w:p w14:paraId="66923F12"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1.0161</w:t>
            </w:r>
          </w:p>
        </w:tc>
        <w:tc>
          <w:tcPr>
            <w:tcW w:w="0" w:type="auto"/>
            <w:tcBorders>
              <w:left w:val="double" w:sz="4" w:space="0" w:color="auto"/>
            </w:tcBorders>
            <w:shd w:val="clear" w:color="auto" w:fill="auto"/>
            <w:noWrap/>
            <w:vAlign w:val="center"/>
            <w:hideMark/>
          </w:tcPr>
          <w:p w14:paraId="138A812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-10.977</w:t>
            </w:r>
          </w:p>
        </w:tc>
        <w:tc>
          <w:tcPr>
            <w:tcW w:w="0" w:type="auto"/>
            <w:shd w:val="clear" w:color="auto" w:fill="auto"/>
            <w:noWrap/>
            <w:vAlign w:val="center"/>
            <w:hideMark/>
          </w:tcPr>
          <w:p w14:paraId="4388EF4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-10.897</w:t>
            </w:r>
          </w:p>
        </w:tc>
        <w:tc>
          <w:tcPr>
            <w:tcW w:w="0" w:type="auto"/>
            <w:tcBorders>
              <w:right w:val="nil"/>
            </w:tcBorders>
            <w:shd w:val="clear" w:color="auto" w:fill="auto"/>
            <w:noWrap/>
            <w:vAlign w:val="center"/>
            <w:hideMark/>
          </w:tcPr>
          <w:p w14:paraId="774FA51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-10.911</w:t>
            </w:r>
          </w:p>
        </w:tc>
      </w:tr>
      <w:tr w:rsidR="00AE0500" w:rsidRPr="000F23E1" w14:paraId="540D1BDB" w14:textId="77777777" w:rsidTr="00DB0BED">
        <w:trPr>
          <w:trHeight w:val="216"/>
          <w:jc w:val="center"/>
        </w:trPr>
        <w:tc>
          <w:tcPr>
            <w:tcW w:w="0" w:type="auto"/>
            <w:tcBorders>
              <w:left w:val="nil"/>
              <w:right w:val="double" w:sz="4" w:space="0" w:color="auto"/>
            </w:tcBorders>
            <w:shd w:val="clear" w:color="auto" w:fill="auto"/>
            <w:noWrap/>
            <w:vAlign w:val="center"/>
            <w:hideMark/>
          </w:tcPr>
          <w:p w14:paraId="1EB0A66B"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5</w:t>
            </w:r>
          </w:p>
        </w:tc>
        <w:tc>
          <w:tcPr>
            <w:tcW w:w="0" w:type="auto"/>
            <w:tcBorders>
              <w:left w:val="double" w:sz="4" w:space="0" w:color="auto"/>
            </w:tcBorders>
            <w:shd w:val="clear" w:color="auto" w:fill="auto"/>
            <w:noWrap/>
            <w:vAlign w:val="center"/>
            <w:hideMark/>
          </w:tcPr>
          <w:p w14:paraId="79ED1E8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1.0243</w:t>
            </w:r>
          </w:p>
        </w:tc>
        <w:tc>
          <w:tcPr>
            <w:tcW w:w="0" w:type="auto"/>
            <w:shd w:val="clear" w:color="auto" w:fill="auto"/>
            <w:noWrap/>
            <w:vAlign w:val="center"/>
            <w:hideMark/>
          </w:tcPr>
          <w:p w14:paraId="18B8073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1.0291</w:t>
            </w:r>
          </w:p>
        </w:tc>
        <w:tc>
          <w:tcPr>
            <w:tcW w:w="0" w:type="auto"/>
            <w:tcBorders>
              <w:right w:val="double" w:sz="4" w:space="0" w:color="auto"/>
            </w:tcBorders>
            <w:shd w:val="clear" w:color="auto" w:fill="auto"/>
            <w:noWrap/>
            <w:vAlign w:val="center"/>
            <w:hideMark/>
          </w:tcPr>
          <w:p w14:paraId="66F9A66A"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1.0259</w:t>
            </w:r>
          </w:p>
        </w:tc>
        <w:tc>
          <w:tcPr>
            <w:tcW w:w="0" w:type="auto"/>
            <w:tcBorders>
              <w:left w:val="double" w:sz="4" w:space="0" w:color="auto"/>
            </w:tcBorders>
            <w:shd w:val="clear" w:color="auto" w:fill="auto"/>
            <w:noWrap/>
            <w:vAlign w:val="center"/>
            <w:hideMark/>
          </w:tcPr>
          <w:p w14:paraId="12721DC2"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-8.6054</w:t>
            </w:r>
          </w:p>
        </w:tc>
        <w:tc>
          <w:tcPr>
            <w:tcW w:w="0" w:type="auto"/>
            <w:shd w:val="clear" w:color="auto" w:fill="auto"/>
            <w:noWrap/>
            <w:vAlign w:val="center"/>
            <w:hideMark/>
          </w:tcPr>
          <w:p w14:paraId="3EEC4882"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-8.5375</w:t>
            </w:r>
          </w:p>
        </w:tc>
        <w:tc>
          <w:tcPr>
            <w:tcW w:w="0" w:type="auto"/>
            <w:tcBorders>
              <w:right w:val="nil"/>
            </w:tcBorders>
            <w:shd w:val="clear" w:color="auto" w:fill="auto"/>
            <w:noWrap/>
            <w:vAlign w:val="center"/>
            <w:hideMark/>
          </w:tcPr>
          <w:p w14:paraId="09A6837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-8.5540</w:t>
            </w:r>
          </w:p>
        </w:tc>
      </w:tr>
      <w:tr w:rsidR="00AE0500" w:rsidRPr="000F23E1" w14:paraId="0DB41C7C" w14:textId="77777777" w:rsidTr="00DB0BED">
        <w:trPr>
          <w:trHeight w:val="216"/>
          <w:jc w:val="center"/>
        </w:trPr>
        <w:tc>
          <w:tcPr>
            <w:tcW w:w="0" w:type="auto"/>
            <w:tcBorders>
              <w:left w:val="nil"/>
              <w:right w:val="double" w:sz="4" w:space="0" w:color="auto"/>
            </w:tcBorders>
            <w:shd w:val="clear" w:color="auto" w:fill="auto"/>
            <w:noWrap/>
            <w:vAlign w:val="center"/>
            <w:hideMark/>
          </w:tcPr>
          <w:p w14:paraId="15F274E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6</w:t>
            </w:r>
          </w:p>
        </w:tc>
        <w:tc>
          <w:tcPr>
            <w:tcW w:w="0" w:type="auto"/>
            <w:tcBorders>
              <w:left w:val="double" w:sz="4" w:space="0" w:color="auto"/>
            </w:tcBorders>
            <w:shd w:val="clear" w:color="auto" w:fill="auto"/>
            <w:noWrap/>
            <w:vAlign w:val="center"/>
            <w:hideMark/>
          </w:tcPr>
          <w:p w14:paraId="117C962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1.0073</w:t>
            </w:r>
          </w:p>
        </w:tc>
        <w:tc>
          <w:tcPr>
            <w:tcW w:w="0" w:type="auto"/>
            <w:shd w:val="clear" w:color="auto" w:fill="auto"/>
            <w:noWrap/>
            <w:vAlign w:val="center"/>
            <w:hideMark/>
          </w:tcPr>
          <w:p w14:paraId="7399C2F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1.0700</w:t>
            </w:r>
          </w:p>
        </w:tc>
        <w:tc>
          <w:tcPr>
            <w:tcW w:w="0" w:type="auto"/>
            <w:tcBorders>
              <w:right w:val="double" w:sz="4" w:space="0" w:color="auto"/>
            </w:tcBorders>
            <w:shd w:val="clear" w:color="auto" w:fill="auto"/>
            <w:noWrap/>
            <w:vAlign w:val="center"/>
            <w:hideMark/>
          </w:tcPr>
          <w:p w14:paraId="6CD870CA"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1.0195</w:t>
            </w:r>
          </w:p>
        </w:tc>
        <w:tc>
          <w:tcPr>
            <w:tcW w:w="0" w:type="auto"/>
            <w:tcBorders>
              <w:left w:val="double" w:sz="4" w:space="0" w:color="auto"/>
            </w:tcBorders>
            <w:shd w:val="clear" w:color="auto" w:fill="auto"/>
            <w:noWrap/>
            <w:vAlign w:val="center"/>
            <w:hideMark/>
          </w:tcPr>
          <w:p w14:paraId="466BDC1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-27.009</w:t>
            </w:r>
          </w:p>
        </w:tc>
        <w:tc>
          <w:tcPr>
            <w:tcW w:w="0" w:type="auto"/>
            <w:shd w:val="clear" w:color="auto" w:fill="auto"/>
            <w:noWrap/>
            <w:vAlign w:val="center"/>
            <w:hideMark/>
          </w:tcPr>
          <w:p w14:paraId="32E7F93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-26.628</w:t>
            </w:r>
          </w:p>
        </w:tc>
        <w:tc>
          <w:tcPr>
            <w:tcW w:w="0" w:type="auto"/>
            <w:tcBorders>
              <w:right w:val="nil"/>
            </w:tcBorders>
            <w:shd w:val="clear" w:color="auto" w:fill="auto"/>
            <w:noWrap/>
            <w:vAlign w:val="center"/>
            <w:hideMark/>
          </w:tcPr>
          <w:p w14:paraId="08505AB2"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-26.383</w:t>
            </w:r>
          </w:p>
        </w:tc>
      </w:tr>
      <w:tr w:rsidR="00AE0500" w:rsidRPr="000F23E1" w14:paraId="48306D2A" w14:textId="77777777" w:rsidTr="00DB0BED">
        <w:trPr>
          <w:trHeight w:val="216"/>
          <w:jc w:val="center"/>
        </w:trPr>
        <w:tc>
          <w:tcPr>
            <w:tcW w:w="0" w:type="auto"/>
            <w:tcBorders>
              <w:left w:val="nil"/>
              <w:right w:val="double" w:sz="4" w:space="0" w:color="auto"/>
            </w:tcBorders>
            <w:shd w:val="clear" w:color="auto" w:fill="auto"/>
            <w:noWrap/>
            <w:vAlign w:val="center"/>
            <w:hideMark/>
          </w:tcPr>
          <w:p w14:paraId="51B56EE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7</w:t>
            </w:r>
          </w:p>
        </w:tc>
        <w:tc>
          <w:tcPr>
            <w:tcW w:w="0" w:type="auto"/>
            <w:tcBorders>
              <w:left w:val="double" w:sz="4" w:space="0" w:color="auto"/>
            </w:tcBorders>
            <w:shd w:val="clear" w:color="auto" w:fill="auto"/>
            <w:noWrap/>
            <w:vAlign w:val="center"/>
            <w:hideMark/>
          </w:tcPr>
          <w:p w14:paraId="386C740D"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1.0534</w:t>
            </w:r>
          </w:p>
        </w:tc>
        <w:tc>
          <w:tcPr>
            <w:tcW w:w="0" w:type="auto"/>
            <w:shd w:val="clear" w:color="auto" w:fill="auto"/>
            <w:noWrap/>
            <w:vAlign w:val="center"/>
            <w:hideMark/>
          </w:tcPr>
          <w:p w14:paraId="33ACF24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1.0693</w:t>
            </w:r>
          </w:p>
        </w:tc>
        <w:tc>
          <w:tcPr>
            <w:tcW w:w="0" w:type="auto"/>
            <w:tcBorders>
              <w:right w:val="double" w:sz="4" w:space="0" w:color="auto"/>
            </w:tcBorders>
            <w:shd w:val="clear" w:color="auto" w:fill="auto"/>
            <w:noWrap/>
            <w:vAlign w:val="center"/>
            <w:hideMark/>
          </w:tcPr>
          <w:p w14:paraId="0CD7B30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1.0577</w:t>
            </w:r>
          </w:p>
        </w:tc>
        <w:tc>
          <w:tcPr>
            <w:tcW w:w="0" w:type="auto"/>
            <w:tcBorders>
              <w:left w:val="double" w:sz="4" w:space="0" w:color="auto"/>
            </w:tcBorders>
            <w:shd w:val="clear" w:color="auto" w:fill="auto"/>
            <w:noWrap/>
            <w:vAlign w:val="center"/>
            <w:hideMark/>
          </w:tcPr>
          <w:p w14:paraId="49FB416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-17.281</w:t>
            </w:r>
          </w:p>
        </w:tc>
        <w:tc>
          <w:tcPr>
            <w:tcW w:w="0" w:type="auto"/>
            <w:shd w:val="clear" w:color="auto" w:fill="auto"/>
            <w:noWrap/>
            <w:vAlign w:val="center"/>
            <w:hideMark/>
          </w:tcPr>
          <w:p w14:paraId="4709A31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-16.911</w:t>
            </w:r>
          </w:p>
        </w:tc>
        <w:tc>
          <w:tcPr>
            <w:tcW w:w="0" w:type="auto"/>
            <w:tcBorders>
              <w:right w:val="nil"/>
            </w:tcBorders>
            <w:shd w:val="clear" w:color="auto" w:fill="auto"/>
            <w:noWrap/>
            <w:vAlign w:val="center"/>
            <w:hideMark/>
          </w:tcPr>
          <w:p w14:paraId="57C1FDBF"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-17.064</w:t>
            </w:r>
          </w:p>
        </w:tc>
      </w:tr>
      <w:tr w:rsidR="00AE0500" w:rsidRPr="000F23E1" w14:paraId="387EA076" w14:textId="77777777" w:rsidTr="00DB0BED">
        <w:trPr>
          <w:trHeight w:val="216"/>
          <w:jc w:val="center"/>
        </w:trPr>
        <w:tc>
          <w:tcPr>
            <w:tcW w:w="0" w:type="auto"/>
            <w:tcBorders>
              <w:left w:val="nil"/>
              <w:right w:val="double" w:sz="4" w:space="0" w:color="auto"/>
            </w:tcBorders>
            <w:shd w:val="clear" w:color="auto" w:fill="auto"/>
            <w:noWrap/>
            <w:vAlign w:val="center"/>
            <w:hideMark/>
          </w:tcPr>
          <w:p w14:paraId="04D8C9DD"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8</w:t>
            </w:r>
          </w:p>
        </w:tc>
        <w:tc>
          <w:tcPr>
            <w:tcW w:w="0" w:type="auto"/>
            <w:tcBorders>
              <w:left w:val="double" w:sz="4" w:space="0" w:color="auto"/>
            </w:tcBorders>
            <w:shd w:val="clear" w:color="auto" w:fill="auto"/>
            <w:noWrap/>
            <w:vAlign w:val="center"/>
            <w:hideMark/>
          </w:tcPr>
          <w:p w14:paraId="0BC4E27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1.0900</w:t>
            </w:r>
          </w:p>
        </w:tc>
        <w:tc>
          <w:tcPr>
            <w:tcW w:w="0" w:type="auto"/>
            <w:shd w:val="clear" w:color="auto" w:fill="auto"/>
            <w:noWrap/>
            <w:vAlign w:val="center"/>
            <w:hideMark/>
          </w:tcPr>
          <w:p w14:paraId="1B30345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1.0900</w:t>
            </w:r>
          </w:p>
        </w:tc>
        <w:tc>
          <w:tcPr>
            <w:tcW w:w="0" w:type="auto"/>
            <w:tcBorders>
              <w:right w:val="double" w:sz="4" w:space="0" w:color="auto"/>
            </w:tcBorders>
            <w:shd w:val="clear" w:color="auto" w:fill="auto"/>
            <w:noWrap/>
            <w:vAlign w:val="center"/>
            <w:hideMark/>
          </w:tcPr>
          <w:p w14:paraId="2354A9ED"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1.0900</w:t>
            </w:r>
          </w:p>
        </w:tc>
        <w:tc>
          <w:tcPr>
            <w:tcW w:w="0" w:type="auto"/>
            <w:tcBorders>
              <w:left w:val="double" w:sz="4" w:space="0" w:color="auto"/>
            </w:tcBorders>
            <w:shd w:val="clear" w:color="auto" w:fill="auto"/>
            <w:noWrap/>
            <w:vAlign w:val="center"/>
            <w:hideMark/>
          </w:tcPr>
          <w:p w14:paraId="0207A50B"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-17.281</w:t>
            </w:r>
          </w:p>
        </w:tc>
        <w:tc>
          <w:tcPr>
            <w:tcW w:w="0" w:type="auto"/>
            <w:shd w:val="clear" w:color="auto" w:fill="auto"/>
            <w:noWrap/>
            <w:vAlign w:val="center"/>
            <w:hideMark/>
          </w:tcPr>
          <w:p w14:paraId="7A53567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-16.911</w:t>
            </w:r>
          </w:p>
        </w:tc>
        <w:tc>
          <w:tcPr>
            <w:tcW w:w="0" w:type="auto"/>
            <w:tcBorders>
              <w:right w:val="nil"/>
            </w:tcBorders>
            <w:shd w:val="clear" w:color="auto" w:fill="auto"/>
            <w:noWrap/>
            <w:vAlign w:val="center"/>
            <w:hideMark/>
          </w:tcPr>
          <w:p w14:paraId="6A28C0F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-17.064</w:t>
            </w:r>
          </w:p>
        </w:tc>
      </w:tr>
      <w:tr w:rsidR="00AE0500" w:rsidRPr="000F23E1" w14:paraId="67980F16" w14:textId="77777777" w:rsidTr="00DB0BED">
        <w:trPr>
          <w:trHeight w:val="216"/>
          <w:jc w:val="center"/>
        </w:trPr>
        <w:tc>
          <w:tcPr>
            <w:tcW w:w="0" w:type="auto"/>
            <w:tcBorders>
              <w:left w:val="nil"/>
              <w:right w:val="double" w:sz="4" w:space="0" w:color="auto"/>
            </w:tcBorders>
            <w:shd w:val="clear" w:color="auto" w:fill="auto"/>
            <w:noWrap/>
            <w:vAlign w:val="center"/>
            <w:hideMark/>
          </w:tcPr>
          <w:p w14:paraId="6CDEB092"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9</w:t>
            </w:r>
          </w:p>
        </w:tc>
        <w:tc>
          <w:tcPr>
            <w:tcW w:w="0" w:type="auto"/>
            <w:tcBorders>
              <w:left w:val="double" w:sz="4" w:space="0" w:color="auto"/>
            </w:tcBorders>
            <w:shd w:val="clear" w:color="auto" w:fill="auto"/>
            <w:noWrap/>
            <w:vAlign w:val="center"/>
            <w:hideMark/>
          </w:tcPr>
          <w:p w14:paraId="3628CBD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1.0443</w:t>
            </w:r>
          </w:p>
        </w:tc>
        <w:tc>
          <w:tcPr>
            <w:tcW w:w="0" w:type="auto"/>
            <w:shd w:val="clear" w:color="auto" w:fill="auto"/>
            <w:noWrap/>
            <w:vAlign w:val="center"/>
            <w:hideMark/>
          </w:tcPr>
          <w:p w14:paraId="56211295"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1.0735</w:t>
            </w:r>
          </w:p>
        </w:tc>
        <w:tc>
          <w:tcPr>
            <w:tcW w:w="0" w:type="auto"/>
            <w:tcBorders>
              <w:right w:val="double" w:sz="4" w:space="0" w:color="auto"/>
            </w:tcBorders>
            <w:shd w:val="clear" w:color="auto" w:fill="auto"/>
            <w:noWrap/>
            <w:vAlign w:val="center"/>
            <w:hideMark/>
          </w:tcPr>
          <w:p w14:paraId="4DD2B44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1.0515</w:t>
            </w:r>
          </w:p>
        </w:tc>
        <w:tc>
          <w:tcPr>
            <w:tcW w:w="0" w:type="auto"/>
            <w:tcBorders>
              <w:left w:val="double" w:sz="4" w:space="0" w:color="auto"/>
            </w:tcBorders>
            <w:shd w:val="clear" w:color="auto" w:fill="auto"/>
            <w:noWrap/>
            <w:vAlign w:val="center"/>
            <w:hideMark/>
          </w:tcPr>
          <w:p w14:paraId="275B9D1B"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-20.569</w:t>
            </w:r>
          </w:p>
        </w:tc>
        <w:tc>
          <w:tcPr>
            <w:tcW w:w="0" w:type="auto"/>
            <w:shd w:val="clear" w:color="auto" w:fill="auto"/>
            <w:noWrap/>
            <w:vAlign w:val="center"/>
            <w:hideMark/>
          </w:tcPr>
          <w:p w14:paraId="00A6D1F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-20.004</w:t>
            </w:r>
          </w:p>
        </w:tc>
        <w:tc>
          <w:tcPr>
            <w:tcW w:w="0" w:type="auto"/>
            <w:tcBorders>
              <w:right w:val="nil"/>
            </w:tcBorders>
            <w:shd w:val="clear" w:color="auto" w:fill="auto"/>
            <w:noWrap/>
            <w:vAlign w:val="center"/>
            <w:hideMark/>
          </w:tcPr>
          <w:p w14:paraId="1AD1398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-20.257</w:t>
            </w:r>
          </w:p>
        </w:tc>
      </w:tr>
      <w:tr w:rsidR="00AE0500" w:rsidRPr="000F23E1" w14:paraId="3A178F3C" w14:textId="77777777" w:rsidTr="00DB0BED">
        <w:trPr>
          <w:trHeight w:val="216"/>
          <w:jc w:val="center"/>
        </w:trPr>
        <w:tc>
          <w:tcPr>
            <w:tcW w:w="0" w:type="auto"/>
            <w:tcBorders>
              <w:left w:val="nil"/>
              <w:right w:val="double" w:sz="4" w:space="0" w:color="auto"/>
            </w:tcBorders>
            <w:shd w:val="clear" w:color="auto" w:fill="auto"/>
            <w:noWrap/>
            <w:vAlign w:val="center"/>
            <w:hideMark/>
          </w:tcPr>
          <w:p w14:paraId="4F87A2AF"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w:t>
            </w:r>
          </w:p>
        </w:tc>
        <w:tc>
          <w:tcPr>
            <w:tcW w:w="0" w:type="auto"/>
            <w:tcBorders>
              <w:left w:val="double" w:sz="4" w:space="0" w:color="auto"/>
            </w:tcBorders>
            <w:shd w:val="clear" w:color="auto" w:fill="auto"/>
            <w:noWrap/>
            <w:vAlign w:val="center"/>
            <w:hideMark/>
          </w:tcPr>
          <w:p w14:paraId="2178F41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1.0305</w:t>
            </w:r>
          </w:p>
        </w:tc>
        <w:tc>
          <w:tcPr>
            <w:tcW w:w="0" w:type="auto"/>
            <w:shd w:val="clear" w:color="auto" w:fill="auto"/>
            <w:noWrap/>
            <w:vAlign w:val="center"/>
            <w:hideMark/>
          </w:tcPr>
          <w:p w14:paraId="3838A1A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1.0671</w:t>
            </w:r>
          </w:p>
        </w:tc>
        <w:tc>
          <w:tcPr>
            <w:tcW w:w="0" w:type="auto"/>
            <w:tcBorders>
              <w:right w:val="double" w:sz="4" w:space="0" w:color="auto"/>
            </w:tcBorders>
            <w:shd w:val="clear" w:color="auto" w:fill="auto"/>
            <w:noWrap/>
            <w:vAlign w:val="center"/>
            <w:hideMark/>
          </w:tcPr>
          <w:p w14:paraId="6F9F075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1.0393</w:t>
            </w:r>
          </w:p>
        </w:tc>
        <w:tc>
          <w:tcPr>
            <w:tcW w:w="0" w:type="auto"/>
            <w:tcBorders>
              <w:left w:val="double" w:sz="4" w:space="0" w:color="auto"/>
            </w:tcBorders>
            <w:shd w:val="clear" w:color="auto" w:fill="auto"/>
            <w:noWrap/>
            <w:vAlign w:val="center"/>
            <w:hideMark/>
          </w:tcPr>
          <w:p w14:paraId="42EA90B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-21.976</w:t>
            </w:r>
          </w:p>
        </w:tc>
        <w:tc>
          <w:tcPr>
            <w:tcW w:w="0" w:type="auto"/>
            <w:shd w:val="clear" w:color="auto" w:fill="auto"/>
            <w:noWrap/>
            <w:vAlign w:val="center"/>
            <w:hideMark/>
          </w:tcPr>
          <w:p w14:paraId="3BBEA82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-21.450</w:t>
            </w:r>
          </w:p>
        </w:tc>
        <w:tc>
          <w:tcPr>
            <w:tcW w:w="0" w:type="auto"/>
            <w:tcBorders>
              <w:right w:val="nil"/>
            </w:tcBorders>
            <w:shd w:val="clear" w:color="auto" w:fill="auto"/>
            <w:noWrap/>
            <w:vAlign w:val="center"/>
            <w:hideMark/>
          </w:tcPr>
          <w:p w14:paraId="1C45BAAF"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-21.626</w:t>
            </w:r>
          </w:p>
        </w:tc>
      </w:tr>
      <w:tr w:rsidR="00AE0500" w:rsidRPr="000F23E1" w14:paraId="1A37D823" w14:textId="77777777" w:rsidTr="00DB0BED">
        <w:trPr>
          <w:trHeight w:val="216"/>
          <w:jc w:val="center"/>
        </w:trPr>
        <w:tc>
          <w:tcPr>
            <w:tcW w:w="0" w:type="auto"/>
            <w:tcBorders>
              <w:left w:val="nil"/>
              <w:right w:val="double" w:sz="4" w:space="0" w:color="auto"/>
            </w:tcBorders>
            <w:shd w:val="clear" w:color="auto" w:fill="auto"/>
            <w:noWrap/>
            <w:vAlign w:val="center"/>
            <w:hideMark/>
          </w:tcPr>
          <w:p w14:paraId="34DECB7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11</w:t>
            </w:r>
          </w:p>
        </w:tc>
        <w:tc>
          <w:tcPr>
            <w:tcW w:w="0" w:type="auto"/>
            <w:tcBorders>
              <w:left w:val="double" w:sz="4" w:space="0" w:color="auto"/>
            </w:tcBorders>
            <w:shd w:val="clear" w:color="auto" w:fill="auto"/>
            <w:noWrap/>
            <w:vAlign w:val="center"/>
            <w:hideMark/>
          </w:tcPr>
          <w:p w14:paraId="62303F7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1.0159</w:t>
            </w:r>
          </w:p>
        </w:tc>
        <w:tc>
          <w:tcPr>
            <w:tcW w:w="0" w:type="auto"/>
            <w:shd w:val="clear" w:color="auto" w:fill="auto"/>
            <w:noWrap/>
            <w:vAlign w:val="center"/>
            <w:hideMark/>
          </w:tcPr>
          <w:p w14:paraId="6FFF8AA6"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1.0668</w:t>
            </w:r>
          </w:p>
        </w:tc>
        <w:tc>
          <w:tcPr>
            <w:tcW w:w="0" w:type="auto"/>
            <w:tcBorders>
              <w:right w:val="double" w:sz="4" w:space="0" w:color="auto"/>
            </w:tcBorders>
            <w:shd w:val="clear" w:color="auto" w:fill="auto"/>
            <w:noWrap/>
            <w:vAlign w:val="center"/>
            <w:hideMark/>
          </w:tcPr>
          <w:p w14:paraId="3976FB0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1.0271</w:t>
            </w:r>
          </w:p>
        </w:tc>
        <w:tc>
          <w:tcPr>
            <w:tcW w:w="0" w:type="auto"/>
            <w:tcBorders>
              <w:left w:val="double" w:sz="4" w:space="0" w:color="auto"/>
            </w:tcBorders>
            <w:shd w:val="clear" w:color="auto" w:fill="auto"/>
            <w:noWrap/>
            <w:vAlign w:val="center"/>
            <w:hideMark/>
          </w:tcPr>
          <w:p w14:paraId="248893E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-24.555</w:t>
            </w:r>
          </w:p>
        </w:tc>
        <w:tc>
          <w:tcPr>
            <w:tcW w:w="0" w:type="auto"/>
            <w:shd w:val="clear" w:color="auto" w:fill="auto"/>
            <w:noWrap/>
            <w:vAlign w:val="center"/>
            <w:hideMark/>
          </w:tcPr>
          <w:p w14:paraId="269F01C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-24.126</w:t>
            </w:r>
          </w:p>
        </w:tc>
        <w:tc>
          <w:tcPr>
            <w:tcW w:w="0" w:type="auto"/>
            <w:tcBorders>
              <w:right w:val="nil"/>
            </w:tcBorders>
            <w:shd w:val="clear" w:color="auto" w:fill="auto"/>
            <w:noWrap/>
            <w:vAlign w:val="center"/>
            <w:hideMark/>
          </w:tcPr>
          <w:p w14:paraId="3D12EDC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-24.096</w:t>
            </w:r>
          </w:p>
        </w:tc>
      </w:tr>
      <w:tr w:rsidR="00AE0500" w:rsidRPr="000F23E1" w14:paraId="05E6B217" w14:textId="77777777" w:rsidTr="00DB0BED">
        <w:trPr>
          <w:trHeight w:val="216"/>
          <w:jc w:val="center"/>
        </w:trPr>
        <w:tc>
          <w:tcPr>
            <w:tcW w:w="0" w:type="auto"/>
            <w:tcBorders>
              <w:left w:val="nil"/>
              <w:right w:val="double" w:sz="4" w:space="0" w:color="auto"/>
            </w:tcBorders>
            <w:shd w:val="clear" w:color="auto" w:fill="auto"/>
            <w:noWrap/>
            <w:vAlign w:val="center"/>
            <w:hideMark/>
          </w:tcPr>
          <w:p w14:paraId="6B6B741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12</w:t>
            </w:r>
          </w:p>
        </w:tc>
        <w:tc>
          <w:tcPr>
            <w:tcW w:w="0" w:type="auto"/>
            <w:tcBorders>
              <w:left w:val="double" w:sz="4" w:space="0" w:color="auto"/>
            </w:tcBorders>
            <w:shd w:val="clear" w:color="auto" w:fill="auto"/>
            <w:noWrap/>
            <w:vAlign w:val="center"/>
            <w:hideMark/>
          </w:tcPr>
          <w:p w14:paraId="14511A6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0.9937</w:t>
            </w:r>
          </w:p>
        </w:tc>
        <w:tc>
          <w:tcPr>
            <w:tcW w:w="0" w:type="auto"/>
            <w:shd w:val="clear" w:color="auto" w:fill="auto"/>
            <w:noWrap/>
            <w:vAlign w:val="center"/>
            <w:hideMark/>
          </w:tcPr>
          <w:p w14:paraId="066EB41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1.0554</w:t>
            </w:r>
          </w:p>
        </w:tc>
        <w:tc>
          <w:tcPr>
            <w:tcW w:w="0" w:type="auto"/>
            <w:tcBorders>
              <w:right w:val="double" w:sz="4" w:space="0" w:color="auto"/>
            </w:tcBorders>
            <w:shd w:val="clear" w:color="auto" w:fill="auto"/>
            <w:noWrap/>
            <w:vAlign w:val="center"/>
            <w:hideMark/>
          </w:tcPr>
          <w:p w14:paraId="5FFEB11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1.0061</w:t>
            </w:r>
          </w:p>
        </w:tc>
        <w:tc>
          <w:tcPr>
            <w:tcW w:w="0" w:type="auto"/>
            <w:tcBorders>
              <w:left w:val="double" w:sz="4" w:space="0" w:color="auto"/>
            </w:tcBorders>
            <w:shd w:val="clear" w:color="auto" w:fill="auto"/>
            <w:noWrap/>
            <w:vAlign w:val="center"/>
            <w:hideMark/>
          </w:tcPr>
          <w:p w14:paraId="48DB983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-27.415</w:t>
            </w:r>
          </w:p>
        </w:tc>
        <w:tc>
          <w:tcPr>
            <w:tcW w:w="0" w:type="auto"/>
            <w:shd w:val="clear" w:color="auto" w:fill="auto"/>
            <w:noWrap/>
            <w:vAlign w:val="center"/>
            <w:hideMark/>
          </w:tcPr>
          <w:p w14:paraId="2B6A606D"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-26.961</w:t>
            </w:r>
          </w:p>
        </w:tc>
        <w:tc>
          <w:tcPr>
            <w:tcW w:w="0" w:type="auto"/>
            <w:tcBorders>
              <w:right w:val="nil"/>
            </w:tcBorders>
            <w:shd w:val="clear" w:color="auto" w:fill="auto"/>
            <w:noWrap/>
            <w:vAlign w:val="center"/>
            <w:hideMark/>
          </w:tcPr>
          <w:p w14:paraId="2B01FA2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-26.799</w:t>
            </w:r>
          </w:p>
        </w:tc>
      </w:tr>
      <w:tr w:rsidR="00AE0500" w:rsidRPr="000F23E1" w14:paraId="4D438759" w14:textId="77777777" w:rsidTr="00DB0BED">
        <w:trPr>
          <w:trHeight w:val="216"/>
          <w:jc w:val="center"/>
        </w:trPr>
        <w:tc>
          <w:tcPr>
            <w:tcW w:w="0" w:type="auto"/>
            <w:tcBorders>
              <w:left w:val="nil"/>
              <w:right w:val="double" w:sz="4" w:space="0" w:color="auto"/>
            </w:tcBorders>
            <w:shd w:val="clear" w:color="auto" w:fill="auto"/>
            <w:noWrap/>
            <w:vAlign w:val="center"/>
            <w:hideMark/>
          </w:tcPr>
          <w:p w14:paraId="7E4AE2D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13</w:t>
            </w:r>
          </w:p>
        </w:tc>
        <w:tc>
          <w:tcPr>
            <w:tcW w:w="0" w:type="auto"/>
            <w:tcBorders>
              <w:left w:val="double" w:sz="4" w:space="0" w:color="auto"/>
            </w:tcBorders>
            <w:shd w:val="clear" w:color="auto" w:fill="auto"/>
            <w:noWrap/>
            <w:vAlign w:val="center"/>
            <w:hideMark/>
          </w:tcPr>
          <w:p w14:paraId="19EE0F34"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0.9945</w:t>
            </w:r>
          </w:p>
        </w:tc>
        <w:tc>
          <w:tcPr>
            <w:tcW w:w="0" w:type="auto"/>
            <w:shd w:val="clear" w:color="auto" w:fill="auto"/>
            <w:noWrap/>
            <w:vAlign w:val="center"/>
            <w:hideMark/>
          </w:tcPr>
          <w:p w14:paraId="5CCA0C5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1.0544</w:t>
            </w:r>
          </w:p>
        </w:tc>
        <w:tc>
          <w:tcPr>
            <w:tcW w:w="0" w:type="auto"/>
            <w:tcBorders>
              <w:right w:val="double" w:sz="4" w:space="0" w:color="auto"/>
            </w:tcBorders>
            <w:shd w:val="clear" w:color="auto" w:fill="auto"/>
            <w:noWrap/>
            <w:vAlign w:val="center"/>
            <w:hideMark/>
          </w:tcPr>
          <w:p w14:paraId="4E48464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1.0068</w:t>
            </w:r>
          </w:p>
        </w:tc>
        <w:tc>
          <w:tcPr>
            <w:tcW w:w="0" w:type="auto"/>
            <w:tcBorders>
              <w:left w:val="double" w:sz="4" w:space="0" w:color="auto"/>
            </w:tcBorders>
            <w:shd w:val="clear" w:color="auto" w:fill="auto"/>
            <w:noWrap/>
            <w:vAlign w:val="center"/>
            <w:hideMark/>
          </w:tcPr>
          <w:p w14:paraId="45BC5E51"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-27.003</w:t>
            </w:r>
          </w:p>
        </w:tc>
        <w:tc>
          <w:tcPr>
            <w:tcW w:w="0" w:type="auto"/>
            <w:shd w:val="clear" w:color="auto" w:fill="auto"/>
            <w:noWrap/>
            <w:vAlign w:val="center"/>
            <w:hideMark/>
          </w:tcPr>
          <w:p w14:paraId="667B2B6E"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-26.527</w:t>
            </w:r>
          </w:p>
        </w:tc>
        <w:tc>
          <w:tcPr>
            <w:tcW w:w="0" w:type="auto"/>
            <w:tcBorders>
              <w:right w:val="nil"/>
            </w:tcBorders>
            <w:shd w:val="clear" w:color="auto" w:fill="auto"/>
            <w:noWrap/>
            <w:vAlign w:val="center"/>
            <w:hideMark/>
          </w:tcPr>
          <w:p w14:paraId="1E3E0B4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-26.417</w:t>
            </w:r>
          </w:p>
        </w:tc>
      </w:tr>
      <w:tr w:rsidR="00AE0500" w:rsidRPr="000F23E1" w14:paraId="04DB3367" w14:textId="77777777" w:rsidTr="00DB0BED">
        <w:trPr>
          <w:trHeight w:val="216"/>
          <w:jc w:val="center"/>
        </w:trPr>
        <w:tc>
          <w:tcPr>
            <w:tcW w:w="0" w:type="auto"/>
            <w:tcBorders>
              <w:left w:val="nil"/>
              <w:bottom w:val="double" w:sz="4" w:space="0" w:color="auto"/>
              <w:right w:val="double" w:sz="4" w:space="0" w:color="auto"/>
            </w:tcBorders>
            <w:shd w:val="clear" w:color="auto" w:fill="auto"/>
            <w:noWrap/>
            <w:vAlign w:val="center"/>
            <w:hideMark/>
          </w:tcPr>
          <w:p w14:paraId="32AC320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14</w:t>
            </w:r>
          </w:p>
        </w:tc>
        <w:tc>
          <w:tcPr>
            <w:tcW w:w="0" w:type="auto"/>
            <w:tcBorders>
              <w:left w:val="double" w:sz="4" w:space="0" w:color="auto"/>
              <w:bottom w:val="double" w:sz="4" w:space="0" w:color="auto"/>
            </w:tcBorders>
            <w:shd w:val="clear" w:color="auto" w:fill="auto"/>
            <w:noWrap/>
            <w:vAlign w:val="center"/>
            <w:hideMark/>
          </w:tcPr>
          <w:p w14:paraId="13082870"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1.0029</w:t>
            </w:r>
          </w:p>
        </w:tc>
        <w:tc>
          <w:tcPr>
            <w:tcW w:w="0" w:type="auto"/>
            <w:tcBorders>
              <w:bottom w:val="double" w:sz="4" w:space="0" w:color="auto"/>
            </w:tcBorders>
            <w:shd w:val="clear" w:color="auto" w:fill="auto"/>
            <w:noWrap/>
            <w:vAlign w:val="center"/>
            <w:hideMark/>
          </w:tcPr>
          <w:p w14:paraId="3B0407C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1.0478</w:t>
            </w:r>
          </w:p>
        </w:tc>
        <w:tc>
          <w:tcPr>
            <w:tcW w:w="0" w:type="auto"/>
            <w:tcBorders>
              <w:bottom w:val="double" w:sz="4" w:space="0" w:color="auto"/>
              <w:right w:val="double" w:sz="4" w:space="0" w:color="auto"/>
            </w:tcBorders>
            <w:shd w:val="clear" w:color="auto" w:fill="auto"/>
            <w:noWrap/>
            <w:vAlign w:val="center"/>
            <w:hideMark/>
          </w:tcPr>
          <w:p w14:paraId="24AA8AB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1.0134</w:t>
            </w:r>
          </w:p>
        </w:tc>
        <w:tc>
          <w:tcPr>
            <w:tcW w:w="0" w:type="auto"/>
            <w:tcBorders>
              <w:left w:val="double" w:sz="4" w:space="0" w:color="auto"/>
              <w:bottom w:val="double" w:sz="4" w:space="0" w:color="auto"/>
            </w:tcBorders>
            <w:shd w:val="clear" w:color="auto" w:fill="auto"/>
            <w:noWrap/>
            <w:vAlign w:val="center"/>
            <w:hideMark/>
          </w:tcPr>
          <w:p w14:paraId="3D98AE9A"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-24.368</w:t>
            </w:r>
          </w:p>
        </w:tc>
        <w:tc>
          <w:tcPr>
            <w:tcW w:w="0" w:type="auto"/>
            <w:tcBorders>
              <w:bottom w:val="double" w:sz="4" w:space="0" w:color="auto"/>
            </w:tcBorders>
            <w:shd w:val="clear" w:color="auto" w:fill="auto"/>
            <w:noWrap/>
            <w:vAlign w:val="center"/>
            <w:hideMark/>
          </w:tcPr>
          <w:p w14:paraId="256F2A28"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-23.814</w:t>
            </w:r>
          </w:p>
        </w:tc>
        <w:tc>
          <w:tcPr>
            <w:tcW w:w="0" w:type="auto"/>
            <w:tcBorders>
              <w:bottom w:val="double" w:sz="4" w:space="0" w:color="auto"/>
              <w:right w:val="nil"/>
            </w:tcBorders>
            <w:shd w:val="clear" w:color="auto" w:fill="auto"/>
            <w:noWrap/>
            <w:vAlign w:val="center"/>
            <w:hideMark/>
          </w:tcPr>
          <w:p w14:paraId="34B0FCB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-23.949</w:t>
            </w:r>
          </w:p>
        </w:tc>
      </w:tr>
      <w:tr w:rsidR="00AE0500" w:rsidRPr="000F23E1" w14:paraId="7C000A3A" w14:textId="77777777" w:rsidTr="00DB0BED">
        <w:trPr>
          <w:trHeight w:val="216"/>
          <w:jc w:val="center"/>
        </w:trPr>
        <w:tc>
          <w:tcPr>
            <w:tcW w:w="0" w:type="auto"/>
            <w:gridSpan w:val="2"/>
            <w:tcBorders>
              <w:top w:val="double" w:sz="4" w:space="0" w:color="auto"/>
              <w:left w:val="nil"/>
            </w:tcBorders>
            <w:shd w:val="clear" w:color="auto" w:fill="auto"/>
            <w:noWrap/>
            <w:vAlign w:val="center"/>
          </w:tcPr>
          <w:p w14:paraId="684F97C2" w14:textId="77777777" w:rsidR="00AE0500" w:rsidRPr="000F23E1" w:rsidRDefault="00AE0500" w:rsidP="00DB0BED">
            <w:pPr>
              <w:spacing w:line="240" w:lineRule="auto"/>
              <w:ind w:left="-108" w:right="-94" w:firstLine="0"/>
              <w:jc w:val="left"/>
              <w:rPr>
                <w:rFonts w:eastAsia="Times New Roman"/>
                <w:color w:val="000000"/>
                <w:sz w:val="20"/>
                <w:szCs w:val="20"/>
                <w:lang w:eastAsia="zh-CN"/>
              </w:rPr>
            </w:pPr>
            <w:r w:rsidRPr="000F23E1">
              <w:rPr>
                <w:rFonts w:eastAsia="Times New Roman"/>
                <w:color w:val="000000"/>
                <w:sz w:val="20"/>
                <w:szCs w:val="20"/>
                <w:lang w:eastAsia="zh-CN"/>
              </w:rPr>
              <w:t xml:space="preserve">Avg. of |Error| </w:t>
            </w:r>
          </w:p>
        </w:tc>
        <w:tc>
          <w:tcPr>
            <w:tcW w:w="0" w:type="auto"/>
            <w:tcBorders>
              <w:top w:val="double" w:sz="4" w:space="0" w:color="auto"/>
            </w:tcBorders>
            <w:shd w:val="clear" w:color="auto" w:fill="auto"/>
            <w:noWrap/>
            <w:vAlign w:val="center"/>
          </w:tcPr>
          <w:p w14:paraId="507DE729"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3.69%</w:t>
            </w:r>
          </w:p>
        </w:tc>
        <w:tc>
          <w:tcPr>
            <w:tcW w:w="0" w:type="auto"/>
            <w:tcBorders>
              <w:top w:val="double" w:sz="4" w:space="0" w:color="auto"/>
              <w:right w:val="double" w:sz="4" w:space="0" w:color="auto"/>
            </w:tcBorders>
            <w:shd w:val="clear" w:color="auto" w:fill="auto"/>
            <w:noWrap/>
            <w:vAlign w:val="center"/>
          </w:tcPr>
          <w:p w14:paraId="0919E923"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0.82%</w:t>
            </w:r>
          </w:p>
        </w:tc>
        <w:tc>
          <w:tcPr>
            <w:tcW w:w="0" w:type="auto"/>
            <w:tcBorders>
              <w:top w:val="double" w:sz="4" w:space="0" w:color="auto"/>
              <w:left w:val="double" w:sz="4" w:space="0" w:color="auto"/>
            </w:tcBorders>
            <w:shd w:val="clear" w:color="auto" w:fill="auto"/>
            <w:noWrap/>
            <w:vAlign w:val="center"/>
          </w:tcPr>
          <w:p w14:paraId="4211A401" w14:textId="77777777" w:rsidR="00AE0500" w:rsidRPr="000F23E1" w:rsidRDefault="00AE0500" w:rsidP="00DB0BED">
            <w:pPr>
              <w:spacing w:line="240" w:lineRule="auto"/>
              <w:ind w:firstLine="0"/>
              <w:jc w:val="center"/>
              <w:rPr>
                <w:rFonts w:eastAsia="Times New Roman"/>
                <w:color w:val="000000"/>
                <w:sz w:val="20"/>
                <w:szCs w:val="20"/>
                <w:lang w:eastAsia="zh-CN"/>
              </w:rPr>
            </w:pPr>
          </w:p>
        </w:tc>
        <w:tc>
          <w:tcPr>
            <w:tcW w:w="0" w:type="auto"/>
            <w:tcBorders>
              <w:top w:val="double" w:sz="4" w:space="0" w:color="auto"/>
            </w:tcBorders>
            <w:shd w:val="clear" w:color="auto" w:fill="auto"/>
            <w:noWrap/>
            <w:vAlign w:val="center"/>
          </w:tcPr>
          <w:p w14:paraId="39CD8E5C"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1.73%</w:t>
            </w:r>
          </w:p>
        </w:tc>
        <w:tc>
          <w:tcPr>
            <w:tcW w:w="0" w:type="auto"/>
            <w:tcBorders>
              <w:top w:val="double" w:sz="4" w:space="0" w:color="auto"/>
              <w:right w:val="nil"/>
            </w:tcBorders>
            <w:shd w:val="clear" w:color="auto" w:fill="auto"/>
            <w:noWrap/>
            <w:vAlign w:val="center"/>
          </w:tcPr>
          <w:p w14:paraId="1DDB2AA7" w14:textId="77777777" w:rsidR="00AE0500" w:rsidRPr="000F23E1" w:rsidRDefault="00AE0500" w:rsidP="00DB0BED">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1.43%</w:t>
            </w:r>
          </w:p>
        </w:tc>
      </w:tr>
    </w:tbl>
    <w:p w14:paraId="289550CD" w14:textId="77777777" w:rsidR="00AE0500" w:rsidRPr="00AE0500" w:rsidRDefault="00AE0500" w:rsidP="00AE0500">
      <w:pPr>
        <w:pStyle w:val="NoSpacing"/>
        <w:rPr>
          <w:sz w:val="20"/>
        </w:rPr>
      </w:pPr>
    </w:p>
    <w:p w14:paraId="03499A86" w14:textId="41590467" w:rsidR="00AE0500" w:rsidRDefault="00503BA6" w:rsidP="00AE0500">
      <w:pPr>
        <w:jc w:val="distribute"/>
        <w:rPr>
          <w:lang w:val="en-GB"/>
        </w:rPr>
      </w:pPr>
      <w:r w:rsidRPr="00503BA6">
        <w:rPr>
          <w:lang w:val="en-GB"/>
        </w:rPr>
        <w:t xml:space="preserve">The predicted voltages for line 5-6 outage are shown in </w:t>
      </w:r>
      <w:r w:rsidR="000F23E1">
        <w:rPr>
          <w:lang w:val="en-GB"/>
        </w:rPr>
        <w:fldChar w:fldCharType="begin"/>
      </w:r>
      <w:r w:rsidR="000F23E1">
        <w:rPr>
          <w:lang w:val="en-GB"/>
        </w:rPr>
        <w:instrText xml:space="preserve"> REF _Ref431908873 </w:instrText>
      </w:r>
      <w:r w:rsidR="00AE0500">
        <w:rPr>
          <w:lang w:val="en-GB"/>
        </w:rPr>
        <w:instrText xml:space="preserve"> \* MERGEFORMAT </w:instrText>
      </w:r>
      <w:r w:rsidR="000F23E1">
        <w:rPr>
          <w:lang w:val="en-GB"/>
        </w:rPr>
        <w:fldChar w:fldCharType="separate"/>
      </w:r>
      <w:r w:rsidR="00656B13">
        <w:t xml:space="preserve">Table </w:t>
      </w:r>
      <w:r w:rsidR="00656B13">
        <w:rPr>
          <w:noProof/>
        </w:rPr>
        <w:t>3</w:t>
      </w:r>
      <w:r w:rsidR="000F23E1">
        <w:rPr>
          <w:lang w:val="en-GB"/>
        </w:rPr>
        <w:fldChar w:fldCharType="end"/>
      </w:r>
      <w:r w:rsidRPr="00503BA6">
        <w:rPr>
          <w:lang w:val="en-GB"/>
        </w:rPr>
        <w:t xml:space="preserve">. The result from </w:t>
      </w:r>
    </w:p>
    <w:p w14:paraId="7150D413" w14:textId="39B9B62F" w:rsidR="00503BA6" w:rsidRDefault="00503BA6" w:rsidP="00AE0500">
      <w:pPr>
        <w:ind w:firstLine="0"/>
        <w:rPr>
          <w:lang w:val="en-GB"/>
        </w:rPr>
      </w:pPr>
      <w:r w:rsidRPr="00503BA6">
        <w:rPr>
          <w:lang w:val="en-GB"/>
        </w:rPr>
        <w:lastRenderedPageBreak/>
        <w:t xml:space="preserve">the algorithm considering Q limits is labelled with “P.W.L.” and that from ignoring Q limits is labelled with “Linear”. Obviously, </w:t>
      </w:r>
      <w:r w:rsidR="000F23E1">
        <w:rPr>
          <w:lang w:val="en-GB"/>
        </w:rPr>
        <w:fldChar w:fldCharType="begin"/>
      </w:r>
      <w:r w:rsidR="000F23E1">
        <w:rPr>
          <w:lang w:val="en-GB"/>
        </w:rPr>
        <w:instrText xml:space="preserve"> REF _Ref431908873 </w:instrText>
      </w:r>
      <w:r w:rsidR="000F23E1">
        <w:rPr>
          <w:lang w:val="en-GB"/>
        </w:rPr>
        <w:fldChar w:fldCharType="separate"/>
      </w:r>
      <w:r w:rsidR="00656B13">
        <w:t xml:space="preserve">Table </w:t>
      </w:r>
      <w:r w:rsidR="00656B13">
        <w:rPr>
          <w:noProof/>
        </w:rPr>
        <w:t>3</w:t>
      </w:r>
      <w:r w:rsidR="000F23E1">
        <w:rPr>
          <w:lang w:val="en-GB"/>
        </w:rPr>
        <w:fldChar w:fldCharType="end"/>
      </w:r>
      <w:r w:rsidRPr="00503BA6">
        <w:rPr>
          <w:lang w:val="en-GB"/>
        </w:rPr>
        <w:t xml:space="preserve"> shows the advantage of P.W.L. approach when Q limits are violated.</w:t>
      </w:r>
    </w:p>
    <w:p w14:paraId="44E4DAC8" w14:textId="77777777" w:rsidR="00DA2A5C" w:rsidRPr="00503BA6" w:rsidRDefault="00DA2A5C" w:rsidP="00DA2A5C">
      <w:pPr>
        <w:rPr>
          <w:lang w:val="en-GB"/>
        </w:rPr>
      </w:pPr>
      <w:r w:rsidRPr="00503BA6">
        <w:rPr>
          <w:lang w:val="en-GB"/>
        </w:rPr>
        <w:t xml:space="preserve">Ref. </w:t>
      </w:r>
      <w:r>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Pr>
          <w:lang w:val="en-GB"/>
        </w:rPr>
        <w:fldChar w:fldCharType="separate"/>
      </w:r>
      <w:r w:rsidR="00DD7036" w:rsidRPr="00DD7036">
        <w:rPr>
          <w:noProof/>
          <w:lang w:val="en-GB"/>
        </w:rPr>
        <w:t>[42]</w:t>
      </w:r>
      <w:r>
        <w:rPr>
          <w:lang w:val="en-GB"/>
        </w:rPr>
        <w:fldChar w:fldCharType="end"/>
      </w:r>
      <w:r w:rsidRPr="00503BA6">
        <w:rPr>
          <w:lang w:val="en-GB"/>
        </w:rPr>
        <w:t xml:space="preserve"> presents only the predicted voltage magnitudes which reports an average error of 1.58% compared with the exact value. The proposed scheme has improved the accuracy by 50% in this case. Ref. </w:t>
      </w:r>
      <w:r>
        <w:rPr>
          <w:lang w:val="en-GB"/>
        </w:rPr>
        <w:fldChar w:fldCharType="begin" w:fldLock="1"/>
      </w:r>
      <w:r w:rsidR="00351740">
        <w:rPr>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Pr>
          <w:lang w:val="en-GB"/>
        </w:rPr>
        <w:fldChar w:fldCharType="separate"/>
      </w:r>
      <w:r w:rsidR="00DD7036" w:rsidRPr="00DD7036">
        <w:rPr>
          <w:noProof/>
          <w:lang w:val="en-GB"/>
        </w:rPr>
        <w:t>[42]</w:t>
      </w:r>
      <w:r>
        <w:rPr>
          <w:lang w:val="en-GB"/>
        </w:rPr>
        <w:fldChar w:fldCharType="end"/>
      </w:r>
      <w:r w:rsidRPr="00503BA6">
        <w:rPr>
          <w:lang w:val="en-GB"/>
        </w:rPr>
        <w:t xml:space="preserve"> provides the predicted reactive power generation and line flow whose accuracy is closely related to the accuracy of voltage angles. Thus, the comparison of the predicted reactive power is shown in </w:t>
      </w:r>
      <w:r>
        <w:rPr>
          <w:lang w:val="en-GB"/>
        </w:rPr>
        <w:fldChar w:fldCharType="begin"/>
      </w:r>
      <w:r>
        <w:rPr>
          <w:lang w:val="en-GB"/>
        </w:rPr>
        <w:instrText xml:space="preserve"> REF _Ref431908892 </w:instrText>
      </w:r>
      <w:r>
        <w:rPr>
          <w:lang w:val="en-GB"/>
        </w:rPr>
        <w:fldChar w:fldCharType="separate"/>
      </w:r>
      <w:r>
        <w:t xml:space="preserve">Table </w:t>
      </w:r>
      <w:r>
        <w:rPr>
          <w:noProof/>
        </w:rPr>
        <w:t>4</w:t>
      </w:r>
      <w:r>
        <w:rPr>
          <w:lang w:val="en-GB"/>
        </w:rPr>
        <w:fldChar w:fldCharType="end"/>
      </w:r>
      <w:r w:rsidRPr="00503BA6">
        <w:rPr>
          <w:lang w:val="en-GB"/>
        </w:rPr>
        <w:t xml:space="preserve"> and </w:t>
      </w:r>
      <w:r>
        <w:rPr>
          <w:lang w:val="en-GB"/>
        </w:rPr>
        <w:fldChar w:fldCharType="begin"/>
      </w:r>
      <w:r>
        <w:rPr>
          <w:lang w:val="en-GB"/>
        </w:rPr>
        <w:instrText xml:space="preserve"> REF _Ref431908902 </w:instrText>
      </w:r>
      <w:r>
        <w:rPr>
          <w:lang w:val="en-GB"/>
        </w:rPr>
        <w:fldChar w:fldCharType="separate"/>
      </w:r>
      <w:r>
        <w:t xml:space="preserve">Table </w:t>
      </w:r>
      <w:r>
        <w:rPr>
          <w:noProof/>
        </w:rPr>
        <w:t>5</w:t>
      </w:r>
      <w:r>
        <w:rPr>
          <w:lang w:val="en-GB"/>
        </w:rPr>
        <w:fldChar w:fldCharType="end"/>
      </w:r>
      <w:r w:rsidRPr="00503BA6">
        <w:rPr>
          <w:lang w:val="en-GB"/>
        </w:rPr>
        <w:t>. The numerical results show that the proposed method is more accurate than the previous methods. This is reasonable because this work provides a more reasonable outage model than those in the literature.</w:t>
      </w:r>
    </w:p>
    <w:p w14:paraId="49C2ACD5" w14:textId="77777777" w:rsidR="00DA2A5C" w:rsidRPr="00503BA6" w:rsidRDefault="00DA2A5C" w:rsidP="00DA2A5C">
      <w:pPr>
        <w:pStyle w:val="Heading3"/>
        <w:rPr>
          <w:lang w:val="en-GB"/>
        </w:rPr>
      </w:pPr>
      <w:bookmarkStart w:id="80" w:name="_Toc459076560"/>
      <w:r>
        <w:t xml:space="preserve">4.3.2 </w:t>
      </w:r>
      <w:r w:rsidRPr="00503BA6">
        <w:t xml:space="preserve">Extensive Test of the </w:t>
      </w:r>
      <w:r w:rsidR="004F38C3">
        <w:t>S</w:t>
      </w:r>
      <w:r w:rsidRPr="00503BA6">
        <w:t xml:space="preserve">ensitivity with </w:t>
      </w:r>
      <w:r w:rsidR="004F38C3">
        <w:t>T</w:t>
      </w:r>
      <w:r w:rsidRPr="00503BA6">
        <w:t xml:space="preserve">hree </w:t>
      </w:r>
      <w:r w:rsidR="004F38C3">
        <w:t>S</w:t>
      </w:r>
      <w:r w:rsidRPr="00503BA6">
        <w:t xml:space="preserve">ystems in </w:t>
      </w:r>
      <w:r w:rsidR="004F38C3">
        <w:t>B</w:t>
      </w:r>
      <w:r w:rsidRPr="00503BA6">
        <w:t xml:space="preserve">road </w:t>
      </w:r>
      <w:r w:rsidR="004F38C3">
        <w:t>L</w:t>
      </w:r>
      <w:r w:rsidRPr="00503BA6">
        <w:t xml:space="preserve">oad </w:t>
      </w:r>
      <w:r w:rsidR="004F38C3">
        <w:t>R</w:t>
      </w:r>
      <w:r w:rsidRPr="00503BA6">
        <w:t xml:space="preserve">anges for </w:t>
      </w:r>
      <w:r w:rsidR="004F38C3">
        <w:t>A</w:t>
      </w:r>
      <w:r w:rsidRPr="00503BA6">
        <w:t xml:space="preserve">ll N-1 </w:t>
      </w:r>
      <w:r w:rsidR="004F38C3">
        <w:t>C</w:t>
      </w:r>
      <w:r w:rsidRPr="00503BA6">
        <w:t>ontingencies</w:t>
      </w:r>
      <w:bookmarkEnd w:id="80"/>
    </w:p>
    <w:p w14:paraId="2B085345" w14:textId="77777777" w:rsidR="00AE0500" w:rsidRDefault="00DA2A5C" w:rsidP="00AE0500">
      <w:pPr>
        <w:rPr>
          <w:lang w:val="en-GB"/>
        </w:rPr>
      </w:pPr>
      <w:r w:rsidRPr="00503BA6">
        <w:rPr>
          <w:lang w:val="en-GB"/>
        </w:rPr>
        <w:t>The previous sub</w:t>
      </w:r>
      <w:r>
        <w:rPr>
          <w:lang w:val="en-GB"/>
        </w:rPr>
        <w:t>chapter</w:t>
      </w:r>
      <w:r w:rsidRPr="00503BA6">
        <w:rPr>
          <w:lang w:val="en-GB"/>
        </w:rPr>
        <w:t xml:space="preserve"> provides a detailed study at a particular load level (i.e., the base case load level) for two contingencies for the IEEE 14-bus system, as well as a comparison with the results from the literature. Next, in this subsection, the proposed sensitivity is extensively tested on three different systems (i.e., the IEEE 14, 39, and 118-bus systems) for all branch outages except those causing islands like a branch connecting </w:t>
      </w:r>
      <w:bookmarkStart w:id="81" w:name="_Ref431908902"/>
      <w:r w:rsidR="00AE0500" w:rsidRPr="00503BA6">
        <w:rPr>
          <w:lang w:val="en-GB"/>
        </w:rPr>
        <w:t>a generation bus only. Also, the tests are carried out in a broad load range between the base case load and the maximum load at the collapse point.</w:t>
      </w:r>
    </w:p>
    <w:p w14:paraId="66A242DE" w14:textId="33BE24F0" w:rsidR="00AE0500" w:rsidRDefault="00AE0500" w:rsidP="00AE0500">
      <w:pPr>
        <w:jc w:val="distribute"/>
        <w:rPr>
          <w:lang w:val="en-GB"/>
        </w:rPr>
      </w:pPr>
      <w:r w:rsidRPr="00503BA6">
        <w:rPr>
          <w:lang w:val="en-GB"/>
        </w:rPr>
        <w:t>For each system, the PV curve for normal condition, namely the N-0 case, is first calculated using continuation power flow (CPF). The power flow solutions on the PV</w:t>
      </w:r>
    </w:p>
    <w:p w14:paraId="1629B5FE" w14:textId="77777777" w:rsidR="00DA2A5C" w:rsidRPr="00503BA6" w:rsidRDefault="00DA2A5C" w:rsidP="009D0201">
      <w:pPr>
        <w:pStyle w:val="Caption"/>
        <w:rPr>
          <w:b/>
        </w:rPr>
      </w:pPr>
      <w:bookmarkStart w:id="82" w:name="_Ref431908892"/>
      <w:bookmarkStart w:id="83" w:name="_Toc459076661"/>
      <w:r>
        <w:lastRenderedPageBreak/>
        <w:t xml:space="preserve">Table </w:t>
      </w:r>
      <w:fldSimple w:instr=" SEQ Table \* ARABIC ">
        <w:r>
          <w:rPr>
            <w:noProof/>
          </w:rPr>
          <w:t>4</w:t>
        </w:r>
      </w:fldSimple>
      <w:bookmarkEnd w:id="82"/>
      <w:r w:rsidRPr="00503BA6">
        <w:t>: Comparison of Predicted Var Generation</w:t>
      </w:r>
      <w:bookmarkEnd w:id="8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757"/>
        <w:gridCol w:w="733"/>
        <w:gridCol w:w="566"/>
        <w:gridCol w:w="566"/>
        <w:gridCol w:w="733"/>
        <w:gridCol w:w="733"/>
        <w:gridCol w:w="566"/>
        <w:gridCol w:w="566"/>
      </w:tblGrid>
      <w:tr w:rsidR="00DA2A5C" w:rsidRPr="000F23E1" w14:paraId="5AB6A329" w14:textId="77777777" w:rsidTr="006B60E2">
        <w:trPr>
          <w:trHeight w:val="218"/>
          <w:jc w:val="center"/>
        </w:trPr>
        <w:tc>
          <w:tcPr>
            <w:tcW w:w="525" w:type="dxa"/>
            <w:vMerge w:val="restart"/>
            <w:tcBorders>
              <w:left w:val="nil"/>
              <w:right w:val="double" w:sz="4" w:space="0" w:color="auto"/>
            </w:tcBorders>
            <w:shd w:val="clear" w:color="auto" w:fill="auto"/>
            <w:noWrap/>
            <w:vAlign w:val="center"/>
            <w:hideMark/>
          </w:tcPr>
          <w:p w14:paraId="5937965B" w14:textId="77777777" w:rsidR="00DA2A5C" w:rsidRPr="000F23E1" w:rsidRDefault="00DA2A5C" w:rsidP="006B60E2">
            <w:pPr>
              <w:spacing w:line="240" w:lineRule="auto"/>
              <w:ind w:left="-144" w:right="-138"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Gen </w:t>
            </w:r>
          </w:p>
          <w:p w14:paraId="44900D08" w14:textId="77777777" w:rsidR="00DA2A5C" w:rsidRPr="000F23E1" w:rsidRDefault="00DA2A5C" w:rsidP="006B60E2">
            <w:pPr>
              <w:spacing w:line="240" w:lineRule="auto"/>
              <w:ind w:left="-144" w:right="-138" w:firstLine="0"/>
              <w:jc w:val="center"/>
              <w:rPr>
                <w:rFonts w:eastAsia="Times New Roman"/>
                <w:color w:val="000000"/>
                <w:sz w:val="20"/>
                <w:szCs w:val="20"/>
                <w:lang w:eastAsia="zh-CN"/>
              </w:rPr>
            </w:pPr>
            <w:r w:rsidRPr="000F23E1">
              <w:rPr>
                <w:rFonts w:eastAsia="Times New Roman"/>
                <w:color w:val="000000"/>
                <w:sz w:val="20"/>
                <w:szCs w:val="20"/>
                <w:lang w:eastAsia="zh-CN"/>
              </w:rPr>
              <w:t>No</w:t>
            </w:r>
          </w:p>
        </w:tc>
        <w:tc>
          <w:tcPr>
            <w:tcW w:w="0" w:type="auto"/>
            <w:gridSpan w:val="4"/>
            <w:tcBorders>
              <w:left w:val="double" w:sz="4" w:space="0" w:color="auto"/>
              <w:right w:val="double" w:sz="4" w:space="0" w:color="auto"/>
            </w:tcBorders>
            <w:shd w:val="clear" w:color="auto" w:fill="auto"/>
          </w:tcPr>
          <w:p w14:paraId="6550BBED"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Method in </w:t>
            </w:r>
            <w:r w:rsidRPr="00BB70A1">
              <w:rPr>
                <w:sz w:val="20"/>
                <w:lang w:val="en-GB"/>
              </w:rPr>
              <w:fldChar w:fldCharType="begin" w:fldLock="1"/>
            </w:r>
            <w:r w:rsidR="00351740">
              <w:rPr>
                <w:sz w:val="20"/>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Pr="00BB70A1">
              <w:rPr>
                <w:sz w:val="20"/>
                <w:lang w:val="en-GB"/>
              </w:rPr>
              <w:fldChar w:fldCharType="separate"/>
            </w:r>
            <w:r w:rsidR="00DD7036" w:rsidRPr="00DD7036">
              <w:rPr>
                <w:noProof/>
                <w:sz w:val="20"/>
                <w:lang w:val="en-GB"/>
              </w:rPr>
              <w:t>[42]</w:t>
            </w:r>
            <w:r w:rsidRPr="00BB70A1">
              <w:rPr>
                <w:sz w:val="20"/>
                <w:lang w:val="en-GB"/>
              </w:rPr>
              <w:fldChar w:fldCharType="end"/>
            </w:r>
          </w:p>
        </w:tc>
        <w:tc>
          <w:tcPr>
            <w:tcW w:w="0" w:type="auto"/>
            <w:gridSpan w:val="4"/>
            <w:tcBorders>
              <w:left w:val="double" w:sz="4" w:space="0" w:color="auto"/>
              <w:right w:val="nil"/>
            </w:tcBorders>
            <w:shd w:val="clear" w:color="auto" w:fill="auto"/>
          </w:tcPr>
          <w:p w14:paraId="65467300"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Proposed Method</w:t>
            </w:r>
          </w:p>
        </w:tc>
      </w:tr>
      <w:tr w:rsidR="00DA2A5C" w:rsidRPr="000F23E1" w14:paraId="2870F242" w14:textId="77777777" w:rsidTr="006B60E2">
        <w:trPr>
          <w:trHeight w:val="254"/>
          <w:jc w:val="center"/>
        </w:trPr>
        <w:tc>
          <w:tcPr>
            <w:tcW w:w="525" w:type="dxa"/>
            <w:vMerge/>
            <w:tcBorders>
              <w:left w:val="nil"/>
              <w:right w:val="double" w:sz="4" w:space="0" w:color="auto"/>
            </w:tcBorders>
            <w:shd w:val="clear" w:color="auto" w:fill="auto"/>
            <w:noWrap/>
            <w:vAlign w:val="center"/>
            <w:hideMark/>
          </w:tcPr>
          <w:p w14:paraId="2B9E45C5"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vMerge w:val="restart"/>
            <w:tcBorders>
              <w:left w:val="double" w:sz="4" w:space="0" w:color="auto"/>
            </w:tcBorders>
            <w:shd w:val="clear" w:color="auto" w:fill="auto"/>
            <w:noWrap/>
            <w:vAlign w:val="center"/>
          </w:tcPr>
          <w:p w14:paraId="71E7634A"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Exact </w:t>
            </w:r>
          </w:p>
          <w:p w14:paraId="54D90E1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vMerge w:val="restart"/>
            <w:shd w:val="clear" w:color="auto" w:fill="auto"/>
            <w:noWrap/>
            <w:vAlign w:val="center"/>
          </w:tcPr>
          <w:p w14:paraId="25FE33B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Pred. </w:t>
            </w:r>
          </w:p>
          <w:p w14:paraId="2413BA05"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gridSpan w:val="2"/>
            <w:tcBorders>
              <w:right w:val="double" w:sz="4" w:space="0" w:color="auto"/>
            </w:tcBorders>
            <w:shd w:val="clear" w:color="auto" w:fill="auto"/>
          </w:tcPr>
          <w:p w14:paraId="23D41BEC"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|Error|</w:t>
            </w:r>
          </w:p>
        </w:tc>
        <w:tc>
          <w:tcPr>
            <w:tcW w:w="0" w:type="auto"/>
            <w:vMerge w:val="restart"/>
            <w:tcBorders>
              <w:left w:val="double" w:sz="4" w:space="0" w:color="auto"/>
            </w:tcBorders>
            <w:shd w:val="clear" w:color="auto" w:fill="auto"/>
            <w:noWrap/>
            <w:vAlign w:val="center"/>
          </w:tcPr>
          <w:p w14:paraId="1B3FF8DD"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Exact </w:t>
            </w:r>
          </w:p>
          <w:p w14:paraId="003AFEBF"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vMerge w:val="restart"/>
            <w:shd w:val="clear" w:color="auto" w:fill="auto"/>
            <w:noWrap/>
            <w:vAlign w:val="center"/>
          </w:tcPr>
          <w:p w14:paraId="724B8B4C"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Pred. </w:t>
            </w:r>
          </w:p>
          <w:p w14:paraId="572BDF5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gridSpan w:val="2"/>
            <w:tcBorders>
              <w:right w:val="nil"/>
            </w:tcBorders>
            <w:shd w:val="clear" w:color="auto" w:fill="auto"/>
          </w:tcPr>
          <w:p w14:paraId="4924EBA5"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|Error|</w:t>
            </w:r>
          </w:p>
        </w:tc>
      </w:tr>
      <w:tr w:rsidR="00DA2A5C" w:rsidRPr="000F23E1" w14:paraId="7AE14482" w14:textId="77777777" w:rsidTr="006B60E2">
        <w:trPr>
          <w:trHeight w:val="184"/>
          <w:jc w:val="center"/>
        </w:trPr>
        <w:tc>
          <w:tcPr>
            <w:tcW w:w="525" w:type="dxa"/>
            <w:vMerge/>
            <w:tcBorders>
              <w:left w:val="nil"/>
              <w:right w:val="double" w:sz="4" w:space="0" w:color="auto"/>
            </w:tcBorders>
            <w:shd w:val="clear" w:color="auto" w:fill="auto"/>
            <w:noWrap/>
            <w:vAlign w:val="center"/>
          </w:tcPr>
          <w:p w14:paraId="100A953D"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vMerge/>
            <w:tcBorders>
              <w:left w:val="double" w:sz="4" w:space="0" w:color="auto"/>
            </w:tcBorders>
            <w:shd w:val="clear" w:color="auto" w:fill="auto"/>
            <w:noWrap/>
            <w:vAlign w:val="center"/>
          </w:tcPr>
          <w:p w14:paraId="010BEEAD"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vMerge/>
            <w:shd w:val="clear" w:color="auto" w:fill="auto"/>
            <w:noWrap/>
            <w:vAlign w:val="center"/>
          </w:tcPr>
          <w:p w14:paraId="41D00816"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tcBorders>
              <w:right w:val="single" w:sz="4" w:space="0" w:color="auto"/>
            </w:tcBorders>
            <w:shd w:val="clear" w:color="auto" w:fill="auto"/>
          </w:tcPr>
          <w:p w14:paraId="64D31865"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tcBorders>
              <w:left w:val="single" w:sz="4" w:space="0" w:color="auto"/>
              <w:right w:val="double" w:sz="4" w:space="0" w:color="auto"/>
            </w:tcBorders>
            <w:shd w:val="clear" w:color="auto" w:fill="auto"/>
          </w:tcPr>
          <w:p w14:paraId="115BCF48"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w:t>
            </w:r>
          </w:p>
        </w:tc>
        <w:tc>
          <w:tcPr>
            <w:tcW w:w="0" w:type="auto"/>
            <w:vMerge/>
            <w:tcBorders>
              <w:left w:val="double" w:sz="4" w:space="0" w:color="auto"/>
            </w:tcBorders>
            <w:shd w:val="clear" w:color="auto" w:fill="auto"/>
            <w:noWrap/>
            <w:vAlign w:val="center"/>
          </w:tcPr>
          <w:p w14:paraId="0A2BC8EA"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vMerge/>
            <w:shd w:val="clear" w:color="auto" w:fill="auto"/>
            <w:noWrap/>
            <w:vAlign w:val="center"/>
          </w:tcPr>
          <w:p w14:paraId="4CC75E9F"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shd w:val="clear" w:color="auto" w:fill="auto"/>
          </w:tcPr>
          <w:p w14:paraId="1785DAA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0" w:type="auto"/>
            <w:tcBorders>
              <w:right w:val="nil"/>
            </w:tcBorders>
            <w:shd w:val="clear" w:color="auto" w:fill="auto"/>
          </w:tcPr>
          <w:p w14:paraId="0521C077"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w:t>
            </w:r>
          </w:p>
        </w:tc>
      </w:tr>
      <w:tr w:rsidR="00DA2A5C" w:rsidRPr="000F23E1" w14:paraId="0F6A823C" w14:textId="77777777" w:rsidTr="006B60E2">
        <w:trPr>
          <w:trHeight w:val="216"/>
          <w:jc w:val="center"/>
        </w:trPr>
        <w:tc>
          <w:tcPr>
            <w:tcW w:w="525" w:type="dxa"/>
            <w:tcBorders>
              <w:left w:val="nil"/>
              <w:right w:val="double" w:sz="4" w:space="0" w:color="auto"/>
            </w:tcBorders>
            <w:shd w:val="clear" w:color="auto" w:fill="auto"/>
            <w:noWrap/>
            <w:vAlign w:val="center"/>
            <w:hideMark/>
          </w:tcPr>
          <w:p w14:paraId="2F0E20AB"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w:t>
            </w:r>
          </w:p>
        </w:tc>
        <w:tc>
          <w:tcPr>
            <w:tcW w:w="0" w:type="auto"/>
            <w:tcBorders>
              <w:left w:val="double" w:sz="4" w:space="0" w:color="auto"/>
            </w:tcBorders>
            <w:shd w:val="clear" w:color="auto" w:fill="auto"/>
            <w:noWrap/>
            <w:vAlign w:val="center"/>
          </w:tcPr>
          <w:p w14:paraId="4C081A42"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-20.16</w:t>
            </w:r>
          </w:p>
        </w:tc>
        <w:tc>
          <w:tcPr>
            <w:tcW w:w="0" w:type="auto"/>
            <w:shd w:val="clear" w:color="auto" w:fill="auto"/>
            <w:noWrap/>
            <w:vAlign w:val="center"/>
          </w:tcPr>
          <w:p w14:paraId="6DE44385"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-20.94</w:t>
            </w:r>
          </w:p>
        </w:tc>
        <w:tc>
          <w:tcPr>
            <w:tcW w:w="0" w:type="auto"/>
            <w:shd w:val="clear" w:color="auto" w:fill="auto"/>
            <w:vAlign w:val="center"/>
          </w:tcPr>
          <w:p w14:paraId="68FF3495"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0.78</w:t>
            </w:r>
          </w:p>
        </w:tc>
        <w:tc>
          <w:tcPr>
            <w:tcW w:w="0" w:type="auto"/>
            <w:tcBorders>
              <w:right w:val="double" w:sz="4" w:space="0" w:color="auto"/>
            </w:tcBorders>
            <w:shd w:val="clear" w:color="auto" w:fill="auto"/>
            <w:noWrap/>
            <w:vAlign w:val="center"/>
          </w:tcPr>
          <w:p w14:paraId="21912E4B"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3.87</w:t>
            </w:r>
          </w:p>
        </w:tc>
        <w:tc>
          <w:tcPr>
            <w:tcW w:w="0" w:type="auto"/>
            <w:tcBorders>
              <w:left w:val="double" w:sz="4" w:space="0" w:color="auto"/>
            </w:tcBorders>
            <w:shd w:val="clear" w:color="auto" w:fill="auto"/>
            <w:noWrap/>
            <w:vAlign w:val="center"/>
          </w:tcPr>
          <w:p w14:paraId="59A9B7E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-19.73</w:t>
            </w:r>
          </w:p>
        </w:tc>
        <w:tc>
          <w:tcPr>
            <w:tcW w:w="0" w:type="auto"/>
            <w:shd w:val="clear" w:color="auto" w:fill="auto"/>
            <w:noWrap/>
            <w:vAlign w:val="center"/>
          </w:tcPr>
          <w:p w14:paraId="5F001B43"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-20.11</w:t>
            </w:r>
          </w:p>
        </w:tc>
        <w:tc>
          <w:tcPr>
            <w:tcW w:w="0" w:type="auto"/>
            <w:shd w:val="clear" w:color="auto" w:fill="auto"/>
            <w:vAlign w:val="center"/>
          </w:tcPr>
          <w:p w14:paraId="2222C217"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0.39</w:t>
            </w:r>
          </w:p>
        </w:tc>
        <w:tc>
          <w:tcPr>
            <w:tcW w:w="0" w:type="auto"/>
            <w:tcBorders>
              <w:right w:val="nil"/>
            </w:tcBorders>
            <w:shd w:val="clear" w:color="auto" w:fill="auto"/>
            <w:noWrap/>
            <w:vAlign w:val="center"/>
          </w:tcPr>
          <w:p w14:paraId="2A7CC3A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1.93</w:t>
            </w:r>
          </w:p>
        </w:tc>
      </w:tr>
      <w:tr w:rsidR="00DA2A5C" w:rsidRPr="000F23E1" w14:paraId="6D732BAE" w14:textId="77777777" w:rsidTr="006B60E2">
        <w:trPr>
          <w:trHeight w:val="216"/>
          <w:jc w:val="center"/>
        </w:trPr>
        <w:tc>
          <w:tcPr>
            <w:tcW w:w="525" w:type="dxa"/>
            <w:tcBorders>
              <w:left w:val="nil"/>
              <w:right w:val="double" w:sz="4" w:space="0" w:color="auto"/>
            </w:tcBorders>
            <w:shd w:val="clear" w:color="auto" w:fill="auto"/>
            <w:noWrap/>
            <w:vAlign w:val="center"/>
            <w:hideMark/>
          </w:tcPr>
          <w:p w14:paraId="041303DA"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w:t>
            </w:r>
          </w:p>
        </w:tc>
        <w:tc>
          <w:tcPr>
            <w:tcW w:w="0" w:type="auto"/>
            <w:tcBorders>
              <w:left w:val="double" w:sz="4" w:space="0" w:color="auto"/>
            </w:tcBorders>
            <w:shd w:val="clear" w:color="auto" w:fill="auto"/>
            <w:noWrap/>
            <w:vAlign w:val="center"/>
          </w:tcPr>
          <w:p w14:paraId="688783A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42.82</w:t>
            </w:r>
          </w:p>
        </w:tc>
        <w:tc>
          <w:tcPr>
            <w:tcW w:w="0" w:type="auto"/>
            <w:shd w:val="clear" w:color="auto" w:fill="auto"/>
            <w:noWrap/>
            <w:vAlign w:val="center"/>
          </w:tcPr>
          <w:p w14:paraId="31D3A0F9"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38.29</w:t>
            </w:r>
          </w:p>
        </w:tc>
        <w:tc>
          <w:tcPr>
            <w:tcW w:w="0" w:type="auto"/>
            <w:shd w:val="clear" w:color="auto" w:fill="auto"/>
            <w:vAlign w:val="center"/>
          </w:tcPr>
          <w:p w14:paraId="1ED3467A"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4.53</w:t>
            </w:r>
          </w:p>
        </w:tc>
        <w:tc>
          <w:tcPr>
            <w:tcW w:w="0" w:type="auto"/>
            <w:tcBorders>
              <w:right w:val="double" w:sz="4" w:space="0" w:color="auto"/>
            </w:tcBorders>
            <w:shd w:val="clear" w:color="auto" w:fill="auto"/>
            <w:noWrap/>
            <w:vAlign w:val="center"/>
          </w:tcPr>
          <w:p w14:paraId="2A437DE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10.5</w:t>
            </w:r>
          </w:p>
        </w:tc>
        <w:tc>
          <w:tcPr>
            <w:tcW w:w="0" w:type="auto"/>
            <w:tcBorders>
              <w:left w:val="double" w:sz="4" w:space="0" w:color="auto"/>
            </w:tcBorders>
            <w:shd w:val="clear" w:color="auto" w:fill="auto"/>
            <w:noWrap/>
            <w:vAlign w:val="center"/>
          </w:tcPr>
          <w:p w14:paraId="7A40E61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44.21</w:t>
            </w:r>
          </w:p>
        </w:tc>
        <w:tc>
          <w:tcPr>
            <w:tcW w:w="0" w:type="auto"/>
            <w:shd w:val="clear" w:color="auto" w:fill="auto"/>
            <w:noWrap/>
            <w:vAlign w:val="center"/>
          </w:tcPr>
          <w:p w14:paraId="26C914BF"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41.82</w:t>
            </w:r>
          </w:p>
        </w:tc>
        <w:tc>
          <w:tcPr>
            <w:tcW w:w="0" w:type="auto"/>
            <w:shd w:val="clear" w:color="auto" w:fill="auto"/>
            <w:vAlign w:val="center"/>
          </w:tcPr>
          <w:p w14:paraId="0B2DA30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2.39</w:t>
            </w:r>
          </w:p>
        </w:tc>
        <w:tc>
          <w:tcPr>
            <w:tcW w:w="0" w:type="auto"/>
            <w:tcBorders>
              <w:right w:val="nil"/>
            </w:tcBorders>
            <w:shd w:val="clear" w:color="auto" w:fill="auto"/>
            <w:noWrap/>
            <w:vAlign w:val="center"/>
          </w:tcPr>
          <w:p w14:paraId="70D3190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5.41</w:t>
            </w:r>
          </w:p>
        </w:tc>
      </w:tr>
      <w:tr w:rsidR="00DA2A5C" w:rsidRPr="000F23E1" w14:paraId="384C0634" w14:textId="77777777" w:rsidTr="006B60E2">
        <w:trPr>
          <w:trHeight w:val="216"/>
          <w:jc w:val="center"/>
        </w:trPr>
        <w:tc>
          <w:tcPr>
            <w:tcW w:w="525" w:type="dxa"/>
            <w:tcBorders>
              <w:left w:val="nil"/>
              <w:right w:val="double" w:sz="4" w:space="0" w:color="auto"/>
            </w:tcBorders>
            <w:shd w:val="clear" w:color="auto" w:fill="auto"/>
            <w:noWrap/>
            <w:vAlign w:val="center"/>
            <w:hideMark/>
          </w:tcPr>
          <w:p w14:paraId="765F96D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3</w:t>
            </w:r>
          </w:p>
        </w:tc>
        <w:tc>
          <w:tcPr>
            <w:tcW w:w="0" w:type="auto"/>
            <w:tcBorders>
              <w:left w:val="double" w:sz="4" w:space="0" w:color="auto"/>
            </w:tcBorders>
            <w:shd w:val="clear" w:color="auto" w:fill="auto"/>
            <w:noWrap/>
            <w:vAlign w:val="center"/>
          </w:tcPr>
          <w:p w14:paraId="4C2A8DD9"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25.37</w:t>
            </w:r>
          </w:p>
        </w:tc>
        <w:tc>
          <w:tcPr>
            <w:tcW w:w="0" w:type="auto"/>
            <w:shd w:val="clear" w:color="auto" w:fill="auto"/>
            <w:noWrap/>
            <w:vAlign w:val="center"/>
          </w:tcPr>
          <w:p w14:paraId="17908C49"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23.02</w:t>
            </w:r>
          </w:p>
        </w:tc>
        <w:tc>
          <w:tcPr>
            <w:tcW w:w="0" w:type="auto"/>
            <w:shd w:val="clear" w:color="auto" w:fill="auto"/>
            <w:vAlign w:val="center"/>
          </w:tcPr>
          <w:p w14:paraId="1F6286D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2.35</w:t>
            </w:r>
          </w:p>
        </w:tc>
        <w:tc>
          <w:tcPr>
            <w:tcW w:w="0" w:type="auto"/>
            <w:tcBorders>
              <w:right w:val="double" w:sz="4" w:space="0" w:color="auto"/>
            </w:tcBorders>
            <w:shd w:val="clear" w:color="auto" w:fill="auto"/>
            <w:noWrap/>
            <w:vAlign w:val="center"/>
          </w:tcPr>
          <w:p w14:paraId="21DABF8B"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9.26</w:t>
            </w:r>
          </w:p>
        </w:tc>
        <w:tc>
          <w:tcPr>
            <w:tcW w:w="0" w:type="auto"/>
            <w:tcBorders>
              <w:left w:val="double" w:sz="4" w:space="0" w:color="auto"/>
            </w:tcBorders>
            <w:shd w:val="clear" w:color="auto" w:fill="auto"/>
            <w:noWrap/>
            <w:vAlign w:val="center"/>
          </w:tcPr>
          <w:p w14:paraId="5FF2F323"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27.15</w:t>
            </w:r>
          </w:p>
        </w:tc>
        <w:tc>
          <w:tcPr>
            <w:tcW w:w="0" w:type="auto"/>
            <w:shd w:val="clear" w:color="auto" w:fill="auto"/>
            <w:noWrap/>
            <w:vAlign w:val="center"/>
          </w:tcPr>
          <w:p w14:paraId="06667609"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25.91</w:t>
            </w:r>
          </w:p>
        </w:tc>
        <w:tc>
          <w:tcPr>
            <w:tcW w:w="0" w:type="auto"/>
            <w:shd w:val="clear" w:color="auto" w:fill="auto"/>
            <w:vAlign w:val="center"/>
          </w:tcPr>
          <w:p w14:paraId="23CAF57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1.24</w:t>
            </w:r>
          </w:p>
        </w:tc>
        <w:tc>
          <w:tcPr>
            <w:tcW w:w="0" w:type="auto"/>
            <w:tcBorders>
              <w:right w:val="nil"/>
            </w:tcBorders>
            <w:shd w:val="clear" w:color="auto" w:fill="auto"/>
            <w:noWrap/>
            <w:vAlign w:val="center"/>
          </w:tcPr>
          <w:p w14:paraId="3C37809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4.57</w:t>
            </w:r>
          </w:p>
        </w:tc>
      </w:tr>
      <w:tr w:rsidR="00DA2A5C" w:rsidRPr="000F23E1" w14:paraId="6B57A728" w14:textId="77777777" w:rsidTr="006B60E2">
        <w:trPr>
          <w:trHeight w:val="216"/>
          <w:jc w:val="center"/>
        </w:trPr>
        <w:tc>
          <w:tcPr>
            <w:tcW w:w="525" w:type="dxa"/>
            <w:tcBorders>
              <w:left w:val="nil"/>
              <w:right w:val="double" w:sz="4" w:space="0" w:color="auto"/>
            </w:tcBorders>
            <w:shd w:val="clear" w:color="auto" w:fill="auto"/>
            <w:noWrap/>
            <w:vAlign w:val="center"/>
            <w:hideMark/>
          </w:tcPr>
          <w:p w14:paraId="5796D653"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6</w:t>
            </w:r>
          </w:p>
        </w:tc>
        <w:tc>
          <w:tcPr>
            <w:tcW w:w="0" w:type="auto"/>
            <w:tcBorders>
              <w:left w:val="double" w:sz="4" w:space="0" w:color="auto"/>
            </w:tcBorders>
            <w:shd w:val="clear" w:color="auto" w:fill="auto"/>
            <w:noWrap/>
            <w:vAlign w:val="center"/>
          </w:tcPr>
          <w:p w14:paraId="50A91B6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24.00</w:t>
            </w:r>
          </w:p>
        </w:tc>
        <w:tc>
          <w:tcPr>
            <w:tcW w:w="0" w:type="auto"/>
            <w:shd w:val="clear" w:color="auto" w:fill="auto"/>
            <w:noWrap/>
            <w:vAlign w:val="center"/>
          </w:tcPr>
          <w:p w14:paraId="028CEB74"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24.00</w:t>
            </w:r>
          </w:p>
        </w:tc>
        <w:tc>
          <w:tcPr>
            <w:tcW w:w="0" w:type="auto"/>
            <w:shd w:val="clear" w:color="auto" w:fill="auto"/>
            <w:vAlign w:val="center"/>
          </w:tcPr>
          <w:p w14:paraId="73317AFC"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0.00</w:t>
            </w:r>
          </w:p>
        </w:tc>
        <w:tc>
          <w:tcPr>
            <w:tcW w:w="0" w:type="auto"/>
            <w:tcBorders>
              <w:right w:val="double" w:sz="4" w:space="0" w:color="auto"/>
            </w:tcBorders>
            <w:shd w:val="clear" w:color="auto" w:fill="auto"/>
            <w:noWrap/>
            <w:vAlign w:val="center"/>
          </w:tcPr>
          <w:p w14:paraId="4C47F814"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0.00</w:t>
            </w:r>
          </w:p>
        </w:tc>
        <w:tc>
          <w:tcPr>
            <w:tcW w:w="0" w:type="auto"/>
            <w:tcBorders>
              <w:left w:val="double" w:sz="4" w:space="0" w:color="auto"/>
            </w:tcBorders>
            <w:shd w:val="clear" w:color="auto" w:fill="auto"/>
            <w:noWrap/>
            <w:vAlign w:val="center"/>
          </w:tcPr>
          <w:p w14:paraId="000502A4"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24.00</w:t>
            </w:r>
          </w:p>
        </w:tc>
        <w:tc>
          <w:tcPr>
            <w:tcW w:w="0" w:type="auto"/>
            <w:shd w:val="clear" w:color="auto" w:fill="auto"/>
            <w:noWrap/>
            <w:vAlign w:val="center"/>
          </w:tcPr>
          <w:p w14:paraId="5B430C38"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24.00</w:t>
            </w:r>
          </w:p>
        </w:tc>
        <w:tc>
          <w:tcPr>
            <w:tcW w:w="0" w:type="auto"/>
            <w:shd w:val="clear" w:color="auto" w:fill="auto"/>
            <w:vAlign w:val="center"/>
          </w:tcPr>
          <w:p w14:paraId="3638947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0.00</w:t>
            </w:r>
          </w:p>
        </w:tc>
        <w:tc>
          <w:tcPr>
            <w:tcW w:w="0" w:type="auto"/>
            <w:tcBorders>
              <w:right w:val="nil"/>
            </w:tcBorders>
            <w:shd w:val="clear" w:color="auto" w:fill="auto"/>
            <w:noWrap/>
            <w:vAlign w:val="center"/>
          </w:tcPr>
          <w:p w14:paraId="33A56670"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0.00</w:t>
            </w:r>
          </w:p>
        </w:tc>
      </w:tr>
      <w:tr w:rsidR="00DA2A5C" w:rsidRPr="000F23E1" w14:paraId="659D473C" w14:textId="77777777" w:rsidTr="006B60E2">
        <w:trPr>
          <w:trHeight w:val="216"/>
          <w:jc w:val="center"/>
        </w:trPr>
        <w:tc>
          <w:tcPr>
            <w:tcW w:w="525" w:type="dxa"/>
            <w:tcBorders>
              <w:left w:val="nil"/>
              <w:right w:val="double" w:sz="4" w:space="0" w:color="auto"/>
            </w:tcBorders>
            <w:shd w:val="clear" w:color="auto" w:fill="auto"/>
            <w:noWrap/>
            <w:vAlign w:val="center"/>
            <w:hideMark/>
          </w:tcPr>
          <w:p w14:paraId="1CB4ACE2"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8</w:t>
            </w:r>
          </w:p>
        </w:tc>
        <w:tc>
          <w:tcPr>
            <w:tcW w:w="0" w:type="auto"/>
            <w:tcBorders>
              <w:left w:val="double" w:sz="4" w:space="0" w:color="auto"/>
            </w:tcBorders>
            <w:shd w:val="clear" w:color="auto" w:fill="auto"/>
            <w:noWrap/>
            <w:vAlign w:val="center"/>
          </w:tcPr>
          <w:p w14:paraId="5A591D9C"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22.25</w:t>
            </w:r>
          </w:p>
        </w:tc>
        <w:tc>
          <w:tcPr>
            <w:tcW w:w="0" w:type="auto"/>
            <w:shd w:val="clear" w:color="auto" w:fill="auto"/>
            <w:noWrap/>
            <w:vAlign w:val="center"/>
          </w:tcPr>
          <w:p w14:paraId="27D1DCC3"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17.19</w:t>
            </w:r>
          </w:p>
        </w:tc>
        <w:tc>
          <w:tcPr>
            <w:tcW w:w="0" w:type="auto"/>
            <w:shd w:val="clear" w:color="auto" w:fill="auto"/>
            <w:vAlign w:val="center"/>
          </w:tcPr>
          <w:p w14:paraId="390EFEA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5.06</w:t>
            </w:r>
          </w:p>
        </w:tc>
        <w:tc>
          <w:tcPr>
            <w:tcW w:w="0" w:type="auto"/>
            <w:tcBorders>
              <w:right w:val="double" w:sz="4" w:space="0" w:color="auto"/>
            </w:tcBorders>
            <w:shd w:val="clear" w:color="auto" w:fill="auto"/>
            <w:noWrap/>
            <w:vAlign w:val="center"/>
          </w:tcPr>
          <w:p w14:paraId="0F4D2AE3"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22.7</w:t>
            </w:r>
          </w:p>
        </w:tc>
        <w:tc>
          <w:tcPr>
            <w:tcW w:w="0" w:type="auto"/>
            <w:tcBorders>
              <w:left w:val="double" w:sz="4" w:space="0" w:color="auto"/>
            </w:tcBorders>
            <w:shd w:val="clear" w:color="auto" w:fill="auto"/>
            <w:noWrap/>
            <w:vAlign w:val="center"/>
          </w:tcPr>
          <w:p w14:paraId="1E72F97E"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22.65</w:t>
            </w:r>
          </w:p>
        </w:tc>
        <w:tc>
          <w:tcPr>
            <w:tcW w:w="0" w:type="auto"/>
            <w:shd w:val="clear" w:color="auto" w:fill="auto"/>
            <w:noWrap/>
            <w:vAlign w:val="center"/>
          </w:tcPr>
          <w:p w14:paraId="3BDA2500"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20.01</w:t>
            </w:r>
          </w:p>
        </w:tc>
        <w:tc>
          <w:tcPr>
            <w:tcW w:w="0" w:type="auto"/>
            <w:shd w:val="clear" w:color="auto" w:fill="auto"/>
            <w:vAlign w:val="center"/>
          </w:tcPr>
          <w:p w14:paraId="3ACA3CC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sz w:val="20"/>
                <w:szCs w:val="20"/>
              </w:rPr>
              <w:t>2.65</w:t>
            </w:r>
          </w:p>
        </w:tc>
        <w:tc>
          <w:tcPr>
            <w:tcW w:w="0" w:type="auto"/>
            <w:tcBorders>
              <w:right w:val="nil"/>
            </w:tcBorders>
            <w:shd w:val="clear" w:color="auto" w:fill="auto"/>
            <w:noWrap/>
            <w:vAlign w:val="center"/>
          </w:tcPr>
          <w:p w14:paraId="7B898416"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11.7</w:t>
            </w:r>
          </w:p>
        </w:tc>
      </w:tr>
      <w:tr w:rsidR="00DA2A5C" w:rsidRPr="000F23E1" w14:paraId="76BC5793" w14:textId="77777777" w:rsidTr="006B60E2">
        <w:trPr>
          <w:trHeight w:val="216"/>
          <w:jc w:val="center"/>
        </w:trPr>
        <w:tc>
          <w:tcPr>
            <w:tcW w:w="1282" w:type="dxa"/>
            <w:gridSpan w:val="2"/>
            <w:tcBorders>
              <w:left w:val="nil"/>
            </w:tcBorders>
            <w:shd w:val="clear" w:color="auto" w:fill="auto"/>
            <w:noWrap/>
            <w:vAlign w:val="center"/>
            <w:hideMark/>
          </w:tcPr>
          <w:p w14:paraId="5DC2C3C1"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Avg. Error </w:t>
            </w:r>
          </w:p>
        </w:tc>
        <w:tc>
          <w:tcPr>
            <w:tcW w:w="0" w:type="auto"/>
            <w:shd w:val="clear" w:color="auto" w:fill="auto"/>
            <w:noWrap/>
            <w:vAlign w:val="center"/>
            <w:hideMark/>
          </w:tcPr>
          <w:p w14:paraId="13DC9FBA"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shd w:val="clear" w:color="auto" w:fill="auto"/>
            <w:vAlign w:val="center"/>
          </w:tcPr>
          <w:p w14:paraId="11E86988"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2.54</w:t>
            </w:r>
          </w:p>
        </w:tc>
        <w:tc>
          <w:tcPr>
            <w:tcW w:w="0" w:type="auto"/>
            <w:tcBorders>
              <w:right w:val="double" w:sz="4" w:space="0" w:color="auto"/>
            </w:tcBorders>
            <w:shd w:val="clear" w:color="auto" w:fill="auto"/>
            <w:noWrap/>
            <w:vAlign w:val="center"/>
          </w:tcPr>
          <w:p w14:paraId="1C253A69"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9.29</w:t>
            </w:r>
          </w:p>
        </w:tc>
        <w:tc>
          <w:tcPr>
            <w:tcW w:w="0" w:type="auto"/>
            <w:tcBorders>
              <w:left w:val="double" w:sz="4" w:space="0" w:color="auto"/>
            </w:tcBorders>
            <w:shd w:val="clear" w:color="auto" w:fill="auto"/>
            <w:noWrap/>
            <w:vAlign w:val="center"/>
          </w:tcPr>
          <w:p w14:paraId="5B3E83DE"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shd w:val="clear" w:color="auto" w:fill="auto"/>
            <w:noWrap/>
            <w:vAlign w:val="center"/>
          </w:tcPr>
          <w:p w14:paraId="0855BE8F" w14:textId="77777777" w:rsidR="00DA2A5C" w:rsidRPr="000F23E1" w:rsidRDefault="00DA2A5C" w:rsidP="006B60E2">
            <w:pPr>
              <w:spacing w:line="240" w:lineRule="auto"/>
              <w:ind w:firstLine="0"/>
              <w:jc w:val="center"/>
              <w:rPr>
                <w:rFonts w:eastAsia="Times New Roman"/>
                <w:color w:val="000000"/>
                <w:sz w:val="20"/>
                <w:szCs w:val="20"/>
                <w:lang w:eastAsia="zh-CN"/>
              </w:rPr>
            </w:pPr>
          </w:p>
        </w:tc>
        <w:tc>
          <w:tcPr>
            <w:tcW w:w="0" w:type="auto"/>
            <w:shd w:val="clear" w:color="auto" w:fill="auto"/>
            <w:vAlign w:val="center"/>
          </w:tcPr>
          <w:p w14:paraId="5C7C1E6F"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1.33</w:t>
            </w:r>
          </w:p>
        </w:tc>
        <w:tc>
          <w:tcPr>
            <w:tcW w:w="0" w:type="auto"/>
            <w:tcBorders>
              <w:right w:val="nil"/>
            </w:tcBorders>
            <w:shd w:val="clear" w:color="auto" w:fill="auto"/>
            <w:noWrap/>
            <w:vAlign w:val="center"/>
          </w:tcPr>
          <w:p w14:paraId="20A861CA" w14:textId="77777777" w:rsidR="00DA2A5C" w:rsidRPr="000F23E1" w:rsidRDefault="00DA2A5C" w:rsidP="006B60E2">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4.71</w:t>
            </w:r>
          </w:p>
        </w:tc>
      </w:tr>
    </w:tbl>
    <w:p w14:paraId="32789066" w14:textId="77777777" w:rsidR="00DA2A5C" w:rsidRDefault="00DA2A5C" w:rsidP="00DA2A5C">
      <w:pPr>
        <w:ind w:firstLine="0"/>
        <w:jc w:val="center"/>
      </w:pPr>
    </w:p>
    <w:p w14:paraId="56486568" w14:textId="2D2B947F" w:rsidR="00503BA6" w:rsidRPr="00503BA6" w:rsidRDefault="000F23E1" w:rsidP="00DA2A5C">
      <w:pPr>
        <w:ind w:firstLine="0"/>
        <w:jc w:val="center"/>
        <w:rPr>
          <w:b/>
        </w:rPr>
      </w:pPr>
      <w:bookmarkStart w:id="84" w:name="_Toc459076662"/>
      <w:r>
        <w:t xml:space="preserve">Table </w:t>
      </w:r>
      <w:fldSimple w:instr=" SEQ Table \* ARABIC ">
        <w:r w:rsidR="00656B13">
          <w:rPr>
            <w:noProof/>
          </w:rPr>
          <w:t>5</w:t>
        </w:r>
      </w:fldSimple>
      <w:bookmarkEnd w:id="81"/>
      <w:r w:rsidR="00503BA6" w:rsidRPr="00503BA6">
        <w:t>: Comparison of Predicted Reactive Line Flow</w:t>
      </w:r>
      <w:bookmarkEnd w:id="8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608"/>
        <w:gridCol w:w="608"/>
        <w:gridCol w:w="608"/>
        <w:gridCol w:w="608"/>
        <w:gridCol w:w="635"/>
        <w:gridCol w:w="674"/>
        <w:gridCol w:w="596"/>
        <w:gridCol w:w="714"/>
      </w:tblGrid>
      <w:tr w:rsidR="000F23E1" w:rsidRPr="000F23E1" w14:paraId="478D73D9" w14:textId="77777777" w:rsidTr="000273F3">
        <w:trPr>
          <w:trHeight w:val="227"/>
          <w:jc w:val="center"/>
        </w:trPr>
        <w:tc>
          <w:tcPr>
            <w:tcW w:w="742" w:type="dxa"/>
            <w:vMerge w:val="restart"/>
            <w:tcBorders>
              <w:left w:val="nil"/>
              <w:right w:val="double" w:sz="4" w:space="0" w:color="auto"/>
            </w:tcBorders>
            <w:shd w:val="clear" w:color="auto" w:fill="auto"/>
            <w:noWrap/>
            <w:vAlign w:val="center"/>
            <w:hideMark/>
          </w:tcPr>
          <w:p w14:paraId="32672425" w14:textId="77777777" w:rsidR="000F23E1" w:rsidRPr="000F23E1" w:rsidRDefault="00503BA6" w:rsidP="000F23E1">
            <w:pPr>
              <w:spacing w:line="240" w:lineRule="auto"/>
              <w:ind w:left="-94" w:right="-99" w:firstLine="0"/>
              <w:jc w:val="center"/>
              <w:rPr>
                <w:rFonts w:eastAsia="Times New Roman"/>
                <w:color w:val="000000"/>
                <w:sz w:val="20"/>
                <w:szCs w:val="20"/>
                <w:lang w:eastAsia="zh-CN"/>
              </w:rPr>
            </w:pPr>
            <w:r w:rsidRPr="00503BA6" w:rsidDel="00AC1CBD">
              <w:rPr>
                <w:b/>
              </w:rPr>
              <w:t xml:space="preserve"> </w:t>
            </w:r>
            <w:r w:rsidR="000F23E1" w:rsidRPr="000F23E1">
              <w:rPr>
                <w:rFonts w:eastAsia="Times New Roman"/>
                <w:color w:val="000000"/>
                <w:sz w:val="20"/>
                <w:szCs w:val="20"/>
                <w:lang w:eastAsia="zh-CN"/>
              </w:rPr>
              <w:t>Branch</w:t>
            </w:r>
          </w:p>
          <w:p w14:paraId="39E25F5B" w14:textId="77777777" w:rsidR="000F23E1" w:rsidRPr="000F23E1" w:rsidRDefault="000F23E1" w:rsidP="000F23E1">
            <w:pPr>
              <w:spacing w:line="240" w:lineRule="auto"/>
              <w:ind w:left="-94" w:right="-99" w:firstLine="0"/>
              <w:jc w:val="center"/>
              <w:rPr>
                <w:rFonts w:eastAsia="Times New Roman"/>
                <w:color w:val="000000"/>
                <w:sz w:val="20"/>
                <w:szCs w:val="20"/>
                <w:lang w:eastAsia="zh-CN"/>
              </w:rPr>
            </w:pPr>
            <w:r w:rsidRPr="000F23E1">
              <w:rPr>
                <w:rFonts w:eastAsia="Times New Roman"/>
                <w:color w:val="000000"/>
                <w:sz w:val="20"/>
                <w:szCs w:val="20"/>
                <w:lang w:eastAsia="zh-CN"/>
              </w:rPr>
              <w:t>No</w:t>
            </w:r>
          </w:p>
        </w:tc>
        <w:tc>
          <w:tcPr>
            <w:tcW w:w="2432" w:type="dxa"/>
            <w:gridSpan w:val="4"/>
            <w:tcBorders>
              <w:left w:val="double" w:sz="4" w:space="0" w:color="auto"/>
              <w:right w:val="double" w:sz="4" w:space="0" w:color="auto"/>
            </w:tcBorders>
            <w:shd w:val="clear" w:color="auto" w:fill="auto"/>
          </w:tcPr>
          <w:p w14:paraId="3C70FD93" w14:textId="77777777" w:rsidR="000F23E1" w:rsidRPr="000F23E1" w:rsidRDefault="000F23E1" w:rsidP="000F23E1">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Method in </w:t>
            </w:r>
            <w:r w:rsidR="00BB70A1" w:rsidRPr="00BB70A1">
              <w:rPr>
                <w:sz w:val="20"/>
                <w:lang w:val="en-GB"/>
              </w:rPr>
              <w:fldChar w:fldCharType="begin" w:fldLock="1"/>
            </w:r>
            <w:r w:rsidR="00351740">
              <w:rPr>
                <w:sz w:val="20"/>
                <w:lang w:val="en-GB"/>
              </w:rPr>
              <w:instrText>ADDIN CSL_CITATION { "citationItems" : [ { "id" : "ITEM-1", "itemData" : { "author" : [ { "dropping-particle" : "", "family" : "Ruiz", "given" : "Pablo A.", "non-dropping-particle" : "", "parse-names" : false, "suffix" : "" }, { "dropping-particle" : "", "family" : "Sauer", "given" : "Peter W", "non-dropping-particle" : "", "parse-names" : false, "suffix" : "" } ], "id" : "ITEM-1", "issue" : "2", "issued" : { "date-parts" : [ [ "2007" ] ] }, "page" : "639-647", "title" : "Voltage and Reactive Power Estimation for Contingency Analysis Using Sensitivities", "type" : "article-journal", "volume" : "22" }, "uris" : [ "http://www.mendeley.com/documents/?uuid=2b9cf745-ad9b-4a74-852f-b65bebabf116" ] } ], "mendeley" : { "formattedCitation" : "[42]", "plainTextFormattedCitation" : "[42]", "previouslyFormattedCitation" : "[42]" }, "properties" : { "noteIndex" : 0 }, "schema" : "https://github.com/citation-style-language/schema/raw/master/csl-citation.json" }</w:instrText>
            </w:r>
            <w:r w:rsidR="00BB70A1" w:rsidRPr="00BB70A1">
              <w:rPr>
                <w:sz w:val="20"/>
                <w:lang w:val="en-GB"/>
              </w:rPr>
              <w:fldChar w:fldCharType="separate"/>
            </w:r>
            <w:r w:rsidR="00DD7036" w:rsidRPr="00DD7036">
              <w:rPr>
                <w:noProof/>
                <w:sz w:val="20"/>
                <w:lang w:val="en-GB"/>
              </w:rPr>
              <w:t>[42]</w:t>
            </w:r>
            <w:r w:rsidR="00BB70A1" w:rsidRPr="00BB70A1">
              <w:rPr>
                <w:sz w:val="20"/>
                <w:lang w:val="en-GB"/>
              </w:rPr>
              <w:fldChar w:fldCharType="end"/>
            </w:r>
            <w:r w:rsidRPr="000F23E1">
              <w:rPr>
                <w:rFonts w:eastAsia="Times New Roman"/>
                <w:color w:val="000000"/>
                <w:sz w:val="20"/>
                <w:szCs w:val="20"/>
                <w:lang w:eastAsia="zh-CN"/>
              </w:rPr>
              <w:t xml:space="preserve">  </w:t>
            </w:r>
          </w:p>
        </w:tc>
        <w:tc>
          <w:tcPr>
            <w:tcW w:w="2619" w:type="dxa"/>
            <w:gridSpan w:val="4"/>
            <w:tcBorders>
              <w:left w:val="double" w:sz="4" w:space="0" w:color="auto"/>
              <w:right w:val="nil"/>
            </w:tcBorders>
            <w:shd w:val="clear" w:color="auto" w:fill="auto"/>
          </w:tcPr>
          <w:p w14:paraId="55BCD03C" w14:textId="77777777" w:rsidR="000F23E1" w:rsidRPr="000F23E1" w:rsidRDefault="000F23E1" w:rsidP="000F23E1">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Proposed method</w:t>
            </w:r>
          </w:p>
        </w:tc>
      </w:tr>
      <w:tr w:rsidR="000F23E1" w:rsidRPr="000F23E1" w14:paraId="6D180755" w14:textId="77777777" w:rsidTr="000273F3">
        <w:trPr>
          <w:trHeight w:val="288"/>
          <w:jc w:val="center"/>
        </w:trPr>
        <w:tc>
          <w:tcPr>
            <w:tcW w:w="742" w:type="dxa"/>
            <w:vMerge/>
            <w:tcBorders>
              <w:left w:val="nil"/>
              <w:right w:val="double" w:sz="4" w:space="0" w:color="auto"/>
            </w:tcBorders>
            <w:shd w:val="clear" w:color="auto" w:fill="auto"/>
            <w:noWrap/>
            <w:vAlign w:val="center"/>
            <w:hideMark/>
          </w:tcPr>
          <w:p w14:paraId="18A234CF"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p>
        </w:tc>
        <w:tc>
          <w:tcPr>
            <w:tcW w:w="608" w:type="dxa"/>
            <w:tcBorders>
              <w:left w:val="double" w:sz="4" w:space="0" w:color="auto"/>
            </w:tcBorders>
            <w:shd w:val="clear" w:color="auto" w:fill="auto"/>
            <w:noWrap/>
            <w:vAlign w:val="center"/>
            <w:hideMark/>
          </w:tcPr>
          <w:p w14:paraId="21D0AF09"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Exact </w:t>
            </w:r>
          </w:p>
          <w:p w14:paraId="5DD7AAD5"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608" w:type="dxa"/>
            <w:shd w:val="clear" w:color="auto" w:fill="auto"/>
            <w:noWrap/>
            <w:vAlign w:val="center"/>
            <w:hideMark/>
          </w:tcPr>
          <w:p w14:paraId="35C1A0E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Pred. </w:t>
            </w:r>
          </w:p>
          <w:p w14:paraId="604734A8"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608" w:type="dxa"/>
            <w:shd w:val="clear" w:color="auto" w:fill="auto"/>
            <w:vAlign w:val="center"/>
          </w:tcPr>
          <w:p w14:paraId="26BBF058" w14:textId="77777777" w:rsidR="000F23E1" w:rsidRPr="000F23E1" w:rsidRDefault="000F23E1" w:rsidP="000F23E1">
            <w:pPr>
              <w:spacing w:line="240" w:lineRule="auto"/>
              <w:ind w:left="-101" w:right="-121"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Error </w:t>
            </w:r>
          </w:p>
          <w:p w14:paraId="1300153F" w14:textId="77777777" w:rsidR="000F23E1" w:rsidRPr="000F23E1" w:rsidRDefault="000F23E1" w:rsidP="000F23E1">
            <w:pPr>
              <w:spacing w:line="240" w:lineRule="auto"/>
              <w:ind w:left="-101" w:right="-121"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608" w:type="dxa"/>
            <w:tcBorders>
              <w:right w:val="double" w:sz="4" w:space="0" w:color="auto"/>
            </w:tcBorders>
            <w:shd w:val="clear" w:color="auto" w:fill="auto"/>
            <w:noWrap/>
            <w:vAlign w:val="center"/>
            <w:hideMark/>
          </w:tcPr>
          <w:p w14:paraId="053BCAFC"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|Error| </w:t>
            </w:r>
          </w:p>
          <w:p w14:paraId="61E6E8C1"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w:t>
            </w:r>
          </w:p>
        </w:tc>
        <w:tc>
          <w:tcPr>
            <w:tcW w:w="635" w:type="dxa"/>
            <w:tcBorders>
              <w:left w:val="double" w:sz="4" w:space="0" w:color="auto"/>
            </w:tcBorders>
            <w:shd w:val="clear" w:color="auto" w:fill="auto"/>
            <w:noWrap/>
            <w:vAlign w:val="center"/>
            <w:hideMark/>
          </w:tcPr>
          <w:p w14:paraId="727C31B1"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Exact </w:t>
            </w:r>
          </w:p>
          <w:p w14:paraId="218B3DA0"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674" w:type="dxa"/>
            <w:shd w:val="clear" w:color="auto" w:fill="auto"/>
            <w:noWrap/>
            <w:vAlign w:val="center"/>
            <w:hideMark/>
          </w:tcPr>
          <w:p w14:paraId="75C7F35F"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Pred.</w:t>
            </w:r>
          </w:p>
          <w:p w14:paraId="12D071F6"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596" w:type="dxa"/>
            <w:shd w:val="clear" w:color="auto" w:fill="auto"/>
            <w:vAlign w:val="center"/>
          </w:tcPr>
          <w:p w14:paraId="61B093F3" w14:textId="77777777" w:rsidR="000F23E1" w:rsidRPr="000F23E1" w:rsidRDefault="000F23E1" w:rsidP="000F23E1">
            <w:pPr>
              <w:spacing w:line="240" w:lineRule="auto"/>
              <w:ind w:left="-66" w:right="-24" w:firstLine="0"/>
              <w:jc w:val="center"/>
              <w:rPr>
                <w:rFonts w:eastAsia="Times New Roman"/>
                <w:color w:val="000000"/>
                <w:sz w:val="20"/>
                <w:szCs w:val="20"/>
                <w:lang w:eastAsia="zh-CN"/>
              </w:rPr>
            </w:pPr>
            <w:r w:rsidRPr="000F23E1">
              <w:rPr>
                <w:rFonts w:eastAsia="Times New Roman"/>
                <w:color w:val="000000"/>
                <w:sz w:val="20"/>
                <w:szCs w:val="20"/>
                <w:lang w:eastAsia="zh-CN"/>
              </w:rPr>
              <w:t>Error</w:t>
            </w:r>
          </w:p>
          <w:p w14:paraId="4E28CA36" w14:textId="77777777" w:rsidR="000F23E1" w:rsidRPr="000F23E1" w:rsidRDefault="000F23E1" w:rsidP="000F23E1">
            <w:pPr>
              <w:spacing w:line="240" w:lineRule="auto"/>
              <w:ind w:left="-66" w:right="-24" w:firstLine="0"/>
              <w:jc w:val="center"/>
              <w:rPr>
                <w:rFonts w:eastAsia="Times New Roman"/>
                <w:color w:val="000000"/>
                <w:sz w:val="20"/>
                <w:szCs w:val="20"/>
                <w:lang w:eastAsia="zh-CN"/>
              </w:rPr>
            </w:pPr>
            <w:r w:rsidRPr="000F23E1">
              <w:rPr>
                <w:rFonts w:eastAsia="Times New Roman"/>
                <w:color w:val="000000"/>
                <w:sz w:val="20"/>
                <w:szCs w:val="20"/>
                <w:lang w:eastAsia="zh-CN"/>
              </w:rPr>
              <w:t>(p.u.)</w:t>
            </w:r>
          </w:p>
        </w:tc>
        <w:tc>
          <w:tcPr>
            <w:tcW w:w="714" w:type="dxa"/>
            <w:tcBorders>
              <w:right w:val="nil"/>
            </w:tcBorders>
            <w:shd w:val="clear" w:color="auto" w:fill="auto"/>
            <w:noWrap/>
            <w:vAlign w:val="center"/>
            <w:hideMark/>
          </w:tcPr>
          <w:p w14:paraId="0DE259E7" w14:textId="77777777" w:rsidR="000F23E1" w:rsidRPr="000F23E1" w:rsidRDefault="000F23E1" w:rsidP="000F23E1">
            <w:pPr>
              <w:spacing w:line="240" w:lineRule="auto"/>
              <w:ind w:left="-66" w:right="-24" w:firstLine="0"/>
              <w:jc w:val="center"/>
              <w:rPr>
                <w:rFonts w:eastAsia="Times New Roman"/>
                <w:color w:val="000000"/>
                <w:sz w:val="20"/>
                <w:szCs w:val="20"/>
                <w:lang w:eastAsia="zh-CN"/>
              </w:rPr>
            </w:pPr>
            <w:r w:rsidRPr="000F23E1">
              <w:rPr>
                <w:rFonts w:eastAsia="Times New Roman"/>
                <w:color w:val="000000"/>
                <w:sz w:val="20"/>
                <w:szCs w:val="20"/>
                <w:lang w:eastAsia="zh-CN"/>
              </w:rPr>
              <w:t>|Error|</w:t>
            </w:r>
          </w:p>
          <w:p w14:paraId="3F9FB60E" w14:textId="77777777" w:rsidR="000F23E1" w:rsidRPr="000F23E1" w:rsidRDefault="000F23E1" w:rsidP="000F23E1">
            <w:pPr>
              <w:spacing w:line="240" w:lineRule="auto"/>
              <w:ind w:left="-66" w:right="-24"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 (%)</w:t>
            </w:r>
          </w:p>
        </w:tc>
      </w:tr>
      <w:tr w:rsidR="000F23E1" w:rsidRPr="000F23E1" w14:paraId="02587DDB" w14:textId="77777777" w:rsidTr="000273F3">
        <w:trPr>
          <w:trHeight w:val="216"/>
          <w:jc w:val="center"/>
        </w:trPr>
        <w:tc>
          <w:tcPr>
            <w:tcW w:w="742" w:type="dxa"/>
            <w:tcBorders>
              <w:left w:val="nil"/>
              <w:right w:val="double" w:sz="4" w:space="0" w:color="auto"/>
            </w:tcBorders>
            <w:shd w:val="clear" w:color="auto" w:fill="auto"/>
            <w:noWrap/>
            <w:vAlign w:val="center"/>
            <w:hideMark/>
          </w:tcPr>
          <w:p w14:paraId="4DDE3653"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1-2</w:t>
            </w:r>
          </w:p>
        </w:tc>
        <w:tc>
          <w:tcPr>
            <w:tcW w:w="608" w:type="dxa"/>
            <w:tcBorders>
              <w:left w:val="double" w:sz="4" w:space="0" w:color="auto"/>
            </w:tcBorders>
            <w:shd w:val="clear" w:color="auto" w:fill="auto"/>
            <w:noWrap/>
            <w:vAlign w:val="center"/>
          </w:tcPr>
          <w:p w14:paraId="60D6DE19"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-21.46</w:t>
            </w:r>
          </w:p>
        </w:tc>
        <w:tc>
          <w:tcPr>
            <w:tcW w:w="608" w:type="dxa"/>
            <w:shd w:val="clear" w:color="auto" w:fill="auto"/>
            <w:noWrap/>
            <w:vAlign w:val="center"/>
          </w:tcPr>
          <w:p w14:paraId="2E135E0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-20.95</w:t>
            </w:r>
          </w:p>
        </w:tc>
        <w:tc>
          <w:tcPr>
            <w:tcW w:w="608" w:type="dxa"/>
            <w:shd w:val="clear" w:color="auto" w:fill="auto"/>
            <w:vAlign w:val="center"/>
          </w:tcPr>
          <w:p w14:paraId="380A9FB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0.51</w:t>
            </w:r>
          </w:p>
        </w:tc>
        <w:tc>
          <w:tcPr>
            <w:tcW w:w="608" w:type="dxa"/>
            <w:tcBorders>
              <w:right w:val="double" w:sz="4" w:space="0" w:color="auto"/>
            </w:tcBorders>
            <w:shd w:val="clear" w:color="auto" w:fill="auto"/>
            <w:noWrap/>
            <w:vAlign w:val="center"/>
          </w:tcPr>
          <w:p w14:paraId="0A9ED8CD"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2.38</w:t>
            </w:r>
          </w:p>
        </w:tc>
        <w:tc>
          <w:tcPr>
            <w:tcW w:w="635" w:type="dxa"/>
            <w:tcBorders>
              <w:left w:val="double" w:sz="4" w:space="0" w:color="auto"/>
            </w:tcBorders>
            <w:shd w:val="clear" w:color="auto" w:fill="auto"/>
            <w:noWrap/>
            <w:vAlign w:val="center"/>
          </w:tcPr>
          <w:p w14:paraId="0AEFDA5C"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-21.48</w:t>
            </w:r>
          </w:p>
        </w:tc>
        <w:tc>
          <w:tcPr>
            <w:tcW w:w="674" w:type="dxa"/>
            <w:shd w:val="clear" w:color="auto" w:fill="auto"/>
            <w:noWrap/>
            <w:vAlign w:val="center"/>
          </w:tcPr>
          <w:p w14:paraId="2E98C381"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-21.19</w:t>
            </w:r>
          </w:p>
        </w:tc>
        <w:tc>
          <w:tcPr>
            <w:tcW w:w="596" w:type="dxa"/>
            <w:shd w:val="clear" w:color="auto" w:fill="auto"/>
            <w:vAlign w:val="center"/>
          </w:tcPr>
          <w:p w14:paraId="3590FBA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0.29</w:t>
            </w:r>
          </w:p>
        </w:tc>
        <w:tc>
          <w:tcPr>
            <w:tcW w:w="714" w:type="dxa"/>
            <w:tcBorders>
              <w:right w:val="nil"/>
            </w:tcBorders>
            <w:shd w:val="clear" w:color="auto" w:fill="auto"/>
            <w:noWrap/>
            <w:vAlign w:val="center"/>
          </w:tcPr>
          <w:p w14:paraId="16136D6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1.35</w:t>
            </w:r>
          </w:p>
        </w:tc>
      </w:tr>
      <w:tr w:rsidR="000F23E1" w:rsidRPr="000F23E1" w14:paraId="7859A2F5" w14:textId="77777777" w:rsidTr="000273F3">
        <w:trPr>
          <w:trHeight w:val="216"/>
          <w:jc w:val="center"/>
        </w:trPr>
        <w:tc>
          <w:tcPr>
            <w:tcW w:w="742" w:type="dxa"/>
            <w:tcBorders>
              <w:left w:val="nil"/>
              <w:right w:val="double" w:sz="4" w:space="0" w:color="auto"/>
            </w:tcBorders>
            <w:shd w:val="clear" w:color="auto" w:fill="auto"/>
            <w:noWrap/>
            <w:vAlign w:val="center"/>
            <w:hideMark/>
          </w:tcPr>
          <w:p w14:paraId="17E0FCF3"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1-5</w:t>
            </w:r>
          </w:p>
        </w:tc>
        <w:tc>
          <w:tcPr>
            <w:tcW w:w="608" w:type="dxa"/>
            <w:tcBorders>
              <w:left w:val="double" w:sz="4" w:space="0" w:color="auto"/>
            </w:tcBorders>
            <w:shd w:val="clear" w:color="auto" w:fill="auto"/>
            <w:noWrap/>
            <w:vAlign w:val="center"/>
          </w:tcPr>
          <w:p w14:paraId="2D54A736"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1.30</w:t>
            </w:r>
          </w:p>
        </w:tc>
        <w:tc>
          <w:tcPr>
            <w:tcW w:w="608" w:type="dxa"/>
            <w:shd w:val="clear" w:color="auto" w:fill="auto"/>
            <w:noWrap/>
            <w:vAlign w:val="center"/>
          </w:tcPr>
          <w:p w14:paraId="239F7E3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0.02</w:t>
            </w:r>
          </w:p>
        </w:tc>
        <w:tc>
          <w:tcPr>
            <w:tcW w:w="608" w:type="dxa"/>
            <w:shd w:val="clear" w:color="auto" w:fill="auto"/>
            <w:vAlign w:val="center"/>
          </w:tcPr>
          <w:p w14:paraId="38B8BA6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1.28</w:t>
            </w:r>
          </w:p>
        </w:tc>
        <w:tc>
          <w:tcPr>
            <w:tcW w:w="608" w:type="dxa"/>
            <w:tcBorders>
              <w:right w:val="double" w:sz="4" w:space="0" w:color="auto"/>
            </w:tcBorders>
            <w:shd w:val="clear" w:color="auto" w:fill="auto"/>
            <w:noWrap/>
            <w:vAlign w:val="center"/>
          </w:tcPr>
          <w:p w14:paraId="21D4A9E9"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98.46</w:t>
            </w:r>
          </w:p>
        </w:tc>
        <w:tc>
          <w:tcPr>
            <w:tcW w:w="635" w:type="dxa"/>
            <w:tcBorders>
              <w:left w:val="double" w:sz="4" w:space="0" w:color="auto"/>
            </w:tcBorders>
            <w:shd w:val="clear" w:color="auto" w:fill="auto"/>
            <w:noWrap/>
            <w:vAlign w:val="center"/>
          </w:tcPr>
          <w:p w14:paraId="76871FF7"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1.75</w:t>
            </w:r>
          </w:p>
        </w:tc>
        <w:tc>
          <w:tcPr>
            <w:tcW w:w="674" w:type="dxa"/>
            <w:shd w:val="clear" w:color="auto" w:fill="auto"/>
            <w:noWrap/>
            <w:vAlign w:val="center"/>
          </w:tcPr>
          <w:p w14:paraId="38E23C25"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1.08</w:t>
            </w:r>
          </w:p>
        </w:tc>
        <w:tc>
          <w:tcPr>
            <w:tcW w:w="596" w:type="dxa"/>
            <w:shd w:val="clear" w:color="auto" w:fill="auto"/>
            <w:vAlign w:val="center"/>
          </w:tcPr>
          <w:p w14:paraId="5A2A2331"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0.67</w:t>
            </w:r>
          </w:p>
        </w:tc>
        <w:tc>
          <w:tcPr>
            <w:tcW w:w="714" w:type="dxa"/>
            <w:tcBorders>
              <w:right w:val="nil"/>
            </w:tcBorders>
            <w:shd w:val="clear" w:color="auto" w:fill="auto"/>
            <w:noWrap/>
            <w:vAlign w:val="center"/>
          </w:tcPr>
          <w:p w14:paraId="1D95012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38.29</w:t>
            </w:r>
          </w:p>
        </w:tc>
      </w:tr>
      <w:tr w:rsidR="000F23E1" w:rsidRPr="000F23E1" w14:paraId="06330074" w14:textId="77777777" w:rsidTr="000273F3">
        <w:trPr>
          <w:trHeight w:val="216"/>
          <w:jc w:val="center"/>
        </w:trPr>
        <w:tc>
          <w:tcPr>
            <w:tcW w:w="742" w:type="dxa"/>
            <w:tcBorders>
              <w:left w:val="nil"/>
              <w:right w:val="double" w:sz="4" w:space="0" w:color="auto"/>
            </w:tcBorders>
            <w:shd w:val="clear" w:color="auto" w:fill="auto"/>
            <w:noWrap/>
            <w:vAlign w:val="center"/>
            <w:hideMark/>
          </w:tcPr>
          <w:p w14:paraId="21CD8BE3"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2-3</w:t>
            </w:r>
          </w:p>
        </w:tc>
        <w:tc>
          <w:tcPr>
            <w:tcW w:w="608" w:type="dxa"/>
            <w:tcBorders>
              <w:left w:val="double" w:sz="4" w:space="0" w:color="auto"/>
            </w:tcBorders>
            <w:shd w:val="clear" w:color="auto" w:fill="auto"/>
            <w:noWrap/>
            <w:vAlign w:val="center"/>
          </w:tcPr>
          <w:p w14:paraId="657C591B"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3.30</w:t>
            </w:r>
          </w:p>
        </w:tc>
        <w:tc>
          <w:tcPr>
            <w:tcW w:w="608" w:type="dxa"/>
            <w:shd w:val="clear" w:color="auto" w:fill="auto"/>
            <w:noWrap/>
            <w:vAlign w:val="center"/>
          </w:tcPr>
          <w:p w14:paraId="6E73523F"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3.35</w:t>
            </w:r>
          </w:p>
        </w:tc>
        <w:tc>
          <w:tcPr>
            <w:tcW w:w="608" w:type="dxa"/>
            <w:shd w:val="clear" w:color="auto" w:fill="auto"/>
            <w:vAlign w:val="center"/>
          </w:tcPr>
          <w:p w14:paraId="59273B3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0.05</w:t>
            </w:r>
          </w:p>
        </w:tc>
        <w:tc>
          <w:tcPr>
            <w:tcW w:w="608" w:type="dxa"/>
            <w:tcBorders>
              <w:right w:val="double" w:sz="4" w:space="0" w:color="auto"/>
            </w:tcBorders>
            <w:shd w:val="clear" w:color="auto" w:fill="auto"/>
            <w:noWrap/>
            <w:vAlign w:val="center"/>
          </w:tcPr>
          <w:p w14:paraId="511872D8"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1.52</w:t>
            </w:r>
          </w:p>
        </w:tc>
        <w:tc>
          <w:tcPr>
            <w:tcW w:w="635" w:type="dxa"/>
            <w:tcBorders>
              <w:left w:val="double" w:sz="4" w:space="0" w:color="auto"/>
            </w:tcBorders>
            <w:shd w:val="clear" w:color="auto" w:fill="auto"/>
            <w:noWrap/>
            <w:vAlign w:val="center"/>
          </w:tcPr>
          <w:p w14:paraId="31FAA096"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3.29</w:t>
            </w:r>
          </w:p>
        </w:tc>
        <w:tc>
          <w:tcPr>
            <w:tcW w:w="674" w:type="dxa"/>
            <w:shd w:val="clear" w:color="auto" w:fill="auto"/>
            <w:noWrap/>
            <w:vAlign w:val="center"/>
          </w:tcPr>
          <w:p w14:paraId="76EF6558"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3.33</w:t>
            </w:r>
          </w:p>
        </w:tc>
        <w:tc>
          <w:tcPr>
            <w:tcW w:w="596" w:type="dxa"/>
            <w:shd w:val="clear" w:color="auto" w:fill="auto"/>
            <w:vAlign w:val="center"/>
          </w:tcPr>
          <w:p w14:paraId="590FCC6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0.03</w:t>
            </w:r>
          </w:p>
        </w:tc>
        <w:tc>
          <w:tcPr>
            <w:tcW w:w="714" w:type="dxa"/>
            <w:tcBorders>
              <w:right w:val="nil"/>
            </w:tcBorders>
            <w:shd w:val="clear" w:color="auto" w:fill="auto"/>
            <w:noWrap/>
            <w:vAlign w:val="center"/>
          </w:tcPr>
          <w:p w14:paraId="4E21EAA1"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1.22</w:t>
            </w:r>
          </w:p>
        </w:tc>
      </w:tr>
      <w:tr w:rsidR="000F23E1" w:rsidRPr="000F23E1" w14:paraId="1559B4FD" w14:textId="77777777" w:rsidTr="000273F3">
        <w:trPr>
          <w:trHeight w:val="216"/>
          <w:jc w:val="center"/>
        </w:trPr>
        <w:tc>
          <w:tcPr>
            <w:tcW w:w="742" w:type="dxa"/>
            <w:tcBorders>
              <w:left w:val="nil"/>
              <w:right w:val="double" w:sz="4" w:space="0" w:color="auto"/>
            </w:tcBorders>
            <w:shd w:val="clear" w:color="auto" w:fill="auto"/>
            <w:noWrap/>
            <w:vAlign w:val="center"/>
            <w:hideMark/>
          </w:tcPr>
          <w:p w14:paraId="6DA50D12"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2-4</w:t>
            </w:r>
          </w:p>
        </w:tc>
        <w:tc>
          <w:tcPr>
            <w:tcW w:w="608" w:type="dxa"/>
            <w:tcBorders>
              <w:left w:val="double" w:sz="4" w:space="0" w:color="auto"/>
            </w:tcBorders>
            <w:shd w:val="clear" w:color="auto" w:fill="auto"/>
            <w:noWrap/>
            <w:vAlign w:val="center"/>
          </w:tcPr>
          <w:p w14:paraId="6FF36ED0"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-1.48</w:t>
            </w:r>
          </w:p>
        </w:tc>
        <w:tc>
          <w:tcPr>
            <w:tcW w:w="608" w:type="dxa"/>
            <w:shd w:val="clear" w:color="auto" w:fill="auto"/>
            <w:noWrap/>
            <w:vAlign w:val="center"/>
          </w:tcPr>
          <w:p w14:paraId="68EF046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-3.58</w:t>
            </w:r>
          </w:p>
        </w:tc>
        <w:tc>
          <w:tcPr>
            <w:tcW w:w="608" w:type="dxa"/>
            <w:shd w:val="clear" w:color="auto" w:fill="auto"/>
            <w:vAlign w:val="center"/>
          </w:tcPr>
          <w:p w14:paraId="348860A6"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2.10</w:t>
            </w:r>
          </w:p>
        </w:tc>
        <w:tc>
          <w:tcPr>
            <w:tcW w:w="608" w:type="dxa"/>
            <w:tcBorders>
              <w:right w:val="double" w:sz="4" w:space="0" w:color="auto"/>
            </w:tcBorders>
            <w:shd w:val="clear" w:color="auto" w:fill="auto"/>
            <w:noWrap/>
            <w:vAlign w:val="center"/>
          </w:tcPr>
          <w:p w14:paraId="6EF07E7E"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141.89</w:t>
            </w:r>
          </w:p>
        </w:tc>
        <w:tc>
          <w:tcPr>
            <w:tcW w:w="635" w:type="dxa"/>
            <w:tcBorders>
              <w:left w:val="double" w:sz="4" w:space="0" w:color="auto"/>
            </w:tcBorders>
            <w:shd w:val="clear" w:color="auto" w:fill="auto"/>
            <w:noWrap/>
            <w:vAlign w:val="center"/>
          </w:tcPr>
          <w:p w14:paraId="1B319ED6"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-0.65</w:t>
            </w:r>
          </w:p>
        </w:tc>
        <w:tc>
          <w:tcPr>
            <w:tcW w:w="674" w:type="dxa"/>
            <w:shd w:val="clear" w:color="auto" w:fill="auto"/>
            <w:noWrap/>
            <w:vAlign w:val="center"/>
          </w:tcPr>
          <w:p w14:paraId="59A74358"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-1.75</w:t>
            </w:r>
          </w:p>
        </w:tc>
        <w:tc>
          <w:tcPr>
            <w:tcW w:w="596" w:type="dxa"/>
            <w:shd w:val="clear" w:color="auto" w:fill="auto"/>
            <w:vAlign w:val="center"/>
          </w:tcPr>
          <w:p w14:paraId="00CF6B6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1.09</w:t>
            </w:r>
          </w:p>
        </w:tc>
        <w:tc>
          <w:tcPr>
            <w:tcW w:w="714" w:type="dxa"/>
            <w:tcBorders>
              <w:right w:val="nil"/>
            </w:tcBorders>
            <w:shd w:val="clear" w:color="auto" w:fill="auto"/>
            <w:noWrap/>
            <w:vAlign w:val="center"/>
          </w:tcPr>
          <w:p w14:paraId="305704A3"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169.23</w:t>
            </w:r>
          </w:p>
        </w:tc>
      </w:tr>
      <w:tr w:rsidR="000F23E1" w:rsidRPr="000F23E1" w14:paraId="6869CD62" w14:textId="77777777" w:rsidTr="000273F3">
        <w:trPr>
          <w:trHeight w:val="216"/>
          <w:jc w:val="center"/>
        </w:trPr>
        <w:tc>
          <w:tcPr>
            <w:tcW w:w="742" w:type="dxa"/>
            <w:tcBorders>
              <w:left w:val="nil"/>
              <w:right w:val="double" w:sz="4" w:space="0" w:color="auto"/>
            </w:tcBorders>
            <w:shd w:val="clear" w:color="auto" w:fill="auto"/>
            <w:noWrap/>
            <w:vAlign w:val="center"/>
            <w:hideMark/>
          </w:tcPr>
          <w:p w14:paraId="2D810FBC"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2-5</w:t>
            </w:r>
          </w:p>
        </w:tc>
        <w:tc>
          <w:tcPr>
            <w:tcW w:w="608" w:type="dxa"/>
            <w:tcBorders>
              <w:left w:val="double" w:sz="4" w:space="0" w:color="auto"/>
            </w:tcBorders>
            <w:shd w:val="clear" w:color="auto" w:fill="auto"/>
            <w:noWrap/>
            <w:vAlign w:val="center"/>
          </w:tcPr>
          <w:p w14:paraId="4B457BDF"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-1.22</w:t>
            </w:r>
          </w:p>
        </w:tc>
        <w:tc>
          <w:tcPr>
            <w:tcW w:w="608" w:type="dxa"/>
            <w:shd w:val="clear" w:color="auto" w:fill="auto"/>
            <w:noWrap/>
            <w:vAlign w:val="center"/>
          </w:tcPr>
          <w:p w14:paraId="43ADF0A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-2.80</w:t>
            </w:r>
          </w:p>
        </w:tc>
        <w:tc>
          <w:tcPr>
            <w:tcW w:w="608" w:type="dxa"/>
            <w:shd w:val="clear" w:color="auto" w:fill="auto"/>
            <w:vAlign w:val="center"/>
          </w:tcPr>
          <w:p w14:paraId="02F69968"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1.58</w:t>
            </w:r>
          </w:p>
        </w:tc>
        <w:tc>
          <w:tcPr>
            <w:tcW w:w="608" w:type="dxa"/>
            <w:tcBorders>
              <w:right w:val="double" w:sz="4" w:space="0" w:color="auto"/>
            </w:tcBorders>
            <w:shd w:val="clear" w:color="auto" w:fill="auto"/>
            <w:noWrap/>
            <w:vAlign w:val="center"/>
          </w:tcPr>
          <w:p w14:paraId="4967D09F"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129.51</w:t>
            </w:r>
          </w:p>
        </w:tc>
        <w:tc>
          <w:tcPr>
            <w:tcW w:w="635" w:type="dxa"/>
            <w:tcBorders>
              <w:left w:val="double" w:sz="4" w:space="0" w:color="auto"/>
            </w:tcBorders>
            <w:shd w:val="clear" w:color="auto" w:fill="auto"/>
            <w:noWrap/>
            <w:vAlign w:val="center"/>
          </w:tcPr>
          <w:p w14:paraId="2EBB3330"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-0.68</w:t>
            </w:r>
          </w:p>
        </w:tc>
        <w:tc>
          <w:tcPr>
            <w:tcW w:w="674" w:type="dxa"/>
            <w:shd w:val="clear" w:color="auto" w:fill="auto"/>
            <w:noWrap/>
            <w:vAlign w:val="center"/>
          </w:tcPr>
          <w:p w14:paraId="5EA79798"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-1.50</w:t>
            </w:r>
          </w:p>
        </w:tc>
        <w:tc>
          <w:tcPr>
            <w:tcW w:w="596" w:type="dxa"/>
            <w:shd w:val="clear" w:color="auto" w:fill="auto"/>
            <w:vAlign w:val="center"/>
          </w:tcPr>
          <w:p w14:paraId="5E6F9648"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0.82</w:t>
            </w:r>
          </w:p>
        </w:tc>
        <w:tc>
          <w:tcPr>
            <w:tcW w:w="714" w:type="dxa"/>
            <w:tcBorders>
              <w:right w:val="nil"/>
            </w:tcBorders>
            <w:shd w:val="clear" w:color="auto" w:fill="auto"/>
            <w:noWrap/>
            <w:vAlign w:val="center"/>
          </w:tcPr>
          <w:p w14:paraId="79E52FD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120.59</w:t>
            </w:r>
          </w:p>
        </w:tc>
      </w:tr>
      <w:tr w:rsidR="000F23E1" w:rsidRPr="000F23E1" w14:paraId="388CF445" w14:textId="77777777" w:rsidTr="000273F3">
        <w:trPr>
          <w:trHeight w:val="216"/>
          <w:jc w:val="center"/>
        </w:trPr>
        <w:tc>
          <w:tcPr>
            <w:tcW w:w="742" w:type="dxa"/>
            <w:tcBorders>
              <w:left w:val="nil"/>
              <w:right w:val="double" w:sz="4" w:space="0" w:color="auto"/>
            </w:tcBorders>
            <w:shd w:val="clear" w:color="auto" w:fill="auto"/>
            <w:noWrap/>
            <w:vAlign w:val="center"/>
            <w:hideMark/>
          </w:tcPr>
          <w:p w14:paraId="3DF906F0"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3-4</w:t>
            </w:r>
          </w:p>
        </w:tc>
        <w:tc>
          <w:tcPr>
            <w:tcW w:w="608" w:type="dxa"/>
            <w:tcBorders>
              <w:left w:val="double" w:sz="4" w:space="0" w:color="auto"/>
            </w:tcBorders>
            <w:shd w:val="clear" w:color="auto" w:fill="auto"/>
            <w:noWrap/>
            <w:vAlign w:val="center"/>
          </w:tcPr>
          <w:p w14:paraId="158BF2F7"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3.77</w:t>
            </w:r>
          </w:p>
        </w:tc>
        <w:tc>
          <w:tcPr>
            <w:tcW w:w="608" w:type="dxa"/>
            <w:shd w:val="clear" w:color="auto" w:fill="auto"/>
            <w:noWrap/>
            <w:vAlign w:val="center"/>
          </w:tcPr>
          <w:p w14:paraId="34F4B60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1.66</w:t>
            </w:r>
          </w:p>
        </w:tc>
        <w:tc>
          <w:tcPr>
            <w:tcW w:w="608" w:type="dxa"/>
            <w:shd w:val="clear" w:color="auto" w:fill="auto"/>
            <w:vAlign w:val="center"/>
          </w:tcPr>
          <w:p w14:paraId="2AF85BF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2.11</w:t>
            </w:r>
          </w:p>
        </w:tc>
        <w:tc>
          <w:tcPr>
            <w:tcW w:w="608" w:type="dxa"/>
            <w:tcBorders>
              <w:right w:val="double" w:sz="4" w:space="0" w:color="auto"/>
            </w:tcBorders>
            <w:shd w:val="clear" w:color="auto" w:fill="auto"/>
            <w:noWrap/>
            <w:vAlign w:val="center"/>
          </w:tcPr>
          <w:p w14:paraId="14ED3E18"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55.97</w:t>
            </w:r>
          </w:p>
        </w:tc>
        <w:tc>
          <w:tcPr>
            <w:tcW w:w="635" w:type="dxa"/>
            <w:tcBorders>
              <w:left w:val="double" w:sz="4" w:space="0" w:color="auto"/>
            </w:tcBorders>
            <w:shd w:val="clear" w:color="auto" w:fill="auto"/>
            <w:noWrap/>
            <w:vAlign w:val="center"/>
          </w:tcPr>
          <w:p w14:paraId="6C73E201"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5.53</w:t>
            </w:r>
          </w:p>
        </w:tc>
        <w:tc>
          <w:tcPr>
            <w:tcW w:w="674" w:type="dxa"/>
            <w:shd w:val="clear" w:color="auto" w:fill="auto"/>
            <w:noWrap/>
            <w:vAlign w:val="center"/>
          </w:tcPr>
          <w:p w14:paraId="34B21E8D"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4.42</w:t>
            </w:r>
          </w:p>
        </w:tc>
        <w:tc>
          <w:tcPr>
            <w:tcW w:w="596" w:type="dxa"/>
            <w:shd w:val="clear" w:color="auto" w:fill="auto"/>
            <w:vAlign w:val="center"/>
          </w:tcPr>
          <w:p w14:paraId="304AC723"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1.11</w:t>
            </w:r>
          </w:p>
        </w:tc>
        <w:tc>
          <w:tcPr>
            <w:tcW w:w="714" w:type="dxa"/>
            <w:tcBorders>
              <w:right w:val="nil"/>
            </w:tcBorders>
            <w:shd w:val="clear" w:color="auto" w:fill="auto"/>
            <w:noWrap/>
            <w:vAlign w:val="center"/>
          </w:tcPr>
          <w:p w14:paraId="3FC6613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20.07</w:t>
            </w:r>
          </w:p>
        </w:tc>
      </w:tr>
      <w:tr w:rsidR="000F23E1" w:rsidRPr="000F23E1" w14:paraId="1839480B" w14:textId="77777777" w:rsidTr="000273F3">
        <w:trPr>
          <w:trHeight w:val="216"/>
          <w:jc w:val="center"/>
        </w:trPr>
        <w:tc>
          <w:tcPr>
            <w:tcW w:w="742" w:type="dxa"/>
            <w:tcBorders>
              <w:left w:val="nil"/>
              <w:right w:val="double" w:sz="4" w:space="0" w:color="auto"/>
            </w:tcBorders>
            <w:shd w:val="clear" w:color="auto" w:fill="auto"/>
            <w:noWrap/>
            <w:vAlign w:val="center"/>
            <w:hideMark/>
          </w:tcPr>
          <w:p w14:paraId="1283BAC2"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4-5</w:t>
            </w:r>
          </w:p>
        </w:tc>
        <w:tc>
          <w:tcPr>
            <w:tcW w:w="608" w:type="dxa"/>
            <w:tcBorders>
              <w:left w:val="double" w:sz="4" w:space="0" w:color="auto"/>
            </w:tcBorders>
            <w:shd w:val="clear" w:color="auto" w:fill="auto"/>
            <w:noWrap/>
            <w:vAlign w:val="center"/>
          </w:tcPr>
          <w:p w14:paraId="62A06716"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8.42</w:t>
            </w:r>
          </w:p>
        </w:tc>
        <w:tc>
          <w:tcPr>
            <w:tcW w:w="608" w:type="dxa"/>
            <w:shd w:val="clear" w:color="auto" w:fill="auto"/>
            <w:noWrap/>
            <w:vAlign w:val="center"/>
          </w:tcPr>
          <w:p w14:paraId="3E9FA33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10.16</w:t>
            </w:r>
          </w:p>
        </w:tc>
        <w:tc>
          <w:tcPr>
            <w:tcW w:w="608" w:type="dxa"/>
            <w:shd w:val="clear" w:color="auto" w:fill="auto"/>
            <w:vAlign w:val="center"/>
          </w:tcPr>
          <w:p w14:paraId="0D444D5F"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1.74</w:t>
            </w:r>
          </w:p>
        </w:tc>
        <w:tc>
          <w:tcPr>
            <w:tcW w:w="608" w:type="dxa"/>
            <w:tcBorders>
              <w:right w:val="double" w:sz="4" w:space="0" w:color="auto"/>
            </w:tcBorders>
            <w:shd w:val="clear" w:color="auto" w:fill="auto"/>
            <w:noWrap/>
            <w:vAlign w:val="center"/>
          </w:tcPr>
          <w:p w14:paraId="1058DC54"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20.67</w:t>
            </w:r>
          </w:p>
        </w:tc>
        <w:tc>
          <w:tcPr>
            <w:tcW w:w="635" w:type="dxa"/>
            <w:tcBorders>
              <w:left w:val="double" w:sz="4" w:space="0" w:color="auto"/>
            </w:tcBorders>
            <w:shd w:val="clear" w:color="auto" w:fill="auto"/>
            <w:noWrap/>
            <w:vAlign w:val="center"/>
          </w:tcPr>
          <w:p w14:paraId="3C093970"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8.70</w:t>
            </w:r>
          </w:p>
        </w:tc>
        <w:tc>
          <w:tcPr>
            <w:tcW w:w="674" w:type="dxa"/>
            <w:shd w:val="clear" w:color="auto" w:fill="auto"/>
            <w:noWrap/>
            <w:vAlign w:val="center"/>
          </w:tcPr>
          <w:p w14:paraId="48ED5CFF"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9.76</w:t>
            </w:r>
          </w:p>
        </w:tc>
        <w:tc>
          <w:tcPr>
            <w:tcW w:w="596" w:type="dxa"/>
            <w:shd w:val="clear" w:color="auto" w:fill="auto"/>
            <w:vAlign w:val="center"/>
          </w:tcPr>
          <w:p w14:paraId="55157E46"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1.06</w:t>
            </w:r>
          </w:p>
        </w:tc>
        <w:tc>
          <w:tcPr>
            <w:tcW w:w="714" w:type="dxa"/>
            <w:tcBorders>
              <w:right w:val="nil"/>
            </w:tcBorders>
            <w:shd w:val="clear" w:color="auto" w:fill="auto"/>
            <w:noWrap/>
            <w:vAlign w:val="center"/>
          </w:tcPr>
          <w:p w14:paraId="349A22E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12.18</w:t>
            </w:r>
          </w:p>
        </w:tc>
      </w:tr>
      <w:tr w:rsidR="000F23E1" w:rsidRPr="000F23E1" w14:paraId="74FC701E" w14:textId="77777777" w:rsidTr="000273F3">
        <w:trPr>
          <w:trHeight w:val="216"/>
          <w:jc w:val="center"/>
        </w:trPr>
        <w:tc>
          <w:tcPr>
            <w:tcW w:w="742" w:type="dxa"/>
            <w:tcBorders>
              <w:left w:val="nil"/>
              <w:right w:val="double" w:sz="4" w:space="0" w:color="auto"/>
            </w:tcBorders>
            <w:shd w:val="clear" w:color="auto" w:fill="auto"/>
            <w:noWrap/>
            <w:vAlign w:val="center"/>
            <w:hideMark/>
          </w:tcPr>
          <w:p w14:paraId="688D7ED9"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4-7</w:t>
            </w:r>
          </w:p>
        </w:tc>
        <w:tc>
          <w:tcPr>
            <w:tcW w:w="608" w:type="dxa"/>
            <w:tcBorders>
              <w:left w:val="double" w:sz="4" w:space="0" w:color="auto"/>
            </w:tcBorders>
            <w:shd w:val="clear" w:color="auto" w:fill="auto"/>
            <w:noWrap/>
            <w:vAlign w:val="center"/>
          </w:tcPr>
          <w:p w14:paraId="17483528"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-4.83</w:t>
            </w:r>
          </w:p>
        </w:tc>
        <w:tc>
          <w:tcPr>
            <w:tcW w:w="608" w:type="dxa"/>
            <w:shd w:val="clear" w:color="auto" w:fill="auto"/>
            <w:noWrap/>
            <w:vAlign w:val="center"/>
          </w:tcPr>
          <w:p w14:paraId="482C0FB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-7.87</w:t>
            </w:r>
          </w:p>
        </w:tc>
        <w:tc>
          <w:tcPr>
            <w:tcW w:w="608" w:type="dxa"/>
            <w:shd w:val="clear" w:color="auto" w:fill="auto"/>
            <w:vAlign w:val="center"/>
          </w:tcPr>
          <w:p w14:paraId="5D6353D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3.04</w:t>
            </w:r>
          </w:p>
        </w:tc>
        <w:tc>
          <w:tcPr>
            <w:tcW w:w="608" w:type="dxa"/>
            <w:tcBorders>
              <w:right w:val="double" w:sz="4" w:space="0" w:color="auto"/>
            </w:tcBorders>
            <w:shd w:val="clear" w:color="auto" w:fill="auto"/>
            <w:noWrap/>
            <w:vAlign w:val="center"/>
          </w:tcPr>
          <w:p w14:paraId="46953F91"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62.94</w:t>
            </w:r>
          </w:p>
        </w:tc>
        <w:tc>
          <w:tcPr>
            <w:tcW w:w="635" w:type="dxa"/>
            <w:tcBorders>
              <w:left w:val="double" w:sz="4" w:space="0" w:color="auto"/>
            </w:tcBorders>
            <w:shd w:val="clear" w:color="auto" w:fill="auto"/>
            <w:noWrap/>
            <w:vAlign w:val="center"/>
          </w:tcPr>
          <w:p w14:paraId="66B4884C"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-5.06</w:t>
            </w:r>
          </w:p>
        </w:tc>
        <w:tc>
          <w:tcPr>
            <w:tcW w:w="674" w:type="dxa"/>
            <w:shd w:val="clear" w:color="auto" w:fill="auto"/>
            <w:noWrap/>
            <w:vAlign w:val="center"/>
          </w:tcPr>
          <w:p w14:paraId="36DDB7A8"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-6.27</w:t>
            </w:r>
          </w:p>
        </w:tc>
        <w:tc>
          <w:tcPr>
            <w:tcW w:w="596" w:type="dxa"/>
            <w:shd w:val="clear" w:color="auto" w:fill="auto"/>
            <w:vAlign w:val="center"/>
          </w:tcPr>
          <w:p w14:paraId="72DB7F0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1.21</w:t>
            </w:r>
          </w:p>
        </w:tc>
        <w:tc>
          <w:tcPr>
            <w:tcW w:w="714" w:type="dxa"/>
            <w:tcBorders>
              <w:right w:val="nil"/>
            </w:tcBorders>
            <w:shd w:val="clear" w:color="auto" w:fill="auto"/>
            <w:noWrap/>
            <w:vAlign w:val="center"/>
          </w:tcPr>
          <w:p w14:paraId="69A4DE99"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23.91</w:t>
            </w:r>
          </w:p>
        </w:tc>
      </w:tr>
      <w:tr w:rsidR="000F23E1" w:rsidRPr="000F23E1" w14:paraId="45842BE4" w14:textId="77777777" w:rsidTr="000273F3">
        <w:trPr>
          <w:trHeight w:val="216"/>
          <w:jc w:val="center"/>
        </w:trPr>
        <w:tc>
          <w:tcPr>
            <w:tcW w:w="742" w:type="dxa"/>
            <w:tcBorders>
              <w:left w:val="nil"/>
              <w:right w:val="double" w:sz="4" w:space="0" w:color="auto"/>
            </w:tcBorders>
            <w:shd w:val="clear" w:color="auto" w:fill="auto"/>
            <w:noWrap/>
            <w:vAlign w:val="center"/>
            <w:hideMark/>
          </w:tcPr>
          <w:p w14:paraId="13661541"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4-9</w:t>
            </w:r>
          </w:p>
        </w:tc>
        <w:tc>
          <w:tcPr>
            <w:tcW w:w="608" w:type="dxa"/>
            <w:tcBorders>
              <w:left w:val="double" w:sz="4" w:space="0" w:color="auto"/>
            </w:tcBorders>
            <w:shd w:val="clear" w:color="auto" w:fill="auto"/>
            <w:noWrap/>
            <w:vAlign w:val="center"/>
          </w:tcPr>
          <w:p w14:paraId="4E4A16E2"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3.22</w:t>
            </w:r>
          </w:p>
        </w:tc>
        <w:tc>
          <w:tcPr>
            <w:tcW w:w="608" w:type="dxa"/>
            <w:shd w:val="clear" w:color="auto" w:fill="auto"/>
            <w:noWrap/>
            <w:vAlign w:val="center"/>
          </w:tcPr>
          <w:p w14:paraId="0B5CC5C1"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0.54</w:t>
            </w:r>
          </w:p>
        </w:tc>
        <w:tc>
          <w:tcPr>
            <w:tcW w:w="608" w:type="dxa"/>
            <w:shd w:val="clear" w:color="auto" w:fill="auto"/>
            <w:vAlign w:val="center"/>
          </w:tcPr>
          <w:p w14:paraId="011B34F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2.68</w:t>
            </w:r>
          </w:p>
        </w:tc>
        <w:tc>
          <w:tcPr>
            <w:tcW w:w="608" w:type="dxa"/>
            <w:tcBorders>
              <w:right w:val="double" w:sz="4" w:space="0" w:color="auto"/>
            </w:tcBorders>
            <w:shd w:val="clear" w:color="auto" w:fill="auto"/>
            <w:noWrap/>
            <w:vAlign w:val="center"/>
          </w:tcPr>
          <w:p w14:paraId="0BCA9B08"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83.23</w:t>
            </w:r>
          </w:p>
        </w:tc>
        <w:tc>
          <w:tcPr>
            <w:tcW w:w="635" w:type="dxa"/>
            <w:tcBorders>
              <w:left w:val="double" w:sz="4" w:space="0" w:color="auto"/>
            </w:tcBorders>
            <w:shd w:val="clear" w:color="auto" w:fill="auto"/>
            <w:noWrap/>
            <w:vAlign w:val="center"/>
          </w:tcPr>
          <w:p w14:paraId="76AA2C17"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3.16</w:t>
            </w:r>
          </w:p>
        </w:tc>
        <w:tc>
          <w:tcPr>
            <w:tcW w:w="674" w:type="dxa"/>
            <w:shd w:val="clear" w:color="auto" w:fill="auto"/>
            <w:noWrap/>
            <w:vAlign w:val="center"/>
          </w:tcPr>
          <w:p w14:paraId="796A5DCF"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2.08</w:t>
            </w:r>
          </w:p>
        </w:tc>
        <w:tc>
          <w:tcPr>
            <w:tcW w:w="596" w:type="dxa"/>
            <w:shd w:val="clear" w:color="auto" w:fill="auto"/>
            <w:vAlign w:val="center"/>
          </w:tcPr>
          <w:p w14:paraId="009DC291"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1.07</w:t>
            </w:r>
          </w:p>
        </w:tc>
        <w:tc>
          <w:tcPr>
            <w:tcW w:w="714" w:type="dxa"/>
            <w:tcBorders>
              <w:right w:val="nil"/>
            </w:tcBorders>
            <w:shd w:val="clear" w:color="auto" w:fill="auto"/>
            <w:noWrap/>
            <w:vAlign w:val="center"/>
          </w:tcPr>
          <w:p w14:paraId="3F3DEB99"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34.18</w:t>
            </w:r>
          </w:p>
        </w:tc>
      </w:tr>
      <w:tr w:rsidR="000F23E1" w:rsidRPr="000F23E1" w14:paraId="3B80D43E" w14:textId="77777777" w:rsidTr="000273F3">
        <w:trPr>
          <w:trHeight w:val="216"/>
          <w:jc w:val="center"/>
        </w:trPr>
        <w:tc>
          <w:tcPr>
            <w:tcW w:w="742" w:type="dxa"/>
            <w:tcBorders>
              <w:left w:val="nil"/>
              <w:right w:val="double" w:sz="4" w:space="0" w:color="auto"/>
            </w:tcBorders>
            <w:shd w:val="clear" w:color="auto" w:fill="auto"/>
            <w:noWrap/>
            <w:vAlign w:val="center"/>
            <w:hideMark/>
          </w:tcPr>
          <w:p w14:paraId="7A94B0ED"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6-11</w:t>
            </w:r>
          </w:p>
        </w:tc>
        <w:tc>
          <w:tcPr>
            <w:tcW w:w="608" w:type="dxa"/>
            <w:tcBorders>
              <w:left w:val="double" w:sz="4" w:space="0" w:color="auto"/>
            </w:tcBorders>
            <w:shd w:val="clear" w:color="auto" w:fill="auto"/>
            <w:noWrap/>
            <w:vAlign w:val="center"/>
          </w:tcPr>
          <w:p w14:paraId="355471E7"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5.39</w:t>
            </w:r>
          </w:p>
        </w:tc>
        <w:tc>
          <w:tcPr>
            <w:tcW w:w="608" w:type="dxa"/>
            <w:shd w:val="clear" w:color="auto" w:fill="auto"/>
            <w:noWrap/>
            <w:vAlign w:val="center"/>
          </w:tcPr>
          <w:p w14:paraId="03A283D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5.37</w:t>
            </w:r>
          </w:p>
        </w:tc>
        <w:tc>
          <w:tcPr>
            <w:tcW w:w="608" w:type="dxa"/>
            <w:shd w:val="clear" w:color="auto" w:fill="auto"/>
            <w:vAlign w:val="center"/>
          </w:tcPr>
          <w:p w14:paraId="0CA959B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0.02</w:t>
            </w:r>
          </w:p>
        </w:tc>
        <w:tc>
          <w:tcPr>
            <w:tcW w:w="608" w:type="dxa"/>
            <w:tcBorders>
              <w:right w:val="double" w:sz="4" w:space="0" w:color="auto"/>
            </w:tcBorders>
            <w:shd w:val="clear" w:color="auto" w:fill="auto"/>
            <w:noWrap/>
            <w:vAlign w:val="center"/>
          </w:tcPr>
          <w:p w14:paraId="57E30C81"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0.37</w:t>
            </w:r>
          </w:p>
        </w:tc>
        <w:tc>
          <w:tcPr>
            <w:tcW w:w="635" w:type="dxa"/>
            <w:tcBorders>
              <w:left w:val="double" w:sz="4" w:space="0" w:color="auto"/>
            </w:tcBorders>
            <w:shd w:val="clear" w:color="auto" w:fill="auto"/>
            <w:noWrap/>
            <w:vAlign w:val="center"/>
          </w:tcPr>
          <w:p w14:paraId="3C63A0F5"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5.39</w:t>
            </w:r>
          </w:p>
        </w:tc>
        <w:tc>
          <w:tcPr>
            <w:tcW w:w="674" w:type="dxa"/>
            <w:shd w:val="clear" w:color="auto" w:fill="auto"/>
            <w:noWrap/>
            <w:vAlign w:val="center"/>
          </w:tcPr>
          <w:p w14:paraId="5522A6A7"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5.33</w:t>
            </w:r>
          </w:p>
        </w:tc>
        <w:tc>
          <w:tcPr>
            <w:tcW w:w="596" w:type="dxa"/>
            <w:shd w:val="clear" w:color="auto" w:fill="auto"/>
            <w:vAlign w:val="center"/>
          </w:tcPr>
          <w:p w14:paraId="2D6031B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0.06</w:t>
            </w:r>
          </w:p>
        </w:tc>
        <w:tc>
          <w:tcPr>
            <w:tcW w:w="714" w:type="dxa"/>
            <w:tcBorders>
              <w:right w:val="nil"/>
            </w:tcBorders>
            <w:shd w:val="clear" w:color="auto" w:fill="auto"/>
            <w:noWrap/>
            <w:vAlign w:val="center"/>
          </w:tcPr>
          <w:p w14:paraId="5E609D56"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1.11</w:t>
            </w:r>
          </w:p>
        </w:tc>
      </w:tr>
      <w:tr w:rsidR="000F23E1" w:rsidRPr="000F23E1" w14:paraId="1773CF05" w14:textId="77777777" w:rsidTr="000273F3">
        <w:trPr>
          <w:trHeight w:val="216"/>
          <w:jc w:val="center"/>
        </w:trPr>
        <w:tc>
          <w:tcPr>
            <w:tcW w:w="742" w:type="dxa"/>
            <w:tcBorders>
              <w:left w:val="nil"/>
              <w:right w:val="double" w:sz="4" w:space="0" w:color="auto"/>
            </w:tcBorders>
            <w:shd w:val="clear" w:color="auto" w:fill="auto"/>
            <w:noWrap/>
            <w:vAlign w:val="center"/>
            <w:hideMark/>
          </w:tcPr>
          <w:p w14:paraId="585B2CDB"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6-12</w:t>
            </w:r>
          </w:p>
        </w:tc>
        <w:tc>
          <w:tcPr>
            <w:tcW w:w="608" w:type="dxa"/>
            <w:tcBorders>
              <w:left w:val="double" w:sz="4" w:space="0" w:color="auto"/>
            </w:tcBorders>
            <w:shd w:val="clear" w:color="auto" w:fill="auto"/>
            <w:noWrap/>
            <w:vAlign w:val="center"/>
          </w:tcPr>
          <w:p w14:paraId="3CD4C1B3"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3.26</w:t>
            </w:r>
          </w:p>
        </w:tc>
        <w:tc>
          <w:tcPr>
            <w:tcW w:w="608" w:type="dxa"/>
            <w:shd w:val="clear" w:color="auto" w:fill="auto"/>
            <w:noWrap/>
            <w:vAlign w:val="center"/>
          </w:tcPr>
          <w:p w14:paraId="4917B85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3.26</w:t>
            </w:r>
          </w:p>
        </w:tc>
        <w:tc>
          <w:tcPr>
            <w:tcW w:w="608" w:type="dxa"/>
            <w:shd w:val="clear" w:color="auto" w:fill="auto"/>
            <w:vAlign w:val="center"/>
          </w:tcPr>
          <w:p w14:paraId="2E07799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0.00</w:t>
            </w:r>
          </w:p>
        </w:tc>
        <w:tc>
          <w:tcPr>
            <w:tcW w:w="608" w:type="dxa"/>
            <w:tcBorders>
              <w:right w:val="double" w:sz="4" w:space="0" w:color="auto"/>
            </w:tcBorders>
            <w:shd w:val="clear" w:color="auto" w:fill="auto"/>
            <w:noWrap/>
            <w:vAlign w:val="center"/>
          </w:tcPr>
          <w:p w14:paraId="6FD027C3"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0.00</w:t>
            </w:r>
          </w:p>
        </w:tc>
        <w:tc>
          <w:tcPr>
            <w:tcW w:w="635" w:type="dxa"/>
            <w:tcBorders>
              <w:left w:val="double" w:sz="4" w:space="0" w:color="auto"/>
            </w:tcBorders>
            <w:shd w:val="clear" w:color="auto" w:fill="auto"/>
            <w:noWrap/>
            <w:vAlign w:val="center"/>
          </w:tcPr>
          <w:p w14:paraId="1F924D7E"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3.26</w:t>
            </w:r>
          </w:p>
        </w:tc>
        <w:tc>
          <w:tcPr>
            <w:tcW w:w="674" w:type="dxa"/>
            <w:shd w:val="clear" w:color="auto" w:fill="auto"/>
            <w:noWrap/>
            <w:vAlign w:val="center"/>
          </w:tcPr>
          <w:p w14:paraId="4AB392BF"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3.20</w:t>
            </w:r>
          </w:p>
        </w:tc>
        <w:tc>
          <w:tcPr>
            <w:tcW w:w="596" w:type="dxa"/>
            <w:shd w:val="clear" w:color="auto" w:fill="auto"/>
            <w:vAlign w:val="center"/>
          </w:tcPr>
          <w:p w14:paraId="66117729"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0.06</w:t>
            </w:r>
          </w:p>
        </w:tc>
        <w:tc>
          <w:tcPr>
            <w:tcW w:w="714" w:type="dxa"/>
            <w:tcBorders>
              <w:right w:val="nil"/>
            </w:tcBorders>
            <w:shd w:val="clear" w:color="auto" w:fill="auto"/>
            <w:noWrap/>
            <w:vAlign w:val="center"/>
          </w:tcPr>
          <w:p w14:paraId="47154E9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1.84</w:t>
            </w:r>
          </w:p>
        </w:tc>
      </w:tr>
      <w:tr w:rsidR="000F23E1" w:rsidRPr="000F23E1" w14:paraId="6A8D2DB9" w14:textId="77777777" w:rsidTr="000273F3">
        <w:trPr>
          <w:trHeight w:val="216"/>
          <w:jc w:val="center"/>
        </w:trPr>
        <w:tc>
          <w:tcPr>
            <w:tcW w:w="742" w:type="dxa"/>
            <w:tcBorders>
              <w:left w:val="nil"/>
              <w:right w:val="double" w:sz="4" w:space="0" w:color="auto"/>
            </w:tcBorders>
            <w:shd w:val="clear" w:color="auto" w:fill="auto"/>
            <w:noWrap/>
            <w:vAlign w:val="center"/>
            <w:hideMark/>
          </w:tcPr>
          <w:p w14:paraId="50D9AB16"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6-13</w:t>
            </w:r>
          </w:p>
        </w:tc>
        <w:tc>
          <w:tcPr>
            <w:tcW w:w="608" w:type="dxa"/>
            <w:tcBorders>
              <w:left w:val="double" w:sz="4" w:space="0" w:color="auto"/>
            </w:tcBorders>
            <w:shd w:val="clear" w:color="auto" w:fill="auto"/>
            <w:noWrap/>
            <w:vAlign w:val="center"/>
          </w:tcPr>
          <w:p w14:paraId="498554A4"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7.85</w:t>
            </w:r>
          </w:p>
        </w:tc>
        <w:tc>
          <w:tcPr>
            <w:tcW w:w="608" w:type="dxa"/>
            <w:shd w:val="clear" w:color="auto" w:fill="auto"/>
            <w:noWrap/>
            <w:vAlign w:val="center"/>
          </w:tcPr>
          <w:p w14:paraId="1B0CF5C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7.86</w:t>
            </w:r>
          </w:p>
        </w:tc>
        <w:tc>
          <w:tcPr>
            <w:tcW w:w="608" w:type="dxa"/>
            <w:shd w:val="clear" w:color="auto" w:fill="auto"/>
            <w:vAlign w:val="center"/>
          </w:tcPr>
          <w:p w14:paraId="5B3D200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0.01</w:t>
            </w:r>
          </w:p>
        </w:tc>
        <w:tc>
          <w:tcPr>
            <w:tcW w:w="608" w:type="dxa"/>
            <w:tcBorders>
              <w:right w:val="double" w:sz="4" w:space="0" w:color="auto"/>
            </w:tcBorders>
            <w:shd w:val="clear" w:color="auto" w:fill="auto"/>
            <w:noWrap/>
            <w:vAlign w:val="center"/>
          </w:tcPr>
          <w:p w14:paraId="5303168B"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0.13</w:t>
            </w:r>
          </w:p>
        </w:tc>
        <w:tc>
          <w:tcPr>
            <w:tcW w:w="635" w:type="dxa"/>
            <w:tcBorders>
              <w:left w:val="double" w:sz="4" w:space="0" w:color="auto"/>
            </w:tcBorders>
            <w:shd w:val="clear" w:color="auto" w:fill="auto"/>
            <w:noWrap/>
            <w:vAlign w:val="center"/>
          </w:tcPr>
          <w:p w14:paraId="3884B674"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7.85</w:t>
            </w:r>
          </w:p>
        </w:tc>
        <w:tc>
          <w:tcPr>
            <w:tcW w:w="674" w:type="dxa"/>
            <w:shd w:val="clear" w:color="auto" w:fill="auto"/>
            <w:noWrap/>
            <w:vAlign w:val="center"/>
          </w:tcPr>
          <w:p w14:paraId="56583F74"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7.71</w:t>
            </w:r>
          </w:p>
        </w:tc>
        <w:tc>
          <w:tcPr>
            <w:tcW w:w="596" w:type="dxa"/>
            <w:shd w:val="clear" w:color="auto" w:fill="auto"/>
            <w:vAlign w:val="center"/>
          </w:tcPr>
          <w:p w14:paraId="128731A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0.14</w:t>
            </w:r>
          </w:p>
        </w:tc>
        <w:tc>
          <w:tcPr>
            <w:tcW w:w="714" w:type="dxa"/>
            <w:tcBorders>
              <w:right w:val="nil"/>
            </w:tcBorders>
            <w:shd w:val="clear" w:color="auto" w:fill="auto"/>
            <w:noWrap/>
            <w:vAlign w:val="center"/>
          </w:tcPr>
          <w:p w14:paraId="678814A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1.78</w:t>
            </w:r>
          </w:p>
        </w:tc>
      </w:tr>
      <w:tr w:rsidR="000F23E1" w:rsidRPr="000F23E1" w14:paraId="3E8570F9" w14:textId="77777777" w:rsidTr="000273F3">
        <w:trPr>
          <w:trHeight w:val="216"/>
          <w:jc w:val="center"/>
        </w:trPr>
        <w:tc>
          <w:tcPr>
            <w:tcW w:w="742" w:type="dxa"/>
            <w:tcBorders>
              <w:left w:val="nil"/>
              <w:right w:val="double" w:sz="4" w:space="0" w:color="auto"/>
            </w:tcBorders>
            <w:shd w:val="clear" w:color="auto" w:fill="auto"/>
            <w:noWrap/>
            <w:vAlign w:val="center"/>
            <w:hideMark/>
          </w:tcPr>
          <w:p w14:paraId="451FF0FE"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7-8</w:t>
            </w:r>
          </w:p>
        </w:tc>
        <w:tc>
          <w:tcPr>
            <w:tcW w:w="608" w:type="dxa"/>
            <w:tcBorders>
              <w:left w:val="double" w:sz="4" w:space="0" w:color="auto"/>
            </w:tcBorders>
            <w:shd w:val="clear" w:color="auto" w:fill="auto"/>
            <w:noWrap/>
            <w:vAlign w:val="center"/>
          </w:tcPr>
          <w:p w14:paraId="756D117E"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-21.52</w:t>
            </w:r>
          </w:p>
        </w:tc>
        <w:tc>
          <w:tcPr>
            <w:tcW w:w="608" w:type="dxa"/>
            <w:shd w:val="clear" w:color="auto" w:fill="auto"/>
            <w:noWrap/>
            <w:vAlign w:val="center"/>
          </w:tcPr>
          <w:p w14:paraId="74450B1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-16.75</w:t>
            </w:r>
          </w:p>
        </w:tc>
        <w:tc>
          <w:tcPr>
            <w:tcW w:w="608" w:type="dxa"/>
            <w:shd w:val="clear" w:color="auto" w:fill="auto"/>
            <w:vAlign w:val="center"/>
          </w:tcPr>
          <w:p w14:paraId="17C6E54B"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4.77</w:t>
            </w:r>
          </w:p>
        </w:tc>
        <w:tc>
          <w:tcPr>
            <w:tcW w:w="608" w:type="dxa"/>
            <w:tcBorders>
              <w:right w:val="double" w:sz="4" w:space="0" w:color="auto"/>
            </w:tcBorders>
            <w:shd w:val="clear" w:color="auto" w:fill="auto"/>
            <w:noWrap/>
            <w:vAlign w:val="center"/>
          </w:tcPr>
          <w:p w14:paraId="44573ECB"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22.17</w:t>
            </w:r>
          </w:p>
        </w:tc>
        <w:tc>
          <w:tcPr>
            <w:tcW w:w="635" w:type="dxa"/>
            <w:tcBorders>
              <w:left w:val="double" w:sz="4" w:space="0" w:color="auto"/>
            </w:tcBorders>
            <w:shd w:val="clear" w:color="auto" w:fill="auto"/>
            <w:noWrap/>
            <w:vAlign w:val="center"/>
          </w:tcPr>
          <w:p w14:paraId="6210D5B3"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-21.89</w:t>
            </w:r>
          </w:p>
        </w:tc>
        <w:tc>
          <w:tcPr>
            <w:tcW w:w="674" w:type="dxa"/>
            <w:shd w:val="clear" w:color="auto" w:fill="auto"/>
            <w:noWrap/>
            <w:vAlign w:val="center"/>
          </w:tcPr>
          <w:p w14:paraId="3AE319B5"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-19.42</w:t>
            </w:r>
          </w:p>
        </w:tc>
        <w:tc>
          <w:tcPr>
            <w:tcW w:w="596" w:type="dxa"/>
            <w:shd w:val="clear" w:color="auto" w:fill="auto"/>
            <w:vAlign w:val="center"/>
          </w:tcPr>
          <w:p w14:paraId="355DFAE3"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2.48</w:t>
            </w:r>
          </w:p>
        </w:tc>
        <w:tc>
          <w:tcPr>
            <w:tcW w:w="714" w:type="dxa"/>
            <w:tcBorders>
              <w:right w:val="nil"/>
            </w:tcBorders>
            <w:shd w:val="clear" w:color="auto" w:fill="auto"/>
            <w:noWrap/>
            <w:vAlign w:val="center"/>
          </w:tcPr>
          <w:p w14:paraId="716EB0E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11.28</w:t>
            </w:r>
          </w:p>
        </w:tc>
      </w:tr>
      <w:tr w:rsidR="000F23E1" w:rsidRPr="000F23E1" w14:paraId="096B5C1E" w14:textId="77777777" w:rsidTr="000273F3">
        <w:trPr>
          <w:trHeight w:val="216"/>
          <w:jc w:val="center"/>
        </w:trPr>
        <w:tc>
          <w:tcPr>
            <w:tcW w:w="742" w:type="dxa"/>
            <w:tcBorders>
              <w:left w:val="nil"/>
              <w:right w:val="double" w:sz="4" w:space="0" w:color="auto"/>
            </w:tcBorders>
            <w:shd w:val="clear" w:color="auto" w:fill="auto"/>
            <w:noWrap/>
            <w:vAlign w:val="center"/>
            <w:hideMark/>
          </w:tcPr>
          <w:p w14:paraId="204BDF65"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7-9</w:t>
            </w:r>
          </w:p>
        </w:tc>
        <w:tc>
          <w:tcPr>
            <w:tcW w:w="608" w:type="dxa"/>
            <w:tcBorders>
              <w:left w:val="double" w:sz="4" w:space="0" w:color="auto"/>
            </w:tcBorders>
            <w:shd w:val="clear" w:color="auto" w:fill="auto"/>
            <w:noWrap/>
            <w:vAlign w:val="center"/>
          </w:tcPr>
          <w:p w14:paraId="19C5DE7D"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10.26</w:t>
            </w:r>
          </w:p>
        </w:tc>
        <w:tc>
          <w:tcPr>
            <w:tcW w:w="608" w:type="dxa"/>
            <w:shd w:val="clear" w:color="auto" w:fill="auto"/>
            <w:noWrap/>
            <w:vAlign w:val="center"/>
          </w:tcPr>
          <w:p w14:paraId="56F52F1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4.26</w:t>
            </w:r>
          </w:p>
        </w:tc>
        <w:tc>
          <w:tcPr>
            <w:tcW w:w="608" w:type="dxa"/>
            <w:shd w:val="clear" w:color="auto" w:fill="auto"/>
            <w:vAlign w:val="center"/>
          </w:tcPr>
          <w:p w14:paraId="171D2CE0"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6.00</w:t>
            </w:r>
          </w:p>
        </w:tc>
        <w:tc>
          <w:tcPr>
            <w:tcW w:w="608" w:type="dxa"/>
            <w:tcBorders>
              <w:right w:val="double" w:sz="4" w:space="0" w:color="auto"/>
            </w:tcBorders>
            <w:shd w:val="clear" w:color="auto" w:fill="auto"/>
            <w:noWrap/>
            <w:vAlign w:val="center"/>
          </w:tcPr>
          <w:p w14:paraId="554F4FD6"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58.48</w:t>
            </w:r>
          </w:p>
        </w:tc>
        <w:tc>
          <w:tcPr>
            <w:tcW w:w="635" w:type="dxa"/>
            <w:tcBorders>
              <w:left w:val="double" w:sz="4" w:space="0" w:color="auto"/>
            </w:tcBorders>
            <w:shd w:val="clear" w:color="auto" w:fill="auto"/>
            <w:noWrap/>
            <w:vAlign w:val="center"/>
          </w:tcPr>
          <w:p w14:paraId="5EB6A300"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10.38</w:t>
            </w:r>
          </w:p>
        </w:tc>
        <w:tc>
          <w:tcPr>
            <w:tcW w:w="674" w:type="dxa"/>
            <w:shd w:val="clear" w:color="auto" w:fill="auto"/>
            <w:noWrap/>
            <w:vAlign w:val="center"/>
          </w:tcPr>
          <w:p w14:paraId="1F98242C"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7.50</w:t>
            </w:r>
          </w:p>
        </w:tc>
        <w:tc>
          <w:tcPr>
            <w:tcW w:w="596" w:type="dxa"/>
            <w:shd w:val="clear" w:color="auto" w:fill="auto"/>
            <w:vAlign w:val="center"/>
          </w:tcPr>
          <w:p w14:paraId="2AB0786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2.88</w:t>
            </w:r>
          </w:p>
        </w:tc>
        <w:tc>
          <w:tcPr>
            <w:tcW w:w="714" w:type="dxa"/>
            <w:tcBorders>
              <w:right w:val="nil"/>
            </w:tcBorders>
            <w:shd w:val="clear" w:color="auto" w:fill="auto"/>
            <w:noWrap/>
            <w:vAlign w:val="center"/>
          </w:tcPr>
          <w:p w14:paraId="4F083879"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27.75</w:t>
            </w:r>
          </w:p>
        </w:tc>
      </w:tr>
      <w:tr w:rsidR="000F23E1" w:rsidRPr="000F23E1" w14:paraId="3F636B01" w14:textId="77777777" w:rsidTr="000273F3">
        <w:trPr>
          <w:trHeight w:val="216"/>
          <w:jc w:val="center"/>
        </w:trPr>
        <w:tc>
          <w:tcPr>
            <w:tcW w:w="742" w:type="dxa"/>
            <w:tcBorders>
              <w:left w:val="nil"/>
              <w:right w:val="double" w:sz="4" w:space="0" w:color="auto"/>
            </w:tcBorders>
            <w:shd w:val="clear" w:color="auto" w:fill="auto"/>
            <w:noWrap/>
            <w:vAlign w:val="center"/>
            <w:hideMark/>
          </w:tcPr>
          <w:p w14:paraId="76B99C6C"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9-10</w:t>
            </w:r>
          </w:p>
        </w:tc>
        <w:tc>
          <w:tcPr>
            <w:tcW w:w="608" w:type="dxa"/>
            <w:tcBorders>
              <w:left w:val="double" w:sz="4" w:space="0" w:color="auto"/>
            </w:tcBorders>
            <w:shd w:val="clear" w:color="auto" w:fill="auto"/>
            <w:noWrap/>
            <w:vAlign w:val="center"/>
          </w:tcPr>
          <w:p w14:paraId="49B2DDE9"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4.90</w:t>
            </w:r>
          </w:p>
        </w:tc>
        <w:tc>
          <w:tcPr>
            <w:tcW w:w="608" w:type="dxa"/>
            <w:shd w:val="clear" w:color="auto" w:fill="auto"/>
            <w:noWrap/>
            <w:vAlign w:val="center"/>
          </w:tcPr>
          <w:p w14:paraId="6DF8051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1.62</w:t>
            </w:r>
          </w:p>
        </w:tc>
        <w:tc>
          <w:tcPr>
            <w:tcW w:w="608" w:type="dxa"/>
            <w:shd w:val="clear" w:color="auto" w:fill="auto"/>
            <w:vAlign w:val="center"/>
          </w:tcPr>
          <w:p w14:paraId="5EE82E34"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3.28</w:t>
            </w:r>
          </w:p>
        </w:tc>
        <w:tc>
          <w:tcPr>
            <w:tcW w:w="608" w:type="dxa"/>
            <w:tcBorders>
              <w:right w:val="double" w:sz="4" w:space="0" w:color="auto"/>
            </w:tcBorders>
            <w:shd w:val="clear" w:color="auto" w:fill="auto"/>
            <w:noWrap/>
            <w:vAlign w:val="center"/>
          </w:tcPr>
          <w:p w14:paraId="0C415BA2"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66.94</w:t>
            </w:r>
          </w:p>
        </w:tc>
        <w:tc>
          <w:tcPr>
            <w:tcW w:w="635" w:type="dxa"/>
            <w:tcBorders>
              <w:left w:val="double" w:sz="4" w:space="0" w:color="auto"/>
            </w:tcBorders>
            <w:shd w:val="clear" w:color="auto" w:fill="auto"/>
            <w:noWrap/>
            <w:vAlign w:val="center"/>
          </w:tcPr>
          <w:p w14:paraId="4265080E"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4.91</w:t>
            </w:r>
          </w:p>
        </w:tc>
        <w:tc>
          <w:tcPr>
            <w:tcW w:w="674" w:type="dxa"/>
            <w:shd w:val="clear" w:color="auto" w:fill="auto"/>
            <w:noWrap/>
            <w:vAlign w:val="center"/>
          </w:tcPr>
          <w:p w14:paraId="38F2CF63"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3.44</w:t>
            </w:r>
          </w:p>
        </w:tc>
        <w:tc>
          <w:tcPr>
            <w:tcW w:w="596" w:type="dxa"/>
            <w:shd w:val="clear" w:color="auto" w:fill="auto"/>
            <w:vAlign w:val="center"/>
          </w:tcPr>
          <w:p w14:paraId="560ADBAF"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1.47</w:t>
            </w:r>
          </w:p>
        </w:tc>
        <w:tc>
          <w:tcPr>
            <w:tcW w:w="714" w:type="dxa"/>
            <w:tcBorders>
              <w:right w:val="nil"/>
            </w:tcBorders>
            <w:shd w:val="clear" w:color="auto" w:fill="auto"/>
            <w:noWrap/>
            <w:vAlign w:val="center"/>
          </w:tcPr>
          <w:p w14:paraId="799AB6C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29.94</w:t>
            </w:r>
          </w:p>
        </w:tc>
      </w:tr>
      <w:tr w:rsidR="000F23E1" w:rsidRPr="000F23E1" w14:paraId="7F9189FD" w14:textId="77777777" w:rsidTr="000273F3">
        <w:trPr>
          <w:trHeight w:val="216"/>
          <w:jc w:val="center"/>
        </w:trPr>
        <w:tc>
          <w:tcPr>
            <w:tcW w:w="742" w:type="dxa"/>
            <w:tcBorders>
              <w:left w:val="nil"/>
              <w:right w:val="double" w:sz="4" w:space="0" w:color="auto"/>
            </w:tcBorders>
            <w:shd w:val="clear" w:color="auto" w:fill="auto"/>
            <w:noWrap/>
            <w:vAlign w:val="center"/>
            <w:hideMark/>
          </w:tcPr>
          <w:p w14:paraId="640CD682"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9-14</w:t>
            </w:r>
          </w:p>
        </w:tc>
        <w:tc>
          <w:tcPr>
            <w:tcW w:w="608" w:type="dxa"/>
            <w:tcBorders>
              <w:left w:val="double" w:sz="4" w:space="0" w:color="auto"/>
            </w:tcBorders>
            <w:shd w:val="clear" w:color="auto" w:fill="auto"/>
            <w:noWrap/>
            <w:vAlign w:val="center"/>
          </w:tcPr>
          <w:p w14:paraId="5B8E2E90"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3.88</w:t>
            </w:r>
          </w:p>
        </w:tc>
        <w:tc>
          <w:tcPr>
            <w:tcW w:w="608" w:type="dxa"/>
            <w:shd w:val="clear" w:color="auto" w:fill="auto"/>
            <w:noWrap/>
            <w:vAlign w:val="center"/>
          </w:tcPr>
          <w:p w14:paraId="789D3562"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1.74</w:t>
            </w:r>
          </w:p>
        </w:tc>
        <w:tc>
          <w:tcPr>
            <w:tcW w:w="608" w:type="dxa"/>
            <w:shd w:val="clear" w:color="auto" w:fill="auto"/>
            <w:vAlign w:val="center"/>
          </w:tcPr>
          <w:p w14:paraId="4215E018"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2.14</w:t>
            </w:r>
          </w:p>
        </w:tc>
        <w:tc>
          <w:tcPr>
            <w:tcW w:w="608" w:type="dxa"/>
            <w:tcBorders>
              <w:right w:val="double" w:sz="4" w:space="0" w:color="auto"/>
            </w:tcBorders>
            <w:shd w:val="clear" w:color="auto" w:fill="auto"/>
            <w:noWrap/>
            <w:vAlign w:val="center"/>
          </w:tcPr>
          <w:p w14:paraId="5C42DD59"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55.15</w:t>
            </w:r>
          </w:p>
        </w:tc>
        <w:tc>
          <w:tcPr>
            <w:tcW w:w="635" w:type="dxa"/>
            <w:tcBorders>
              <w:left w:val="double" w:sz="4" w:space="0" w:color="auto"/>
            </w:tcBorders>
            <w:shd w:val="clear" w:color="auto" w:fill="auto"/>
            <w:noWrap/>
            <w:vAlign w:val="center"/>
          </w:tcPr>
          <w:p w14:paraId="0C327700"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3.89</w:t>
            </w:r>
          </w:p>
        </w:tc>
        <w:tc>
          <w:tcPr>
            <w:tcW w:w="674" w:type="dxa"/>
            <w:shd w:val="clear" w:color="auto" w:fill="auto"/>
            <w:noWrap/>
            <w:vAlign w:val="center"/>
          </w:tcPr>
          <w:p w14:paraId="070C0269"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3.05</w:t>
            </w:r>
          </w:p>
        </w:tc>
        <w:tc>
          <w:tcPr>
            <w:tcW w:w="596" w:type="dxa"/>
            <w:shd w:val="clear" w:color="auto" w:fill="auto"/>
            <w:vAlign w:val="center"/>
          </w:tcPr>
          <w:p w14:paraId="72C52D9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0.84</w:t>
            </w:r>
          </w:p>
        </w:tc>
        <w:tc>
          <w:tcPr>
            <w:tcW w:w="714" w:type="dxa"/>
            <w:tcBorders>
              <w:right w:val="nil"/>
            </w:tcBorders>
            <w:shd w:val="clear" w:color="auto" w:fill="auto"/>
            <w:noWrap/>
            <w:vAlign w:val="center"/>
          </w:tcPr>
          <w:p w14:paraId="1172E395"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21.59</w:t>
            </w:r>
          </w:p>
        </w:tc>
      </w:tr>
      <w:tr w:rsidR="000F23E1" w:rsidRPr="000F23E1" w14:paraId="3ABEDDD0" w14:textId="77777777" w:rsidTr="000273F3">
        <w:trPr>
          <w:trHeight w:val="216"/>
          <w:jc w:val="center"/>
        </w:trPr>
        <w:tc>
          <w:tcPr>
            <w:tcW w:w="742" w:type="dxa"/>
            <w:tcBorders>
              <w:left w:val="nil"/>
              <w:right w:val="double" w:sz="4" w:space="0" w:color="auto"/>
            </w:tcBorders>
            <w:shd w:val="clear" w:color="auto" w:fill="auto"/>
            <w:noWrap/>
            <w:vAlign w:val="center"/>
            <w:hideMark/>
          </w:tcPr>
          <w:p w14:paraId="0D67BE54"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10-11</w:t>
            </w:r>
          </w:p>
        </w:tc>
        <w:tc>
          <w:tcPr>
            <w:tcW w:w="608" w:type="dxa"/>
            <w:tcBorders>
              <w:left w:val="double" w:sz="4" w:space="0" w:color="auto"/>
            </w:tcBorders>
            <w:shd w:val="clear" w:color="auto" w:fill="auto"/>
            <w:noWrap/>
            <w:vAlign w:val="center"/>
          </w:tcPr>
          <w:p w14:paraId="5FFD431A"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-1.76</w:t>
            </w:r>
          </w:p>
        </w:tc>
        <w:tc>
          <w:tcPr>
            <w:tcW w:w="608" w:type="dxa"/>
            <w:shd w:val="clear" w:color="auto" w:fill="auto"/>
            <w:noWrap/>
            <w:vAlign w:val="center"/>
          </w:tcPr>
          <w:p w14:paraId="12042B31"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-4.41</w:t>
            </w:r>
          </w:p>
        </w:tc>
        <w:tc>
          <w:tcPr>
            <w:tcW w:w="608" w:type="dxa"/>
            <w:shd w:val="clear" w:color="auto" w:fill="auto"/>
            <w:vAlign w:val="center"/>
          </w:tcPr>
          <w:p w14:paraId="44F9BC1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2.65</w:t>
            </w:r>
          </w:p>
        </w:tc>
        <w:tc>
          <w:tcPr>
            <w:tcW w:w="608" w:type="dxa"/>
            <w:tcBorders>
              <w:right w:val="double" w:sz="4" w:space="0" w:color="auto"/>
            </w:tcBorders>
            <w:shd w:val="clear" w:color="auto" w:fill="auto"/>
            <w:noWrap/>
            <w:vAlign w:val="center"/>
          </w:tcPr>
          <w:p w14:paraId="3BB258B0"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150.57</w:t>
            </w:r>
          </w:p>
        </w:tc>
        <w:tc>
          <w:tcPr>
            <w:tcW w:w="635" w:type="dxa"/>
            <w:tcBorders>
              <w:left w:val="double" w:sz="4" w:space="0" w:color="auto"/>
            </w:tcBorders>
            <w:shd w:val="clear" w:color="auto" w:fill="auto"/>
            <w:noWrap/>
            <w:vAlign w:val="center"/>
          </w:tcPr>
          <w:p w14:paraId="44011B99"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-1.76</w:t>
            </w:r>
          </w:p>
        </w:tc>
        <w:tc>
          <w:tcPr>
            <w:tcW w:w="674" w:type="dxa"/>
            <w:shd w:val="clear" w:color="auto" w:fill="auto"/>
            <w:noWrap/>
            <w:vAlign w:val="center"/>
          </w:tcPr>
          <w:p w14:paraId="798C973E"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-2.64</w:t>
            </w:r>
          </w:p>
        </w:tc>
        <w:tc>
          <w:tcPr>
            <w:tcW w:w="596" w:type="dxa"/>
            <w:shd w:val="clear" w:color="auto" w:fill="auto"/>
            <w:vAlign w:val="center"/>
          </w:tcPr>
          <w:p w14:paraId="21931D7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0.87</w:t>
            </w:r>
          </w:p>
        </w:tc>
        <w:tc>
          <w:tcPr>
            <w:tcW w:w="714" w:type="dxa"/>
            <w:tcBorders>
              <w:right w:val="nil"/>
            </w:tcBorders>
            <w:shd w:val="clear" w:color="auto" w:fill="auto"/>
            <w:noWrap/>
            <w:vAlign w:val="center"/>
          </w:tcPr>
          <w:p w14:paraId="23DEF08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50.00</w:t>
            </w:r>
          </w:p>
        </w:tc>
      </w:tr>
      <w:tr w:rsidR="000F23E1" w:rsidRPr="000F23E1" w14:paraId="07B84F2C" w14:textId="77777777" w:rsidTr="000273F3">
        <w:trPr>
          <w:trHeight w:val="216"/>
          <w:jc w:val="center"/>
        </w:trPr>
        <w:tc>
          <w:tcPr>
            <w:tcW w:w="742" w:type="dxa"/>
            <w:tcBorders>
              <w:left w:val="nil"/>
              <w:right w:val="double" w:sz="4" w:space="0" w:color="auto"/>
            </w:tcBorders>
            <w:shd w:val="clear" w:color="auto" w:fill="auto"/>
            <w:noWrap/>
            <w:vAlign w:val="center"/>
            <w:hideMark/>
          </w:tcPr>
          <w:p w14:paraId="47503BD2"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12-13</w:t>
            </w:r>
          </w:p>
        </w:tc>
        <w:tc>
          <w:tcPr>
            <w:tcW w:w="608" w:type="dxa"/>
            <w:tcBorders>
              <w:left w:val="double" w:sz="4" w:space="0" w:color="auto"/>
            </w:tcBorders>
            <w:shd w:val="clear" w:color="auto" w:fill="auto"/>
            <w:noWrap/>
            <w:vAlign w:val="center"/>
          </w:tcPr>
          <w:p w14:paraId="6C13B729"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1.59</w:t>
            </w:r>
          </w:p>
        </w:tc>
        <w:tc>
          <w:tcPr>
            <w:tcW w:w="608" w:type="dxa"/>
            <w:shd w:val="clear" w:color="auto" w:fill="auto"/>
            <w:noWrap/>
            <w:vAlign w:val="center"/>
          </w:tcPr>
          <w:p w14:paraId="4B6691D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1.62</w:t>
            </w:r>
          </w:p>
        </w:tc>
        <w:tc>
          <w:tcPr>
            <w:tcW w:w="608" w:type="dxa"/>
            <w:shd w:val="clear" w:color="auto" w:fill="auto"/>
            <w:vAlign w:val="center"/>
          </w:tcPr>
          <w:p w14:paraId="38F6896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0.03</w:t>
            </w:r>
          </w:p>
        </w:tc>
        <w:tc>
          <w:tcPr>
            <w:tcW w:w="608" w:type="dxa"/>
            <w:tcBorders>
              <w:right w:val="double" w:sz="4" w:space="0" w:color="auto"/>
            </w:tcBorders>
            <w:shd w:val="clear" w:color="auto" w:fill="auto"/>
            <w:noWrap/>
            <w:vAlign w:val="center"/>
          </w:tcPr>
          <w:p w14:paraId="6501FE25"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1.89</w:t>
            </w:r>
          </w:p>
        </w:tc>
        <w:tc>
          <w:tcPr>
            <w:tcW w:w="635" w:type="dxa"/>
            <w:tcBorders>
              <w:left w:val="double" w:sz="4" w:space="0" w:color="auto"/>
            </w:tcBorders>
            <w:shd w:val="clear" w:color="auto" w:fill="auto"/>
            <w:noWrap/>
            <w:vAlign w:val="center"/>
          </w:tcPr>
          <w:p w14:paraId="187FC775"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1.59</w:t>
            </w:r>
          </w:p>
        </w:tc>
        <w:tc>
          <w:tcPr>
            <w:tcW w:w="674" w:type="dxa"/>
            <w:shd w:val="clear" w:color="auto" w:fill="auto"/>
            <w:noWrap/>
            <w:vAlign w:val="center"/>
          </w:tcPr>
          <w:p w14:paraId="79138A33"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1.53</w:t>
            </w:r>
          </w:p>
        </w:tc>
        <w:tc>
          <w:tcPr>
            <w:tcW w:w="596" w:type="dxa"/>
            <w:shd w:val="clear" w:color="auto" w:fill="auto"/>
            <w:vAlign w:val="center"/>
          </w:tcPr>
          <w:p w14:paraId="7DA9B74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0.06</w:t>
            </w:r>
          </w:p>
        </w:tc>
        <w:tc>
          <w:tcPr>
            <w:tcW w:w="714" w:type="dxa"/>
            <w:tcBorders>
              <w:right w:val="nil"/>
            </w:tcBorders>
            <w:shd w:val="clear" w:color="auto" w:fill="auto"/>
            <w:noWrap/>
            <w:vAlign w:val="center"/>
          </w:tcPr>
          <w:p w14:paraId="72E9A052"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3.77</w:t>
            </w:r>
          </w:p>
        </w:tc>
      </w:tr>
      <w:tr w:rsidR="000F23E1" w:rsidRPr="000F23E1" w14:paraId="6D6109A9" w14:textId="77777777" w:rsidTr="000273F3">
        <w:trPr>
          <w:trHeight w:val="216"/>
          <w:jc w:val="center"/>
        </w:trPr>
        <w:tc>
          <w:tcPr>
            <w:tcW w:w="742" w:type="dxa"/>
            <w:tcBorders>
              <w:left w:val="nil"/>
              <w:right w:val="double" w:sz="4" w:space="0" w:color="auto"/>
            </w:tcBorders>
            <w:shd w:val="clear" w:color="auto" w:fill="auto"/>
            <w:noWrap/>
            <w:vAlign w:val="center"/>
            <w:hideMark/>
          </w:tcPr>
          <w:p w14:paraId="44C1F552" w14:textId="77777777" w:rsidR="000F23E1" w:rsidRPr="000F23E1" w:rsidRDefault="000F23E1" w:rsidP="000F23E1">
            <w:pPr>
              <w:spacing w:line="240" w:lineRule="auto"/>
              <w:ind w:left="-94" w:right="-122" w:firstLine="0"/>
              <w:jc w:val="center"/>
              <w:rPr>
                <w:rFonts w:eastAsia="Times New Roman"/>
                <w:color w:val="000000"/>
                <w:sz w:val="20"/>
                <w:szCs w:val="20"/>
                <w:lang w:eastAsia="zh-CN"/>
              </w:rPr>
            </w:pPr>
            <w:r w:rsidRPr="000F23E1">
              <w:rPr>
                <w:rFonts w:eastAsia="Times New Roman"/>
                <w:color w:val="000000"/>
                <w:sz w:val="20"/>
                <w:szCs w:val="20"/>
                <w:lang w:eastAsia="zh-CN"/>
              </w:rPr>
              <w:t>13-14</w:t>
            </w:r>
          </w:p>
        </w:tc>
        <w:tc>
          <w:tcPr>
            <w:tcW w:w="608" w:type="dxa"/>
            <w:tcBorders>
              <w:left w:val="double" w:sz="4" w:space="0" w:color="auto"/>
            </w:tcBorders>
            <w:shd w:val="clear" w:color="auto" w:fill="auto"/>
            <w:noWrap/>
            <w:vAlign w:val="center"/>
          </w:tcPr>
          <w:p w14:paraId="5FED1651"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r w:rsidRPr="000F23E1">
              <w:rPr>
                <w:rFonts w:eastAsia="Times New Roman"/>
                <w:color w:val="000000"/>
                <w:sz w:val="20"/>
                <w:szCs w:val="20"/>
                <w:lang w:eastAsia="zh-CN"/>
              </w:rPr>
              <w:t>3.53</w:t>
            </w:r>
          </w:p>
        </w:tc>
        <w:tc>
          <w:tcPr>
            <w:tcW w:w="608" w:type="dxa"/>
            <w:shd w:val="clear" w:color="auto" w:fill="auto"/>
            <w:noWrap/>
            <w:vAlign w:val="center"/>
          </w:tcPr>
          <w:p w14:paraId="257DFED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3.79</w:t>
            </w:r>
          </w:p>
        </w:tc>
        <w:tc>
          <w:tcPr>
            <w:tcW w:w="608" w:type="dxa"/>
            <w:shd w:val="clear" w:color="auto" w:fill="auto"/>
            <w:vAlign w:val="center"/>
          </w:tcPr>
          <w:p w14:paraId="6DA72B2A"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sz w:val="20"/>
                <w:szCs w:val="20"/>
              </w:rPr>
              <w:t>0.26</w:t>
            </w:r>
          </w:p>
        </w:tc>
        <w:tc>
          <w:tcPr>
            <w:tcW w:w="608" w:type="dxa"/>
            <w:tcBorders>
              <w:right w:val="double" w:sz="4" w:space="0" w:color="auto"/>
            </w:tcBorders>
            <w:shd w:val="clear" w:color="auto" w:fill="auto"/>
            <w:noWrap/>
            <w:vAlign w:val="center"/>
          </w:tcPr>
          <w:p w14:paraId="412FE404" w14:textId="77777777" w:rsidR="000F23E1" w:rsidRPr="000F23E1" w:rsidRDefault="000F23E1" w:rsidP="000F23E1">
            <w:pPr>
              <w:spacing w:line="240" w:lineRule="auto"/>
              <w:ind w:left="-83" w:right="-108" w:firstLine="0"/>
              <w:jc w:val="center"/>
              <w:rPr>
                <w:rFonts w:eastAsia="Times New Roman"/>
                <w:color w:val="000000"/>
                <w:sz w:val="20"/>
                <w:szCs w:val="20"/>
                <w:lang w:eastAsia="zh-CN"/>
              </w:rPr>
            </w:pPr>
            <w:r w:rsidRPr="000F23E1">
              <w:rPr>
                <w:rFonts w:eastAsia="Times New Roman"/>
                <w:color w:val="000000"/>
                <w:sz w:val="20"/>
                <w:szCs w:val="20"/>
                <w:lang w:eastAsia="zh-CN"/>
              </w:rPr>
              <w:t>7.37</w:t>
            </w:r>
          </w:p>
        </w:tc>
        <w:tc>
          <w:tcPr>
            <w:tcW w:w="635" w:type="dxa"/>
            <w:tcBorders>
              <w:left w:val="double" w:sz="4" w:space="0" w:color="auto"/>
            </w:tcBorders>
            <w:shd w:val="clear" w:color="auto" w:fill="auto"/>
            <w:noWrap/>
            <w:vAlign w:val="center"/>
          </w:tcPr>
          <w:p w14:paraId="654B4DBC"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r w:rsidRPr="000F23E1">
              <w:rPr>
                <w:rFonts w:eastAsia="Times New Roman"/>
                <w:color w:val="000000"/>
                <w:sz w:val="20"/>
                <w:szCs w:val="20"/>
                <w:lang w:eastAsia="zh-CN"/>
              </w:rPr>
              <w:t>3.53</w:t>
            </w:r>
          </w:p>
        </w:tc>
        <w:tc>
          <w:tcPr>
            <w:tcW w:w="674" w:type="dxa"/>
            <w:shd w:val="clear" w:color="auto" w:fill="auto"/>
            <w:noWrap/>
            <w:vAlign w:val="center"/>
          </w:tcPr>
          <w:p w14:paraId="14F20ECD" w14:textId="77777777" w:rsidR="000F23E1" w:rsidRPr="000F23E1" w:rsidRDefault="000F23E1" w:rsidP="000F23E1">
            <w:pPr>
              <w:spacing w:line="240" w:lineRule="auto"/>
              <w:ind w:left="-75" w:right="-8" w:firstLine="0"/>
              <w:jc w:val="center"/>
              <w:rPr>
                <w:rFonts w:eastAsia="Times New Roman"/>
                <w:color w:val="000000"/>
                <w:sz w:val="20"/>
                <w:szCs w:val="20"/>
                <w:lang w:eastAsia="zh-CN"/>
              </w:rPr>
            </w:pPr>
            <w:r w:rsidRPr="000F23E1">
              <w:rPr>
                <w:rFonts w:eastAsia="Times New Roman"/>
                <w:color w:val="000000"/>
                <w:sz w:val="20"/>
                <w:szCs w:val="20"/>
                <w:lang w:eastAsia="zh-CN"/>
              </w:rPr>
              <w:t>3.68</w:t>
            </w:r>
          </w:p>
        </w:tc>
        <w:tc>
          <w:tcPr>
            <w:tcW w:w="596" w:type="dxa"/>
            <w:shd w:val="clear" w:color="auto" w:fill="auto"/>
            <w:vAlign w:val="center"/>
          </w:tcPr>
          <w:p w14:paraId="252E785C"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rPr>
              <w:t>0.16</w:t>
            </w:r>
          </w:p>
        </w:tc>
        <w:tc>
          <w:tcPr>
            <w:tcW w:w="714" w:type="dxa"/>
            <w:tcBorders>
              <w:right w:val="nil"/>
            </w:tcBorders>
            <w:shd w:val="clear" w:color="auto" w:fill="auto"/>
            <w:noWrap/>
            <w:vAlign w:val="center"/>
          </w:tcPr>
          <w:p w14:paraId="02CC2982"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4.25</w:t>
            </w:r>
          </w:p>
        </w:tc>
      </w:tr>
      <w:tr w:rsidR="000F23E1" w:rsidRPr="000F23E1" w14:paraId="6578F25A" w14:textId="77777777" w:rsidTr="000273F3">
        <w:trPr>
          <w:trHeight w:val="216"/>
          <w:jc w:val="center"/>
        </w:trPr>
        <w:tc>
          <w:tcPr>
            <w:tcW w:w="742" w:type="dxa"/>
            <w:tcBorders>
              <w:left w:val="nil"/>
              <w:right w:val="double" w:sz="4" w:space="0" w:color="auto"/>
            </w:tcBorders>
            <w:shd w:val="clear" w:color="auto" w:fill="auto"/>
            <w:noWrap/>
            <w:vAlign w:val="center"/>
            <w:hideMark/>
          </w:tcPr>
          <w:p w14:paraId="3EBC8365" w14:textId="77777777" w:rsidR="000F23E1" w:rsidRPr="000F23E1" w:rsidRDefault="000F23E1" w:rsidP="000F23E1">
            <w:pPr>
              <w:spacing w:line="240" w:lineRule="auto"/>
              <w:ind w:left="-94"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Avg. </w:t>
            </w:r>
          </w:p>
        </w:tc>
        <w:tc>
          <w:tcPr>
            <w:tcW w:w="608" w:type="dxa"/>
            <w:tcBorders>
              <w:left w:val="double" w:sz="4" w:space="0" w:color="auto"/>
            </w:tcBorders>
            <w:shd w:val="clear" w:color="auto" w:fill="auto"/>
            <w:noWrap/>
            <w:vAlign w:val="center"/>
            <w:hideMark/>
          </w:tcPr>
          <w:p w14:paraId="610992EE" w14:textId="77777777" w:rsidR="000F23E1" w:rsidRPr="000F23E1" w:rsidRDefault="000F23E1" w:rsidP="000F23E1">
            <w:pPr>
              <w:spacing w:line="240" w:lineRule="auto"/>
              <w:ind w:left="-99" w:right="-124" w:firstLine="0"/>
              <w:jc w:val="center"/>
              <w:rPr>
                <w:rFonts w:eastAsia="Times New Roman"/>
                <w:color w:val="000000"/>
                <w:sz w:val="20"/>
                <w:szCs w:val="20"/>
                <w:lang w:eastAsia="zh-CN"/>
              </w:rPr>
            </w:pPr>
          </w:p>
        </w:tc>
        <w:tc>
          <w:tcPr>
            <w:tcW w:w="608" w:type="dxa"/>
            <w:shd w:val="clear" w:color="auto" w:fill="auto"/>
            <w:noWrap/>
            <w:vAlign w:val="center"/>
            <w:hideMark/>
          </w:tcPr>
          <w:p w14:paraId="47569B1D"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p>
        </w:tc>
        <w:tc>
          <w:tcPr>
            <w:tcW w:w="608" w:type="dxa"/>
            <w:shd w:val="clear" w:color="auto" w:fill="auto"/>
            <w:vAlign w:val="center"/>
          </w:tcPr>
          <w:p w14:paraId="60897B87"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1.80</w:t>
            </w:r>
          </w:p>
        </w:tc>
        <w:tc>
          <w:tcPr>
            <w:tcW w:w="608" w:type="dxa"/>
            <w:tcBorders>
              <w:right w:val="double" w:sz="4" w:space="0" w:color="auto"/>
            </w:tcBorders>
            <w:shd w:val="clear" w:color="auto" w:fill="auto"/>
            <w:noWrap/>
            <w:vAlign w:val="center"/>
            <w:hideMark/>
          </w:tcPr>
          <w:p w14:paraId="1554DBA3" w14:textId="77777777" w:rsidR="000F23E1" w:rsidRPr="000F23E1" w:rsidRDefault="000F23E1" w:rsidP="000F23E1">
            <w:pPr>
              <w:spacing w:line="240" w:lineRule="auto"/>
              <w:ind w:left="-92" w:right="-133" w:firstLine="0"/>
              <w:jc w:val="center"/>
              <w:rPr>
                <w:rFonts w:eastAsia="Times New Roman"/>
                <w:color w:val="000000"/>
                <w:sz w:val="20"/>
                <w:szCs w:val="20"/>
                <w:lang w:eastAsia="zh-CN"/>
              </w:rPr>
            </w:pPr>
            <w:r w:rsidRPr="000F23E1">
              <w:rPr>
                <w:rFonts w:eastAsia="Times New Roman"/>
                <w:color w:val="000000"/>
                <w:sz w:val="20"/>
                <w:szCs w:val="20"/>
                <w:lang w:eastAsia="zh-CN"/>
              </w:rPr>
              <w:t>50.51</w:t>
            </w:r>
          </w:p>
        </w:tc>
        <w:tc>
          <w:tcPr>
            <w:tcW w:w="635" w:type="dxa"/>
            <w:tcBorders>
              <w:left w:val="double" w:sz="4" w:space="0" w:color="auto"/>
            </w:tcBorders>
            <w:shd w:val="clear" w:color="auto" w:fill="auto"/>
            <w:noWrap/>
            <w:vAlign w:val="center"/>
            <w:hideMark/>
          </w:tcPr>
          <w:p w14:paraId="737ABDC6" w14:textId="77777777" w:rsidR="000F23E1" w:rsidRPr="000F23E1" w:rsidRDefault="000F23E1" w:rsidP="000F23E1">
            <w:pPr>
              <w:spacing w:line="240" w:lineRule="auto"/>
              <w:ind w:left="-75" w:right="-150" w:firstLine="0"/>
              <w:jc w:val="center"/>
              <w:rPr>
                <w:rFonts w:eastAsia="Times New Roman"/>
                <w:color w:val="000000"/>
                <w:sz w:val="20"/>
                <w:szCs w:val="20"/>
                <w:lang w:eastAsia="zh-CN"/>
              </w:rPr>
            </w:pPr>
          </w:p>
        </w:tc>
        <w:tc>
          <w:tcPr>
            <w:tcW w:w="674" w:type="dxa"/>
            <w:shd w:val="clear" w:color="auto" w:fill="auto"/>
            <w:noWrap/>
            <w:vAlign w:val="center"/>
            <w:hideMark/>
          </w:tcPr>
          <w:p w14:paraId="46CF52A9" w14:textId="77777777" w:rsidR="000F23E1" w:rsidRPr="000F23E1" w:rsidRDefault="000F23E1" w:rsidP="000F23E1">
            <w:pPr>
              <w:spacing w:line="240" w:lineRule="auto"/>
              <w:ind w:firstLine="0"/>
              <w:jc w:val="center"/>
              <w:rPr>
                <w:rFonts w:eastAsia="Times New Roman"/>
                <w:color w:val="000000"/>
                <w:sz w:val="20"/>
                <w:szCs w:val="20"/>
                <w:lang w:eastAsia="zh-CN"/>
              </w:rPr>
            </w:pPr>
          </w:p>
        </w:tc>
        <w:tc>
          <w:tcPr>
            <w:tcW w:w="596" w:type="dxa"/>
            <w:shd w:val="clear" w:color="auto" w:fill="auto"/>
            <w:vAlign w:val="center"/>
          </w:tcPr>
          <w:p w14:paraId="1AA2EF72" w14:textId="77777777" w:rsidR="000F23E1" w:rsidRPr="000F23E1" w:rsidRDefault="000F23E1" w:rsidP="000F23E1">
            <w:pPr>
              <w:spacing w:line="240" w:lineRule="auto"/>
              <w:ind w:firstLine="0"/>
              <w:jc w:val="center"/>
              <w:rPr>
                <w:rFonts w:eastAsia="Times New Roman"/>
                <w:color w:val="000000"/>
                <w:sz w:val="20"/>
                <w:szCs w:val="20"/>
                <w:lang w:eastAsia="zh-CN"/>
              </w:rPr>
            </w:pPr>
            <w:r w:rsidRPr="000F23E1">
              <w:rPr>
                <w:rFonts w:eastAsia="Times New Roman"/>
                <w:color w:val="000000"/>
                <w:sz w:val="20"/>
                <w:szCs w:val="20"/>
                <w:lang w:eastAsia="zh-CN"/>
              </w:rPr>
              <w:t>0.44</w:t>
            </w:r>
          </w:p>
        </w:tc>
        <w:tc>
          <w:tcPr>
            <w:tcW w:w="714" w:type="dxa"/>
            <w:tcBorders>
              <w:right w:val="nil"/>
            </w:tcBorders>
            <w:shd w:val="clear" w:color="auto" w:fill="auto"/>
            <w:noWrap/>
            <w:vAlign w:val="center"/>
            <w:hideMark/>
          </w:tcPr>
          <w:p w14:paraId="77C897EA" w14:textId="77777777" w:rsidR="000F23E1" w:rsidRPr="000F23E1" w:rsidRDefault="000F23E1" w:rsidP="000F23E1">
            <w:pPr>
              <w:spacing w:line="240" w:lineRule="auto"/>
              <w:ind w:left="-114" w:firstLine="0"/>
              <w:jc w:val="center"/>
              <w:rPr>
                <w:rFonts w:eastAsia="Times New Roman"/>
                <w:color w:val="000000"/>
                <w:sz w:val="20"/>
                <w:szCs w:val="20"/>
                <w:lang w:eastAsia="zh-CN"/>
              </w:rPr>
            </w:pPr>
            <w:r w:rsidRPr="000F23E1">
              <w:rPr>
                <w:rFonts w:eastAsia="Times New Roman"/>
                <w:color w:val="000000"/>
                <w:sz w:val="20"/>
                <w:szCs w:val="20"/>
                <w:lang w:eastAsia="zh-CN"/>
              </w:rPr>
              <w:t xml:space="preserve">   30.23</w:t>
            </w:r>
          </w:p>
        </w:tc>
      </w:tr>
    </w:tbl>
    <w:p w14:paraId="6BF65AC2" w14:textId="77777777" w:rsidR="00DA2A5C" w:rsidRDefault="00DA2A5C" w:rsidP="00503BA6"/>
    <w:p w14:paraId="6504AC2D" w14:textId="77777777" w:rsidR="00DA2A5C" w:rsidRDefault="00DA2A5C">
      <w:r>
        <w:br w:type="page"/>
      </w:r>
    </w:p>
    <w:p w14:paraId="73A82D3E" w14:textId="18113170" w:rsidR="00503BA6" w:rsidRPr="00503BA6" w:rsidRDefault="00503BA6" w:rsidP="00AE0500">
      <w:pPr>
        <w:ind w:firstLine="0"/>
        <w:rPr>
          <w:lang w:val="en-GB"/>
        </w:rPr>
      </w:pPr>
      <w:r w:rsidRPr="00503BA6">
        <w:rPr>
          <w:lang w:val="en-GB"/>
        </w:rPr>
        <w:lastRenderedPageBreak/>
        <w:t xml:space="preserve">curve can be viewed to mimic the measurements from PMUs. Then, the proposed sensitivity model is combined with the N-0 voltages to estimate the N-1 voltages for a specific branch outage, and this can be applied to draw the N-1 PV curve once various load levels are considered. </w:t>
      </w:r>
    </w:p>
    <w:p w14:paraId="15DC90D9" w14:textId="77777777" w:rsidR="00503BA6" w:rsidRPr="00503BA6" w:rsidRDefault="00503BA6" w:rsidP="00503BA6">
      <w:pPr>
        <w:rPr>
          <w:lang w:val="en-GB"/>
        </w:rPr>
      </w:pPr>
      <w:r w:rsidRPr="00503BA6">
        <w:rPr>
          <w:lang w:val="en-GB"/>
        </w:rPr>
        <w:t xml:space="preserve">Since this extensive test involves a large amount of data which are not suitable to be shown in tables, two types of N-1 PV curves, one </w:t>
      </w:r>
      <w:r w:rsidRPr="00503BA6">
        <w:rPr>
          <w:i/>
          <w:lang w:val="en-GB"/>
        </w:rPr>
        <w:t>estimated</w:t>
      </w:r>
      <w:r w:rsidRPr="00503BA6">
        <w:rPr>
          <w:lang w:val="en-GB"/>
        </w:rPr>
        <w:t xml:space="preserve"> from the sensitivity and the N-0 voltages and the other </w:t>
      </w:r>
      <w:r w:rsidRPr="00503BA6">
        <w:rPr>
          <w:i/>
          <w:lang w:val="en-GB"/>
        </w:rPr>
        <w:t>calculated</w:t>
      </w:r>
      <w:r w:rsidRPr="00503BA6">
        <w:rPr>
          <w:lang w:val="en-GB"/>
        </w:rPr>
        <w:t xml:space="preserve"> based on the actual N-1 CPF runs, are depicted and compared in figures.</w:t>
      </w:r>
    </w:p>
    <w:p w14:paraId="49AD88E8" w14:textId="77777777" w:rsidR="00194D4C" w:rsidRPr="00503BA6" w:rsidRDefault="00194D4C" w:rsidP="00194D4C">
      <w:pPr>
        <w:spacing w:line="240" w:lineRule="auto"/>
        <w:ind w:firstLine="0"/>
        <w:jc w:val="center"/>
        <w:rPr>
          <w:lang w:val="en-GB"/>
        </w:rPr>
      </w:pPr>
      <w:r w:rsidRPr="00503BA6">
        <w:rPr>
          <w:noProof/>
          <w:lang w:eastAsia="zh-CN"/>
        </w:rPr>
        <w:drawing>
          <wp:inline distT="0" distB="0" distL="0" distR="0" wp14:anchorId="7164C352" wp14:editId="6ED5EA70">
            <wp:extent cx="3968115" cy="2302276"/>
            <wp:effectExtent l="0" t="0" r="0" b="3175"/>
            <wp:docPr id="15" name="Picture 15" descr="14busVest_CPFN1_To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14busVest_CPFN1_Top10"/>
                    <pic:cNvPicPr>
                      <a:picLocks noChangeAspect="1" noChangeArrowheads="1"/>
                    </pic:cNvPicPr>
                  </pic:nvPicPr>
                  <pic:blipFill rotWithShape="1">
                    <a:blip r:embed="rId239" cstate="print">
                      <a:extLst>
                        <a:ext uri="{28A0092B-C50C-407E-A947-70E740481C1C}">
                          <a14:useLocalDpi xmlns:a14="http://schemas.microsoft.com/office/drawing/2010/main" val="0"/>
                        </a:ext>
                      </a:extLst>
                    </a:blip>
                    <a:srcRect t="3390"/>
                    <a:stretch/>
                  </pic:blipFill>
                  <pic:spPr bwMode="auto">
                    <a:xfrm>
                      <a:off x="0" y="0"/>
                      <a:ext cx="3989737" cy="2314821"/>
                    </a:xfrm>
                    <a:prstGeom prst="rect">
                      <a:avLst/>
                    </a:prstGeom>
                    <a:noFill/>
                    <a:ln>
                      <a:noFill/>
                    </a:ln>
                    <a:extLst>
                      <a:ext uri="{53640926-AAD7-44D8-BBD7-CCE9431645EC}">
                        <a14:shadowObscured xmlns:a14="http://schemas.microsoft.com/office/drawing/2010/main"/>
                      </a:ext>
                    </a:extLst>
                  </pic:spPr>
                </pic:pic>
              </a:graphicData>
            </a:graphic>
          </wp:inline>
        </w:drawing>
      </w:r>
    </w:p>
    <w:p w14:paraId="216A0F57" w14:textId="77777777" w:rsidR="00194D4C" w:rsidRPr="00503BA6" w:rsidRDefault="00194D4C" w:rsidP="009D0201">
      <w:pPr>
        <w:pStyle w:val="Caption"/>
        <w:rPr>
          <w:lang w:val="en-GB"/>
        </w:rPr>
      </w:pPr>
      <w:bookmarkStart w:id="85" w:name="_Ref431909087"/>
      <w:bookmarkStart w:id="86" w:name="_Ref431909022"/>
      <w:bookmarkStart w:id="87" w:name="_Toc459076471"/>
      <w:r>
        <w:t xml:space="preserve">Figure </w:t>
      </w:r>
      <w:fldSimple w:instr=" SEQ Figure \* ARABIC ">
        <w:r>
          <w:rPr>
            <w:noProof/>
          </w:rPr>
          <w:t>20</w:t>
        </w:r>
      </w:fldSimple>
      <w:bookmarkEnd w:id="85"/>
      <w:r>
        <w:rPr>
          <w:lang w:val="en-GB"/>
        </w:rPr>
        <w:t>.</w:t>
      </w:r>
      <w:r w:rsidRPr="00503BA6">
        <w:rPr>
          <w:lang w:val="en-GB"/>
        </w:rPr>
        <w:t xml:space="preserve"> Voltage magnitude for N-1 contingencies of IEEE 14-bus system</w:t>
      </w:r>
      <w:bookmarkEnd w:id="86"/>
      <w:r>
        <w:rPr>
          <w:lang w:val="en-GB"/>
        </w:rPr>
        <w:t>.</w:t>
      </w:r>
      <w:bookmarkEnd w:id="87"/>
    </w:p>
    <w:p w14:paraId="7CDB3506" w14:textId="77777777" w:rsidR="00503BA6" w:rsidRPr="00503BA6" w:rsidRDefault="00503BA6" w:rsidP="00BD3F66">
      <w:pPr>
        <w:spacing w:before="480"/>
        <w:rPr>
          <w:lang w:val="en-GB"/>
        </w:rPr>
      </w:pPr>
      <w:r w:rsidRPr="00503BA6">
        <w:rPr>
          <w:lang w:val="en-GB"/>
        </w:rPr>
        <w:t>The test results for the IEEE 14-bus system are shown in</w:t>
      </w:r>
      <w:r w:rsidR="000F23E1">
        <w:rPr>
          <w:lang w:val="en-GB"/>
        </w:rPr>
        <w:t xml:space="preserve"> </w:t>
      </w:r>
      <w:r w:rsidR="000F23E1">
        <w:rPr>
          <w:lang w:val="en-GB"/>
        </w:rPr>
        <w:fldChar w:fldCharType="begin"/>
      </w:r>
      <w:r w:rsidR="000F23E1">
        <w:rPr>
          <w:lang w:val="en-GB"/>
        </w:rPr>
        <w:instrText xml:space="preserve"> REF _Ref431909087 </w:instrText>
      </w:r>
      <w:r w:rsidR="000F23E1">
        <w:rPr>
          <w:lang w:val="en-GB"/>
        </w:rPr>
        <w:fldChar w:fldCharType="separate"/>
      </w:r>
      <w:r w:rsidR="00656B13">
        <w:t xml:space="preserve">Figure </w:t>
      </w:r>
      <w:r w:rsidR="00656B13">
        <w:rPr>
          <w:noProof/>
        </w:rPr>
        <w:t>20</w:t>
      </w:r>
      <w:r w:rsidR="000F23E1">
        <w:rPr>
          <w:lang w:val="en-GB"/>
        </w:rPr>
        <w:fldChar w:fldCharType="end"/>
      </w:r>
      <w:r w:rsidRPr="00503BA6">
        <w:rPr>
          <w:lang w:val="en-GB"/>
        </w:rPr>
        <w:t xml:space="preserve">. The PV curves for Bus 14, which is the critical/weakest load bus, are chosen. The solid lines are the estimated values using the proposed sensitivity and N-0 voltages, while the dashed lines are the benchmark PV curves calculated using CPF under N-1 contingency. Different contingencies are distinguished using different colors. The X-axis represents the loading factor which can be multiplied with the base load level to obtain the actual </w:t>
      </w:r>
      <w:r w:rsidRPr="00503BA6">
        <w:rPr>
          <w:lang w:val="en-GB"/>
        </w:rPr>
        <w:lastRenderedPageBreak/>
        <w:t xml:space="preserve">load. In other words, a loading factor of 1.0 represents the base case. A total number of 17 line outages are considered but only the top 10 most severe outages are shown in </w:t>
      </w:r>
      <w:r w:rsidR="000F23E1">
        <w:rPr>
          <w:lang w:val="en-GB"/>
        </w:rPr>
        <w:fldChar w:fldCharType="begin"/>
      </w:r>
      <w:r w:rsidR="000F23E1">
        <w:rPr>
          <w:lang w:val="en-GB"/>
        </w:rPr>
        <w:instrText xml:space="preserve"> REF _Ref431909087 </w:instrText>
      </w:r>
      <w:r w:rsidR="000F23E1">
        <w:rPr>
          <w:lang w:val="en-GB"/>
        </w:rPr>
        <w:fldChar w:fldCharType="separate"/>
      </w:r>
      <w:r w:rsidR="00656B13">
        <w:t xml:space="preserve">Figure </w:t>
      </w:r>
      <w:r w:rsidR="00656B13">
        <w:rPr>
          <w:noProof/>
        </w:rPr>
        <w:t>20</w:t>
      </w:r>
      <w:r w:rsidR="000F23E1">
        <w:rPr>
          <w:lang w:val="en-GB"/>
        </w:rPr>
        <w:fldChar w:fldCharType="end"/>
      </w:r>
      <w:r w:rsidR="000F23E1">
        <w:rPr>
          <w:lang w:val="en-GB"/>
        </w:rPr>
        <w:t xml:space="preserve"> </w:t>
      </w:r>
      <w:r w:rsidRPr="00503BA6">
        <w:rPr>
          <w:lang w:val="en-GB"/>
        </w:rPr>
        <w:t xml:space="preserve">due to the space limit. Based on the figure, the solid curves overlap with the dashed curves except at the very end close to the nose points. The errors at the end are larger than at other sections in the curves. This is reasonable because the increasing line flow tends to give less accurate results due to the linear estimation based on sensitivity, when the loading factor grows. Nevertheless, such error is still very small, generally less than 2% in terms of the power at the collapse point, which is clearly shown in </w:t>
      </w:r>
      <w:r w:rsidR="000F23E1">
        <w:rPr>
          <w:lang w:val="en-GB"/>
        </w:rPr>
        <w:fldChar w:fldCharType="begin"/>
      </w:r>
      <w:r w:rsidR="000F23E1">
        <w:rPr>
          <w:lang w:val="en-GB"/>
        </w:rPr>
        <w:instrText xml:space="preserve"> REF _Ref431909087 </w:instrText>
      </w:r>
      <w:r w:rsidR="000F23E1">
        <w:rPr>
          <w:lang w:val="en-GB"/>
        </w:rPr>
        <w:fldChar w:fldCharType="separate"/>
      </w:r>
      <w:r w:rsidR="00656B13">
        <w:t xml:space="preserve">Figure </w:t>
      </w:r>
      <w:r w:rsidR="00656B13">
        <w:rPr>
          <w:noProof/>
        </w:rPr>
        <w:t>20</w:t>
      </w:r>
      <w:r w:rsidR="000F23E1">
        <w:rPr>
          <w:lang w:val="en-GB"/>
        </w:rPr>
        <w:fldChar w:fldCharType="end"/>
      </w:r>
      <w:r w:rsidRPr="00503BA6">
        <w:rPr>
          <w:lang w:val="en-GB"/>
        </w:rPr>
        <w:t>. Thus, the results are considered very accurate.</w:t>
      </w:r>
    </w:p>
    <w:p w14:paraId="008E1EC5" w14:textId="77777777" w:rsidR="00194D4C" w:rsidRPr="00503BA6" w:rsidRDefault="00194D4C" w:rsidP="00194D4C">
      <w:pPr>
        <w:spacing w:line="240" w:lineRule="auto"/>
        <w:ind w:firstLine="0"/>
        <w:jc w:val="center"/>
        <w:rPr>
          <w:lang w:val="en-GB"/>
        </w:rPr>
      </w:pPr>
      <w:r w:rsidRPr="00503BA6">
        <w:rPr>
          <w:noProof/>
          <w:lang w:eastAsia="zh-CN"/>
        </w:rPr>
        <w:drawing>
          <wp:inline distT="0" distB="0" distL="0" distR="0" wp14:anchorId="1B301A56" wp14:editId="3DE45F1F">
            <wp:extent cx="3986663" cy="2398144"/>
            <wp:effectExtent l="0" t="0" r="0" b="2540"/>
            <wp:docPr id="14" name="Picture 14" descr="39busVest_CPFN1_To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39busVest_CPFN1_Top10"/>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991651" cy="2401144"/>
                    </a:xfrm>
                    <a:prstGeom prst="rect">
                      <a:avLst/>
                    </a:prstGeom>
                    <a:noFill/>
                    <a:ln>
                      <a:noFill/>
                    </a:ln>
                  </pic:spPr>
                </pic:pic>
              </a:graphicData>
            </a:graphic>
          </wp:inline>
        </w:drawing>
      </w:r>
    </w:p>
    <w:p w14:paraId="673F1B25" w14:textId="77777777" w:rsidR="00194D4C" w:rsidRPr="00503BA6" w:rsidRDefault="00194D4C" w:rsidP="009D0201">
      <w:pPr>
        <w:pStyle w:val="Caption"/>
        <w:rPr>
          <w:lang w:val="en-GB"/>
        </w:rPr>
      </w:pPr>
      <w:bookmarkStart w:id="88" w:name="_Ref431909211"/>
      <w:bookmarkStart w:id="89" w:name="_Toc459076472"/>
      <w:r>
        <w:t xml:space="preserve">Figure </w:t>
      </w:r>
      <w:fldSimple w:instr=" SEQ Figure \* ARABIC ">
        <w:r>
          <w:rPr>
            <w:noProof/>
          </w:rPr>
          <w:t>21</w:t>
        </w:r>
      </w:fldSimple>
      <w:bookmarkEnd w:id="88"/>
      <w:r>
        <w:t>.</w:t>
      </w:r>
      <w:r w:rsidRPr="00503BA6">
        <w:rPr>
          <w:lang w:val="en-GB"/>
        </w:rPr>
        <w:t xml:space="preserve"> Voltage magnitude for N-1 contingencies of IEEE 39-bus system</w:t>
      </w:r>
      <w:r>
        <w:rPr>
          <w:lang w:val="en-GB"/>
        </w:rPr>
        <w:t>.</w:t>
      </w:r>
      <w:bookmarkEnd w:id="89"/>
    </w:p>
    <w:p w14:paraId="7B014164" w14:textId="77777777" w:rsidR="00503BA6" w:rsidRPr="00503BA6" w:rsidRDefault="000273F3" w:rsidP="00BD3F66">
      <w:pPr>
        <w:spacing w:before="480"/>
        <w:rPr>
          <w:lang w:val="en-GB"/>
        </w:rPr>
      </w:pPr>
      <w:r>
        <w:rPr>
          <w:lang w:val="en-GB"/>
        </w:rPr>
        <w:fldChar w:fldCharType="begin"/>
      </w:r>
      <w:r>
        <w:rPr>
          <w:lang w:val="en-GB"/>
        </w:rPr>
        <w:instrText xml:space="preserve"> REF _Ref431909211 </w:instrText>
      </w:r>
      <w:r>
        <w:rPr>
          <w:lang w:val="en-GB"/>
        </w:rPr>
        <w:fldChar w:fldCharType="separate"/>
      </w:r>
      <w:r w:rsidR="00656B13">
        <w:t xml:space="preserve">Figure </w:t>
      </w:r>
      <w:r w:rsidR="00656B13">
        <w:rPr>
          <w:noProof/>
        </w:rPr>
        <w:t>21</w:t>
      </w:r>
      <w:r>
        <w:rPr>
          <w:lang w:val="en-GB"/>
        </w:rPr>
        <w:fldChar w:fldCharType="end"/>
      </w:r>
      <w:r w:rsidR="00503BA6" w:rsidRPr="00503BA6">
        <w:rPr>
          <w:lang w:val="en-GB"/>
        </w:rPr>
        <w:t xml:space="preserve"> demonstrates the test results for the IEEE 39-bus system. The PV curves for Bus 7, which is the critical/weakest load bus, are chosen. Similarly, the solid lines are from the sensitivity-based estimation, while the dashed lines are from an actual CPF calculation under N-1 contingency. Due to the space limit, only the top 10 most severe outages are included. For better illustration, the PV curves start from 1.5 loading </w:t>
      </w:r>
      <w:r w:rsidR="00503BA6" w:rsidRPr="00503BA6">
        <w:rPr>
          <w:lang w:val="en-GB"/>
        </w:rPr>
        <w:lastRenderedPageBreak/>
        <w:t xml:space="preserve">factor of the base case load. Note, the excluded portion of the curves between 1 and 1.5 times of the base load shows perfect overlap between the dashed and solid curves. As shown in </w:t>
      </w:r>
      <w:r>
        <w:rPr>
          <w:lang w:val="en-GB"/>
        </w:rPr>
        <w:fldChar w:fldCharType="begin"/>
      </w:r>
      <w:r>
        <w:rPr>
          <w:lang w:val="en-GB"/>
        </w:rPr>
        <w:instrText xml:space="preserve"> REF _Ref431909211 </w:instrText>
      </w:r>
      <w:r>
        <w:rPr>
          <w:lang w:val="en-GB"/>
        </w:rPr>
        <w:fldChar w:fldCharType="separate"/>
      </w:r>
      <w:r w:rsidR="00656B13">
        <w:t xml:space="preserve">Figure </w:t>
      </w:r>
      <w:r w:rsidR="00656B13">
        <w:rPr>
          <w:noProof/>
        </w:rPr>
        <w:t>21</w:t>
      </w:r>
      <w:r>
        <w:rPr>
          <w:lang w:val="en-GB"/>
        </w:rPr>
        <w:fldChar w:fldCharType="end"/>
      </w:r>
      <w:r w:rsidR="00503BA6" w:rsidRPr="00503BA6">
        <w:rPr>
          <w:lang w:val="en-GB"/>
        </w:rPr>
        <w:t>, the sensitivity also performs very well for the IEEE 39-bus system at all N-1 contingencies between the base case and the maximum load levels.</w:t>
      </w:r>
    </w:p>
    <w:p w14:paraId="4EA95D94" w14:textId="77777777" w:rsidR="00503BA6" w:rsidRDefault="00503BA6" w:rsidP="00451ED6">
      <w:pPr>
        <w:rPr>
          <w:lang w:val="en-GB"/>
        </w:rPr>
      </w:pPr>
      <w:r w:rsidRPr="00503BA6">
        <w:rPr>
          <w:lang w:val="en-GB"/>
        </w:rPr>
        <w:t xml:space="preserve">Test results for the IEEE 118-bus system are presented in </w:t>
      </w:r>
      <w:r w:rsidR="000273F3">
        <w:rPr>
          <w:lang w:val="en-GB"/>
        </w:rPr>
        <w:fldChar w:fldCharType="begin"/>
      </w:r>
      <w:r w:rsidR="000273F3">
        <w:rPr>
          <w:lang w:val="en-GB"/>
        </w:rPr>
        <w:instrText xml:space="preserve"> REF _Ref431909255 </w:instrText>
      </w:r>
      <w:r w:rsidR="000273F3">
        <w:rPr>
          <w:lang w:val="en-GB"/>
        </w:rPr>
        <w:fldChar w:fldCharType="separate"/>
      </w:r>
      <w:r w:rsidR="00656B13">
        <w:t xml:space="preserve">Figure </w:t>
      </w:r>
      <w:r w:rsidR="00656B13">
        <w:rPr>
          <w:noProof/>
        </w:rPr>
        <w:t>22</w:t>
      </w:r>
      <w:r w:rsidR="000273F3">
        <w:rPr>
          <w:lang w:val="en-GB"/>
        </w:rPr>
        <w:fldChar w:fldCharType="end"/>
      </w:r>
      <w:r w:rsidRPr="00503BA6">
        <w:rPr>
          <w:lang w:val="en-GB"/>
        </w:rPr>
        <w:t>. The critical/weakest load bus is Bus 44, and there are a total number of 177 line outages examined. Again, only the top 10 most severe outages are presented in Figure 8 for easy illustration. Similarly, the solid lines are estimated results based on the proposed sensitivity, while the dashed lines are from the actual CPF calculation under N-1 contingency. Similar observations can be concluded that the sensitivity-based estimation gives very accurate N-1 PV curves.</w:t>
      </w:r>
    </w:p>
    <w:p w14:paraId="70E7AE25" w14:textId="77777777" w:rsidR="00451ED6" w:rsidRPr="00503BA6" w:rsidRDefault="00451ED6" w:rsidP="00451ED6">
      <w:pPr>
        <w:spacing w:line="240" w:lineRule="auto"/>
        <w:ind w:firstLine="0"/>
        <w:jc w:val="center"/>
        <w:rPr>
          <w:lang w:val="en-GB"/>
        </w:rPr>
      </w:pPr>
      <w:r w:rsidRPr="00503BA6">
        <w:rPr>
          <w:noProof/>
          <w:lang w:eastAsia="zh-CN"/>
        </w:rPr>
        <w:drawing>
          <wp:inline distT="0" distB="0" distL="0" distR="0" wp14:anchorId="305B3CBC" wp14:editId="247DFA69">
            <wp:extent cx="4095129" cy="2449902"/>
            <wp:effectExtent l="0" t="0" r="635" b="7620"/>
            <wp:docPr id="13" name="Picture 13" descr="118busVest_CPFN1To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18busVest_CPFN1Top1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4099074" cy="2452262"/>
                    </a:xfrm>
                    <a:prstGeom prst="rect">
                      <a:avLst/>
                    </a:prstGeom>
                    <a:noFill/>
                    <a:ln>
                      <a:noFill/>
                    </a:ln>
                  </pic:spPr>
                </pic:pic>
              </a:graphicData>
            </a:graphic>
          </wp:inline>
        </w:drawing>
      </w:r>
    </w:p>
    <w:p w14:paraId="0310A374" w14:textId="77777777" w:rsidR="00451ED6" w:rsidRDefault="00451ED6" w:rsidP="00451ED6">
      <w:pPr>
        <w:pStyle w:val="Caption"/>
        <w:rPr>
          <w:lang w:val="en-GB"/>
        </w:rPr>
      </w:pPr>
      <w:bookmarkStart w:id="90" w:name="_Ref431909255"/>
      <w:bookmarkStart w:id="91" w:name="_Toc459076473"/>
      <w:r>
        <w:t xml:space="preserve">Figure </w:t>
      </w:r>
      <w:fldSimple w:instr=" SEQ Figure \* ARABIC ">
        <w:r>
          <w:rPr>
            <w:noProof/>
          </w:rPr>
          <w:t>22</w:t>
        </w:r>
      </w:fldSimple>
      <w:bookmarkEnd w:id="90"/>
      <w:r>
        <w:t>.</w:t>
      </w:r>
      <w:r w:rsidRPr="00503BA6">
        <w:rPr>
          <w:lang w:val="en-GB"/>
        </w:rPr>
        <w:t xml:space="preserve"> Voltage magnitude for N-1 contingencies of IEEE 118-bus system</w:t>
      </w:r>
      <w:r>
        <w:rPr>
          <w:lang w:val="en-GB"/>
        </w:rPr>
        <w:t>.</w:t>
      </w:r>
      <w:bookmarkEnd w:id="91"/>
    </w:p>
    <w:p w14:paraId="4ECCC8F4" w14:textId="77777777" w:rsidR="00451ED6" w:rsidRPr="00451ED6" w:rsidRDefault="00451ED6" w:rsidP="00451ED6">
      <w:pPr>
        <w:rPr>
          <w:sz w:val="10"/>
          <w:lang w:val="en-GB"/>
        </w:rPr>
      </w:pPr>
    </w:p>
    <w:p w14:paraId="5277D1BA" w14:textId="77777777" w:rsidR="00503BA6" w:rsidRPr="00503BA6" w:rsidRDefault="005643A0" w:rsidP="005643A0">
      <w:pPr>
        <w:pStyle w:val="Heading3"/>
        <w:rPr>
          <w:lang w:val="en-GB"/>
        </w:rPr>
      </w:pPr>
      <w:bookmarkStart w:id="92" w:name="_Toc459076561"/>
      <w:r>
        <w:t xml:space="preserve">4.3.3 </w:t>
      </w:r>
      <w:r w:rsidR="00503BA6" w:rsidRPr="00503BA6">
        <w:t>Test of the HBVSA</w:t>
      </w:r>
      <w:bookmarkEnd w:id="92"/>
    </w:p>
    <w:p w14:paraId="59B5BA0A" w14:textId="77777777" w:rsidR="00503BA6" w:rsidRPr="00503BA6" w:rsidRDefault="00503BA6" w:rsidP="00503BA6">
      <w:pPr>
        <w:rPr>
          <w:lang w:val="en-GB"/>
        </w:rPr>
      </w:pPr>
      <w:r w:rsidRPr="00503BA6">
        <w:rPr>
          <w:lang w:val="en-GB"/>
        </w:rPr>
        <w:t>The previous subsection 4.</w:t>
      </w:r>
      <w:r w:rsidR="005643A0">
        <w:rPr>
          <w:lang w:val="en-GB"/>
        </w:rPr>
        <w:t>3.2</w:t>
      </w:r>
      <w:r w:rsidRPr="00503BA6">
        <w:rPr>
          <w:lang w:val="en-GB"/>
        </w:rPr>
        <w:t xml:space="preserve"> demonstrates the validity of the proposed sensitivity at three systems under N-1 contingencies with a broad range of load levels, </w:t>
      </w:r>
      <w:r w:rsidRPr="00503BA6">
        <w:rPr>
          <w:lang w:val="en-GB"/>
        </w:rPr>
        <w:lastRenderedPageBreak/>
        <w:t>which is between the base case load level and the maximum load level right at the nose points. In this subsection, the model-based sensitivity will be combined with the measurement-based approach to evaluate the system’s voltage stability margin under various N-1 contingencies. Here, the voltage stability index (VSI) introduced in equation (</w:t>
      </w:r>
      <w:r w:rsidR="005643A0">
        <w:rPr>
          <w:lang w:val="en-GB"/>
        </w:rPr>
        <w:t>4-</w:t>
      </w:r>
      <w:r w:rsidRPr="00503BA6">
        <w:rPr>
          <w:lang w:val="en-GB"/>
        </w:rPr>
        <w:t>20) is employed to estimate the N-1 stability margin, which is defined as the distance in % between the base case and the VSI-based nose point. Note, under measurement based techniques, the VSI-based noise point is defined using the VSI value. That is, VSI is greater than 1.0 if the system operates at the upper portion of the PV curve for a s</w:t>
      </w:r>
      <w:r w:rsidR="005643A0">
        <w:rPr>
          <w:lang w:val="en-GB"/>
        </w:rPr>
        <w:t xml:space="preserve">pecific N-1 contingency; while </w:t>
      </w:r>
      <w:r w:rsidRPr="00503BA6">
        <w:rPr>
          <w:lang w:val="en-GB"/>
        </w:rPr>
        <w:t xml:space="preserve">the VSI decreases to 1.0 or below if the system is considered at the nose point and therefore unsecure for that contingency. </w:t>
      </w:r>
    </w:p>
    <w:p w14:paraId="2BAEF9EF" w14:textId="77777777" w:rsidR="00503BA6" w:rsidRDefault="00503BA6" w:rsidP="00503BA6">
      <w:pPr>
        <w:rPr>
          <w:lang w:val="en-GB"/>
        </w:rPr>
      </w:pPr>
      <w:r w:rsidRPr="00503BA6">
        <w:rPr>
          <w:lang w:val="en-GB"/>
        </w:rPr>
        <w:t xml:space="preserve">For the IEEE 14-bus system, the stability margins from HBVSA (using VSI-based nose point criterion) and actual N-1 CPF are presented in </w:t>
      </w:r>
      <w:r w:rsidR="005643A0">
        <w:rPr>
          <w:lang w:val="en-GB"/>
        </w:rPr>
        <w:fldChar w:fldCharType="begin"/>
      </w:r>
      <w:r w:rsidR="005643A0">
        <w:rPr>
          <w:lang w:val="en-GB"/>
        </w:rPr>
        <w:instrText xml:space="preserve"> REF _Ref431909410 </w:instrText>
      </w:r>
      <w:r w:rsidR="005643A0">
        <w:rPr>
          <w:lang w:val="en-GB"/>
        </w:rPr>
        <w:fldChar w:fldCharType="separate"/>
      </w:r>
      <w:r w:rsidR="00656B13">
        <w:t xml:space="preserve">Figure </w:t>
      </w:r>
      <w:r w:rsidR="00656B13">
        <w:rPr>
          <w:noProof/>
        </w:rPr>
        <w:t>23</w:t>
      </w:r>
      <w:r w:rsidR="005643A0">
        <w:rPr>
          <w:lang w:val="en-GB"/>
        </w:rPr>
        <w:fldChar w:fldCharType="end"/>
      </w:r>
      <w:r w:rsidRPr="00503BA6">
        <w:rPr>
          <w:lang w:val="en-GB"/>
        </w:rPr>
        <w:t xml:space="preserve">. Similarly, the results of the IEEE 39-bus system are shown in </w:t>
      </w:r>
      <w:r w:rsidR="005643A0">
        <w:rPr>
          <w:lang w:val="en-GB"/>
        </w:rPr>
        <w:fldChar w:fldCharType="begin"/>
      </w:r>
      <w:r w:rsidR="005643A0">
        <w:rPr>
          <w:lang w:val="en-GB"/>
        </w:rPr>
        <w:instrText xml:space="preserve"> REF _Ref431909496 </w:instrText>
      </w:r>
      <w:r w:rsidR="005643A0">
        <w:rPr>
          <w:lang w:val="en-GB"/>
        </w:rPr>
        <w:fldChar w:fldCharType="separate"/>
      </w:r>
      <w:r w:rsidR="00656B13">
        <w:t xml:space="preserve">Figure </w:t>
      </w:r>
      <w:r w:rsidR="00656B13">
        <w:rPr>
          <w:noProof/>
        </w:rPr>
        <w:t>24</w:t>
      </w:r>
      <w:r w:rsidR="005643A0">
        <w:rPr>
          <w:lang w:val="en-GB"/>
        </w:rPr>
        <w:fldChar w:fldCharType="end"/>
      </w:r>
      <w:r w:rsidRPr="00503BA6">
        <w:rPr>
          <w:lang w:val="en-GB"/>
        </w:rPr>
        <w:t xml:space="preserve">, and the results of the 30 most severe contingencies (due to space limit) for the IEEE 118-bus system are shown in </w:t>
      </w:r>
      <w:r w:rsidR="005643A0">
        <w:rPr>
          <w:lang w:val="en-GB"/>
        </w:rPr>
        <w:fldChar w:fldCharType="begin"/>
      </w:r>
      <w:r w:rsidR="005643A0">
        <w:rPr>
          <w:lang w:val="en-GB"/>
        </w:rPr>
        <w:instrText xml:space="preserve"> REF _Ref431909503 </w:instrText>
      </w:r>
      <w:r w:rsidR="005643A0">
        <w:rPr>
          <w:lang w:val="en-GB"/>
        </w:rPr>
        <w:fldChar w:fldCharType="separate"/>
      </w:r>
      <w:r w:rsidR="00656B13">
        <w:t xml:space="preserve">Figure </w:t>
      </w:r>
      <w:r w:rsidR="00656B13">
        <w:rPr>
          <w:noProof/>
        </w:rPr>
        <w:t>25</w:t>
      </w:r>
      <w:r w:rsidR="005643A0">
        <w:rPr>
          <w:lang w:val="en-GB"/>
        </w:rPr>
        <w:fldChar w:fldCharType="end"/>
      </w:r>
      <w:r w:rsidRPr="00503BA6">
        <w:rPr>
          <w:lang w:val="en-GB"/>
        </w:rPr>
        <w:t xml:space="preserve">. According to these three figures, the stability margins calculated by HBVSA based on N-0 voltages and the proposed sensitivity calculation are close to the actual margins from N-1 CPF. The average errors in estimating the system stability margin for the three cases for all outages (not limited to 30 most severe contingencies for the 118-bus system) are presented in </w:t>
      </w:r>
      <w:r w:rsidR="005643A0">
        <w:rPr>
          <w:lang w:val="en-GB"/>
        </w:rPr>
        <w:fldChar w:fldCharType="begin"/>
      </w:r>
      <w:r w:rsidR="005643A0">
        <w:rPr>
          <w:lang w:val="en-GB"/>
        </w:rPr>
        <w:instrText xml:space="preserve"> REF _Ref431909706 </w:instrText>
      </w:r>
      <w:r w:rsidR="005643A0">
        <w:rPr>
          <w:lang w:val="en-GB"/>
        </w:rPr>
        <w:fldChar w:fldCharType="separate"/>
      </w:r>
      <w:r w:rsidR="00656B13">
        <w:t xml:space="preserve">Table </w:t>
      </w:r>
      <w:r w:rsidR="00656B13">
        <w:rPr>
          <w:noProof/>
        </w:rPr>
        <w:t>6</w:t>
      </w:r>
      <w:r w:rsidR="005643A0">
        <w:rPr>
          <w:lang w:val="en-GB"/>
        </w:rPr>
        <w:fldChar w:fldCharType="end"/>
      </w:r>
      <w:r w:rsidRPr="00503BA6">
        <w:rPr>
          <w:lang w:val="en-GB"/>
        </w:rPr>
        <w:t>. It is shown that the HBVSA is able to estimate the stability margin very accurately.</w:t>
      </w:r>
    </w:p>
    <w:p w14:paraId="72B719AB" w14:textId="40C3BC25" w:rsidR="00685FFD" w:rsidRPr="00503BA6" w:rsidRDefault="00685FFD" w:rsidP="009D0201">
      <w:pPr>
        <w:pStyle w:val="Caption"/>
        <w:rPr>
          <w:b/>
        </w:rPr>
      </w:pPr>
      <w:bookmarkStart w:id="93" w:name="_Ref431909706"/>
      <w:bookmarkStart w:id="94" w:name="_Toc459076663"/>
      <w:r>
        <w:t xml:space="preserve">Table </w:t>
      </w:r>
      <w:fldSimple w:instr=" SEQ Table \* ARABIC ">
        <w:r>
          <w:rPr>
            <w:noProof/>
          </w:rPr>
          <w:t>6</w:t>
        </w:r>
      </w:fldSimple>
      <w:bookmarkEnd w:id="93"/>
      <w:r w:rsidRPr="00503BA6">
        <w:t xml:space="preserve">: Average </w:t>
      </w:r>
      <w:r w:rsidR="004D75A3">
        <w:t>E</w:t>
      </w:r>
      <w:r w:rsidRPr="00503BA6">
        <w:t xml:space="preserve">rrors of </w:t>
      </w:r>
      <w:r w:rsidR="004D75A3">
        <w:t>S</w:t>
      </w:r>
      <w:r w:rsidRPr="00503BA6">
        <w:t xml:space="preserve">tability </w:t>
      </w:r>
      <w:r w:rsidR="004D75A3">
        <w:t>M</w:t>
      </w:r>
      <w:r w:rsidRPr="00503BA6">
        <w:t>argins</w:t>
      </w:r>
      <w:bookmarkEnd w:id="94"/>
    </w:p>
    <w:tbl>
      <w:tblPr>
        <w:tblW w:w="0" w:type="auto"/>
        <w:jc w:val="center"/>
        <w:tblBorders>
          <w:top w:val="single" w:sz="12" w:space="0" w:color="000000"/>
          <w:bottom w:val="single" w:sz="12" w:space="0" w:color="000000"/>
        </w:tblBorders>
        <w:tblLook w:val="04A0" w:firstRow="1" w:lastRow="0" w:firstColumn="1" w:lastColumn="0" w:noHBand="0" w:noVBand="1"/>
      </w:tblPr>
      <w:tblGrid>
        <w:gridCol w:w="1556"/>
        <w:gridCol w:w="1988"/>
        <w:gridCol w:w="1988"/>
        <w:gridCol w:w="2098"/>
      </w:tblGrid>
      <w:tr w:rsidR="00685FFD" w:rsidRPr="00503BA6" w14:paraId="109B3F2C" w14:textId="77777777" w:rsidTr="006B60E2">
        <w:trPr>
          <w:trHeight w:val="144"/>
          <w:jc w:val="center"/>
        </w:trPr>
        <w:tc>
          <w:tcPr>
            <w:tcW w:w="0" w:type="auto"/>
            <w:tcBorders>
              <w:bottom w:val="single" w:sz="6" w:space="0" w:color="000000"/>
              <w:right w:val="single" w:sz="6" w:space="0" w:color="000000"/>
            </w:tcBorders>
            <w:shd w:val="clear" w:color="auto" w:fill="auto"/>
            <w:vAlign w:val="center"/>
          </w:tcPr>
          <w:p w14:paraId="756098C6" w14:textId="77777777" w:rsidR="00685FFD" w:rsidRPr="00503BA6" w:rsidRDefault="00685FFD" w:rsidP="006B60E2">
            <w:pPr>
              <w:spacing w:line="240" w:lineRule="auto"/>
              <w:jc w:val="center"/>
              <w:rPr>
                <w:i/>
                <w:iCs/>
              </w:rPr>
            </w:pPr>
          </w:p>
        </w:tc>
        <w:tc>
          <w:tcPr>
            <w:tcW w:w="0" w:type="auto"/>
            <w:tcBorders>
              <w:bottom w:val="single" w:sz="6" w:space="0" w:color="000000"/>
            </w:tcBorders>
            <w:shd w:val="clear" w:color="auto" w:fill="auto"/>
            <w:vAlign w:val="center"/>
          </w:tcPr>
          <w:p w14:paraId="15D1D440" w14:textId="77777777" w:rsidR="00685FFD" w:rsidRPr="005643A0" w:rsidRDefault="00685FFD" w:rsidP="006B60E2">
            <w:pPr>
              <w:spacing w:line="240" w:lineRule="auto"/>
              <w:ind w:firstLine="0"/>
              <w:jc w:val="center"/>
              <w:rPr>
                <w:i/>
                <w:iCs/>
                <w:sz w:val="22"/>
              </w:rPr>
            </w:pPr>
            <w:r w:rsidRPr="005643A0">
              <w:rPr>
                <w:i/>
                <w:iCs/>
                <w:sz w:val="22"/>
              </w:rPr>
              <w:t>IEEE 14-bus system</w:t>
            </w:r>
          </w:p>
        </w:tc>
        <w:tc>
          <w:tcPr>
            <w:tcW w:w="0" w:type="auto"/>
            <w:tcBorders>
              <w:bottom w:val="single" w:sz="6" w:space="0" w:color="000000"/>
            </w:tcBorders>
            <w:shd w:val="clear" w:color="auto" w:fill="auto"/>
            <w:vAlign w:val="center"/>
          </w:tcPr>
          <w:p w14:paraId="2DC85984" w14:textId="77777777" w:rsidR="00685FFD" w:rsidRPr="005643A0" w:rsidRDefault="00685FFD" w:rsidP="006B60E2">
            <w:pPr>
              <w:spacing w:line="240" w:lineRule="auto"/>
              <w:ind w:firstLine="0"/>
              <w:jc w:val="center"/>
              <w:rPr>
                <w:i/>
                <w:iCs/>
                <w:sz w:val="22"/>
              </w:rPr>
            </w:pPr>
            <w:r w:rsidRPr="005643A0">
              <w:rPr>
                <w:i/>
                <w:iCs/>
                <w:sz w:val="22"/>
              </w:rPr>
              <w:t>IEEE 39-bus system</w:t>
            </w:r>
          </w:p>
        </w:tc>
        <w:tc>
          <w:tcPr>
            <w:tcW w:w="0" w:type="auto"/>
            <w:tcBorders>
              <w:bottom w:val="single" w:sz="6" w:space="0" w:color="000000"/>
            </w:tcBorders>
            <w:shd w:val="clear" w:color="auto" w:fill="auto"/>
            <w:vAlign w:val="center"/>
          </w:tcPr>
          <w:p w14:paraId="7A1EF49E" w14:textId="77777777" w:rsidR="00685FFD" w:rsidRPr="005643A0" w:rsidRDefault="00685FFD" w:rsidP="006B60E2">
            <w:pPr>
              <w:spacing w:line="240" w:lineRule="auto"/>
              <w:ind w:firstLine="0"/>
              <w:jc w:val="center"/>
              <w:rPr>
                <w:i/>
                <w:iCs/>
                <w:sz w:val="22"/>
              </w:rPr>
            </w:pPr>
            <w:r w:rsidRPr="005643A0">
              <w:rPr>
                <w:i/>
                <w:iCs/>
                <w:sz w:val="22"/>
              </w:rPr>
              <w:t>IEEE 118-bus system</w:t>
            </w:r>
          </w:p>
        </w:tc>
      </w:tr>
      <w:tr w:rsidR="00685FFD" w:rsidRPr="00503BA6" w14:paraId="521F04D4" w14:textId="77777777" w:rsidTr="006B60E2">
        <w:trPr>
          <w:trHeight w:val="144"/>
          <w:jc w:val="center"/>
        </w:trPr>
        <w:tc>
          <w:tcPr>
            <w:tcW w:w="0" w:type="auto"/>
            <w:tcBorders>
              <w:right w:val="single" w:sz="6" w:space="0" w:color="000000"/>
            </w:tcBorders>
            <w:shd w:val="clear" w:color="auto" w:fill="auto"/>
            <w:vAlign w:val="center"/>
          </w:tcPr>
          <w:p w14:paraId="2ED33282" w14:textId="77777777" w:rsidR="00685FFD" w:rsidRPr="00503BA6" w:rsidRDefault="00685FFD" w:rsidP="006B60E2">
            <w:pPr>
              <w:spacing w:line="240" w:lineRule="auto"/>
              <w:ind w:firstLine="0"/>
              <w:jc w:val="center"/>
            </w:pPr>
            <w:r w:rsidRPr="00503BA6">
              <w:t>Average error</w:t>
            </w:r>
          </w:p>
        </w:tc>
        <w:tc>
          <w:tcPr>
            <w:tcW w:w="0" w:type="auto"/>
            <w:shd w:val="clear" w:color="auto" w:fill="auto"/>
            <w:vAlign w:val="center"/>
          </w:tcPr>
          <w:p w14:paraId="77456F8D" w14:textId="77777777" w:rsidR="00685FFD" w:rsidRPr="00503BA6" w:rsidRDefault="00685FFD" w:rsidP="006B60E2">
            <w:pPr>
              <w:spacing w:line="240" w:lineRule="auto"/>
              <w:jc w:val="center"/>
            </w:pPr>
            <w:r w:rsidRPr="00503BA6">
              <w:t>0.63%</w:t>
            </w:r>
          </w:p>
        </w:tc>
        <w:tc>
          <w:tcPr>
            <w:tcW w:w="0" w:type="auto"/>
            <w:shd w:val="clear" w:color="auto" w:fill="auto"/>
            <w:vAlign w:val="center"/>
          </w:tcPr>
          <w:p w14:paraId="3DD57B9E" w14:textId="77777777" w:rsidR="00685FFD" w:rsidRPr="00503BA6" w:rsidRDefault="00685FFD" w:rsidP="006B60E2">
            <w:pPr>
              <w:spacing w:line="240" w:lineRule="auto"/>
              <w:jc w:val="center"/>
            </w:pPr>
            <w:r w:rsidRPr="00503BA6">
              <w:t>0.23%</w:t>
            </w:r>
          </w:p>
        </w:tc>
        <w:tc>
          <w:tcPr>
            <w:tcW w:w="0" w:type="auto"/>
            <w:shd w:val="clear" w:color="auto" w:fill="auto"/>
            <w:vAlign w:val="center"/>
          </w:tcPr>
          <w:p w14:paraId="41F43EEE" w14:textId="77777777" w:rsidR="00685FFD" w:rsidRPr="00503BA6" w:rsidRDefault="00685FFD" w:rsidP="006B60E2">
            <w:pPr>
              <w:spacing w:line="240" w:lineRule="auto"/>
              <w:jc w:val="center"/>
            </w:pPr>
            <w:r w:rsidRPr="00503BA6">
              <w:t>0.21%</w:t>
            </w:r>
          </w:p>
        </w:tc>
      </w:tr>
    </w:tbl>
    <w:p w14:paraId="5988B84D" w14:textId="77777777" w:rsidR="00503BA6" w:rsidRPr="00503BA6" w:rsidRDefault="00503BA6" w:rsidP="00685FFD">
      <w:pPr>
        <w:spacing w:line="240" w:lineRule="auto"/>
        <w:ind w:firstLine="0"/>
        <w:jc w:val="center"/>
        <w:rPr>
          <w:lang w:val="en-GB"/>
        </w:rPr>
      </w:pPr>
      <w:r w:rsidRPr="00503BA6">
        <w:rPr>
          <w:noProof/>
          <w:lang w:eastAsia="zh-CN"/>
        </w:rPr>
        <w:lastRenderedPageBreak/>
        <w:drawing>
          <wp:inline distT="0" distB="0" distL="0" distR="0" wp14:anchorId="6A8EBD1C" wp14:editId="00F9C6EC">
            <wp:extent cx="3364523" cy="1781741"/>
            <wp:effectExtent l="0" t="0" r="7620" b="9525"/>
            <wp:docPr id="12" name="Picture 12" descr="14busLamEst_C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14busLamEst_CPF"/>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382249" cy="1791128"/>
                    </a:xfrm>
                    <a:prstGeom prst="rect">
                      <a:avLst/>
                    </a:prstGeom>
                    <a:noFill/>
                    <a:ln>
                      <a:noFill/>
                    </a:ln>
                  </pic:spPr>
                </pic:pic>
              </a:graphicData>
            </a:graphic>
          </wp:inline>
        </w:drawing>
      </w:r>
    </w:p>
    <w:p w14:paraId="6D1348B2" w14:textId="77777777" w:rsidR="00503BA6" w:rsidRDefault="005643A0" w:rsidP="009D0201">
      <w:pPr>
        <w:pStyle w:val="Caption"/>
        <w:rPr>
          <w:lang w:val="en-GB"/>
        </w:rPr>
      </w:pPr>
      <w:bookmarkStart w:id="95" w:name="_Ref431909410"/>
      <w:bookmarkStart w:id="96" w:name="_Toc459076474"/>
      <w:r>
        <w:t xml:space="preserve">Figure </w:t>
      </w:r>
      <w:fldSimple w:instr=" SEQ Figure \* ARABIC ">
        <w:r w:rsidR="00B0208A">
          <w:rPr>
            <w:noProof/>
          </w:rPr>
          <w:t>23</w:t>
        </w:r>
      </w:fldSimple>
      <w:bookmarkEnd w:id="95"/>
      <w:r w:rsidR="00503BA6" w:rsidRPr="00503BA6">
        <w:rPr>
          <w:lang w:val="en-GB"/>
        </w:rPr>
        <w:t>. Stability margin for line outages of the IEEE 14-bus system</w:t>
      </w:r>
      <w:r w:rsidR="004F29E5">
        <w:rPr>
          <w:lang w:val="en-GB"/>
        </w:rPr>
        <w:t>.</w:t>
      </w:r>
      <w:bookmarkEnd w:id="96"/>
    </w:p>
    <w:p w14:paraId="17D8D5FE" w14:textId="77777777" w:rsidR="00DA2A5C" w:rsidRDefault="00503BA6" w:rsidP="00685FFD">
      <w:pPr>
        <w:spacing w:line="240" w:lineRule="auto"/>
        <w:ind w:firstLine="0"/>
        <w:jc w:val="center"/>
      </w:pPr>
      <w:r w:rsidRPr="00503BA6">
        <w:rPr>
          <w:noProof/>
          <w:lang w:eastAsia="zh-CN"/>
        </w:rPr>
        <w:drawing>
          <wp:inline distT="0" distB="0" distL="0" distR="0" wp14:anchorId="095106DB" wp14:editId="0480BF1A">
            <wp:extent cx="3522784" cy="1971368"/>
            <wp:effectExtent l="0" t="0" r="1905" b="0"/>
            <wp:docPr id="11" name="Picture 11" descr="39busStabilityMar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39busStabilityMargin"/>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544855" cy="1983719"/>
                    </a:xfrm>
                    <a:prstGeom prst="rect">
                      <a:avLst/>
                    </a:prstGeom>
                    <a:noFill/>
                    <a:ln>
                      <a:noFill/>
                    </a:ln>
                  </pic:spPr>
                </pic:pic>
              </a:graphicData>
            </a:graphic>
          </wp:inline>
        </w:drawing>
      </w:r>
      <w:bookmarkStart w:id="97" w:name="_Ref431909496"/>
    </w:p>
    <w:p w14:paraId="74963887" w14:textId="77777777" w:rsidR="00503BA6" w:rsidRPr="00503BA6" w:rsidRDefault="005643A0" w:rsidP="00685FFD">
      <w:pPr>
        <w:ind w:firstLine="0"/>
        <w:jc w:val="center"/>
        <w:rPr>
          <w:lang w:val="en-GB"/>
        </w:rPr>
      </w:pPr>
      <w:bookmarkStart w:id="98" w:name="_Toc459076475"/>
      <w:r>
        <w:t xml:space="preserve">Figure </w:t>
      </w:r>
      <w:fldSimple w:instr=" SEQ Figure \* ARABIC ">
        <w:r w:rsidR="00B0208A">
          <w:rPr>
            <w:noProof/>
          </w:rPr>
          <w:t>24</w:t>
        </w:r>
      </w:fldSimple>
      <w:bookmarkEnd w:id="97"/>
      <w:r w:rsidR="00503BA6" w:rsidRPr="00503BA6">
        <w:rPr>
          <w:lang w:val="en-GB"/>
        </w:rPr>
        <w:t>. Stability margin for line outages of the IEEE 39-bus system</w:t>
      </w:r>
      <w:r w:rsidR="004F29E5">
        <w:rPr>
          <w:lang w:val="en-GB"/>
        </w:rPr>
        <w:t>.</w:t>
      </w:r>
      <w:bookmarkEnd w:id="98"/>
    </w:p>
    <w:p w14:paraId="42038948" w14:textId="77777777" w:rsidR="00685FFD" w:rsidRDefault="00503BA6" w:rsidP="00685FFD">
      <w:pPr>
        <w:spacing w:line="240" w:lineRule="auto"/>
        <w:ind w:firstLine="0"/>
        <w:jc w:val="center"/>
      </w:pPr>
      <w:r w:rsidRPr="00503BA6">
        <w:rPr>
          <w:noProof/>
          <w:lang w:eastAsia="zh-CN"/>
        </w:rPr>
        <w:drawing>
          <wp:inline distT="0" distB="0" distL="0" distR="0" wp14:anchorId="5A30089F" wp14:editId="7FC7987B">
            <wp:extent cx="3804139" cy="2339661"/>
            <wp:effectExtent l="0" t="0" r="6350" b="3810"/>
            <wp:docPr id="4" name="Picture 4" descr="118busLamEst_C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118busLamEst_CPF"/>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814449" cy="2346002"/>
                    </a:xfrm>
                    <a:prstGeom prst="rect">
                      <a:avLst/>
                    </a:prstGeom>
                    <a:noFill/>
                    <a:ln>
                      <a:noFill/>
                    </a:ln>
                  </pic:spPr>
                </pic:pic>
              </a:graphicData>
            </a:graphic>
          </wp:inline>
        </w:drawing>
      </w:r>
      <w:bookmarkStart w:id="99" w:name="_Ref431909503"/>
    </w:p>
    <w:p w14:paraId="1CB65AE9" w14:textId="77777777" w:rsidR="00685FFD" w:rsidRDefault="005643A0" w:rsidP="00685FFD">
      <w:pPr>
        <w:spacing w:line="240" w:lineRule="auto"/>
        <w:ind w:firstLine="0"/>
        <w:jc w:val="center"/>
        <w:rPr>
          <w:lang w:val="en-GB"/>
        </w:rPr>
      </w:pPr>
      <w:bookmarkStart w:id="100" w:name="_Toc459076476"/>
      <w:r>
        <w:t xml:space="preserve">Figure </w:t>
      </w:r>
      <w:fldSimple w:instr=" SEQ Figure \* ARABIC ">
        <w:r w:rsidR="00B0208A">
          <w:rPr>
            <w:noProof/>
          </w:rPr>
          <w:t>25</w:t>
        </w:r>
      </w:fldSimple>
      <w:bookmarkEnd w:id="99"/>
      <w:r w:rsidR="00503BA6" w:rsidRPr="00503BA6">
        <w:rPr>
          <w:lang w:val="en-GB"/>
        </w:rPr>
        <w:t>. Stability margin for line outages of the IEEE 118-bus system</w:t>
      </w:r>
      <w:r w:rsidR="004F29E5">
        <w:rPr>
          <w:lang w:val="en-GB"/>
        </w:rPr>
        <w:t>.</w:t>
      </w:r>
      <w:bookmarkEnd w:id="100"/>
    </w:p>
    <w:p w14:paraId="1ACA68A0" w14:textId="77777777" w:rsidR="00685FFD" w:rsidRDefault="00685FFD">
      <w:pPr>
        <w:rPr>
          <w:lang w:val="en-GB"/>
        </w:rPr>
      </w:pPr>
      <w:r>
        <w:rPr>
          <w:lang w:val="en-GB"/>
        </w:rPr>
        <w:br w:type="page"/>
      </w:r>
    </w:p>
    <w:p w14:paraId="0476E950" w14:textId="60E163A0" w:rsidR="00AE0500" w:rsidRDefault="00AE0500" w:rsidP="00685FFD">
      <w:pPr>
        <w:rPr>
          <w:lang w:val="en-GB"/>
        </w:rPr>
      </w:pPr>
      <w:r w:rsidRPr="00503BA6">
        <w:rPr>
          <w:lang w:val="en-GB"/>
        </w:rPr>
        <w:lastRenderedPageBreak/>
        <w:t>In order to better illustrate HBVSA, a load increasing simulation scenario is created. In this scenario, the load of the whole sys</w:t>
      </w:r>
      <w:r>
        <w:rPr>
          <w:lang w:val="en-GB"/>
        </w:rPr>
        <w:t xml:space="preserve">tem </w:t>
      </w:r>
      <w:r w:rsidRPr="00503BA6">
        <w:rPr>
          <w:lang w:val="en-GB"/>
        </w:rPr>
        <w:t xml:space="preserve">increases continuously with small randomly embedded noises for more than 1000 seconds. The voltage magnitude of Bus 44 for this scenario is shown in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 (a) where the voltage decreases as the load increases. With PMUs installed, the voltage for N-0 can be monitored by the system operator in the control room. With the proposed HBVSA, the system operator will be able to keep track of the voltages under N-1 as shown in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 (b) as well as the VSI for those contingencies shown in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 (c) in real time. Once again, only the top 30 most severe contingencies are shown due to space limit and for easy illustration. By combing the model-based sensitivity with the measurement-based VSA, the HBVSA using N-1 VSI (as shown in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(c)) provides clear information about how far the system is away from voltages instability under N-1 contingencies. Since the N-1 VSI is obtained in real time based on measured N-0 voltages and the model-based sensitivity matrices which can be calculated in real time because it is only related to topology (obtained offline) and the present operating point (from </w:t>
      </w:r>
      <w:r>
        <w:rPr>
          <w:lang w:val="en-GB"/>
        </w:rPr>
        <w:t xml:space="preserve">measurement). Thus, this will </w:t>
      </w:r>
      <w:r w:rsidRPr="00503BA6">
        <w:rPr>
          <w:lang w:val="en-GB"/>
        </w:rPr>
        <w:t>significantly increase the situation awareness by identifying t</w:t>
      </w:r>
      <w:r>
        <w:rPr>
          <w:lang w:val="en-GB"/>
        </w:rPr>
        <w:t>he most critical contingency</w:t>
      </w:r>
      <w:r w:rsidRPr="00194D4C">
        <w:rPr>
          <w:lang w:val="en-GB"/>
        </w:rPr>
        <w:t xml:space="preserve"> </w:t>
      </w:r>
      <w:r w:rsidRPr="00503BA6">
        <w:rPr>
          <w:lang w:val="en-GB"/>
        </w:rPr>
        <w:t>and monitoring the security margin</w:t>
      </w:r>
      <w:r>
        <w:rPr>
          <w:lang w:val="en-GB"/>
        </w:rPr>
        <w:t>.</w:t>
      </w:r>
    </w:p>
    <w:p w14:paraId="621C7CA4" w14:textId="789DBD99" w:rsidR="00451ED6" w:rsidRDefault="00685FFD" w:rsidP="00451ED6">
      <w:pPr>
        <w:jc w:val="distribute"/>
        <w:rPr>
          <w:lang w:val="en-GB"/>
        </w:rPr>
      </w:pPr>
      <w:r w:rsidRPr="00503BA6">
        <w:rPr>
          <w:lang w:val="en-GB"/>
        </w:rPr>
        <w:t xml:space="preserve">Another observation is that according to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 (c), at the end of the simulation the VSI of the blue curve (line 8-5 outage) reaches 1.0, which means the system reaches an insecure state. However, this contingency is not the most severe one in terms of voltage drops, as shown in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(b). Thus, </w:t>
      </w:r>
      <w:r>
        <w:rPr>
          <w:lang w:val="en-GB"/>
        </w:rPr>
        <w:fldChar w:fldCharType="begin"/>
      </w:r>
      <w:r>
        <w:rPr>
          <w:lang w:val="en-GB"/>
        </w:rPr>
        <w:instrText xml:space="preserve"> REF _Ref431909828 </w:instrText>
      </w:r>
      <w:r>
        <w:rPr>
          <w:lang w:val="en-GB"/>
        </w:rPr>
        <w:fldChar w:fldCharType="separate"/>
      </w:r>
      <w:r>
        <w:t xml:space="preserve">Figure </w:t>
      </w:r>
      <w:r>
        <w:rPr>
          <w:noProof/>
        </w:rPr>
        <w:t>26</w:t>
      </w:r>
      <w:r>
        <w:rPr>
          <w:lang w:val="en-GB"/>
        </w:rPr>
        <w:fldChar w:fldCharType="end"/>
      </w:r>
      <w:r w:rsidRPr="00503BA6">
        <w:rPr>
          <w:lang w:val="en-GB"/>
        </w:rPr>
        <w:t xml:space="preserve">(b) and (c) clearly verify that the </w:t>
      </w:r>
      <w:r w:rsidR="00451ED6" w:rsidRPr="00503BA6">
        <w:rPr>
          <w:lang w:val="en-GB"/>
        </w:rPr>
        <w:t>most critical contingency in terms of voltage stability may not be the contingency</w:t>
      </w:r>
      <w:r w:rsidR="00451ED6">
        <w:rPr>
          <w:lang w:val="en-GB"/>
        </w:rPr>
        <w:t xml:space="preserve"> </w:t>
      </w:r>
      <w:r w:rsidR="00451ED6" w:rsidRPr="00503BA6">
        <w:rPr>
          <w:lang w:val="en-GB"/>
        </w:rPr>
        <w:t>causing</w:t>
      </w:r>
    </w:p>
    <w:p w14:paraId="2490E7AC" w14:textId="77777777" w:rsidR="005643A0" w:rsidRPr="00503BA6" w:rsidRDefault="005643A0" w:rsidP="000B0E1D">
      <w:pPr>
        <w:spacing w:line="240" w:lineRule="auto"/>
        <w:rPr>
          <w:lang w:val="en-GB"/>
        </w:rPr>
      </w:pPr>
      <w:r w:rsidRPr="00503BA6">
        <w:rPr>
          <w:lang w:val="en-GB"/>
        </w:rPr>
        <w:object w:dxaOrig="11115" w:dyaOrig="14266" w14:anchorId="2731B19A">
          <v:shape id="_x0000_i1177" type="#_x0000_t75" style="width:366pt;height:469.5pt" o:ole="">
            <v:imagedata r:id="rId245" o:title=""/>
          </v:shape>
          <o:OLEObject Type="Embed" ProgID="Visio.Drawing.15" ShapeID="_x0000_i1177" DrawAspect="Content" ObjectID="_1532825707" r:id="rId246"/>
        </w:object>
      </w:r>
    </w:p>
    <w:p w14:paraId="66148301" w14:textId="77777777" w:rsidR="005643A0" w:rsidRPr="00503BA6" w:rsidRDefault="005643A0" w:rsidP="009D0201">
      <w:pPr>
        <w:pStyle w:val="Caption"/>
        <w:rPr>
          <w:lang w:val="en-GB"/>
        </w:rPr>
      </w:pPr>
      <w:bookmarkStart w:id="101" w:name="_Ref431909828"/>
      <w:bookmarkStart w:id="102" w:name="_Toc459076477"/>
      <w:r>
        <w:t xml:space="preserve">Figure </w:t>
      </w:r>
      <w:fldSimple w:instr=" SEQ Figure \* ARABIC ">
        <w:r w:rsidR="00B0208A">
          <w:rPr>
            <w:noProof/>
          </w:rPr>
          <w:t>26</w:t>
        </w:r>
      </w:fldSimple>
      <w:bookmarkEnd w:id="101"/>
      <w:r w:rsidRPr="00503BA6">
        <w:rPr>
          <w:lang w:val="en-GB"/>
        </w:rPr>
        <w:t>. Illustration of the HBVSA under N-1 contingency</w:t>
      </w:r>
      <w:r w:rsidR="004F29E5">
        <w:rPr>
          <w:lang w:val="en-GB"/>
        </w:rPr>
        <w:t>.</w:t>
      </w:r>
      <w:bookmarkEnd w:id="102"/>
    </w:p>
    <w:p w14:paraId="3BF2AF2E" w14:textId="77777777" w:rsidR="00685FFD" w:rsidRDefault="00685FFD">
      <w:pPr>
        <w:rPr>
          <w:lang w:val="en-GB"/>
        </w:rPr>
      </w:pPr>
      <w:r>
        <w:rPr>
          <w:lang w:val="en-GB"/>
        </w:rPr>
        <w:br w:type="page"/>
      </w:r>
    </w:p>
    <w:p w14:paraId="4D59648B" w14:textId="5B489F79" w:rsidR="00451ED6" w:rsidRPr="00503BA6" w:rsidRDefault="00451ED6" w:rsidP="00451ED6">
      <w:pPr>
        <w:ind w:firstLine="0"/>
        <w:rPr>
          <w:lang w:val="en-GB"/>
        </w:rPr>
      </w:pPr>
      <w:r w:rsidRPr="00503BA6">
        <w:rPr>
          <w:lang w:val="en-GB"/>
        </w:rPr>
        <w:lastRenderedPageBreak/>
        <w:t>the largest voltage drop.</w:t>
      </w:r>
    </w:p>
    <w:p w14:paraId="79731164" w14:textId="77777777" w:rsidR="00451ED6" w:rsidRPr="00503BA6" w:rsidRDefault="00451ED6" w:rsidP="00451ED6">
      <w:pPr>
        <w:pStyle w:val="Heading2"/>
        <w:rPr>
          <w:lang w:val="en-GB"/>
        </w:rPr>
      </w:pPr>
      <w:bookmarkStart w:id="103" w:name="_Toc459076562"/>
      <w:r>
        <w:rPr>
          <w:lang w:val="en-GB"/>
        </w:rPr>
        <w:t xml:space="preserve">4.4 </w:t>
      </w:r>
      <w:r w:rsidRPr="00503BA6">
        <w:rPr>
          <w:lang w:val="en-GB"/>
        </w:rPr>
        <w:t>Conclusion</w:t>
      </w:r>
      <w:bookmarkEnd w:id="103"/>
      <w:r w:rsidRPr="00503BA6">
        <w:rPr>
          <w:lang w:val="en-GB"/>
        </w:rPr>
        <w:t xml:space="preserve"> </w:t>
      </w:r>
    </w:p>
    <w:p w14:paraId="4E6F34EB" w14:textId="77777777" w:rsidR="00451ED6" w:rsidRPr="00503BA6" w:rsidRDefault="00451ED6" w:rsidP="00451ED6">
      <w:pPr>
        <w:rPr>
          <w:lang w:val="en-GB"/>
        </w:rPr>
      </w:pPr>
      <w:r w:rsidRPr="00503BA6">
        <w:rPr>
          <w:lang w:val="en-GB"/>
        </w:rPr>
        <w:t xml:space="preserve">In this </w:t>
      </w:r>
      <w:r>
        <w:rPr>
          <w:lang w:val="en-GB"/>
        </w:rPr>
        <w:t>chapter</w:t>
      </w:r>
      <w:r w:rsidRPr="00503BA6">
        <w:rPr>
          <w:lang w:val="en-GB"/>
        </w:rPr>
        <w:t>, a hybrid voltage stability assessment (VSA) method is proposed for N-1 contingency. With the proposed model-based contingency sensitivity and the measurement-based VSA technique, the hybrid VSA method solves the challenge of VSA under contingency cases. This broadens the application of PMUs in actual practices.</w:t>
      </w:r>
    </w:p>
    <w:p w14:paraId="1B4E0480" w14:textId="77777777" w:rsidR="00451ED6" w:rsidRPr="00503BA6" w:rsidRDefault="00451ED6" w:rsidP="00451ED6">
      <w:pPr>
        <w:rPr>
          <w:lang w:val="en-GB"/>
        </w:rPr>
      </w:pPr>
      <w:r w:rsidRPr="00503BA6">
        <w:rPr>
          <w:lang w:val="en-GB"/>
        </w:rPr>
        <w:t xml:space="preserve">This </w:t>
      </w:r>
      <w:r>
        <w:rPr>
          <w:lang w:val="en-GB"/>
        </w:rPr>
        <w:t>chapter</w:t>
      </w:r>
      <w:r w:rsidRPr="00503BA6">
        <w:rPr>
          <w:lang w:val="en-GB"/>
        </w:rPr>
        <w:t xml:space="preserve"> proposes a model-based sensitivity calculation method for estimating the post-contingency system status. The transformation in deriving the sensitivity is mathematically proven in the </w:t>
      </w:r>
      <w:r>
        <w:rPr>
          <w:lang w:val="en-GB"/>
        </w:rPr>
        <w:t>chapter</w:t>
      </w:r>
      <w:r w:rsidRPr="00503BA6">
        <w:rPr>
          <w:lang w:val="en-GB"/>
        </w:rPr>
        <w:t>. Test results on the IEEE 14-bus system show that the proposed method considerably reduces the estimation errors, especially when reactive power limits are violated. This is the advantage of the proposed method over the methods in the literature.</w:t>
      </w:r>
    </w:p>
    <w:p w14:paraId="68374E2D" w14:textId="1B0F4FE9" w:rsidR="00685FFD" w:rsidRPr="00503BA6" w:rsidRDefault="00451ED6" w:rsidP="00451ED6">
      <w:pPr>
        <w:ind w:firstLine="0"/>
        <w:rPr>
          <w:lang w:val="en-GB"/>
        </w:rPr>
      </w:pPr>
      <w:r w:rsidRPr="00503BA6">
        <w:rPr>
          <w:lang w:val="en-GB"/>
        </w:rPr>
        <w:t>Case studies of the proposed sensitivity on IEEE 14, 39, and 118-bus systems for all line outages demonstrate that it is suitable and accurate for estimating post-contingency status for VSA applications. The proposed HBVSA method, which is based on the estimated post-contingency system status, shows good accuracy in estimating the stability margin for the N-1 contingency on all the three test systems. Finally, a load</w:t>
      </w:r>
      <w:r w:rsidR="00685FFD" w:rsidRPr="00503BA6">
        <w:rPr>
          <w:lang w:val="en-GB"/>
        </w:rPr>
        <w:t>increasing scenario simulated on the IEEE 118 system illustrates the ability that the HBVSA can assist the system operators with monitoring the stability margin for N-1 contingencies.</w:t>
      </w:r>
    </w:p>
    <w:p w14:paraId="2CBF05B7" w14:textId="77777777" w:rsidR="00503BA6" w:rsidRPr="00503BA6" w:rsidRDefault="00503BA6" w:rsidP="00503BA6">
      <w:pPr>
        <w:rPr>
          <w:lang w:val="en-GB"/>
        </w:rPr>
      </w:pPr>
      <w:r w:rsidRPr="00503BA6">
        <w:rPr>
          <w:lang w:val="en-GB"/>
        </w:rPr>
        <w:t xml:space="preserve">Besides the accuracy, the proposed method has several advantages from the computational aspect. First, the developed sensitivity model can predict the post-contingency with little computational resources compared with traditional CPF. Second, </w:t>
      </w:r>
      <w:r w:rsidRPr="00503BA6">
        <w:rPr>
          <w:lang w:val="en-GB"/>
        </w:rPr>
        <w:lastRenderedPageBreak/>
        <w:t xml:space="preserve">the procedure in calculating the VSI is computationally efficient. Third, the proposed scheme as shown in </w:t>
      </w:r>
      <w:r w:rsidR="00BB417A">
        <w:rPr>
          <w:lang w:val="en-GB"/>
        </w:rPr>
        <w:fldChar w:fldCharType="begin"/>
      </w:r>
      <w:r w:rsidR="00BB417A">
        <w:rPr>
          <w:lang w:val="en-GB"/>
        </w:rPr>
        <w:instrText xml:space="preserve"> REF _Ref431908021 </w:instrText>
      </w:r>
      <w:r w:rsidR="00BB417A">
        <w:rPr>
          <w:lang w:val="en-GB"/>
        </w:rPr>
        <w:fldChar w:fldCharType="separate"/>
      </w:r>
      <w:r w:rsidR="00656B13">
        <w:t xml:space="preserve">Figure </w:t>
      </w:r>
      <w:r w:rsidR="00656B13">
        <w:rPr>
          <w:noProof/>
        </w:rPr>
        <w:t>18</w:t>
      </w:r>
      <w:r w:rsidR="00BB417A">
        <w:rPr>
          <w:lang w:val="en-GB"/>
        </w:rPr>
        <w:fldChar w:fldCharType="end"/>
      </w:r>
      <w:r w:rsidRPr="00503BA6">
        <w:rPr>
          <w:lang w:val="en-GB"/>
        </w:rPr>
        <w:t xml:space="preserve"> is suitable for parallel implementation and thus has a promising potential in online applications. This can be a future work of this research.</w:t>
      </w:r>
    </w:p>
    <w:p w14:paraId="374B1080" w14:textId="77777777" w:rsidR="00374675" w:rsidRDefault="00374675">
      <w:pPr>
        <w:rPr>
          <w:lang w:val="en-GB"/>
        </w:rPr>
      </w:pPr>
      <w:r>
        <w:rPr>
          <w:lang w:val="en-GB"/>
        </w:rPr>
        <w:br w:type="page"/>
      </w:r>
    </w:p>
    <w:p w14:paraId="55C4E23B" w14:textId="77777777" w:rsidR="007C2582" w:rsidRDefault="00374675" w:rsidP="00CC759C">
      <w:pPr>
        <w:pStyle w:val="Heading1"/>
      </w:pPr>
      <w:bookmarkStart w:id="104" w:name="_Toc459076563"/>
      <w:r w:rsidRPr="00F920F6">
        <w:lastRenderedPageBreak/>
        <w:t>C</w:t>
      </w:r>
      <w:r>
        <w:t>HAPTER</w:t>
      </w:r>
      <w:r w:rsidRPr="00F920F6">
        <w:t xml:space="preserve"> </w:t>
      </w:r>
      <w:r>
        <w:t>5</w:t>
      </w:r>
      <w:r w:rsidRPr="004D734D">
        <w:br/>
      </w:r>
      <w:r w:rsidR="001C09CE" w:rsidRPr="007C2582">
        <w:t>MEASUREMENT-BASED WIDE-AREA LOADING MARGIN SENSITIVITY AND ITS APPLICATION IN VOLTAGE STABILITY</w:t>
      </w:r>
      <w:r w:rsidR="007C2582" w:rsidRPr="007C2582">
        <w:t xml:space="preserve"> </w:t>
      </w:r>
      <w:r w:rsidR="00E55F77">
        <w:t>CONTROL</w:t>
      </w:r>
      <w:bookmarkEnd w:id="104"/>
    </w:p>
    <w:p w14:paraId="7D27C234" w14:textId="77777777" w:rsidR="00E825BB" w:rsidRPr="00E825BB" w:rsidRDefault="00E825BB" w:rsidP="00E825BB">
      <w:pPr>
        <w:rPr>
          <w:bCs/>
        </w:rPr>
      </w:pPr>
      <w:r w:rsidRPr="00E825BB">
        <w:rPr>
          <w:bCs/>
        </w:rPr>
        <w:t>Sensitivity analyses have been widely studied in the realm of voltage stability assessment (VSA) and control. Existing model-based sensitivities for VSA require full detailed system models as well as non-trivial amount of computation; therefore, they are not ideal for online applications. Based on the recently developed single-port circuit model, this work proposes measurement-based wide-area loading margin sensitivity (WALMS) that is suitable for real-time deployment. With the measurements from wide-area measurement systems, the WALMS model can be used to derive the analytical expression of the sensitivity of loading margin (LM) versus power injection and generator terminal voltage. Consequently, the WALMS is highly efficient to be calculated if compared with its model-based counterparts. In addition, a multi-step control strategy for voltage stability integrating the WALMS is considered with the purpose to demonstrate the applicability of the proposed sensitivity. Case study on the IEEE 39-bus system verifies the WALMS and validates the multi-step control strategy. Further, the proposed WALMS is extensively tested on the IEEE 14, 57, and 300-bus systems. Evidently, the measurement-based WALMS has great potential to be integrated to online VSA and control applications.</w:t>
      </w:r>
    </w:p>
    <w:p w14:paraId="6317C823" w14:textId="77777777" w:rsidR="007C2582" w:rsidRPr="007C2582" w:rsidRDefault="00E825BB" w:rsidP="004B5C30">
      <w:pPr>
        <w:pStyle w:val="Heading2"/>
      </w:pPr>
      <w:bookmarkStart w:id="105" w:name="_Toc459076564"/>
      <w:r>
        <w:lastRenderedPageBreak/>
        <w:t xml:space="preserve">5.1 </w:t>
      </w:r>
      <w:r w:rsidR="007C2582" w:rsidRPr="007C2582">
        <w:t>Voltage Stability Assessment Using Coupled Single-Port Circuit Concept</w:t>
      </w:r>
      <w:bookmarkEnd w:id="105"/>
    </w:p>
    <w:p w14:paraId="2265DB61" w14:textId="77777777" w:rsidR="007C2582" w:rsidRPr="007C2582" w:rsidRDefault="007C2582" w:rsidP="007C2582">
      <w:r w:rsidRPr="007C2582">
        <w:t>This work is based on the coupled single-port circuit concept proposed in</w:t>
      </w:r>
      <w:r w:rsidR="00E825BB">
        <w:t xml:space="preserve">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r w:rsidRPr="007C2582">
        <w:t xml:space="preserve">. A power system can be modeled as a multi-port network and can be described by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p>
    <w:p w14:paraId="389DEAF6" w14:textId="77777777" w:rsidR="007C2582" w:rsidRPr="007C2582" w:rsidRDefault="00E825BB" w:rsidP="00E825BB">
      <w:pPr>
        <w:ind w:left="720"/>
        <w:jc w:val="right"/>
      </w:pPr>
      <w:r w:rsidRPr="007C2582">
        <w:object w:dxaOrig="3460" w:dyaOrig="940" w14:anchorId="387731CB">
          <v:shape id="_x0000_i1178" type="#_x0000_t75" style="width:201pt;height:55.5pt" o:ole="">
            <v:imagedata r:id="rId247" o:title=""/>
          </v:shape>
          <o:OLEObject Type="Embed" ProgID="Equation.DSMT4" ShapeID="_x0000_i1178" DrawAspect="Content" ObjectID="_1532825708" r:id="rId248"/>
        </w:object>
      </w:r>
      <w:r w:rsidR="00685FFD">
        <w:tab/>
      </w:r>
      <w:r w:rsidR="00685FFD">
        <w:tab/>
      </w:r>
      <w:r w:rsidR="007C2582" w:rsidRPr="007C2582">
        <w:tab/>
        <w:t>(</w:t>
      </w:r>
      <w:r>
        <w:t>5-</w:t>
      </w:r>
      <w:r w:rsidR="007C2582" w:rsidRPr="007C2582">
        <w:t>1)</w:t>
      </w:r>
    </w:p>
    <w:p w14:paraId="1D4BA73A" w14:textId="77777777" w:rsidR="007C2582" w:rsidRPr="007C2582" w:rsidRDefault="007C2582" w:rsidP="007C2582">
      <w:r w:rsidRPr="007C2582">
        <w:t xml:space="preserve">where the </w:t>
      </w:r>
      <w:r w:rsidRPr="007C2582">
        <w:rPr>
          <w:b/>
          <w:i/>
        </w:rPr>
        <w:t>Y</w:t>
      </w:r>
      <w:r w:rsidRPr="007C2582">
        <w:t xml:space="preserve"> matrix is the system admittance matrix, </w:t>
      </w:r>
      <w:r w:rsidRPr="007C2582">
        <w:rPr>
          <w:b/>
          <w:i/>
        </w:rPr>
        <w:t>V</w:t>
      </w:r>
      <w:r w:rsidRPr="007C2582">
        <w:t xml:space="preserve"> and </w:t>
      </w:r>
      <w:r w:rsidRPr="007C2582">
        <w:rPr>
          <w:b/>
          <w:i/>
        </w:rPr>
        <w:t>I</w:t>
      </w:r>
      <w:r w:rsidRPr="007C2582">
        <w:rPr>
          <w:b/>
        </w:rPr>
        <w:t xml:space="preserve"> </w:t>
      </w:r>
      <w:r w:rsidRPr="007C2582">
        <w:t xml:space="preserve">are vectors of voltage and current phasors, and the subscripts </w:t>
      </w:r>
      <w:r w:rsidRPr="007C2582">
        <w:rPr>
          <w:i/>
        </w:rPr>
        <w:t>L</w:t>
      </w:r>
      <w:r w:rsidRPr="007C2582">
        <w:t xml:space="preserve">, </w:t>
      </w:r>
      <w:r w:rsidRPr="007C2582">
        <w:rPr>
          <w:i/>
        </w:rPr>
        <w:t>T</w:t>
      </w:r>
      <w:r w:rsidRPr="007C2582">
        <w:t xml:space="preserve">, and </w:t>
      </w:r>
      <w:r w:rsidRPr="007C2582">
        <w:rPr>
          <w:i/>
        </w:rPr>
        <w:t>G</w:t>
      </w:r>
      <w:r w:rsidRPr="007C2582">
        <w:t xml:space="preserve"> represent sets of the load bus, tie bus, and generator bus, respectively. </w:t>
      </w:r>
    </w:p>
    <w:p w14:paraId="7A5B16F6" w14:textId="77777777" w:rsidR="007C2582" w:rsidRPr="007C2582" w:rsidRDefault="007C2582" w:rsidP="007C2582">
      <w:r w:rsidRPr="007C2582">
        <w:t xml:space="preserve">Eliminating the voltage vectors of the tie buses, we have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p>
    <w:p w14:paraId="138CD2BB" w14:textId="77777777" w:rsidR="007C2582" w:rsidRPr="007C2582" w:rsidRDefault="00E825BB" w:rsidP="00E825BB">
      <w:pPr>
        <w:jc w:val="right"/>
      </w:pPr>
      <w:r w:rsidRPr="007C2582">
        <w:object w:dxaOrig="2120" w:dyaOrig="980" w14:anchorId="4FBE1236">
          <v:shape id="_x0000_i1179" type="#_x0000_t75" style="width:123pt;height:58.5pt" o:ole="">
            <v:imagedata r:id="rId249" o:title=""/>
          </v:shape>
          <o:OLEObject Type="Embed" ProgID="Equation.DSMT4" ShapeID="_x0000_i1179" DrawAspect="Content" ObjectID="_1532825709" r:id="rId250"/>
        </w:object>
      </w:r>
      <w:r>
        <w:tab/>
      </w:r>
      <w:r>
        <w:tab/>
      </w:r>
      <w:r>
        <w:tab/>
      </w:r>
      <w:r w:rsidR="007C2582" w:rsidRPr="007C2582">
        <w:tab/>
        <w:t>(</w:t>
      </w:r>
      <w:r>
        <w:t>5-</w:t>
      </w:r>
      <w:r w:rsidR="007C2582" w:rsidRPr="007C2582">
        <w:t>2)</w:t>
      </w:r>
    </w:p>
    <w:p w14:paraId="1C7D110C" w14:textId="77777777" w:rsidR="007C2582" w:rsidRPr="007C2582" w:rsidRDefault="007C2582" w:rsidP="007C2582">
      <w:r w:rsidRPr="007C2582">
        <w:t>For load bus i, we have</w:t>
      </w:r>
      <w:r w:rsidR="00E825BB">
        <w:t xml:space="preserve">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r w:rsidRPr="007C2582">
        <w:t>,</w:t>
      </w:r>
    </w:p>
    <w:p w14:paraId="0503CD48" w14:textId="77777777" w:rsidR="007C2582" w:rsidRPr="007C2582" w:rsidRDefault="00E825BB" w:rsidP="00E825BB">
      <w:pPr>
        <w:jc w:val="right"/>
      </w:pPr>
      <w:r w:rsidRPr="007C2582">
        <w:object w:dxaOrig="3320" w:dyaOrig="320" w14:anchorId="49CD76CF">
          <v:shape id="_x0000_i1180" type="#_x0000_t75" style="width:201pt;height:19.5pt" o:ole="">
            <v:imagedata r:id="rId251" o:title=""/>
          </v:shape>
          <o:OLEObject Type="Embed" ProgID="Equation.DSMT4" ShapeID="_x0000_i1180" DrawAspect="Content" ObjectID="_1532825710" r:id="rId252"/>
        </w:object>
      </w:r>
      <w:r w:rsidR="007C2582" w:rsidRPr="007C2582">
        <w:tab/>
      </w:r>
      <w:r w:rsidR="007C2582" w:rsidRPr="007C2582">
        <w:tab/>
      </w:r>
      <w:r w:rsidR="007C2582" w:rsidRPr="007C2582">
        <w:tab/>
        <w:t>(</w:t>
      </w:r>
      <w:r>
        <w:t>5-</w:t>
      </w:r>
      <w:r w:rsidR="007C2582" w:rsidRPr="007C2582">
        <w:t>3)</w:t>
      </w:r>
    </w:p>
    <w:p w14:paraId="7DE7076A" w14:textId="77777777" w:rsidR="007C2582" w:rsidRPr="007C2582" w:rsidRDefault="00E825BB" w:rsidP="00E825BB">
      <w:pPr>
        <w:jc w:val="right"/>
      </w:pPr>
      <w:r w:rsidRPr="007C2582">
        <w:object w:dxaOrig="2079" w:dyaOrig="480" w14:anchorId="6A53D131">
          <v:shape id="_x0000_i1181" type="#_x0000_t75" style="width:121.5pt;height:33pt" o:ole="">
            <v:imagedata r:id="rId253" o:title=""/>
          </v:shape>
          <o:OLEObject Type="Embed" ProgID="Equation.DSMT4" ShapeID="_x0000_i1181" DrawAspect="Content" ObjectID="_1532825711" r:id="rId254"/>
        </w:object>
      </w:r>
      <w:r w:rsidR="007C2582" w:rsidRPr="007C2582">
        <w:tab/>
      </w:r>
      <w:r w:rsidR="007C2582" w:rsidRPr="007C2582">
        <w:tab/>
      </w:r>
      <w:r w:rsidR="00685FFD">
        <w:tab/>
      </w:r>
      <w:r w:rsidR="00685FFD">
        <w:tab/>
      </w:r>
      <w:r w:rsidR="007C2582" w:rsidRPr="007C2582">
        <w:tab/>
        <w:t>(</w:t>
      </w:r>
      <w:r>
        <w:t>5-</w:t>
      </w:r>
      <w:r w:rsidR="007C2582" w:rsidRPr="007C2582">
        <w:t>4)</w:t>
      </w:r>
    </w:p>
    <w:p w14:paraId="2314598E" w14:textId="77777777" w:rsidR="007C2582" w:rsidRPr="007C2582" w:rsidRDefault="00E825BB" w:rsidP="00E825BB">
      <w:pPr>
        <w:jc w:val="right"/>
      </w:pPr>
      <w:r w:rsidRPr="007C2582">
        <w:object w:dxaOrig="3000" w:dyaOrig="660" w14:anchorId="2C8D3784">
          <v:shape id="_x0000_i1182" type="#_x0000_t75" style="width:162pt;height:37.5pt" o:ole="">
            <v:imagedata r:id="rId255" o:title=""/>
          </v:shape>
          <o:OLEObject Type="Embed" ProgID="Equation.DSMT4" ShapeID="_x0000_i1182" DrawAspect="Content" ObjectID="_1532825712" r:id="rId256"/>
        </w:object>
      </w:r>
      <w:r w:rsidR="007C2582" w:rsidRPr="007C2582">
        <w:tab/>
      </w:r>
      <w:r w:rsidR="007C2582" w:rsidRPr="007C2582">
        <w:tab/>
      </w:r>
      <w:r w:rsidR="00685FFD">
        <w:tab/>
      </w:r>
      <w:r w:rsidR="007C2582" w:rsidRPr="007C2582">
        <w:tab/>
        <w:t>(</w:t>
      </w:r>
      <w:r>
        <w:t>5-</w:t>
      </w:r>
      <w:r w:rsidR="007C2582" w:rsidRPr="007C2582">
        <w:t>5)</w:t>
      </w:r>
    </w:p>
    <w:p w14:paraId="5EBC73BA" w14:textId="77777777" w:rsidR="007C2582" w:rsidRPr="007C2582" w:rsidRDefault="007C2582" w:rsidP="007C2582">
      <w:r w:rsidRPr="007C2582">
        <w:t xml:space="preserve">where </w:t>
      </w:r>
      <w:r w:rsidRPr="007C2582">
        <w:rPr>
          <w:b/>
          <w:i/>
        </w:rPr>
        <w:t>Z</w:t>
      </w:r>
      <w:r w:rsidRPr="007C2582">
        <w:rPr>
          <w:i/>
          <w:vertAlign w:val="subscript"/>
        </w:rPr>
        <w:t>ii</w:t>
      </w:r>
      <w:r w:rsidRPr="007C2582">
        <w:t xml:space="preserve"> is the diagonal element of </w:t>
      </w:r>
      <w:r w:rsidRPr="007C2582">
        <w:rPr>
          <w:b/>
          <w:i/>
        </w:rPr>
        <w:t>Z</w:t>
      </w:r>
      <w:r w:rsidRPr="007C2582">
        <w:rPr>
          <w:i/>
          <w:vertAlign w:val="subscript"/>
        </w:rPr>
        <w:t>LL</w:t>
      </w:r>
      <w:r w:rsidRPr="007C2582">
        <w:t xml:space="preserve"> for load bus </w:t>
      </w:r>
      <w:r w:rsidRPr="007C2582">
        <w:rPr>
          <w:i/>
        </w:rPr>
        <w:t>i</w:t>
      </w:r>
      <w:r w:rsidRPr="007C2582">
        <w:t xml:space="preserve">, and </w:t>
      </w:r>
      <w:r w:rsidRPr="007C2582">
        <w:rPr>
          <w:b/>
          <w:i/>
        </w:rPr>
        <w:t>Z</w:t>
      </w:r>
      <w:r w:rsidRPr="007C2582">
        <w:rPr>
          <w:i/>
          <w:vertAlign w:val="subscript"/>
        </w:rPr>
        <w:t>ij</w:t>
      </w:r>
      <w:r w:rsidRPr="007C2582">
        <w:t xml:space="preserve"> is the element in </w:t>
      </w:r>
      <w:r w:rsidRPr="007C2582">
        <w:rPr>
          <w:b/>
          <w:i/>
        </w:rPr>
        <w:t>Z</w:t>
      </w:r>
      <w:r w:rsidRPr="007C2582">
        <w:rPr>
          <w:i/>
          <w:vertAlign w:val="subscript"/>
        </w:rPr>
        <w:t>LL</w:t>
      </w:r>
      <w:r w:rsidRPr="007C2582">
        <w:t xml:space="preserve">, the coupling impedance corresponding to load bus </w:t>
      </w:r>
      <w:r w:rsidRPr="007C2582">
        <w:rPr>
          <w:i/>
        </w:rPr>
        <w:t xml:space="preserve">i </w:t>
      </w:r>
      <w:r w:rsidRPr="007C2582">
        <w:t xml:space="preserve">and to load bus </w:t>
      </w:r>
      <w:r w:rsidRPr="007C2582">
        <w:rPr>
          <w:i/>
        </w:rPr>
        <w:t>j</w:t>
      </w:r>
      <w:r w:rsidRPr="007C2582">
        <w:t xml:space="preserve">; </w:t>
      </w:r>
      <w:r w:rsidRPr="007C2582">
        <w:rPr>
          <w:b/>
          <w:i/>
        </w:rPr>
        <w:t>Z</w:t>
      </w:r>
      <w:r w:rsidRPr="007C2582">
        <w:rPr>
          <w:i/>
          <w:vertAlign w:val="subscript"/>
        </w:rPr>
        <w:t xml:space="preserve">cp,i </w:t>
      </w:r>
      <w:r w:rsidRPr="007C2582">
        <w:t xml:space="preserve">is the coupled impedance for load bus </w:t>
      </w:r>
      <w:r w:rsidRPr="007C2582">
        <w:rPr>
          <w:i/>
        </w:rPr>
        <w:t>i</w:t>
      </w:r>
      <w:r w:rsidRPr="007C2582">
        <w:t xml:space="preserve">; </w:t>
      </w:r>
      <w:r w:rsidRPr="007C2582">
        <w:rPr>
          <w:b/>
          <w:i/>
        </w:rPr>
        <w:t>K</w:t>
      </w:r>
      <w:r w:rsidRPr="007C2582">
        <w:rPr>
          <w:i/>
          <w:vertAlign w:val="subscript"/>
        </w:rPr>
        <w:t>ig</w:t>
      </w:r>
      <w:r w:rsidRPr="007C2582">
        <w:t xml:space="preserve"> is the element in </w:t>
      </w:r>
      <w:r w:rsidRPr="007C2582">
        <w:rPr>
          <w:b/>
          <w:i/>
        </w:rPr>
        <w:t>K</w:t>
      </w:r>
      <w:r w:rsidRPr="007C2582">
        <w:t xml:space="preserve"> matrix corresponding to load bus </w:t>
      </w:r>
      <w:r w:rsidRPr="007C2582">
        <w:rPr>
          <w:i/>
        </w:rPr>
        <w:t>i</w:t>
      </w:r>
      <w:r w:rsidRPr="007C2582">
        <w:t xml:space="preserve"> and generator bus </w:t>
      </w:r>
      <w:r w:rsidRPr="007C2582">
        <w:rPr>
          <w:i/>
        </w:rPr>
        <w:t>g</w:t>
      </w:r>
      <w:r w:rsidRPr="007C2582">
        <w:t>.</w:t>
      </w:r>
    </w:p>
    <w:p w14:paraId="2D7C6C81" w14:textId="77777777" w:rsidR="007C2582" w:rsidRDefault="007C2582" w:rsidP="00451ED6">
      <w:pPr>
        <w:spacing w:after="240"/>
      </w:pPr>
      <w:r w:rsidRPr="007C2582">
        <w:lastRenderedPageBreak/>
        <w:t xml:space="preserve">By modeling the coupling effect of other loads into </w:t>
      </w:r>
      <w:r w:rsidRPr="007C2582">
        <w:rPr>
          <w:b/>
          <w:i/>
        </w:rPr>
        <w:t>Z</w:t>
      </w:r>
      <w:r w:rsidRPr="007C2582">
        <w:rPr>
          <w:i/>
          <w:vertAlign w:val="subscript"/>
        </w:rPr>
        <w:t>cp,i</w:t>
      </w:r>
      <w:r w:rsidRPr="007C2582">
        <w:t>, the TE can be found through (</w:t>
      </w:r>
      <w:r w:rsidR="00E825BB">
        <w:t>5-</w:t>
      </w:r>
      <w:r w:rsidRPr="007C2582">
        <w:t>3) and (</w:t>
      </w:r>
      <w:r w:rsidR="00E825BB">
        <w:t>5-</w:t>
      </w:r>
      <w:r w:rsidRPr="007C2582">
        <w:t>5) and is depicted in</w:t>
      </w:r>
      <w:r w:rsidR="00A40B63">
        <w:t xml:space="preserve"> </w:t>
      </w:r>
      <w:r w:rsidR="00A40B63">
        <w:fldChar w:fldCharType="begin"/>
      </w:r>
      <w:r w:rsidR="00A40B63">
        <w:instrText xml:space="preserve"> REF _Ref432062664 \h </w:instrText>
      </w:r>
      <w:r w:rsidR="00A40B63">
        <w:fldChar w:fldCharType="separate"/>
      </w:r>
      <w:r w:rsidR="00656B13">
        <w:t xml:space="preserve">Figure </w:t>
      </w:r>
      <w:r w:rsidR="00656B13">
        <w:rPr>
          <w:noProof/>
        </w:rPr>
        <w:t>27</w:t>
      </w:r>
      <w:r w:rsidR="00A40B63">
        <w:fldChar w:fldCharType="end"/>
      </w:r>
      <w:r w:rsidRPr="007C2582">
        <w:t xml:space="preserve">. The Thevenin voltage </w:t>
      </w:r>
      <w:r w:rsidRPr="007C2582">
        <w:rPr>
          <w:b/>
          <w:i/>
        </w:rPr>
        <w:t>E</w:t>
      </w:r>
      <w:r w:rsidRPr="007C2582">
        <w:rPr>
          <w:i/>
          <w:vertAlign w:val="subscript"/>
        </w:rPr>
        <w:t>eq,i</w:t>
      </w:r>
      <w:r w:rsidRPr="007C2582">
        <w:t xml:space="preserve"> is determined by the generator terminal voltages through matrix </w:t>
      </w:r>
      <w:r w:rsidRPr="007C2582">
        <w:rPr>
          <w:b/>
          <w:i/>
        </w:rPr>
        <w:t>K</w:t>
      </w:r>
      <w:r w:rsidRPr="007C2582">
        <w:t xml:space="preserve">. The Thevenin impedance </w:t>
      </w:r>
      <w:r w:rsidRPr="007C2582">
        <w:rPr>
          <w:b/>
          <w:i/>
        </w:rPr>
        <w:t>Z</w:t>
      </w:r>
      <w:r w:rsidRPr="007C2582">
        <w:rPr>
          <w:i/>
          <w:vertAlign w:val="subscript"/>
        </w:rPr>
        <w:t>eq,i</w:t>
      </w:r>
      <w:r w:rsidRPr="007C2582">
        <w:t xml:space="preserve"> is determined by the diagonal element of </w:t>
      </w:r>
      <w:r w:rsidRPr="007C2582">
        <w:rPr>
          <w:b/>
          <w:i/>
        </w:rPr>
        <w:t>Z</w:t>
      </w:r>
      <w:r w:rsidRPr="007C2582">
        <w:rPr>
          <w:i/>
          <w:vertAlign w:val="subscript"/>
        </w:rPr>
        <w:t>LL</w:t>
      </w:r>
      <w:r w:rsidRPr="007C2582">
        <w:t xml:space="preserve"> and the coupling of other loads through corresponding elements in </w:t>
      </w:r>
      <w:r w:rsidRPr="007C2582">
        <w:rPr>
          <w:b/>
          <w:i/>
        </w:rPr>
        <w:t>Z</w:t>
      </w:r>
      <w:r w:rsidRPr="007C2582">
        <w:rPr>
          <w:i/>
          <w:vertAlign w:val="subscript"/>
        </w:rPr>
        <w:t>LL</w:t>
      </w:r>
      <w:r w:rsidRPr="007C2582">
        <w:t>.</w:t>
      </w:r>
    </w:p>
    <w:p w14:paraId="2F69787B" w14:textId="77777777" w:rsidR="00451ED6" w:rsidRPr="007C2582" w:rsidRDefault="00451ED6" w:rsidP="00451ED6">
      <w:pPr>
        <w:spacing w:line="240" w:lineRule="auto"/>
        <w:ind w:firstLine="0"/>
        <w:jc w:val="center"/>
        <w:rPr>
          <w:lang w:val="x-none"/>
        </w:rPr>
      </w:pPr>
      <w:r w:rsidRPr="007C2582">
        <w:rPr>
          <w:lang w:val="x-none"/>
        </w:rPr>
        <w:object w:dxaOrig="4569" w:dyaOrig="1935" w14:anchorId="633CD2A2">
          <v:shape id="_x0000_i1183" type="#_x0000_t75" style="width:177pt;height:75pt" o:ole="">
            <v:imagedata r:id="rId257" o:title=""/>
          </v:shape>
          <o:OLEObject Type="Embed" ProgID="Visio.Drawing.11" ShapeID="_x0000_i1183" DrawAspect="Content" ObjectID="_1532825713" r:id="rId258"/>
        </w:object>
      </w:r>
    </w:p>
    <w:p w14:paraId="7C3FC22C" w14:textId="77777777" w:rsidR="00451ED6" w:rsidRPr="007C2582" w:rsidRDefault="00451ED6" w:rsidP="00451ED6">
      <w:pPr>
        <w:pStyle w:val="Caption"/>
        <w:rPr>
          <w:lang w:val="x-none"/>
        </w:rPr>
      </w:pPr>
      <w:bookmarkStart w:id="106" w:name="_Ref432062664"/>
      <w:bookmarkStart w:id="107" w:name="_Ref432061001"/>
      <w:bookmarkStart w:id="108" w:name="_Toc459076478"/>
      <w:r>
        <w:t xml:space="preserve">Figure </w:t>
      </w:r>
      <w:fldSimple w:instr=" SEQ Figure \* ARABIC ">
        <w:r>
          <w:rPr>
            <w:noProof/>
          </w:rPr>
          <w:t>27</w:t>
        </w:r>
      </w:fldSimple>
      <w:bookmarkEnd w:id="106"/>
      <w:r w:rsidRPr="007C2582">
        <w:rPr>
          <w:lang w:val="x-none"/>
        </w:rPr>
        <w:t>. Coupled single-port circuit</w:t>
      </w:r>
      <w:bookmarkEnd w:id="107"/>
      <w:bookmarkEnd w:id="108"/>
    </w:p>
    <w:p w14:paraId="195B6F47" w14:textId="77777777" w:rsidR="007C2582" w:rsidRPr="007C2582" w:rsidRDefault="007C2582" w:rsidP="00451ED6">
      <w:pPr>
        <w:spacing w:before="360"/>
      </w:pPr>
      <w:r w:rsidRPr="007C2582">
        <w:t xml:space="preserve">Assuming that the measurements of voltage phasors at all generator terminals and voltage and current phasors at load bus </w:t>
      </w:r>
      <w:r w:rsidRPr="007C2582">
        <w:rPr>
          <w:i/>
        </w:rPr>
        <w:t>i</w:t>
      </w:r>
      <w:r w:rsidRPr="007C2582">
        <w:t xml:space="preserve"> are available from PMUs and the system admittance matrix is also available. The TE as seen from bus </w:t>
      </w:r>
      <w:r w:rsidRPr="007C2582">
        <w:rPr>
          <w:i/>
        </w:rPr>
        <w:t>i</w:t>
      </w:r>
      <w:r w:rsidRPr="007C2582">
        <w:t xml:space="preserve"> </w:t>
      </w:r>
      <w:r w:rsidR="00E825BB">
        <w:t xml:space="preserve">can be calculated using (3)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r w:rsidRPr="007C2582">
        <w:t xml:space="preserve">. </w:t>
      </w:r>
    </w:p>
    <w:p w14:paraId="63C8A52C" w14:textId="77777777" w:rsidR="007C2582" w:rsidRPr="007C2582" w:rsidRDefault="007C2582" w:rsidP="007C2582">
      <w:r w:rsidRPr="007C2582">
        <w:t xml:space="preserve">For the pattern of proportional load increasing, the LM of the load bus </w:t>
      </w:r>
      <w:r w:rsidRPr="007C2582">
        <w:rPr>
          <w:i/>
        </w:rPr>
        <w:t>i</w:t>
      </w:r>
      <w:r w:rsidRPr="007C2582">
        <w:t xml:space="preserve"> can be calculated as below:</w:t>
      </w:r>
    </w:p>
    <w:p w14:paraId="23757389" w14:textId="77777777" w:rsidR="007C2582" w:rsidRPr="007C2582" w:rsidRDefault="007C2582" w:rsidP="00E825BB">
      <w:pPr>
        <w:ind w:firstLine="0"/>
        <w:jc w:val="right"/>
      </w:pPr>
      <w:r w:rsidRPr="007C2582">
        <w:object w:dxaOrig="5480" w:dyaOrig="1480" w14:anchorId="13EE0358">
          <v:shape id="_x0000_i1052" type="#_x0000_t75" style="width:282pt;height:73.5pt" o:ole="">
            <v:imagedata r:id="rId259" o:title=""/>
          </v:shape>
          <o:OLEObject Type="Embed" ProgID="Equation.DSMT4" ShapeID="_x0000_i1052" DrawAspect="Content" ObjectID="_1532825714" r:id="rId260"/>
        </w:object>
      </w:r>
      <w:r w:rsidR="00E825BB">
        <w:tab/>
      </w:r>
      <w:r w:rsidR="00E825BB">
        <w:tab/>
      </w:r>
      <w:r w:rsidRPr="007C2582">
        <w:tab/>
        <w:t>(6)</w:t>
      </w:r>
    </w:p>
    <w:p w14:paraId="6BDE0D7B" w14:textId="77777777" w:rsidR="007C2582" w:rsidRPr="007C2582" w:rsidRDefault="007C2582" w:rsidP="007C2582">
      <w:r w:rsidRPr="007C2582">
        <w:t xml:space="preserve">where </w:t>
      </w:r>
      <w:r w:rsidRPr="007C2582">
        <w:rPr>
          <w:i/>
        </w:rPr>
        <w:t>R</w:t>
      </w:r>
      <w:r w:rsidRPr="007C2582">
        <w:rPr>
          <w:i/>
          <w:vertAlign w:val="subscript"/>
        </w:rPr>
        <w:t xml:space="preserve">eq,i </w:t>
      </w:r>
      <w:r w:rsidRPr="007C2582">
        <w:t xml:space="preserve">and </w:t>
      </w:r>
      <w:r w:rsidRPr="007C2582">
        <w:rPr>
          <w:i/>
        </w:rPr>
        <w:t>X</w:t>
      </w:r>
      <w:r w:rsidRPr="007C2582">
        <w:rPr>
          <w:i/>
          <w:vertAlign w:val="subscript"/>
        </w:rPr>
        <w:t xml:space="preserve">eq,i </w:t>
      </w:r>
      <w:r w:rsidRPr="007C2582">
        <w:t xml:space="preserve">are the real and imaginary parts of </w:t>
      </w:r>
      <w:r w:rsidRPr="007C2582">
        <w:rPr>
          <w:b/>
          <w:i/>
        </w:rPr>
        <w:t>Z</w:t>
      </w:r>
      <w:r w:rsidRPr="007C2582">
        <w:rPr>
          <w:b/>
          <w:i/>
          <w:vertAlign w:val="subscript"/>
        </w:rPr>
        <w:t>eq,i</w:t>
      </w:r>
      <w:r w:rsidRPr="007C2582">
        <w:t>, respectively, and are defined in (</w:t>
      </w:r>
      <w:r w:rsidR="00E825BB">
        <w:t>5-</w:t>
      </w:r>
      <w:r w:rsidRPr="007C2582">
        <w:t>7) and (</w:t>
      </w:r>
      <w:r w:rsidR="00E825BB">
        <w:t>5-</w:t>
      </w:r>
      <w:r w:rsidRPr="007C2582">
        <w:t xml:space="preserve">8); </w:t>
      </w:r>
      <w:r w:rsidRPr="007C2582">
        <w:rPr>
          <w:i/>
        </w:rPr>
        <w:t>P</w:t>
      </w:r>
      <w:r w:rsidRPr="007C2582">
        <w:rPr>
          <w:i/>
          <w:vertAlign w:val="subscript"/>
        </w:rPr>
        <w:t>i</w:t>
      </w:r>
      <w:r w:rsidRPr="007C2582">
        <w:t xml:space="preserve"> and </w:t>
      </w:r>
      <w:r w:rsidRPr="007C2582">
        <w:rPr>
          <w:i/>
        </w:rPr>
        <w:t>Q</w:t>
      </w:r>
      <w:r w:rsidRPr="007C2582">
        <w:rPr>
          <w:i/>
          <w:vertAlign w:val="subscript"/>
        </w:rPr>
        <w:t>i</w:t>
      </w:r>
      <w:r w:rsidRPr="007C2582">
        <w:t xml:space="preserve"> are the real and reactive power consumptions at bus </w:t>
      </w:r>
      <w:r w:rsidRPr="007C2582">
        <w:rPr>
          <w:i/>
        </w:rPr>
        <w:t>i</w:t>
      </w:r>
      <w:r w:rsidRPr="007C2582">
        <w:t xml:space="preserve">; and </w:t>
      </w:r>
      <w:r w:rsidRPr="007C2582">
        <w:rPr>
          <w:i/>
        </w:rPr>
        <w:t>E</w:t>
      </w:r>
      <w:r w:rsidRPr="007C2582">
        <w:rPr>
          <w:i/>
          <w:vertAlign w:val="subscript"/>
        </w:rPr>
        <w:t>eq,i</w:t>
      </w:r>
      <w:r w:rsidRPr="007C2582">
        <w:t xml:space="preserve"> is the magnitude of </w:t>
      </w:r>
      <w:r w:rsidRPr="007C2582">
        <w:rPr>
          <w:b/>
          <w:i/>
        </w:rPr>
        <w:t>E</w:t>
      </w:r>
      <w:r w:rsidRPr="007C2582">
        <w:rPr>
          <w:b/>
          <w:i/>
          <w:vertAlign w:val="subscript"/>
        </w:rPr>
        <w:t>eqi</w:t>
      </w:r>
      <w:r w:rsidRPr="007C2582">
        <w:t xml:space="preserve">. </w:t>
      </w:r>
    </w:p>
    <w:p w14:paraId="40B82929" w14:textId="77777777" w:rsidR="007C2582" w:rsidRPr="007C2582" w:rsidRDefault="007C2582" w:rsidP="00E825BB">
      <w:pPr>
        <w:ind w:firstLine="0"/>
        <w:jc w:val="right"/>
      </w:pPr>
      <w:r w:rsidRPr="007C2582">
        <w:object w:dxaOrig="5860" w:dyaOrig="940" w14:anchorId="2D02F820">
          <v:shape id="_x0000_i1053" type="#_x0000_t75" style="width:283.5pt;height:46.5pt" o:ole="">
            <v:imagedata r:id="rId261" o:title=""/>
          </v:shape>
          <o:OLEObject Type="Embed" ProgID="Equation.DSMT4" ShapeID="_x0000_i1053" DrawAspect="Content" ObjectID="_1532825715" r:id="rId262"/>
        </w:object>
      </w:r>
      <w:r w:rsidRPr="007C2582">
        <w:tab/>
      </w:r>
      <w:r w:rsidRPr="007C2582">
        <w:tab/>
      </w:r>
      <w:r w:rsidRPr="007C2582">
        <w:tab/>
        <w:t>(</w:t>
      </w:r>
      <w:r w:rsidR="00917F6F">
        <w:t>5-</w:t>
      </w:r>
      <w:r w:rsidRPr="007C2582">
        <w:t>7)</w:t>
      </w:r>
    </w:p>
    <w:p w14:paraId="740FDEEF" w14:textId="77777777" w:rsidR="007C2582" w:rsidRPr="007C2582" w:rsidRDefault="007C2582" w:rsidP="00E825BB">
      <w:pPr>
        <w:jc w:val="right"/>
      </w:pPr>
      <w:r w:rsidRPr="007C2582">
        <w:object w:dxaOrig="5960" w:dyaOrig="940" w14:anchorId="65F59D18">
          <v:shape id="_x0000_i1054" type="#_x0000_t75" style="width:4in;height:46.5pt" o:ole="">
            <v:imagedata r:id="rId263" o:title=""/>
          </v:shape>
          <o:OLEObject Type="Embed" ProgID="Equation.DSMT4" ShapeID="_x0000_i1054" DrawAspect="Content" ObjectID="_1532825716" r:id="rId264"/>
        </w:object>
      </w:r>
      <w:r w:rsidRPr="007C2582">
        <w:tab/>
      </w:r>
      <w:r w:rsidRPr="007C2582">
        <w:tab/>
      </w:r>
      <w:r w:rsidRPr="007C2582">
        <w:tab/>
        <w:t>(</w:t>
      </w:r>
      <w:r w:rsidR="00917F6F">
        <w:t>5-</w:t>
      </w:r>
      <w:r w:rsidRPr="007C2582">
        <w:t>8)</w:t>
      </w:r>
    </w:p>
    <w:p w14:paraId="1FE87D3F" w14:textId="77777777" w:rsidR="007C2582" w:rsidRPr="007C2582" w:rsidRDefault="007C2582" w:rsidP="007C2582">
      <w:r w:rsidRPr="007C2582">
        <w:t xml:space="preserve">where </w:t>
      </w:r>
      <w:r w:rsidRPr="007C2582">
        <w:rPr>
          <w:i/>
        </w:rPr>
        <w:t>S</w:t>
      </w:r>
      <w:r w:rsidRPr="007C2582">
        <w:rPr>
          <w:i/>
          <w:vertAlign w:val="subscript"/>
        </w:rPr>
        <w:t>i</w:t>
      </w:r>
      <w:r w:rsidRPr="007C2582">
        <w:rPr>
          <w:i/>
          <w:vertAlign w:val="superscript"/>
        </w:rPr>
        <w:t>2</w:t>
      </w:r>
      <w:r w:rsidRPr="007C2582">
        <w:t xml:space="preserve"> = </w:t>
      </w:r>
      <w:r w:rsidRPr="007C2582">
        <w:rPr>
          <w:i/>
        </w:rPr>
        <w:t>P</w:t>
      </w:r>
      <w:r w:rsidRPr="007C2582">
        <w:rPr>
          <w:i/>
          <w:vertAlign w:val="subscript"/>
        </w:rPr>
        <w:t>i</w:t>
      </w:r>
      <w:r w:rsidRPr="007C2582">
        <w:rPr>
          <w:i/>
          <w:vertAlign w:val="superscript"/>
        </w:rPr>
        <w:t>2</w:t>
      </w:r>
      <w:r w:rsidRPr="007C2582">
        <w:t>+</w:t>
      </w:r>
      <w:r w:rsidRPr="007C2582">
        <w:rPr>
          <w:i/>
        </w:rPr>
        <w:t>Q</w:t>
      </w:r>
      <w:r w:rsidRPr="007C2582">
        <w:rPr>
          <w:i/>
          <w:vertAlign w:val="subscript"/>
        </w:rPr>
        <w:t>i</w:t>
      </w:r>
      <w:r w:rsidRPr="007C2582">
        <w:rPr>
          <w:i/>
          <w:vertAlign w:val="superscript"/>
        </w:rPr>
        <w:t>2</w:t>
      </w:r>
      <w:r w:rsidRPr="007C2582">
        <w:t xml:space="preserve">, </w:t>
      </w:r>
      <w:r w:rsidRPr="007C2582">
        <w:rPr>
          <w:i/>
        </w:rPr>
        <w:t>R</w:t>
      </w:r>
      <w:r w:rsidRPr="007C2582">
        <w:rPr>
          <w:i/>
          <w:vertAlign w:val="subscript"/>
        </w:rPr>
        <w:t>ii</w:t>
      </w:r>
      <w:r w:rsidRPr="007C2582">
        <w:t>+j</w:t>
      </w:r>
      <w:r w:rsidRPr="007C2582">
        <w:rPr>
          <w:i/>
        </w:rPr>
        <w:t>X</w:t>
      </w:r>
      <w:r w:rsidRPr="007C2582">
        <w:rPr>
          <w:i/>
          <w:vertAlign w:val="subscript"/>
        </w:rPr>
        <w:t>ii</w:t>
      </w:r>
      <w:r w:rsidRPr="007C2582">
        <w:t xml:space="preserve"> = </w:t>
      </w:r>
      <w:r w:rsidRPr="007C2582">
        <w:rPr>
          <w:b/>
          <w:i/>
        </w:rPr>
        <w:t>Z</w:t>
      </w:r>
      <w:r w:rsidRPr="007C2582">
        <w:rPr>
          <w:i/>
          <w:vertAlign w:val="subscript"/>
        </w:rPr>
        <w:t>ii</w:t>
      </w:r>
      <w:r w:rsidRPr="007C2582">
        <w:t xml:space="preserve">, </w:t>
      </w:r>
      <w:r w:rsidRPr="007C2582">
        <w:rPr>
          <w:i/>
        </w:rPr>
        <w:t>R</w:t>
      </w:r>
      <w:r w:rsidRPr="007C2582">
        <w:rPr>
          <w:i/>
          <w:vertAlign w:val="subscript"/>
        </w:rPr>
        <w:t>ik</w:t>
      </w:r>
      <w:r w:rsidRPr="007C2582">
        <w:t xml:space="preserve"> + j</w:t>
      </w:r>
      <w:r w:rsidRPr="007C2582">
        <w:rPr>
          <w:i/>
        </w:rPr>
        <w:t>X</w:t>
      </w:r>
      <w:r w:rsidRPr="007C2582">
        <w:rPr>
          <w:i/>
          <w:vertAlign w:val="subscript"/>
        </w:rPr>
        <w:t>ik</w:t>
      </w:r>
      <w:r w:rsidRPr="007C2582">
        <w:t xml:space="preserve"> = </w:t>
      </w:r>
      <w:r w:rsidRPr="007C2582">
        <w:rPr>
          <w:b/>
          <w:i/>
        </w:rPr>
        <w:t>Z</w:t>
      </w:r>
      <w:r w:rsidRPr="007C2582">
        <w:rPr>
          <w:i/>
          <w:vertAlign w:val="subscript"/>
        </w:rPr>
        <w:t>ik</w:t>
      </w:r>
      <w:r w:rsidRPr="007C2582">
        <w:t xml:space="preserve">, and </w:t>
      </w:r>
      <w:r w:rsidRPr="007C2582">
        <w:rPr>
          <w:i/>
        </w:rPr>
        <w:t>θ</w:t>
      </w:r>
      <w:r w:rsidRPr="007C2582">
        <w:rPr>
          <w:i/>
          <w:vertAlign w:val="subscript"/>
        </w:rPr>
        <w:t>ki</w:t>
      </w:r>
      <w:r w:rsidRPr="007C2582">
        <w:t xml:space="preserve"> is the angle between </w:t>
      </w:r>
      <w:r w:rsidRPr="007C2582">
        <w:rPr>
          <w:b/>
          <w:i/>
        </w:rPr>
        <w:t>V</w:t>
      </w:r>
      <w:r w:rsidRPr="007C2582">
        <w:rPr>
          <w:i/>
          <w:vertAlign w:val="subscript"/>
        </w:rPr>
        <w:t>k</w:t>
      </w:r>
      <w:r w:rsidRPr="007C2582">
        <w:t xml:space="preserve"> and </w:t>
      </w:r>
      <w:r w:rsidRPr="007C2582">
        <w:rPr>
          <w:b/>
          <w:i/>
        </w:rPr>
        <w:t>V</w:t>
      </w:r>
      <w:r w:rsidRPr="007C2582">
        <w:rPr>
          <w:i/>
          <w:vertAlign w:val="subscript"/>
        </w:rPr>
        <w:t>i</w:t>
      </w:r>
      <w:r w:rsidRPr="007C2582">
        <w:t>.</w:t>
      </w:r>
    </w:p>
    <w:p w14:paraId="3519AEA2" w14:textId="77777777" w:rsidR="007C2582" w:rsidRPr="007C2582" w:rsidRDefault="007C2582" w:rsidP="007C2582">
      <w:r w:rsidRPr="007C2582">
        <w:t xml:space="preserve">Note that the same load increasing pattern as </w:t>
      </w:r>
      <w:r w:rsidR="00E825BB">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E825BB">
        <w:fldChar w:fldCharType="separate"/>
      </w:r>
      <w:r w:rsidR="00DD7036" w:rsidRPr="00DD7036">
        <w:rPr>
          <w:noProof/>
        </w:rPr>
        <w:t>[34]</w:t>
      </w:r>
      <w:r w:rsidR="00E825BB">
        <w:fldChar w:fldCharType="end"/>
      </w:r>
      <w:r w:rsidRPr="007C2582">
        <w:t xml:space="preserve"> is assumed in this work. If a non-proportional pattern is involved, modificatio</w:t>
      </w:r>
      <w:r w:rsidR="00917F6F">
        <w:t xml:space="preserve">n can be applied, as outlined in </w:t>
      </w:r>
      <w:r w:rsidR="00917F6F">
        <w:fldChar w:fldCharType="begin" w:fldLock="1"/>
      </w:r>
      <w:r w:rsidR="00351740">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00917F6F">
        <w:fldChar w:fldCharType="separate"/>
      </w:r>
      <w:r w:rsidR="00DD7036" w:rsidRPr="00DD7036">
        <w:rPr>
          <w:noProof/>
        </w:rPr>
        <w:t>[36]</w:t>
      </w:r>
      <w:r w:rsidR="00917F6F">
        <w:fldChar w:fldCharType="end"/>
      </w:r>
      <w:r w:rsidRPr="007C2582">
        <w:t>.</w:t>
      </w:r>
    </w:p>
    <w:p w14:paraId="354D410A" w14:textId="77777777" w:rsidR="007C2582" w:rsidRPr="007C2582" w:rsidRDefault="007C2582" w:rsidP="007C2582">
      <w:r w:rsidRPr="007C2582">
        <w:t>The LM of the system is determined by the smallest margin of all load buses (i.e., the critical bus):</w:t>
      </w:r>
    </w:p>
    <w:p w14:paraId="6FC4DB58" w14:textId="77777777" w:rsidR="007C2582" w:rsidRPr="007C2582" w:rsidRDefault="00917F6F" w:rsidP="00917F6F">
      <w:pPr>
        <w:jc w:val="right"/>
      </w:pPr>
      <w:r w:rsidRPr="007C2582">
        <w:object w:dxaOrig="2140" w:dyaOrig="340" w14:anchorId="1A9887C6">
          <v:shape id="_x0000_i1055" type="#_x0000_t75" style="width:129pt;height:19.5pt" o:ole="">
            <v:imagedata r:id="rId265" o:title=""/>
          </v:shape>
          <o:OLEObject Type="Embed" ProgID="Equation.3" ShapeID="_x0000_i1055" DrawAspect="Content" ObjectID="_1532825717" r:id="rId266"/>
        </w:object>
      </w:r>
      <w:r>
        <w:tab/>
      </w:r>
      <w:r>
        <w:tab/>
      </w:r>
      <w:r>
        <w:tab/>
      </w:r>
      <w:r>
        <w:tab/>
      </w:r>
      <w:r>
        <w:tab/>
      </w:r>
      <w:r w:rsidR="007C2582" w:rsidRPr="007C2582">
        <w:t>(</w:t>
      </w:r>
      <w:r>
        <w:t>5-</w:t>
      </w:r>
      <w:r w:rsidR="007C2582" w:rsidRPr="007C2582">
        <w:t>9)</w:t>
      </w:r>
    </w:p>
    <w:p w14:paraId="6E1FC071" w14:textId="77777777" w:rsidR="007C2582" w:rsidRPr="007C2582" w:rsidRDefault="00917F6F" w:rsidP="004B5C30">
      <w:pPr>
        <w:pStyle w:val="Heading2"/>
      </w:pPr>
      <w:bookmarkStart w:id="109" w:name="_Toc459076565"/>
      <w:r>
        <w:t xml:space="preserve">5.2 </w:t>
      </w:r>
      <w:r w:rsidR="007C2582" w:rsidRPr="007C2582">
        <w:t>Wide-Area Loading Margin Sensitivity</w:t>
      </w:r>
      <w:bookmarkEnd w:id="109"/>
    </w:p>
    <w:p w14:paraId="5326AA75" w14:textId="77777777" w:rsidR="007C2582" w:rsidRPr="007C2582" w:rsidRDefault="007C2582" w:rsidP="007C2582">
      <w:r w:rsidRPr="007C2582">
        <w:t xml:space="preserve">Usually, a power system should be operated with a LM no less than a predefined threshold. If the LM is below the predefined threshold as the operating condition shifts or a contingency occurs, a series of actions should be taken to increase the LM for voltage stability’s viewpoint. Reactive power compensation, terminal voltage adjustment, and load shedding are among the most commonly involved actions. Therefore, the LMS to the reactive power injection, real power injection, and the terminal voltage of generator buses, are derived from the following. </w:t>
      </w:r>
    </w:p>
    <w:p w14:paraId="0D662AA4" w14:textId="77777777" w:rsidR="007C2582" w:rsidRPr="007C2582" w:rsidRDefault="00917F6F" w:rsidP="00917F6F">
      <w:pPr>
        <w:pStyle w:val="Heading3"/>
      </w:pPr>
      <w:bookmarkStart w:id="110" w:name="_Toc459076566"/>
      <w:r>
        <w:t xml:space="preserve">5.2.1 </w:t>
      </w:r>
      <w:r w:rsidR="007C2582" w:rsidRPr="007C2582">
        <w:t>LMS w.r.t. Reactive Power Injection</w:t>
      </w:r>
      <w:bookmarkEnd w:id="110"/>
    </w:p>
    <w:p w14:paraId="370A5E93" w14:textId="77777777" w:rsidR="00451ED6" w:rsidRDefault="007C2582" w:rsidP="00451ED6">
      <w:pPr>
        <w:jc w:val="distribute"/>
      </w:pPr>
      <w:r w:rsidRPr="007C2582">
        <w:t>According to (</w:t>
      </w:r>
      <w:r w:rsidR="00917F6F">
        <w:t>5-</w:t>
      </w:r>
      <w:r w:rsidRPr="007C2582">
        <w:t>6), the LM is a function of TE parameters (</w:t>
      </w:r>
      <w:r w:rsidRPr="007C2582">
        <w:rPr>
          <w:i/>
        </w:rPr>
        <w:t>E</w:t>
      </w:r>
      <w:r w:rsidRPr="007C2582">
        <w:rPr>
          <w:i/>
          <w:vertAlign w:val="subscript"/>
        </w:rPr>
        <w:t>eq,j</w:t>
      </w:r>
      <w:r w:rsidRPr="007C2582">
        <w:t xml:space="preserve">, </w:t>
      </w:r>
      <w:r w:rsidRPr="007C2582">
        <w:rPr>
          <w:i/>
        </w:rPr>
        <w:t>R</w:t>
      </w:r>
      <w:r w:rsidRPr="007C2582">
        <w:rPr>
          <w:i/>
          <w:vertAlign w:val="subscript"/>
        </w:rPr>
        <w:t>eq,i</w:t>
      </w:r>
      <w:r w:rsidRPr="007C2582">
        <w:t xml:space="preserve">, </w:t>
      </w:r>
      <w:r w:rsidRPr="007C2582">
        <w:rPr>
          <w:i/>
        </w:rPr>
        <w:t>X</w:t>
      </w:r>
      <w:r w:rsidRPr="007C2582">
        <w:rPr>
          <w:i/>
          <w:vertAlign w:val="subscript"/>
        </w:rPr>
        <w:t>eq,i</w:t>
      </w:r>
      <w:r w:rsidRPr="007C2582">
        <w:t xml:space="preserve">) as </w:t>
      </w:r>
    </w:p>
    <w:p w14:paraId="237E8AC7" w14:textId="23DB0D76" w:rsidR="007C2582" w:rsidRPr="007C2582" w:rsidRDefault="007C2582" w:rsidP="00451ED6">
      <w:pPr>
        <w:ind w:firstLine="0"/>
      </w:pPr>
      <w:r w:rsidRPr="007C2582">
        <w:lastRenderedPageBreak/>
        <w:t>well as the nodal consumptions (</w:t>
      </w:r>
      <w:r w:rsidRPr="007C2582">
        <w:rPr>
          <w:i/>
        </w:rPr>
        <w:t>P</w:t>
      </w:r>
      <w:r w:rsidRPr="007C2582">
        <w:rPr>
          <w:i/>
          <w:vertAlign w:val="subscript"/>
        </w:rPr>
        <w:t>i</w:t>
      </w:r>
      <w:r w:rsidRPr="007C2582">
        <w:t xml:space="preserve">, </w:t>
      </w:r>
      <w:r w:rsidRPr="007C2582">
        <w:rPr>
          <w:i/>
        </w:rPr>
        <w:t>Q</w:t>
      </w:r>
      <w:r w:rsidRPr="007C2582">
        <w:rPr>
          <w:i/>
          <w:vertAlign w:val="subscript"/>
        </w:rPr>
        <w:t>i</w:t>
      </w:r>
      <w:r w:rsidRPr="007C2582">
        <w:t>). Furthermore, according to (</w:t>
      </w:r>
      <w:r w:rsidR="00E34671">
        <w:t>5-</w:t>
      </w:r>
      <w:r w:rsidRPr="007C2582">
        <w:t>7) and (</w:t>
      </w:r>
      <w:r w:rsidR="00E34671">
        <w:t>5-</w:t>
      </w:r>
      <w:r w:rsidRPr="007C2582">
        <w:t xml:space="preserve">8), </w:t>
      </w:r>
      <w:r w:rsidRPr="007C2582">
        <w:rPr>
          <w:i/>
        </w:rPr>
        <w:t>R</w:t>
      </w:r>
      <w:r w:rsidRPr="007C2582">
        <w:rPr>
          <w:i/>
          <w:vertAlign w:val="subscript"/>
        </w:rPr>
        <w:t>eq,i</w:t>
      </w:r>
      <w:r w:rsidRPr="007C2582">
        <w:t xml:space="preserve"> and </w:t>
      </w:r>
      <w:r w:rsidRPr="007C2582">
        <w:rPr>
          <w:i/>
        </w:rPr>
        <w:t>X</w:t>
      </w:r>
      <w:r w:rsidRPr="007C2582">
        <w:rPr>
          <w:i/>
          <w:vertAlign w:val="subscript"/>
        </w:rPr>
        <w:t>eq,i</w:t>
      </w:r>
      <w:r w:rsidRPr="007C2582">
        <w:t xml:space="preserve"> are dependent on (</w:t>
      </w:r>
      <w:r w:rsidRPr="007C2582">
        <w:rPr>
          <w:i/>
        </w:rPr>
        <w:t>P</w:t>
      </w:r>
      <w:r w:rsidRPr="007C2582">
        <w:rPr>
          <w:i/>
          <w:vertAlign w:val="subscript"/>
        </w:rPr>
        <w:t>i</w:t>
      </w:r>
      <w:r w:rsidRPr="007C2582">
        <w:t xml:space="preserve">, </w:t>
      </w:r>
      <w:r w:rsidRPr="007C2582">
        <w:rPr>
          <w:i/>
        </w:rPr>
        <w:t>Q</w:t>
      </w:r>
      <w:r w:rsidRPr="007C2582">
        <w:rPr>
          <w:i/>
          <w:vertAlign w:val="subscript"/>
        </w:rPr>
        <w:t>i</w:t>
      </w:r>
      <w:r w:rsidRPr="007C2582">
        <w:t xml:space="preserve">, </w:t>
      </w:r>
      <w:r w:rsidRPr="007C2582">
        <w:rPr>
          <w:i/>
        </w:rPr>
        <w:t>V</w:t>
      </w:r>
      <w:r w:rsidRPr="007C2582">
        <w:rPr>
          <w:i/>
          <w:vertAlign w:val="subscript"/>
        </w:rPr>
        <w:t>i</w:t>
      </w:r>
      <w:r w:rsidRPr="007C2582">
        <w:t>) as well as (</w:t>
      </w:r>
      <w:r w:rsidRPr="007C2582">
        <w:rPr>
          <w:i/>
        </w:rPr>
        <w:t>P</w:t>
      </w:r>
      <w:r w:rsidRPr="007C2582">
        <w:rPr>
          <w:i/>
          <w:vertAlign w:val="subscript"/>
        </w:rPr>
        <w:t>j</w:t>
      </w:r>
      <w:r w:rsidRPr="007C2582">
        <w:t xml:space="preserve">, </w:t>
      </w:r>
      <w:r w:rsidRPr="007C2582">
        <w:rPr>
          <w:i/>
        </w:rPr>
        <w:t>Q</w:t>
      </w:r>
      <w:r w:rsidRPr="007C2582">
        <w:rPr>
          <w:i/>
          <w:vertAlign w:val="subscript"/>
        </w:rPr>
        <w:t>j</w:t>
      </w:r>
      <w:r w:rsidRPr="007C2582">
        <w:t xml:space="preserve">, </w:t>
      </w:r>
      <w:r w:rsidRPr="007C2582">
        <w:rPr>
          <w:i/>
        </w:rPr>
        <w:t>V</w:t>
      </w:r>
      <w:r w:rsidRPr="007C2582">
        <w:rPr>
          <w:i/>
          <w:vertAlign w:val="subscript"/>
        </w:rPr>
        <w:t>j</w:t>
      </w:r>
      <w:r w:rsidRPr="007C2582">
        <w:t xml:space="preserve">) for </w:t>
      </w:r>
      <w:r w:rsidRPr="007C2582">
        <w:rPr>
          <w:i/>
        </w:rPr>
        <w:t>j</w:t>
      </w:r>
      <w:r w:rsidRPr="007C2582">
        <w:t xml:space="preserve"> </w:t>
      </w:r>
      <m:oMath>
        <m:r>
          <w:rPr>
            <w:rFonts w:ascii="Cambria Math" w:hAnsi="Cambria Math"/>
          </w:rPr>
          <m:t>∈</m:t>
        </m:r>
      </m:oMath>
      <w:r w:rsidRPr="007C2582">
        <w:t xml:space="preserve"> </w:t>
      </w:r>
      <w:r w:rsidRPr="007C2582">
        <w:rPr>
          <w:i/>
        </w:rPr>
        <w:t>L</w:t>
      </w:r>
      <w:r w:rsidRPr="007C2582">
        <w:t xml:space="preserve"> and </w:t>
      </w:r>
      <w:r w:rsidRPr="007C2582">
        <w:rPr>
          <w:i/>
        </w:rPr>
        <w:t>j</w:t>
      </w:r>
      <w:r w:rsidRPr="007C2582">
        <w:t xml:space="preserve"> </w:t>
      </w:r>
      <m:oMath>
        <m:r>
          <w:rPr>
            <w:rFonts w:ascii="Cambria Math" w:hAnsi="Cambria Math"/>
          </w:rPr>
          <m:t>≠</m:t>
        </m:r>
      </m:oMath>
      <w:r w:rsidRPr="007C2582">
        <w:t xml:space="preserve"> </w:t>
      </w:r>
      <w:r w:rsidRPr="007C2582">
        <w:rPr>
          <w:i/>
        </w:rPr>
        <w:t>i</w:t>
      </w:r>
      <w:r w:rsidRPr="007C2582">
        <w:t xml:space="preserve">. </w:t>
      </w:r>
    </w:p>
    <w:p w14:paraId="489ECCC8" w14:textId="77777777" w:rsidR="007C2582" w:rsidRPr="007C2582" w:rsidRDefault="007C2582" w:rsidP="007C2582">
      <w:r w:rsidRPr="007C2582">
        <w:t>Based on (</w:t>
      </w:r>
      <w:r w:rsidR="00E34671">
        <w:t>5-</w:t>
      </w:r>
      <w:r w:rsidRPr="007C2582">
        <w:t>6) to (</w:t>
      </w:r>
      <w:r w:rsidR="00E34671">
        <w:t>5-</w:t>
      </w:r>
      <w:r w:rsidRPr="007C2582">
        <w:t xml:space="preserve">8), the LMS of bus </w:t>
      </w:r>
      <w:r w:rsidRPr="007C2582">
        <w:rPr>
          <w:i/>
        </w:rPr>
        <w:t>i</w:t>
      </w:r>
      <w:r w:rsidRPr="007C2582">
        <w:t xml:space="preserve"> to the reactive load of bus</w:t>
      </w:r>
      <w:r w:rsidRPr="007C2582">
        <w:rPr>
          <w:i/>
        </w:rPr>
        <w:t xml:space="preserve"> j</w:t>
      </w:r>
      <w:r w:rsidRPr="007C2582">
        <w:t xml:space="preserve"> (</w:t>
      </w:r>
      <w:r w:rsidRPr="007C2582">
        <w:rPr>
          <w:i/>
        </w:rPr>
        <w:t>j</w:t>
      </w:r>
      <w:r w:rsidRPr="007C2582">
        <w:t xml:space="preserve"> not equal to </w:t>
      </w:r>
      <w:r w:rsidRPr="007C2582">
        <w:rPr>
          <w:i/>
        </w:rPr>
        <w:t>i</w:t>
      </w:r>
      <w:r w:rsidRPr="007C2582">
        <w:t xml:space="preserve">) will have a different formulation than the LMS of bus </w:t>
      </w:r>
      <w:r w:rsidRPr="007C2582">
        <w:rPr>
          <w:i/>
        </w:rPr>
        <w:t>i</w:t>
      </w:r>
      <w:r w:rsidRPr="007C2582">
        <w:t xml:space="preserve"> to the reactive load of bus</w:t>
      </w:r>
      <w:r w:rsidRPr="007C2582">
        <w:rPr>
          <w:i/>
        </w:rPr>
        <w:t xml:space="preserve"> i</w:t>
      </w:r>
      <w:r w:rsidRPr="007C2582">
        <w:t>. To better differentiate the two formations, the former is referred to as cross-sensitivity and the latter is referred as self-sensitivity.</w:t>
      </w:r>
    </w:p>
    <w:p w14:paraId="0F23025B" w14:textId="77777777" w:rsidR="007C2582" w:rsidRPr="007C2582" w:rsidRDefault="007C2582" w:rsidP="007C2582">
      <w:pPr>
        <w:rPr>
          <w:i/>
          <w:u w:val="single"/>
        </w:rPr>
      </w:pPr>
      <w:r w:rsidRPr="007C2582">
        <w:rPr>
          <w:i/>
          <w:u w:val="single"/>
        </w:rPr>
        <w:t xml:space="preserve">Cross-sensitivity: </w:t>
      </w:r>
    </w:p>
    <w:p w14:paraId="4D1E0D89" w14:textId="77777777" w:rsidR="007C2582" w:rsidRPr="007C2582" w:rsidRDefault="007C2582" w:rsidP="007C2582">
      <w:r w:rsidRPr="007C2582">
        <w:t xml:space="preserve">The cross-sensitivity of LM of bus </w:t>
      </w:r>
      <w:r w:rsidRPr="007C2582">
        <w:rPr>
          <w:i/>
        </w:rPr>
        <w:t>i</w:t>
      </w:r>
      <w:r w:rsidRPr="007C2582">
        <w:t xml:space="preserve"> to the reactive load of bus</w:t>
      </w:r>
      <w:r w:rsidRPr="007C2582">
        <w:rPr>
          <w:i/>
        </w:rPr>
        <w:t xml:space="preserve"> j</w:t>
      </w:r>
      <w:r w:rsidRPr="007C2582">
        <w:t xml:space="preserve"> can be derived as in (</w:t>
      </w:r>
      <w:r w:rsidR="00E34671">
        <w:t>5-</w:t>
      </w:r>
      <w:r w:rsidRPr="007C2582">
        <w:t xml:space="preserve">10): </w:t>
      </w:r>
    </w:p>
    <w:p w14:paraId="14FA2E9E" w14:textId="77777777" w:rsidR="007C2582" w:rsidRPr="007C2582" w:rsidRDefault="007C2582" w:rsidP="007C2582">
      <w:r w:rsidRPr="007C2582">
        <w:object w:dxaOrig="3200" w:dyaOrig="720" w14:anchorId="689D798A">
          <v:shape id="_x0000_i1056" type="#_x0000_t75" style="width:172.5pt;height:37.5pt" o:ole="">
            <v:imagedata r:id="rId267" o:title=""/>
          </v:shape>
          <o:OLEObject Type="Embed" ProgID="Equation.DSMT4" ShapeID="_x0000_i1056" DrawAspect="Content" ObjectID="_1532825718" r:id="rId268"/>
        </w:object>
      </w:r>
      <w:r w:rsidRPr="007C2582">
        <w:tab/>
      </w:r>
      <w:r w:rsidRPr="007C2582">
        <w:tab/>
      </w:r>
      <w:r w:rsidRPr="007C2582">
        <w:tab/>
      </w:r>
      <w:r w:rsidRPr="007C2582">
        <w:tab/>
      </w:r>
      <w:r w:rsidRPr="007C2582">
        <w:tab/>
      </w:r>
      <w:r w:rsidRPr="007C2582">
        <w:tab/>
        <w:t>(</w:t>
      </w:r>
      <w:r w:rsidR="00E34671">
        <w:t>5-</w:t>
      </w:r>
      <w:r w:rsidRPr="007C2582">
        <w:t>10)</w:t>
      </w:r>
    </w:p>
    <w:p w14:paraId="5CDB21D0" w14:textId="77777777" w:rsidR="007C2582" w:rsidRPr="007C2582" w:rsidRDefault="007C2582" w:rsidP="007C2582">
      <w:r w:rsidRPr="007C2582">
        <w:t>where</w:t>
      </w:r>
    </w:p>
    <w:p w14:paraId="5DAD0E2A" w14:textId="77777777" w:rsidR="007C2582" w:rsidRPr="007C2582" w:rsidRDefault="007C2582" w:rsidP="007C2582">
      <w:r w:rsidRPr="007C2582">
        <w:object w:dxaOrig="4920" w:dyaOrig="880" w14:anchorId="7C4C8F53">
          <v:shape id="_x0000_i1057" type="#_x0000_t75" style="width:249pt;height:43.5pt" o:ole="">
            <v:imagedata r:id="rId269" o:title=""/>
          </v:shape>
          <o:OLEObject Type="Embed" ProgID="Equation.DSMT4" ShapeID="_x0000_i1057" DrawAspect="Content" ObjectID="_1532825719" r:id="rId270"/>
        </w:object>
      </w:r>
      <w:r w:rsidRPr="007C2582">
        <w:tab/>
      </w:r>
      <w:r w:rsidRPr="007C2582">
        <w:tab/>
      </w:r>
      <w:r w:rsidRPr="007C2582">
        <w:tab/>
      </w:r>
      <w:r w:rsidRPr="007C2582">
        <w:tab/>
        <w:t>(</w:t>
      </w:r>
      <w:r w:rsidR="00E34671">
        <w:t>5-</w:t>
      </w:r>
      <w:r w:rsidRPr="007C2582">
        <w:t>11)</w:t>
      </w:r>
    </w:p>
    <w:p w14:paraId="530546C9" w14:textId="77777777" w:rsidR="007C2582" w:rsidRPr="007C2582" w:rsidRDefault="007C2582" w:rsidP="007C2582">
      <w:r w:rsidRPr="007C2582">
        <w:object w:dxaOrig="5040" w:dyaOrig="880" w14:anchorId="20236E72">
          <v:shape id="_x0000_i1058" type="#_x0000_t75" style="width:238.5pt;height:43.5pt" o:ole="">
            <v:imagedata r:id="rId271" o:title=""/>
          </v:shape>
          <o:OLEObject Type="Embed" ProgID="Equation.DSMT4" ShapeID="_x0000_i1058" DrawAspect="Content" ObjectID="_1532825720" r:id="rId272"/>
        </w:object>
      </w:r>
      <w:r w:rsidRPr="007C2582">
        <w:tab/>
      </w:r>
      <w:r w:rsidRPr="007C2582">
        <w:tab/>
      </w:r>
      <w:r w:rsidRPr="007C2582">
        <w:tab/>
      </w:r>
      <w:r w:rsidRPr="007C2582">
        <w:tab/>
        <w:t>(</w:t>
      </w:r>
      <w:r w:rsidR="00E34671">
        <w:t>5-</w:t>
      </w:r>
      <w:r w:rsidRPr="007C2582">
        <w:t>12)</w:t>
      </w:r>
    </w:p>
    <w:p w14:paraId="0C796B95" w14:textId="77777777" w:rsidR="007C2582" w:rsidRPr="007C2582" w:rsidRDefault="007C2582" w:rsidP="007C2582">
      <w:r w:rsidRPr="007C2582">
        <w:object w:dxaOrig="5360" w:dyaOrig="820" w14:anchorId="0A50D8AB">
          <v:shape id="_x0000_i1059" type="#_x0000_t75" style="width:264pt;height:40.5pt" o:ole="">
            <v:imagedata r:id="rId273" o:title=""/>
          </v:shape>
          <o:OLEObject Type="Embed" ProgID="Equation.DSMT4" ShapeID="_x0000_i1059" DrawAspect="Content" ObjectID="_1532825721" r:id="rId274"/>
        </w:object>
      </w:r>
      <w:r w:rsidRPr="007C2582">
        <w:tab/>
      </w:r>
      <w:r w:rsidRPr="007C2582">
        <w:tab/>
      </w:r>
      <w:r w:rsidRPr="007C2582">
        <w:tab/>
        <w:t>(</w:t>
      </w:r>
      <w:r w:rsidR="00E34671">
        <w:t>5-</w:t>
      </w:r>
      <w:r w:rsidRPr="007C2582">
        <w:t>13)</w:t>
      </w:r>
    </w:p>
    <w:p w14:paraId="2920EF73" w14:textId="77777777" w:rsidR="007C2582" w:rsidRPr="007C2582" w:rsidRDefault="007C2582" w:rsidP="007C2582">
      <w:r w:rsidRPr="007C2582">
        <w:object w:dxaOrig="5400" w:dyaOrig="820" w14:anchorId="5A94D603">
          <v:shape id="_x0000_i1060" type="#_x0000_t75" style="width:262.5pt;height:40.5pt" o:ole="">
            <v:imagedata r:id="rId275" o:title=""/>
          </v:shape>
          <o:OLEObject Type="Embed" ProgID="Equation.DSMT4" ShapeID="_x0000_i1060" DrawAspect="Content" ObjectID="_1532825722" r:id="rId276"/>
        </w:object>
      </w:r>
      <w:r w:rsidRPr="007C2582">
        <w:tab/>
      </w:r>
      <w:r w:rsidRPr="007C2582">
        <w:tab/>
      </w:r>
      <w:r w:rsidRPr="007C2582">
        <w:tab/>
        <w:t>(</w:t>
      </w:r>
      <w:r w:rsidR="00E34671">
        <w:t>5-</w:t>
      </w:r>
      <w:r w:rsidRPr="007C2582">
        <w:t>14)</w:t>
      </w:r>
    </w:p>
    <w:p w14:paraId="6F8ECAB8" w14:textId="77777777" w:rsidR="007C2582" w:rsidRPr="007C2582" w:rsidRDefault="007C2582" w:rsidP="007C2582">
      <w:r w:rsidRPr="007C2582">
        <w:t>In (</w:t>
      </w:r>
      <w:r w:rsidR="00E34671">
        <w:t>5-</w:t>
      </w:r>
      <w:r w:rsidRPr="007C2582">
        <w:t>13) and (</w:t>
      </w:r>
      <w:r w:rsidR="00E34671">
        <w:t>5-</w:t>
      </w:r>
      <w:r w:rsidRPr="007C2582">
        <w:t xml:space="preserve">14), the impact of </w:t>
      </w:r>
      <w:r w:rsidRPr="007C2582">
        <w:rPr>
          <w:i/>
        </w:rPr>
        <w:t>Q</w:t>
      </w:r>
      <w:r w:rsidRPr="007C2582">
        <w:rPr>
          <w:i/>
          <w:vertAlign w:val="subscript"/>
        </w:rPr>
        <w:t>j</w:t>
      </w:r>
      <w:r w:rsidRPr="007C2582">
        <w:t xml:space="preserve"> to voltage of </w:t>
      </w:r>
      <w:r w:rsidRPr="007C2582">
        <w:rPr>
          <w:i/>
        </w:rPr>
        <w:t>V</w:t>
      </w:r>
      <w:r w:rsidRPr="007C2582">
        <w:rPr>
          <w:i/>
          <w:vertAlign w:val="subscript"/>
        </w:rPr>
        <w:t>j</w:t>
      </w:r>
      <w:r w:rsidRPr="007C2582">
        <w:t xml:space="preserve"> and </w:t>
      </w:r>
      <w:r w:rsidRPr="007C2582">
        <w:rPr>
          <w:i/>
        </w:rPr>
        <w:t>V</w:t>
      </w:r>
      <w:r w:rsidRPr="007C2582">
        <w:rPr>
          <w:i/>
          <w:vertAlign w:val="subscript"/>
        </w:rPr>
        <w:t>i</w:t>
      </w:r>
      <w:r w:rsidRPr="007C2582">
        <w:t xml:space="preserve"> is not considered. From the viewpoint of power flow equations, it is true that the change of reactive </w:t>
      </w:r>
      <w:r w:rsidRPr="007C2582">
        <w:lastRenderedPageBreak/>
        <w:t xml:space="preserve">injections will lead to the change of voltages at load buses. However, such impact to </w:t>
      </w:r>
      <w:r w:rsidRPr="007C2582">
        <w:rPr>
          <w:i/>
        </w:rPr>
        <w:t>V</w:t>
      </w:r>
      <w:r w:rsidRPr="007C2582">
        <w:rPr>
          <w:i/>
          <w:vertAlign w:val="subscript"/>
        </w:rPr>
        <w:t>j</w:t>
      </w:r>
      <w:r w:rsidRPr="007C2582">
        <w:t>/</w:t>
      </w:r>
      <w:r w:rsidRPr="007C2582">
        <w:rPr>
          <w:i/>
        </w:rPr>
        <w:t>V</w:t>
      </w:r>
      <w:r w:rsidRPr="007C2582">
        <w:rPr>
          <w:i/>
          <w:vertAlign w:val="subscript"/>
        </w:rPr>
        <w:t>i</w:t>
      </w:r>
      <w:r w:rsidRPr="007C2582">
        <w:t xml:space="preserve"> as a whole is trivial compared to the impact of </w:t>
      </w:r>
      <w:r w:rsidRPr="007C2582">
        <w:rPr>
          <w:i/>
        </w:rPr>
        <w:t>Q</w:t>
      </w:r>
      <w:r w:rsidRPr="007C2582">
        <w:rPr>
          <w:i/>
          <w:vertAlign w:val="subscript"/>
        </w:rPr>
        <w:t>j</w:t>
      </w:r>
      <w:r w:rsidRPr="007C2582">
        <w:t xml:space="preserve"> to the items in the parentheses in (</w:t>
      </w:r>
      <w:r w:rsidR="00E34671">
        <w:t>5-</w:t>
      </w:r>
      <w:r w:rsidRPr="007C2582">
        <w:t>7) and (</w:t>
      </w:r>
      <w:r w:rsidR="00E34671">
        <w:t>5-</w:t>
      </w:r>
      <w:r w:rsidRPr="007C2582">
        <w:t>8).</w:t>
      </w:r>
    </w:p>
    <w:p w14:paraId="5403DAAC" w14:textId="77777777" w:rsidR="007C2582" w:rsidRPr="007C2582" w:rsidRDefault="007C2582" w:rsidP="007C2582">
      <w:pPr>
        <w:rPr>
          <w:i/>
          <w:u w:val="single"/>
        </w:rPr>
      </w:pPr>
      <w:r w:rsidRPr="007C2582">
        <w:rPr>
          <w:i/>
          <w:u w:val="single"/>
        </w:rPr>
        <w:t xml:space="preserve">Self-sensitivity: </w:t>
      </w:r>
    </w:p>
    <w:p w14:paraId="32E8CCA1" w14:textId="77777777" w:rsidR="007C2582" w:rsidRPr="007C2582" w:rsidRDefault="007C2582" w:rsidP="007C2582">
      <w:r w:rsidRPr="007C2582">
        <w:t xml:space="preserve">The self-sensitivity of LM of bus </w:t>
      </w:r>
      <w:r w:rsidRPr="007C2582">
        <w:rPr>
          <w:i/>
        </w:rPr>
        <w:t>i</w:t>
      </w:r>
      <w:r w:rsidRPr="007C2582">
        <w:t xml:space="preserve"> can be derived as in (</w:t>
      </w:r>
      <w:r w:rsidR="00E34671">
        <w:t>5-</w:t>
      </w:r>
      <w:r w:rsidRPr="007C2582">
        <w:t xml:space="preserve">15) where the derivatives of </w:t>
      </w:r>
      <w:r w:rsidRPr="007C2582">
        <w:rPr>
          <w:i/>
        </w:rPr>
        <w:t xml:space="preserve">f </w:t>
      </w:r>
      <w:r w:rsidRPr="007C2582">
        <w:t xml:space="preserve">to </w:t>
      </w:r>
      <w:r w:rsidRPr="007C2582">
        <w:rPr>
          <w:i/>
        </w:rPr>
        <w:t>R</w:t>
      </w:r>
      <w:r w:rsidRPr="007C2582">
        <w:rPr>
          <w:i/>
          <w:vertAlign w:val="subscript"/>
        </w:rPr>
        <w:t>eq,i</w:t>
      </w:r>
      <w:r w:rsidRPr="007C2582">
        <w:rPr>
          <w:vertAlign w:val="subscript"/>
        </w:rPr>
        <w:t xml:space="preserve"> </w:t>
      </w:r>
      <w:r w:rsidRPr="007C2582">
        <w:t xml:space="preserve">and </w:t>
      </w:r>
      <w:r w:rsidRPr="007C2582">
        <w:rPr>
          <w:i/>
        </w:rPr>
        <w:t>X</w:t>
      </w:r>
      <w:r w:rsidRPr="007C2582">
        <w:rPr>
          <w:i/>
          <w:vertAlign w:val="subscript"/>
        </w:rPr>
        <w:t>eq,i</w:t>
      </w:r>
      <w:r w:rsidRPr="007C2582">
        <w:rPr>
          <w:vertAlign w:val="subscript"/>
        </w:rPr>
        <w:t xml:space="preserve"> </w:t>
      </w:r>
      <w:r w:rsidRPr="007C2582">
        <w:t>are the same as (</w:t>
      </w:r>
      <w:r w:rsidR="00E34671">
        <w:t>5-</w:t>
      </w:r>
      <w:r w:rsidRPr="007C2582">
        <w:t>11) and (</w:t>
      </w:r>
      <w:r w:rsidR="00E34671">
        <w:t>5-</w:t>
      </w:r>
      <w:r w:rsidRPr="007C2582">
        <w:t>12).</w:t>
      </w:r>
    </w:p>
    <w:p w14:paraId="27FF15A8" w14:textId="77777777" w:rsidR="007C2582" w:rsidRPr="007C2582" w:rsidRDefault="007C2582" w:rsidP="007C2582">
      <w:r w:rsidRPr="007C2582">
        <w:object w:dxaOrig="3780" w:dyaOrig="720" w14:anchorId="1AE30C48">
          <v:shape id="_x0000_i1061" type="#_x0000_t75" style="width:202.9pt;height:36.55pt" o:ole="">
            <v:imagedata r:id="rId277" o:title=""/>
          </v:shape>
          <o:OLEObject Type="Embed" ProgID="Equation.DSMT4" ShapeID="_x0000_i1061" DrawAspect="Content" ObjectID="_1532825723" r:id="rId278"/>
        </w:object>
      </w:r>
      <w:r w:rsidRPr="007C2582">
        <w:tab/>
      </w:r>
      <w:r w:rsidRPr="007C2582">
        <w:tab/>
      </w:r>
      <w:r w:rsidRPr="007C2582">
        <w:tab/>
      </w:r>
      <w:r w:rsidRPr="007C2582">
        <w:tab/>
      </w:r>
      <w:r w:rsidRPr="007C2582">
        <w:tab/>
        <w:t>(</w:t>
      </w:r>
      <w:r w:rsidR="00E34671">
        <w:t>5-</w:t>
      </w:r>
      <w:r w:rsidRPr="007C2582">
        <w:t>15)</w:t>
      </w:r>
    </w:p>
    <w:p w14:paraId="7FEE8759" w14:textId="77777777" w:rsidR="007C2582" w:rsidRPr="007C2582" w:rsidRDefault="007C2582" w:rsidP="007C2582">
      <w:r w:rsidRPr="007C2582">
        <w:t>According to (</w:t>
      </w:r>
      <w:r w:rsidR="00E34671">
        <w:t>5-</w:t>
      </w:r>
      <w:r w:rsidRPr="007C2582">
        <w:t>6)</w:t>
      </w:r>
    </w:p>
    <w:p w14:paraId="7CCB5FCF" w14:textId="77777777" w:rsidR="007C2582" w:rsidRPr="007C2582" w:rsidRDefault="007C2582" w:rsidP="007C2582">
      <w:r w:rsidRPr="007C2582">
        <w:object w:dxaOrig="4540" w:dyaOrig="880" w14:anchorId="135ADBCF">
          <v:shape id="_x0000_i1062" type="#_x0000_t75" style="width:231.8pt;height:45.25pt" o:ole="">
            <v:imagedata r:id="rId279" o:title=""/>
          </v:shape>
          <o:OLEObject Type="Embed" ProgID="Equation.DSMT4" ShapeID="_x0000_i1062" DrawAspect="Content" ObjectID="_1532825724" r:id="rId280"/>
        </w:object>
      </w:r>
      <w:r w:rsidRPr="007C2582">
        <w:tab/>
      </w:r>
      <w:r w:rsidRPr="007C2582">
        <w:tab/>
      </w:r>
      <w:r w:rsidRPr="007C2582">
        <w:tab/>
      </w:r>
      <w:r w:rsidRPr="007C2582">
        <w:tab/>
        <w:t>(</w:t>
      </w:r>
      <w:r w:rsidR="00E34671">
        <w:t>5-</w:t>
      </w:r>
      <w:r w:rsidRPr="007C2582">
        <w:t>16)</w:t>
      </w:r>
    </w:p>
    <w:p w14:paraId="2127796B" w14:textId="77777777" w:rsidR="007C2582" w:rsidRPr="007C2582" w:rsidRDefault="007C2582" w:rsidP="007C2582">
      <w:r w:rsidRPr="007C2582">
        <w:t xml:space="preserve">For the derivative of </w:t>
      </w:r>
      <w:r w:rsidRPr="007C2582">
        <w:rPr>
          <w:i/>
        </w:rPr>
        <w:t>R</w:t>
      </w:r>
      <w:r w:rsidRPr="007C2582">
        <w:rPr>
          <w:i/>
          <w:vertAlign w:val="subscript"/>
        </w:rPr>
        <w:t>eq,i</w:t>
      </w:r>
      <w:r w:rsidRPr="007C2582">
        <w:t xml:space="preserve">, </w:t>
      </w:r>
      <w:r w:rsidRPr="007C2582">
        <w:rPr>
          <w:i/>
        </w:rPr>
        <w:t>X</w:t>
      </w:r>
      <w:r w:rsidRPr="007C2582">
        <w:rPr>
          <w:i/>
          <w:vertAlign w:val="subscript"/>
        </w:rPr>
        <w:t>eq,i</w:t>
      </w:r>
      <w:r w:rsidRPr="007C2582">
        <w:t xml:space="preserve"> to </w:t>
      </w:r>
      <w:r w:rsidRPr="007C2582">
        <w:rPr>
          <w:i/>
        </w:rPr>
        <w:t>Q</w:t>
      </w:r>
      <w:r w:rsidRPr="007C2582">
        <w:rPr>
          <w:i/>
          <w:vertAlign w:val="subscript"/>
        </w:rPr>
        <w:t>i</w:t>
      </w:r>
      <w:r w:rsidRPr="007C2582">
        <w:t xml:space="preserve">, the change of </w:t>
      </w:r>
      <w:r w:rsidRPr="007C2582">
        <w:rPr>
          <w:i/>
        </w:rPr>
        <w:t>V</w:t>
      </w:r>
      <w:r w:rsidRPr="007C2582">
        <w:rPr>
          <w:i/>
          <w:vertAlign w:val="subscript"/>
        </w:rPr>
        <w:t>i</w:t>
      </w:r>
      <w:r w:rsidRPr="007C2582">
        <w:t xml:space="preserve"> caused by ∆</w:t>
      </w:r>
      <w:r w:rsidRPr="007C2582">
        <w:rPr>
          <w:i/>
        </w:rPr>
        <w:t>Q</w:t>
      </w:r>
      <w:r w:rsidRPr="007C2582">
        <w:rPr>
          <w:i/>
          <w:vertAlign w:val="subscript"/>
        </w:rPr>
        <w:t xml:space="preserve">i </w:t>
      </w:r>
      <w:r w:rsidRPr="007C2582">
        <w:t>will be included in every summation item in (</w:t>
      </w:r>
      <w:r w:rsidR="00A40B63">
        <w:t>5-</w:t>
      </w:r>
      <w:r w:rsidRPr="007C2582">
        <w:t>7) and (</w:t>
      </w:r>
      <w:r w:rsidR="00A40B63">
        <w:t>5-</w:t>
      </w:r>
      <w:r w:rsidRPr="007C2582">
        <w:t>8), also the impact of ∆</w:t>
      </w:r>
      <w:r w:rsidRPr="007C2582">
        <w:rPr>
          <w:i/>
        </w:rPr>
        <w:t>Q</w:t>
      </w:r>
      <w:r w:rsidRPr="007C2582">
        <w:rPr>
          <w:i/>
          <w:vertAlign w:val="subscript"/>
        </w:rPr>
        <w:t>i</w:t>
      </w:r>
      <w:r w:rsidRPr="007C2582">
        <w:t xml:space="preserve"> to </w:t>
      </w:r>
      <w:r w:rsidRPr="007C2582">
        <w:rPr>
          <w:i/>
        </w:rPr>
        <w:t>V</w:t>
      </w:r>
      <w:r w:rsidRPr="007C2582">
        <w:rPr>
          <w:i/>
          <w:vertAlign w:val="subscript"/>
        </w:rPr>
        <w:t>i</w:t>
      </w:r>
      <w:r w:rsidRPr="007C2582">
        <w:t xml:space="preserve"> will be significantly higher compared with ∆</w:t>
      </w:r>
      <w:r w:rsidRPr="007C2582">
        <w:rPr>
          <w:i/>
        </w:rPr>
        <w:t>Q</w:t>
      </w:r>
      <w:r w:rsidRPr="007C2582">
        <w:rPr>
          <w:i/>
          <w:vertAlign w:val="subscript"/>
        </w:rPr>
        <w:t>j</w:t>
      </w:r>
      <w:r w:rsidRPr="007C2582">
        <w:t xml:space="preserve"> to </w:t>
      </w:r>
      <w:r w:rsidRPr="007C2582">
        <w:rPr>
          <w:i/>
        </w:rPr>
        <w:t>V</w:t>
      </w:r>
      <w:r w:rsidRPr="007C2582">
        <w:rPr>
          <w:i/>
          <w:vertAlign w:val="subscript"/>
        </w:rPr>
        <w:t>i</w:t>
      </w:r>
      <w:r w:rsidRPr="007C2582">
        <w:t xml:space="preserve">. Therefore, </w:t>
      </w:r>
      <w:r w:rsidRPr="007C2582">
        <w:rPr>
          <w:i/>
        </w:rPr>
        <w:t>V</w:t>
      </w:r>
      <w:r w:rsidRPr="007C2582">
        <w:rPr>
          <w:i/>
          <w:vertAlign w:val="subscript"/>
        </w:rPr>
        <w:t>i</w:t>
      </w:r>
      <w:r w:rsidRPr="007C2582">
        <w:t xml:space="preserve"> is considered as a function of </w:t>
      </w:r>
      <w:r w:rsidRPr="007C2582">
        <w:rPr>
          <w:i/>
        </w:rPr>
        <w:t>Q</w:t>
      </w:r>
      <w:r w:rsidRPr="007C2582">
        <w:rPr>
          <w:i/>
          <w:vertAlign w:val="subscript"/>
        </w:rPr>
        <w:t>i</w:t>
      </w:r>
      <w:r w:rsidRPr="007C2582">
        <w:t xml:space="preserve">. From the two-bus circuit shown in </w:t>
      </w:r>
      <w:r w:rsidR="00A40B63">
        <w:fldChar w:fldCharType="begin"/>
      </w:r>
      <w:r w:rsidR="00A40B63">
        <w:instrText xml:space="preserve"> REF _Ref432062664 \h </w:instrText>
      </w:r>
      <w:r w:rsidR="00A40B63">
        <w:fldChar w:fldCharType="separate"/>
      </w:r>
      <w:r w:rsidR="00656B13">
        <w:t xml:space="preserve">Figure </w:t>
      </w:r>
      <w:r w:rsidR="00656B13">
        <w:rPr>
          <w:noProof/>
        </w:rPr>
        <w:t>27</w:t>
      </w:r>
      <w:r w:rsidR="00A40B63">
        <w:fldChar w:fldCharType="end"/>
      </w:r>
      <w:r w:rsidRPr="007C2582">
        <w:t xml:space="preserve">, </w:t>
      </w:r>
      <w:r w:rsidRPr="007C2582">
        <w:rPr>
          <w:i/>
        </w:rPr>
        <w:t>V</w:t>
      </w:r>
      <w:r w:rsidRPr="007C2582">
        <w:rPr>
          <w:i/>
          <w:vertAlign w:val="subscript"/>
        </w:rPr>
        <w:t>i</w:t>
      </w:r>
      <w:r w:rsidRPr="007C2582">
        <w:t xml:space="preserve">, </w:t>
      </w:r>
      <w:r w:rsidRPr="007C2582">
        <w:rPr>
          <w:i/>
        </w:rPr>
        <w:t>P</w:t>
      </w:r>
      <w:r w:rsidRPr="007C2582">
        <w:rPr>
          <w:i/>
          <w:vertAlign w:val="subscript"/>
        </w:rPr>
        <w:t>i</w:t>
      </w:r>
      <w:r w:rsidRPr="007C2582">
        <w:t xml:space="preserve">, and </w:t>
      </w:r>
      <w:r w:rsidRPr="007C2582">
        <w:rPr>
          <w:i/>
        </w:rPr>
        <w:t>Q</w:t>
      </w:r>
      <w:r w:rsidRPr="007C2582">
        <w:rPr>
          <w:i/>
          <w:vertAlign w:val="subscript"/>
        </w:rPr>
        <w:t>i</w:t>
      </w:r>
      <w:r w:rsidRPr="007C2582">
        <w:t xml:space="preserve"> should satisfy (</w:t>
      </w:r>
      <w:r w:rsidR="00A40B63">
        <w:t>5-</w:t>
      </w:r>
      <w:r w:rsidRPr="007C2582">
        <w:t xml:space="preserve">17) </w:t>
      </w:r>
      <w:r w:rsidR="00A40B63">
        <w:fldChar w:fldCharType="begin" w:fldLock="1"/>
      </w:r>
      <w:r w:rsidR="00351740">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00A40B63">
        <w:fldChar w:fldCharType="separate"/>
      </w:r>
      <w:r w:rsidR="00DD7036" w:rsidRPr="00DD7036">
        <w:rPr>
          <w:noProof/>
        </w:rPr>
        <w:t>[36]</w:t>
      </w:r>
      <w:r w:rsidR="00A40B63">
        <w:fldChar w:fldCharType="end"/>
      </w:r>
      <w:r w:rsidRPr="007C2582">
        <w:t xml:space="preserve">. </w:t>
      </w:r>
    </w:p>
    <w:p w14:paraId="0269C309" w14:textId="77777777" w:rsidR="007C2582" w:rsidRPr="007C2582" w:rsidRDefault="007C2582" w:rsidP="00A40B63">
      <w:pPr>
        <w:jc w:val="right"/>
      </w:pPr>
      <w:r w:rsidRPr="007C2582">
        <w:object w:dxaOrig="6100" w:dyaOrig="440" w14:anchorId="1FAF49C6">
          <v:shape id="_x0000_i1184" type="#_x0000_t75" style="width:302.2pt;height:22.35pt" o:ole="">
            <v:imagedata r:id="rId281" o:title=""/>
          </v:shape>
          <o:OLEObject Type="Embed" ProgID="Equation.DSMT4" ShapeID="_x0000_i1184" DrawAspect="Content" ObjectID="_1532825725" r:id="rId282"/>
        </w:object>
      </w:r>
      <w:r w:rsidRPr="007C2582">
        <w:tab/>
      </w:r>
      <w:r w:rsidRPr="007C2582">
        <w:tab/>
        <w:t>(</w:t>
      </w:r>
      <w:r w:rsidR="00A40B63">
        <w:t>5-</w:t>
      </w:r>
      <w:r w:rsidRPr="007C2582">
        <w:t>17)</w:t>
      </w:r>
    </w:p>
    <w:p w14:paraId="2E6BD67C" w14:textId="77777777" w:rsidR="007C2582" w:rsidRPr="007C2582" w:rsidRDefault="007C2582" w:rsidP="007C2582">
      <w:r w:rsidRPr="007C2582">
        <w:t xml:space="preserve">Take the derivative w.r.t. </w:t>
      </w:r>
      <w:r w:rsidRPr="007C2582">
        <w:rPr>
          <w:i/>
        </w:rPr>
        <w:t>Q</w:t>
      </w:r>
      <w:r w:rsidRPr="007C2582">
        <w:rPr>
          <w:i/>
          <w:vertAlign w:val="subscript"/>
        </w:rPr>
        <w:t>i</w:t>
      </w:r>
      <w:r w:rsidRPr="007C2582">
        <w:t xml:space="preserve"> on both sides of (</w:t>
      </w:r>
      <w:r w:rsidR="00A40B63">
        <w:t>5-</w:t>
      </w:r>
      <w:r w:rsidRPr="007C2582">
        <w:t>17):</w:t>
      </w:r>
    </w:p>
    <w:p w14:paraId="7A101EF3" w14:textId="77777777" w:rsidR="007C2582" w:rsidRPr="007C2582" w:rsidRDefault="007C2582" w:rsidP="00A40B63">
      <w:pPr>
        <w:jc w:val="right"/>
      </w:pPr>
      <w:r w:rsidRPr="007C2582">
        <w:object w:dxaOrig="5000" w:dyaOrig="380" w14:anchorId="22AE05E7">
          <v:shape id="_x0000_i1185" type="#_x0000_t75" style="width:241.65pt;height:19.65pt" o:ole="">
            <v:imagedata r:id="rId283" o:title=""/>
          </v:shape>
          <o:OLEObject Type="Embed" ProgID="Equation.DSMT4" ShapeID="_x0000_i1185" DrawAspect="Content" ObjectID="_1532825726" r:id="rId284"/>
        </w:object>
      </w:r>
      <w:r w:rsidRPr="007C2582">
        <w:tab/>
      </w:r>
      <w:r w:rsidRPr="007C2582">
        <w:tab/>
      </w:r>
      <w:r w:rsidRPr="007C2582">
        <w:tab/>
      </w:r>
      <w:r w:rsidRPr="007C2582">
        <w:tab/>
        <w:t>(</w:t>
      </w:r>
      <w:r w:rsidR="00A40B63">
        <w:t>5-</w:t>
      </w:r>
      <w:r w:rsidRPr="007C2582">
        <w:t>18)</w:t>
      </w:r>
    </w:p>
    <w:p w14:paraId="57804131" w14:textId="77777777" w:rsidR="007C2582" w:rsidRPr="007C2582" w:rsidRDefault="007C2582" w:rsidP="007C2582">
      <w:r w:rsidRPr="007C2582">
        <w:t>where</w:t>
      </w:r>
    </w:p>
    <w:p w14:paraId="6E51EACF" w14:textId="77777777" w:rsidR="007C2582" w:rsidRPr="007C2582" w:rsidRDefault="007C2582" w:rsidP="00A40B63">
      <w:pPr>
        <w:jc w:val="right"/>
      </w:pPr>
      <w:r w:rsidRPr="007C2582">
        <w:object w:dxaOrig="5899" w:dyaOrig="880" w14:anchorId="092521A6">
          <v:shape id="_x0000_i1186" type="#_x0000_t75" style="width:270.55pt;height:43.65pt" o:ole="">
            <v:imagedata r:id="rId285" o:title=""/>
          </v:shape>
          <o:OLEObject Type="Embed" ProgID="Equation.DSMT4" ShapeID="_x0000_i1186" DrawAspect="Content" ObjectID="_1532825727" r:id="rId286"/>
        </w:object>
      </w:r>
      <w:r w:rsidRPr="007C2582">
        <w:tab/>
      </w:r>
      <w:r w:rsidRPr="007C2582">
        <w:tab/>
      </w:r>
      <w:r w:rsidRPr="007C2582">
        <w:tab/>
        <w:t>(</w:t>
      </w:r>
      <w:r w:rsidR="00A40B63">
        <w:t>5-</w:t>
      </w:r>
      <w:r w:rsidRPr="007C2582">
        <w:t>19)</w:t>
      </w:r>
    </w:p>
    <w:p w14:paraId="57AA0A9F" w14:textId="77777777" w:rsidR="007C2582" w:rsidRPr="007C2582" w:rsidRDefault="007C2582" w:rsidP="007C2582">
      <w:r w:rsidRPr="007C2582">
        <w:lastRenderedPageBreak/>
        <w:t xml:space="preserve">Take the derivative w.r.t. </w:t>
      </w:r>
      <w:r w:rsidRPr="007C2582">
        <w:rPr>
          <w:i/>
        </w:rPr>
        <w:t>Q</w:t>
      </w:r>
      <w:r w:rsidRPr="007C2582">
        <w:rPr>
          <w:i/>
          <w:vertAlign w:val="subscript"/>
        </w:rPr>
        <w:t>i</w:t>
      </w:r>
      <w:r w:rsidRPr="007C2582">
        <w:t xml:space="preserve"> on both sides of (</w:t>
      </w:r>
      <w:r w:rsidR="00A40B63">
        <w:t>5-</w:t>
      </w:r>
      <w:r w:rsidRPr="007C2582">
        <w:t>7) and (</w:t>
      </w:r>
      <w:r w:rsidR="00A40B63">
        <w:t>5-</w:t>
      </w:r>
      <w:r w:rsidRPr="007C2582">
        <w:t xml:space="preserve">8): </w:t>
      </w:r>
    </w:p>
    <w:p w14:paraId="316666AE" w14:textId="77777777" w:rsidR="007C2582" w:rsidRPr="007C2582" w:rsidRDefault="007C2582" w:rsidP="00A40B63">
      <w:pPr>
        <w:jc w:val="right"/>
      </w:pPr>
      <w:r w:rsidRPr="007C2582">
        <w:object w:dxaOrig="4800" w:dyaOrig="700" w14:anchorId="70888FA7">
          <v:shape id="_x0000_i1187" type="#_x0000_t75" style="width:243.25pt;height:35.45pt" o:ole="">
            <v:imagedata r:id="rId287" o:title=""/>
          </v:shape>
          <o:OLEObject Type="Embed" ProgID="Equation.DSMT4" ShapeID="_x0000_i1187" DrawAspect="Content" ObjectID="_1532825728" r:id="rId288"/>
        </w:object>
      </w:r>
      <w:r w:rsidRPr="007C2582">
        <w:tab/>
      </w:r>
      <w:r w:rsidRPr="007C2582">
        <w:tab/>
      </w:r>
      <w:r w:rsidRPr="007C2582">
        <w:tab/>
      </w:r>
      <w:r w:rsidRPr="007C2582">
        <w:tab/>
        <w:t>(</w:t>
      </w:r>
      <w:r w:rsidR="00A40B63">
        <w:t>5-</w:t>
      </w:r>
      <w:r w:rsidRPr="007C2582">
        <w:t>20)</w:t>
      </w:r>
    </w:p>
    <w:p w14:paraId="407DF0C9" w14:textId="77777777" w:rsidR="007C2582" w:rsidRPr="007C2582" w:rsidRDefault="007C2582" w:rsidP="007C2582">
      <w:r w:rsidRPr="007C2582">
        <w:t>where</w:t>
      </w:r>
    </w:p>
    <w:p w14:paraId="3A8B251D" w14:textId="77777777" w:rsidR="007C2582" w:rsidRPr="007C2582" w:rsidRDefault="007C2582" w:rsidP="00A40B63">
      <w:pPr>
        <w:jc w:val="right"/>
      </w:pPr>
      <w:r w:rsidRPr="007C2582">
        <w:object w:dxaOrig="6380" w:dyaOrig="940" w14:anchorId="41FBFC45">
          <v:shape id="_x0000_i1188" type="#_x0000_t75" style="width:283.65pt;height:46.35pt" o:ole="">
            <v:imagedata r:id="rId289" o:title=""/>
          </v:shape>
          <o:OLEObject Type="Embed" ProgID="Equation.DSMT4" ShapeID="_x0000_i1188" DrawAspect="Content" ObjectID="_1532825729" r:id="rId290"/>
        </w:object>
      </w:r>
      <w:r w:rsidRPr="007C2582">
        <w:tab/>
      </w:r>
      <w:r w:rsidRPr="007C2582">
        <w:tab/>
      </w:r>
      <w:r w:rsidRPr="007C2582">
        <w:tab/>
        <w:t>(</w:t>
      </w:r>
      <w:r w:rsidR="00A40B63">
        <w:t>5-</w:t>
      </w:r>
      <w:r w:rsidRPr="007C2582">
        <w:t>21)</w:t>
      </w:r>
    </w:p>
    <w:p w14:paraId="071B9810" w14:textId="77777777" w:rsidR="007C2582" w:rsidRPr="007C2582" w:rsidRDefault="007C2582" w:rsidP="00A40B63">
      <w:pPr>
        <w:jc w:val="right"/>
      </w:pPr>
      <w:r w:rsidRPr="007C2582">
        <w:object w:dxaOrig="6460" w:dyaOrig="940" w14:anchorId="7B09AD9E">
          <v:shape id="_x0000_i1189" type="#_x0000_t75" style="width:4in;height:46.35pt" o:ole="">
            <v:imagedata r:id="rId291" o:title=""/>
          </v:shape>
          <o:OLEObject Type="Embed" ProgID="Equation.DSMT4" ShapeID="_x0000_i1189" DrawAspect="Content" ObjectID="_1532825730" r:id="rId292"/>
        </w:object>
      </w:r>
      <w:r w:rsidRPr="007C2582">
        <w:tab/>
      </w:r>
      <w:r w:rsidRPr="007C2582">
        <w:tab/>
      </w:r>
      <w:r w:rsidRPr="007C2582">
        <w:tab/>
        <w:t>(</w:t>
      </w:r>
      <w:r w:rsidR="00A40B63">
        <w:t>5-</w:t>
      </w:r>
      <w:r w:rsidRPr="007C2582">
        <w:t>22)</w:t>
      </w:r>
    </w:p>
    <w:p w14:paraId="48A55F13" w14:textId="77777777" w:rsidR="007C2582" w:rsidRPr="007C2582" w:rsidRDefault="007C2582" w:rsidP="007C2582">
      <w:r w:rsidRPr="007C2582">
        <w:t>Substitute ∂</w:t>
      </w:r>
      <w:r w:rsidRPr="007C2582">
        <w:rPr>
          <w:i/>
        </w:rPr>
        <w:t>R</w:t>
      </w:r>
      <w:r w:rsidRPr="007C2582">
        <w:rPr>
          <w:i/>
          <w:vertAlign w:val="subscript"/>
        </w:rPr>
        <w:t>eq,i</w:t>
      </w:r>
      <w:r w:rsidRPr="007C2582">
        <w:t>/∂</w:t>
      </w:r>
      <w:r w:rsidRPr="007C2582">
        <w:rPr>
          <w:i/>
        </w:rPr>
        <w:t>Q</w:t>
      </w:r>
      <w:r w:rsidRPr="007C2582">
        <w:rPr>
          <w:i/>
          <w:vertAlign w:val="subscript"/>
        </w:rPr>
        <w:t xml:space="preserve">i </w:t>
      </w:r>
      <w:r w:rsidRPr="007C2582">
        <w:t>and</w:t>
      </w:r>
      <w:r w:rsidRPr="007C2582">
        <w:rPr>
          <w:i/>
        </w:rPr>
        <w:t xml:space="preserve"> </w:t>
      </w:r>
      <w:r w:rsidRPr="007C2582">
        <w:t>∂</w:t>
      </w:r>
      <w:r w:rsidRPr="007C2582">
        <w:rPr>
          <w:i/>
        </w:rPr>
        <w:t>X</w:t>
      </w:r>
      <w:r w:rsidRPr="007C2582">
        <w:rPr>
          <w:i/>
          <w:vertAlign w:val="subscript"/>
        </w:rPr>
        <w:t>eq,i</w:t>
      </w:r>
      <w:r w:rsidRPr="007C2582">
        <w:t>/∂</w:t>
      </w:r>
      <w:r w:rsidRPr="007C2582">
        <w:rPr>
          <w:i/>
        </w:rPr>
        <w:t>Q</w:t>
      </w:r>
      <w:r w:rsidRPr="007C2582">
        <w:rPr>
          <w:i/>
          <w:vertAlign w:val="subscript"/>
        </w:rPr>
        <w:t>i</w:t>
      </w:r>
      <w:r w:rsidRPr="007C2582">
        <w:t xml:space="preserve"> in (</w:t>
      </w:r>
      <w:r w:rsidR="00A40B63">
        <w:t>5-</w:t>
      </w:r>
      <w:r w:rsidRPr="007C2582">
        <w:t>18) with (</w:t>
      </w:r>
      <w:r w:rsidR="00A40B63">
        <w:t>5-</w:t>
      </w:r>
      <w:r w:rsidRPr="007C2582">
        <w:t>20), we can easily calculate ∂</w:t>
      </w:r>
      <w:r w:rsidRPr="007C2582">
        <w:rPr>
          <w:i/>
        </w:rPr>
        <w:t>V</w:t>
      </w:r>
      <w:r w:rsidRPr="007C2582">
        <w:rPr>
          <w:i/>
          <w:vertAlign w:val="subscript"/>
        </w:rPr>
        <w:t>i</w:t>
      </w:r>
      <w:r w:rsidRPr="007C2582">
        <w:t>/∂</w:t>
      </w:r>
      <w:r w:rsidRPr="007C2582">
        <w:rPr>
          <w:i/>
        </w:rPr>
        <w:t>Q</w:t>
      </w:r>
      <w:r w:rsidRPr="007C2582">
        <w:rPr>
          <w:i/>
          <w:vertAlign w:val="subscript"/>
        </w:rPr>
        <w:t>i</w:t>
      </w:r>
      <w:r w:rsidRPr="007C2582">
        <w:t>. Then, ∂</w:t>
      </w:r>
      <w:r w:rsidRPr="007C2582">
        <w:rPr>
          <w:i/>
        </w:rPr>
        <w:t>R</w:t>
      </w:r>
      <w:r w:rsidRPr="007C2582">
        <w:rPr>
          <w:i/>
          <w:vertAlign w:val="subscript"/>
        </w:rPr>
        <w:t>eq,i</w:t>
      </w:r>
      <w:r w:rsidRPr="007C2582">
        <w:t>/∂</w:t>
      </w:r>
      <w:r w:rsidRPr="007C2582">
        <w:rPr>
          <w:i/>
        </w:rPr>
        <w:t>Q</w:t>
      </w:r>
      <w:r w:rsidRPr="007C2582">
        <w:rPr>
          <w:i/>
          <w:vertAlign w:val="subscript"/>
        </w:rPr>
        <w:t xml:space="preserve">i </w:t>
      </w:r>
      <w:r w:rsidRPr="007C2582">
        <w:t>and</w:t>
      </w:r>
      <w:r w:rsidRPr="007C2582">
        <w:rPr>
          <w:i/>
        </w:rPr>
        <w:t xml:space="preserve"> </w:t>
      </w:r>
      <w:r w:rsidRPr="007C2582">
        <w:t>∂</w:t>
      </w:r>
      <w:r w:rsidRPr="007C2582">
        <w:rPr>
          <w:i/>
        </w:rPr>
        <w:t>X</w:t>
      </w:r>
      <w:r w:rsidRPr="007C2582">
        <w:rPr>
          <w:i/>
          <w:vertAlign w:val="subscript"/>
        </w:rPr>
        <w:t>eq,i</w:t>
      </w:r>
      <w:r w:rsidRPr="007C2582">
        <w:t>/∂</w:t>
      </w:r>
      <w:r w:rsidRPr="007C2582">
        <w:rPr>
          <w:i/>
        </w:rPr>
        <w:t>Q</w:t>
      </w:r>
      <w:r w:rsidRPr="007C2582">
        <w:rPr>
          <w:i/>
          <w:vertAlign w:val="subscript"/>
        </w:rPr>
        <w:t>i</w:t>
      </w:r>
      <w:r w:rsidRPr="007C2582">
        <w:t xml:space="preserve"> can be solved based on (</w:t>
      </w:r>
      <w:r w:rsidR="00A40B63">
        <w:t>5-</w:t>
      </w:r>
      <w:r w:rsidRPr="007C2582">
        <w:t>20). Finally, the proposed self-sensitivity shown in (</w:t>
      </w:r>
      <w:r w:rsidR="00A40B63">
        <w:t>5-</w:t>
      </w:r>
      <w:r w:rsidRPr="007C2582">
        <w:t>15) can be calculated.</w:t>
      </w:r>
    </w:p>
    <w:p w14:paraId="0B3D3DC3" w14:textId="77777777" w:rsidR="007C2582" w:rsidRPr="007C2582" w:rsidRDefault="007C2582" w:rsidP="007C2582">
      <w:r w:rsidRPr="007C2582">
        <w:t>The calculation of self-sensitivity is more complex than cross-sensitivity because of the following reasons: 1) the third component in (</w:t>
      </w:r>
      <w:r w:rsidR="00A40B63">
        <w:t>5-</w:t>
      </w:r>
      <w:r w:rsidRPr="007C2582">
        <w:t xml:space="preserve">15); 2) the summation in calculating </w:t>
      </w:r>
      <w:r w:rsidRPr="007C2582">
        <w:rPr>
          <w:i/>
        </w:rPr>
        <w:t>B</w:t>
      </w:r>
      <w:r w:rsidRPr="007C2582">
        <w:t xml:space="preserve">1 and </w:t>
      </w:r>
      <w:r w:rsidRPr="007C2582">
        <w:rPr>
          <w:i/>
        </w:rPr>
        <w:t>B</w:t>
      </w:r>
      <w:r w:rsidRPr="007C2582">
        <w:t>2 in (</w:t>
      </w:r>
      <w:r w:rsidR="00A40B63">
        <w:t>5-</w:t>
      </w:r>
      <w:r w:rsidRPr="007C2582">
        <w:t>21) and (</w:t>
      </w:r>
      <w:r w:rsidR="00A40B63">
        <w:t>5-</w:t>
      </w:r>
      <w:r w:rsidRPr="007C2582">
        <w:t>22); and 3) the inclusion of ∂</w:t>
      </w:r>
      <w:r w:rsidRPr="007C2582">
        <w:rPr>
          <w:i/>
        </w:rPr>
        <w:t>V</w:t>
      </w:r>
      <w:r w:rsidRPr="007C2582">
        <w:rPr>
          <w:i/>
          <w:vertAlign w:val="subscript"/>
        </w:rPr>
        <w:t>i</w:t>
      </w:r>
      <w:r w:rsidRPr="007C2582">
        <w:t>/∂</w:t>
      </w:r>
      <w:r w:rsidRPr="007C2582">
        <w:rPr>
          <w:i/>
        </w:rPr>
        <w:t>Q</w:t>
      </w:r>
      <w:r w:rsidRPr="007C2582">
        <w:rPr>
          <w:i/>
          <w:vertAlign w:val="subscript"/>
        </w:rPr>
        <w:t>i</w:t>
      </w:r>
      <w:r w:rsidRPr="007C2582">
        <w:t>. Such extra efforts are well-justified in the sense that self-sensitivity is most likely the dominant sensitivity.</w:t>
      </w:r>
    </w:p>
    <w:p w14:paraId="47771DDB" w14:textId="77777777" w:rsidR="007C2582" w:rsidRPr="007C2582" w:rsidRDefault="007C2582" w:rsidP="007C2582">
      <w:r w:rsidRPr="007C2582">
        <w:t xml:space="preserve">The sensitivity w.r.t. reactive power injection proposed here has been improved based on </w:t>
      </w:r>
      <w:r w:rsidR="00A40B63">
        <w:fldChar w:fldCharType="begin" w:fldLock="1"/>
      </w:r>
      <w:r w:rsidR="00D96671">
        <w:instrText>ADDIN CSL_CITATION { "citationItems" : [ { "id" : "ITEM-1", "itemData" : { "ISBN" : "9781467380409", "author" : [ { "dropping-particle" : "", "family" : "Yuan", "given" : "Haoyu", "non-dropping-particle" : "", "parse-names" : false, "suffix" : "" }, { "dropping-particle" : "", "family" : "Jiang", "given" : "Tao", "non-dropping-particle" : "", "parse-names" : false, "suffix" : "" }, { "dropping-particle" : "", "family" : "Jia", "given" : "Hongjie", "non-dropping-particle" : "", "parse-names" : false, "suffix" : "" }, { "dropping-particle" : "", "family" : "Li", "given" : "Fangxing", "non-dropping-particle" : "", "parse-names" : false, "suffix" : "" }, { "dropping-particle" : "", "family" : "Mishra", "given" : "Yateendra", "non-dropping-particle" : "", "parse-names" : false, "suffix" : "" }, { "dropping-particle" : "", "family" : "Chen", "given" : "Houhe", "non-dropping-particle" : "", "parse-names" : false, "suffix" : "" }, { "dropping-particle" : "", "family" : "Li", "given" : "Guoqing", "non-dropping-particle" : "", "parse-names" : false, "suffix" : "" } ], "container-title" : "IEEE PES General Meeting", "id" : "ITEM-1", "issued" : { "date-parts" : [ [ "2015" ] ] }, "page" : "1-5", "title" : "Real-Time Wide-area Loading Margin Sensitivity ( WALMS ) in Power Systems", "type" : "paper-conference" }, "uris" : [ "http://www.mendeley.com/documents/?uuid=4ba41f46-e6eb-42c4-bb8a-6b794cb05de6" ] } ], "mendeley" : { "formattedCitation" : "[18]", "plainTextFormattedCitation" : "[18]", "previouslyFormattedCitation" : "[18]" }, "properties" : { "noteIndex" : 0 }, "schema" : "https://github.com/citation-style-language/schema/raw/master/csl-citation.json" }</w:instrText>
      </w:r>
      <w:r w:rsidR="00A40B63">
        <w:fldChar w:fldCharType="separate"/>
      </w:r>
      <w:r w:rsidR="00D96671" w:rsidRPr="00D96671">
        <w:rPr>
          <w:noProof/>
        </w:rPr>
        <w:t>[18]</w:t>
      </w:r>
      <w:r w:rsidR="00A40B63">
        <w:fldChar w:fldCharType="end"/>
      </w:r>
      <w:r w:rsidR="00A40B63">
        <w:t xml:space="preserve"> </w:t>
      </w:r>
      <w:r w:rsidRPr="007C2582">
        <w:t xml:space="preserve">in that 1) λ (i.e. the LM) is expressed without the power factor, which is related to </w:t>
      </w:r>
      <w:r w:rsidRPr="007C2582">
        <w:rPr>
          <w:i/>
        </w:rPr>
        <w:t>P</w:t>
      </w:r>
      <w:r w:rsidRPr="007C2582">
        <w:rPr>
          <w:i/>
          <w:vertAlign w:val="subscript"/>
        </w:rPr>
        <w:t>i</w:t>
      </w:r>
      <w:r w:rsidRPr="007C2582">
        <w:t xml:space="preserve"> and </w:t>
      </w:r>
      <w:r w:rsidRPr="007C2582">
        <w:rPr>
          <w:i/>
        </w:rPr>
        <w:t>Q</w:t>
      </w:r>
      <w:r w:rsidRPr="007C2582">
        <w:rPr>
          <w:i/>
          <w:vertAlign w:val="subscript"/>
        </w:rPr>
        <w:t>i</w:t>
      </w:r>
      <w:r w:rsidRPr="007C2582">
        <w:t>; and 2) the self-sensitivity includes ∂</w:t>
      </w:r>
      <w:r w:rsidRPr="007C2582">
        <w:rPr>
          <w:i/>
        </w:rPr>
        <w:t>V</w:t>
      </w:r>
      <w:r w:rsidRPr="007C2582">
        <w:rPr>
          <w:i/>
          <w:vertAlign w:val="subscript"/>
        </w:rPr>
        <w:t>i</w:t>
      </w:r>
      <w:r w:rsidRPr="007C2582">
        <w:t>/∂</w:t>
      </w:r>
      <w:r w:rsidRPr="007C2582">
        <w:rPr>
          <w:i/>
        </w:rPr>
        <w:t>Q</w:t>
      </w:r>
      <w:r w:rsidRPr="007C2582">
        <w:rPr>
          <w:i/>
          <w:vertAlign w:val="subscript"/>
        </w:rPr>
        <w:t>i</w:t>
      </w:r>
      <w:r w:rsidRPr="007C2582">
        <w:t xml:space="preserve"> in order to improve the accuracy. </w:t>
      </w:r>
    </w:p>
    <w:p w14:paraId="3FC1475B" w14:textId="77777777" w:rsidR="007C2582" w:rsidRPr="007C2582" w:rsidRDefault="007C2582" w:rsidP="007C2582">
      <w:r w:rsidRPr="007C2582">
        <w:lastRenderedPageBreak/>
        <w:t xml:space="preserve">Despite the above changes, the computational effort remains in the same scale as </w:t>
      </w:r>
      <w:r w:rsidR="00A40B63">
        <w:fldChar w:fldCharType="begin" w:fldLock="1"/>
      </w:r>
      <w:r w:rsidR="00D96671">
        <w:instrText>ADDIN CSL_CITATION { "citationItems" : [ { "id" : "ITEM-1", "itemData" : { "ISBN" : "9781467380409", "author" : [ { "dropping-particle" : "", "family" : "Yuan", "given" : "Haoyu", "non-dropping-particle" : "", "parse-names" : false, "suffix" : "" }, { "dropping-particle" : "", "family" : "Jiang", "given" : "Tao", "non-dropping-particle" : "", "parse-names" : false, "suffix" : "" }, { "dropping-particle" : "", "family" : "Jia", "given" : "Hongjie", "non-dropping-particle" : "", "parse-names" : false, "suffix" : "" }, { "dropping-particle" : "", "family" : "Li", "given" : "Fangxing", "non-dropping-particle" : "", "parse-names" : false, "suffix" : "" }, { "dropping-particle" : "", "family" : "Mishra", "given" : "Yateendra", "non-dropping-particle" : "", "parse-names" : false, "suffix" : "" }, { "dropping-particle" : "", "family" : "Chen", "given" : "Houhe", "non-dropping-particle" : "", "parse-names" : false, "suffix" : "" }, { "dropping-particle" : "", "family" : "Li", "given" : "Guoqing", "non-dropping-particle" : "", "parse-names" : false, "suffix" : "" } ], "container-title" : "IEEE PES General Meeting", "id" : "ITEM-1", "issued" : { "date-parts" : [ [ "2015" ] ] }, "page" : "1-5", "title" : "Real-Time Wide-area Loading Margin Sensitivity ( WALMS ) in Power Systems", "type" : "paper-conference" }, "uris" : [ "http://www.mendeley.com/documents/?uuid=4ba41f46-e6eb-42c4-bb8a-6b794cb05de6" ] } ], "mendeley" : { "formattedCitation" : "[18]", "plainTextFormattedCitation" : "[18]", "previouslyFormattedCitation" : "[18]" }, "properties" : { "noteIndex" : 0 }, "schema" : "https://github.com/citation-style-language/schema/raw/master/csl-citation.json" }</w:instrText>
      </w:r>
      <w:r w:rsidR="00A40B63">
        <w:fldChar w:fldCharType="separate"/>
      </w:r>
      <w:r w:rsidR="00D96671" w:rsidRPr="00D96671">
        <w:rPr>
          <w:noProof/>
        </w:rPr>
        <w:t>[18]</w:t>
      </w:r>
      <w:r w:rsidR="00A40B63">
        <w:fldChar w:fldCharType="end"/>
      </w:r>
      <w:r w:rsidRPr="007C2582">
        <w:t>. The computation of ∂</w:t>
      </w:r>
      <w:r w:rsidRPr="007C2582">
        <w:rPr>
          <w:i/>
        </w:rPr>
        <w:t>V</w:t>
      </w:r>
      <w:r w:rsidRPr="007C2582">
        <w:rPr>
          <w:i/>
          <w:vertAlign w:val="subscript"/>
        </w:rPr>
        <w:t>i</w:t>
      </w:r>
      <w:r w:rsidRPr="007C2582">
        <w:t>/∂</w:t>
      </w:r>
      <w:r w:rsidRPr="007C2582">
        <w:rPr>
          <w:i/>
        </w:rPr>
        <w:t>Q</w:t>
      </w:r>
      <w:r w:rsidRPr="007C2582">
        <w:rPr>
          <w:i/>
          <w:vertAlign w:val="subscript"/>
        </w:rPr>
        <w:t>i</w:t>
      </w:r>
      <w:r w:rsidRPr="007C2582">
        <w:t xml:space="preserve"> is based on the two-bus circuit model and do not involve the Jacobian power flow system. Furthermore, no additional information or measurement is needed in addition to the measurement-based VSA of </w:t>
      </w:r>
      <w:r w:rsidR="00A40B63">
        <w:fldChar w:fldCharType="begin" w:fldLock="1"/>
      </w:r>
      <w:r w:rsidR="00351740">
        <w:instrText>ADDIN CSL_CITATION { "citationItems" : [ { "id" : "ITEM-1", "itemData" : { "abstract" : "This paper reveals that the impedance match (or the Thevenin circuit) based voltage stability monitoring techniques have problems to predict voltage stability limits when applied to multi-load power systems. Power system loads are nonlinear and dynamic. They cannot be simply represented as Thevenin circuit parameters for impedance match analysis. To overcome these difficulties, a new concept called &amp;#x201C;coupled single-port circuit&amp;#x201D; is proposed in this paper. The concept decouples a meshed network into individual single generator versus single bus network and, as a result, a modified version of the impedance match theorem can be used. This leads to a real-time voltage stability monitoring scheme without the need to estimate Thevenin parameters. The scheme can estimate voltage stability margin and identify weak areas in a system based on the SCADA and PMU data. Case studies conducted on several test systems have verified the validity of the proposed method.", "author" : [ { "dropping-particle" : "", "family" : "Wang", "given" : "Yunfei", "non-dropping-particle" : "", "parse-names" : false, "suffix" : "" }, { "dropping-particle" : "", "family" : "Pordanjani", "given" : "Iraj Rahimi", "non-dropping-particle" : "", "parse-names" : false, "suffix" : "" }, { "dropping-particle" : "", "family" : "Li", "given" : "Weixing", "non-dropping-particle" : "", "parse-names" : false, "suffix" : "" }, { "dropping-particle" : "", "family" : "Xu", "given" : "Wilsun", "non-dropping-particle" : "", "parse-names" : false, "suffix" : "" }, { "dropping-particle" : "", "family" : "Chen", "given" : "Tongwen", "non-dropping-particle" : "", "parse-names" : false, "suffix" : "" }, { "dropping-particle" : "", "family" : "Vaahedi", "given" : "Ebrahim", "non-dropping-particle" : "", "parse-names" : false, "suffix" : "" }, { "dropping-particle" : "", "family" : "Gurney", "given" : "Jim", "non-dropping-particle" : "", "parse-names" : false, "suffix" : "" } ], "container-title" : "IEEE Transactions on Power Systems", "id" : "ITEM-1", "issue" : "4", "issued" : { "date-parts" : [ [ "2011" ] ] }, "page" : "2154-2163", "title" : "Voltage stability monitoring based on the concept of coupled single-port circuit", "type" : "article-journal", "volume" : "26" }, "uris" : [ "http://www.mendeley.com/documents/?uuid=be83206a-cf18-49aa-bba5-04a00745600b" ] } ], "mendeley" : { "formattedCitation" : "[34]", "plainTextFormattedCitation" : "[34]", "previouslyFormattedCitation" : "[34]" }, "properties" : { "noteIndex" : 0 }, "schema" : "https://github.com/citation-style-language/schema/raw/master/csl-citation.json" }</w:instrText>
      </w:r>
      <w:r w:rsidR="00A40B63">
        <w:fldChar w:fldCharType="separate"/>
      </w:r>
      <w:r w:rsidR="00DD7036" w:rsidRPr="00DD7036">
        <w:rPr>
          <w:noProof/>
        </w:rPr>
        <w:t>[34]</w:t>
      </w:r>
      <w:r w:rsidR="00A40B63">
        <w:fldChar w:fldCharType="end"/>
      </w:r>
      <w:r w:rsidRPr="007C2582">
        <w:t xml:space="preserve">.  </w:t>
      </w:r>
    </w:p>
    <w:p w14:paraId="74DB3E01" w14:textId="77777777" w:rsidR="007C2582" w:rsidRPr="007C2582" w:rsidRDefault="00A40B63" w:rsidP="00A40B63">
      <w:pPr>
        <w:pStyle w:val="Heading3"/>
      </w:pPr>
      <w:bookmarkStart w:id="111" w:name="_Toc459076567"/>
      <w:r>
        <w:t xml:space="preserve">5.2.2 </w:t>
      </w:r>
      <w:r w:rsidR="007C2582" w:rsidRPr="007C2582">
        <w:t>LMS w.r.t. Real Power Injection</w:t>
      </w:r>
      <w:bookmarkEnd w:id="111"/>
    </w:p>
    <w:p w14:paraId="19E6A54D" w14:textId="77777777" w:rsidR="007C2582" w:rsidRPr="007C2582" w:rsidRDefault="007C2582" w:rsidP="007C2582">
      <w:r w:rsidRPr="007C2582">
        <w:t xml:space="preserve">Similarly, the cross-sensitivity (the sensitivity of the LM of bus </w:t>
      </w:r>
      <w:r w:rsidRPr="007C2582">
        <w:rPr>
          <w:i/>
        </w:rPr>
        <w:t>i</w:t>
      </w:r>
      <w:r w:rsidRPr="007C2582">
        <w:t xml:space="preserve"> to the real power load of bus</w:t>
      </w:r>
      <w:r w:rsidRPr="007C2582">
        <w:rPr>
          <w:i/>
        </w:rPr>
        <w:t xml:space="preserve"> j</w:t>
      </w:r>
      <w:r w:rsidRPr="007C2582">
        <w:t xml:space="preserve"> (</w:t>
      </w:r>
      <w:r w:rsidRPr="007C2582">
        <w:rPr>
          <w:i/>
        </w:rPr>
        <w:t>j</w:t>
      </w:r>
      <w:r w:rsidRPr="007C2582">
        <w:t xml:space="preserve"> not equal to </w:t>
      </w:r>
      <w:r w:rsidRPr="007C2582">
        <w:rPr>
          <w:i/>
        </w:rPr>
        <w:t>i</w:t>
      </w:r>
      <w:r w:rsidRPr="007C2582">
        <w:t xml:space="preserve">)) and the self-sensitivity (sensitivity of LM of bus </w:t>
      </w:r>
      <w:r w:rsidRPr="007C2582">
        <w:rPr>
          <w:i/>
        </w:rPr>
        <w:t>i</w:t>
      </w:r>
      <w:r w:rsidRPr="007C2582">
        <w:t xml:space="preserve"> to the real power load of bus</w:t>
      </w:r>
      <w:r w:rsidRPr="007C2582">
        <w:rPr>
          <w:i/>
        </w:rPr>
        <w:t xml:space="preserve"> i</w:t>
      </w:r>
      <w:r w:rsidRPr="007C2582">
        <w:t>) are derived next.</w:t>
      </w:r>
    </w:p>
    <w:p w14:paraId="4060350B" w14:textId="77777777" w:rsidR="007C2582" w:rsidRPr="007C2582" w:rsidRDefault="007C2582" w:rsidP="007C2582">
      <w:r w:rsidRPr="007C2582">
        <w:t xml:space="preserve">Note that the LMSs in Section </w:t>
      </w:r>
      <w:r w:rsidR="00A40B63">
        <w:t>5</w:t>
      </w:r>
      <w:r w:rsidRPr="007C2582">
        <w:t>.2</w:t>
      </w:r>
      <w:r w:rsidR="00A40B63">
        <w:t>.2 and 5.2</w:t>
      </w:r>
      <w:r w:rsidRPr="007C2582">
        <w:t xml:space="preserve">.3 are both newly developed and are never presented in </w:t>
      </w:r>
      <w:r w:rsidR="00A40B63">
        <w:fldChar w:fldCharType="begin" w:fldLock="1"/>
      </w:r>
      <w:r w:rsidR="00D96671">
        <w:instrText>ADDIN CSL_CITATION { "citationItems" : [ { "id" : "ITEM-1", "itemData" : { "ISBN" : "9781467380409", "author" : [ { "dropping-particle" : "", "family" : "Yuan", "given" : "Haoyu", "non-dropping-particle" : "", "parse-names" : false, "suffix" : "" }, { "dropping-particle" : "", "family" : "Jiang", "given" : "Tao", "non-dropping-particle" : "", "parse-names" : false, "suffix" : "" }, { "dropping-particle" : "", "family" : "Jia", "given" : "Hongjie", "non-dropping-particle" : "", "parse-names" : false, "suffix" : "" }, { "dropping-particle" : "", "family" : "Li", "given" : "Fangxing", "non-dropping-particle" : "", "parse-names" : false, "suffix" : "" }, { "dropping-particle" : "", "family" : "Mishra", "given" : "Yateendra", "non-dropping-particle" : "", "parse-names" : false, "suffix" : "" }, { "dropping-particle" : "", "family" : "Chen", "given" : "Houhe", "non-dropping-particle" : "", "parse-names" : false, "suffix" : "" }, { "dropping-particle" : "", "family" : "Li", "given" : "Guoqing", "non-dropping-particle" : "", "parse-names" : false, "suffix" : "" } ], "container-title" : "IEEE PES General Meeting", "id" : "ITEM-1", "issued" : { "date-parts" : [ [ "2015" ] ] }, "page" : "1-5", "title" : "Real-Time Wide-area Loading Margin Sensitivity ( WALMS ) in Power Systems", "type" : "paper-conference" }, "uris" : [ "http://www.mendeley.com/documents/?uuid=4ba41f46-e6eb-42c4-bb8a-6b794cb05de6" ] } ], "mendeley" : { "formattedCitation" : "[18]", "plainTextFormattedCitation" : "[18]", "previouslyFormattedCitation" : "[18]" }, "properties" : { "noteIndex" : 0 }, "schema" : "https://github.com/citation-style-language/schema/raw/master/csl-citation.json" }</w:instrText>
      </w:r>
      <w:r w:rsidR="00A40B63">
        <w:fldChar w:fldCharType="separate"/>
      </w:r>
      <w:r w:rsidR="00D96671" w:rsidRPr="00D96671">
        <w:rPr>
          <w:noProof/>
        </w:rPr>
        <w:t>[18]</w:t>
      </w:r>
      <w:r w:rsidR="00A40B63">
        <w:fldChar w:fldCharType="end"/>
      </w:r>
      <w:r w:rsidR="00A40B63">
        <w:t xml:space="preserve"> </w:t>
      </w:r>
      <w:r w:rsidRPr="007C2582">
        <w:t xml:space="preserve">or other works. </w:t>
      </w:r>
    </w:p>
    <w:p w14:paraId="45DFB812" w14:textId="77777777" w:rsidR="007C2582" w:rsidRPr="007C2582" w:rsidRDefault="007C2582" w:rsidP="007C2582">
      <w:pPr>
        <w:rPr>
          <w:i/>
          <w:u w:val="single"/>
        </w:rPr>
      </w:pPr>
      <w:r w:rsidRPr="007C2582">
        <w:rPr>
          <w:i/>
          <w:u w:val="single"/>
        </w:rPr>
        <w:t xml:space="preserve">Cross-sensitivity: </w:t>
      </w:r>
    </w:p>
    <w:p w14:paraId="32A5528C" w14:textId="77777777" w:rsidR="007C2582" w:rsidRPr="007C2582" w:rsidRDefault="007C2582" w:rsidP="007C2582">
      <w:r w:rsidRPr="007C2582">
        <w:t xml:space="preserve">The cross-sensitivity of LM of bus </w:t>
      </w:r>
      <w:r w:rsidRPr="007C2582">
        <w:rPr>
          <w:i/>
        </w:rPr>
        <w:t>i</w:t>
      </w:r>
      <w:r w:rsidRPr="007C2582">
        <w:t xml:space="preserve"> to the real power load of bus</w:t>
      </w:r>
      <w:r w:rsidRPr="007C2582">
        <w:rPr>
          <w:i/>
        </w:rPr>
        <w:t xml:space="preserve"> j</w:t>
      </w:r>
      <w:r w:rsidRPr="007C2582">
        <w:t xml:space="preserve"> (</w:t>
      </w:r>
      <w:r w:rsidRPr="007C2582">
        <w:rPr>
          <w:i/>
        </w:rPr>
        <w:t>j</w:t>
      </w:r>
      <m:oMath>
        <m:r>
          <w:rPr>
            <w:rFonts w:ascii="Cambria Math" w:hAnsi="Cambria Math"/>
          </w:rPr>
          <m:t>≠</m:t>
        </m:r>
      </m:oMath>
      <w:r w:rsidRPr="007C2582">
        <w:rPr>
          <w:i/>
        </w:rPr>
        <w:t>i</w:t>
      </w:r>
      <w:r w:rsidRPr="007C2582">
        <w:t>) can be derived from (</w:t>
      </w:r>
      <w:r w:rsidR="00A40B63">
        <w:t>5-</w:t>
      </w:r>
      <w:r w:rsidRPr="007C2582">
        <w:t>6):</w:t>
      </w:r>
    </w:p>
    <w:p w14:paraId="0B5C8DB1" w14:textId="77777777" w:rsidR="007C2582" w:rsidRPr="007C2582" w:rsidRDefault="007C2582" w:rsidP="00A40B63">
      <w:pPr>
        <w:jc w:val="right"/>
      </w:pPr>
      <w:r w:rsidRPr="007C2582">
        <w:object w:dxaOrig="3240" w:dyaOrig="720" w14:anchorId="3D567C56">
          <v:shape id="_x0000_i1190" type="#_x0000_t75" style="width:165.25pt;height:36.55pt" o:ole="">
            <v:imagedata r:id="rId293" o:title=""/>
          </v:shape>
          <o:OLEObject Type="Embed" ProgID="Equation.DSMT4" ShapeID="_x0000_i1190" DrawAspect="Content" ObjectID="_1532825731" r:id="rId294"/>
        </w:object>
      </w:r>
      <w:r w:rsidR="00A40B63">
        <w:tab/>
      </w:r>
      <w:r w:rsidR="00A40B63">
        <w:tab/>
      </w:r>
      <w:r w:rsidR="00A40B63">
        <w:tab/>
      </w:r>
      <w:r w:rsidRPr="007C2582">
        <w:tab/>
        <w:t>(</w:t>
      </w:r>
      <w:r w:rsidR="00A40B63">
        <w:t>5-</w:t>
      </w:r>
      <w:r w:rsidRPr="007C2582">
        <w:t>23)</w:t>
      </w:r>
    </w:p>
    <w:p w14:paraId="78B4880E" w14:textId="77777777" w:rsidR="007C2582" w:rsidRPr="007C2582" w:rsidRDefault="007C2582" w:rsidP="007C2582">
      <w:r w:rsidRPr="007C2582">
        <w:t>where</w:t>
      </w:r>
    </w:p>
    <w:p w14:paraId="40D4693D" w14:textId="77777777" w:rsidR="007C2582" w:rsidRPr="007C2582" w:rsidRDefault="007C2582" w:rsidP="00A40B63">
      <w:pPr>
        <w:jc w:val="right"/>
      </w:pPr>
      <w:r w:rsidRPr="007C2582">
        <w:object w:dxaOrig="5360" w:dyaOrig="820" w14:anchorId="39ECC57C">
          <v:shape id="_x0000_i1191" type="#_x0000_t75" style="width:264pt;height:39.8pt" o:ole="">
            <v:imagedata r:id="rId295" o:title=""/>
          </v:shape>
          <o:OLEObject Type="Embed" ProgID="Equation.DSMT4" ShapeID="_x0000_i1191" DrawAspect="Content" ObjectID="_1532825732" r:id="rId296"/>
        </w:object>
      </w:r>
      <w:r w:rsidRPr="007C2582">
        <w:tab/>
      </w:r>
      <w:r w:rsidRPr="007C2582">
        <w:tab/>
      </w:r>
      <w:r w:rsidRPr="007C2582">
        <w:tab/>
        <w:t>(</w:t>
      </w:r>
      <w:r w:rsidR="00A40B63">
        <w:t>5-</w:t>
      </w:r>
      <w:r w:rsidRPr="007C2582">
        <w:t>24)</w:t>
      </w:r>
    </w:p>
    <w:p w14:paraId="2FD60F38" w14:textId="77777777" w:rsidR="007C2582" w:rsidRPr="007C2582" w:rsidRDefault="007C2582" w:rsidP="00A40B63">
      <w:pPr>
        <w:jc w:val="right"/>
      </w:pPr>
      <w:r w:rsidRPr="007C2582">
        <w:object w:dxaOrig="5400" w:dyaOrig="820" w14:anchorId="4B610282">
          <v:shape id="_x0000_i1192" type="#_x0000_t75" style="width:262.35pt;height:39.8pt" o:ole="">
            <v:imagedata r:id="rId297" o:title=""/>
          </v:shape>
          <o:OLEObject Type="Embed" ProgID="Equation.DSMT4" ShapeID="_x0000_i1192" DrawAspect="Content" ObjectID="_1532825733" r:id="rId298"/>
        </w:object>
      </w:r>
      <w:r w:rsidRPr="007C2582">
        <w:tab/>
      </w:r>
      <w:r w:rsidRPr="007C2582">
        <w:tab/>
      </w:r>
      <w:r w:rsidRPr="007C2582">
        <w:tab/>
        <w:t>(</w:t>
      </w:r>
      <w:r w:rsidR="00A40B63">
        <w:t>5-</w:t>
      </w:r>
      <w:r w:rsidRPr="007C2582">
        <w:t>25)</w:t>
      </w:r>
    </w:p>
    <w:p w14:paraId="4212AAD0" w14:textId="77777777" w:rsidR="007C2582" w:rsidRPr="007C2582" w:rsidRDefault="007C2582" w:rsidP="007C2582">
      <w:r w:rsidRPr="007C2582">
        <w:t>∂</w:t>
      </w:r>
      <w:r w:rsidRPr="007C2582">
        <w:rPr>
          <w:i/>
        </w:rPr>
        <w:t>f</w:t>
      </w:r>
      <w:r w:rsidRPr="007C2582">
        <w:t>/∂</w:t>
      </w:r>
      <w:r w:rsidRPr="007C2582">
        <w:rPr>
          <w:i/>
        </w:rPr>
        <w:t>R</w:t>
      </w:r>
      <w:r w:rsidRPr="007C2582">
        <w:rPr>
          <w:i/>
          <w:vertAlign w:val="subscript"/>
        </w:rPr>
        <w:t xml:space="preserve">eq,i </w:t>
      </w:r>
      <w:r w:rsidRPr="007C2582">
        <w:t>and</w:t>
      </w:r>
      <w:r w:rsidRPr="007C2582">
        <w:rPr>
          <w:i/>
        </w:rPr>
        <w:t xml:space="preserve"> </w:t>
      </w:r>
      <w:r w:rsidRPr="007C2582">
        <w:t>∂</w:t>
      </w:r>
      <w:r w:rsidRPr="007C2582">
        <w:rPr>
          <w:i/>
        </w:rPr>
        <w:t>f</w:t>
      </w:r>
      <w:r w:rsidRPr="007C2582">
        <w:t>/∂</w:t>
      </w:r>
      <w:r w:rsidRPr="007C2582">
        <w:rPr>
          <w:i/>
        </w:rPr>
        <w:t xml:space="preserve"> X</w:t>
      </w:r>
      <w:r w:rsidRPr="007C2582">
        <w:rPr>
          <w:i/>
          <w:vertAlign w:val="subscript"/>
        </w:rPr>
        <w:t>eq,i</w:t>
      </w:r>
      <w:r w:rsidRPr="007C2582">
        <w:rPr>
          <w:i/>
        </w:rPr>
        <w:t xml:space="preserve"> </w:t>
      </w:r>
      <w:r w:rsidRPr="007C2582">
        <w:t>are the same as in (</w:t>
      </w:r>
      <w:r w:rsidR="00A40B63">
        <w:t>5-</w:t>
      </w:r>
      <w:r w:rsidRPr="007C2582">
        <w:t>11) and (</w:t>
      </w:r>
      <w:r w:rsidR="00A40B63">
        <w:t>5-</w:t>
      </w:r>
      <w:r w:rsidRPr="007C2582">
        <w:t>12).</w:t>
      </w:r>
    </w:p>
    <w:p w14:paraId="612FD4BD" w14:textId="77777777" w:rsidR="007C2582" w:rsidRPr="007C2582" w:rsidRDefault="007C2582" w:rsidP="007C2582">
      <w:pPr>
        <w:rPr>
          <w:i/>
          <w:u w:val="single"/>
        </w:rPr>
      </w:pPr>
      <w:r w:rsidRPr="007C2582">
        <w:rPr>
          <w:i/>
          <w:u w:val="single"/>
        </w:rPr>
        <w:t xml:space="preserve">Self-sensitivity: </w:t>
      </w:r>
    </w:p>
    <w:p w14:paraId="03013513" w14:textId="77777777" w:rsidR="007C2582" w:rsidRPr="007C2582" w:rsidRDefault="007C2582" w:rsidP="007C2582">
      <w:r w:rsidRPr="007C2582">
        <w:lastRenderedPageBreak/>
        <w:t>Based on (</w:t>
      </w:r>
      <w:r w:rsidR="00A40B63">
        <w:t>5-</w:t>
      </w:r>
      <w:r w:rsidRPr="007C2582">
        <w:t xml:space="preserve">6), the self-sensitivity of LM of bus </w:t>
      </w:r>
      <w:r w:rsidRPr="007C2582">
        <w:rPr>
          <w:i/>
        </w:rPr>
        <w:t>i</w:t>
      </w:r>
      <w:r w:rsidRPr="007C2582">
        <w:t xml:space="preserve"> to the real power load of bus</w:t>
      </w:r>
      <w:r w:rsidRPr="007C2582">
        <w:rPr>
          <w:i/>
        </w:rPr>
        <w:t xml:space="preserve"> i</w:t>
      </w:r>
      <w:r w:rsidRPr="007C2582">
        <w:t xml:space="preserve"> can be expressed in (</w:t>
      </w:r>
      <w:r w:rsidR="00A40B63">
        <w:t>5-</w:t>
      </w:r>
      <w:r w:rsidRPr="007C2582">
        <w:t>26) as:</w:t>
      </w:r>
    </w:p>
    <w:p w14:paraId="605DC848" w14:textId="77777777" w:rsidR="007C2582" w:rsidRPr="007C2582" w:rsidRDefault="007C2582" w:rsidP="00A40B63">
      <w:pPr>
        <w:jc w:val="right"/>
      </w:pPr>
      <w:r w:rsidRPr="007C2582">
        <w:object w:dxaOrig="3680" w:dyaOrig="720" w14:anchorId="63AA149C">
          <v:shape id="_x0000_i1193" type="#_x0000_t75" style="width:201.8pt;height:36.55pt" o:ole="">
            <v:imagedata r:id="rId299" o:title=""/>
          </v:shape>
          <o:OLEObject Type="Embed" ProgID="Equation.DSMT4" ShapeID="_x0000_i1193" DrawAspect="Content" ObjectID="_1532825734" r:id="rId300"/>
        </w:object>
      </w:r>
      <w:r w:rsidRPr="007C2582">
        <w:tab/>
      </w:r>
      <w:r w:rsidRPr="007C2582">
        <w:tab/>
      </w:r>
      <w:r w:rsidRPr="007C2582">
        <w:tab/>
      </w:r>
      <w:r w:rsidRPr="007C2582">
        <w:tab/>
      </w:r>
      <w:r w:rsidRPr="007C2582">
        <w:tab/>
        <w:t>(</w:t>
      </w:r>
      <w:r w:rsidR="00A40B63">
        <w:t>5-</w:t>
      </w:r>
      <w:r w:rsidRPr="007C2582">
        <w:t>26)</w:t>
      </w:r>
    </w:p>
    <w:p w14:paraId="08D95CB6" w14:textId="77777777" w:rsidR="007C2582" w:rsidRPr="007C2582" w:rsidRDefault="007C2582" w:rsidP="007C2582">
      <w:r w:rsidRPr="007C2582">
        <w:t>According to (</w:t>
      </w:r>
      <w:r w:rsidR="00A40B63">
        <w:t>5-</w:t>
      </w:r>
      <w:r w:rsidRPr="007C2582">
        <w:t>6), ∂</w:t>
      </w:r>
      <w:r w:rsidRPr="007C2582">
        <w:rPr>
          <w:i/>
        </w:rPr>
        <w:t>f</w:t>
      </w:r>
      <w:r w:rsidRPr="007C2582">
        <w:t>/∂</w:t>
      </w:r>
      <w:r w:rsidRPr="007C2582">
        <w:rPr>
          <w:i/>
        </w:rPr>
        <w:t xml:space="preserve"> P</w:t>
      </w:r>
      <w:r w:rsidRPr="007C2582">
        <w:rPr>
          <w:i/>
          <w:vertAlign w:val="subscript"/>
        </w:rPr>
        <w:t>i</w:t>
      </w:r>
      <w:r w:rsidRPr="007C2582">
        <w:t xml:space="preserve"> can be derived in (</w:t>
      </w:r>
      <w:r w:rsidR="00A40B63">
        <w:t>5-</w:t>
      </w:r>
      <w:r w:rsidRPr="007C2582">
        <w:t>27) as:</w:t>
      </w:r>
    </w:p>
    <w:p w14:paraId="15C6617A" w14:textId="77777777" w:rsidR="007C2582" w:rsidRPr="007C2582" w:rsidRDefault="007C2582" w:rsidP="00A40B63">
      <w:pPr>
        <w:jc w:val="right"/>
      </w:pPr>
      <w:r w:rsidRPr="007C2582">
        <w:object w:dxaOrig="4420" w:dyaOrig="880" w14:anchorId="0EE58748">
          <v:shape id="_x0000_i1194" type="#_x0000_t75" style="width:220.5pt;height:43.5pt" o:ole="">
            <v:imagedata r:id="rId301" o:title=""/>
          </v:shape>
          <o:OLEObject Type="Embed" ProgID="Equation.DSMT4" ShapeID="_x0000_i1194" DrawAspect="Content" ObjectID="_1532825735" r:id="rId302"/>
        </w:object>
      </w:r>
      <w:r w:rsidRPr="007C2582">
        <w:tab/>
      </w:r>
      <w:r w:rsidRPr="007C2582">
        <w:tab/>
      </w:r>
      <w:r w:rsidRPr="007C2582">
        <w:tab/>
      </w:r>
      <w:r w:rsidRPr="007C2582">
        <w:tab/>
        <w:t>(</w:t>
      </w:r>
      <w:r w:rsidR="00A40B63">
        <w:t>5-</w:t>
      </w:r>
      <w:r w:rsidRPr="007C2582">
        <w:t>27)</w:t>
      </w:r>
    </w:p>
    <w:p w14:paraId="76963100" w14:textId="77777777" w:rsidR="007C2582" w:rsidRPr="007C2582" w:rsidRDefault="007C2582" w:rsidP="007C2582">
      <w:r w:rsidRPr="007C2582">
        <w:t>Equation (</w:t>
      </w:r>
      <w:r w:rsidR="00A40B63">
        <w:t>5-</w:t>
      </w:r>
      <w:r w:rsidRPr="007C2582">
        <w:t xml:space="preserve">28) can be achieved by taking the derivative w.r.t. </w:t>
      </w:r>
      <w:r w:rsidRPr="007C2582">
        <w:rPr>
          <w:i/>
        </w:rPr>
        <w:t>P</w:t>
      </w:r>
      <w:r w:rsidRPr="007C2582">
        <w:rPr>
          <w:i/>
          <w:vertAlign w:val="subscript"/>
        </w:rPr>
        <w:t>i</w:t>
      </w:r>
      <w:r w:rsidRPr="007C2582">
        <w:t xml:space="preserve"> on both sides of (</w:t>
      </w:r>
      <w:r w:rsidR="00A40B63">
        <w:t>5-</w:t>
      </w:r>
      <w:r w:rsidRPr="007C2582">
        <w:t>17).</w:t>
      </w:r>
    </w:p>
    <w:p w14:paraId="7AE2C93A" w14:textId="77777777" w:rsidR="007C2582" w:rsidRPr="007C2582" w:rsidRDefault="007C2582" w:rsidP="00A40B63">
      <w:pPr>
        <w:jc w:val="right"/>
      </w:pPr>
      <w:r w:rsidRPr="007C2582">
        <w:object w:dxaOrig="4800" w:dyaOrig="380" w14:anchorId="16838A22">
          <v:shape id="_x0000_i1195" type="#_x0000_t75" style="width:240pt;height:19.5pt" o:ole="">
            <v:imagedata r:id="rId303" o:title=""/>
          </v:shape>
          <o:OLEObject Type="Embed" ProgID="Equation.DSMT4" ShapeID="_x0000_i1195" DrawAspect="Content" ObjectID="_1532825736" r:id="rId304"/>
        </w:object>
      </w:r>
      <w:r w:rsidRPr="007C2582">
        <w:tab/>
      </w:r>
      <w:r w:rsidRPr="007C2582">
        <w:tab/>
      </w:r>
      <w:r w:rsidRPr="007C2582">
        <w:tab/>
      </w:r>
      <w:r w:rsidRPr="007C2582">
        <w:tab/>
        <w:t>(</w:t>
      </w:r>
      <w:r w:rsidR="00A40B63">
        <w:t>5-</w:t>
      </w:r>
      <w:r w:rsidRPr="007C2582">
        <w:t>28)</w:t>
      </w:r>
    </w:p>
    <w:p w14:paraId="694EBC90" w14:textId="77777777" w:rsidR="007C2582" w:rsidRPr="007C2582" w:rsidRDefault="007C2582" w:rsidP="007C2582">
      <w:r w:rsidRPr="007C2582">
        <w:t xml:space="preserve">where </w:t>
      </w:r>
      <w:r w:rsidRPr="007C2582">
        <w:rPr>
          <w:i/>
        </w:rPr>
        <w:t>A</w:t>
      </w:r>
      <w:r w:rsidRPr="007C2582">
        <w:t xml:space="preserve">1, </w:t>
      </w:r>
      <w:r w:rsidRPr="007C2582">
        <w:rPr>
          <w:i/>
        </w:rPr>
        <w:t>A</w:t>
      </w:r>
      <w:r w:rsidRPr="007C2582">
        <w:t xml:space="preserve">2, and </w:t>
      </w:r>
      <w:r w:rsidRPr="007C2582">
        <w:rPr>
          <w:i/>
        </w:rPr>
        <w:t>A</w:t>
      </w:r>
      <w:r w:rsidRPr="007C2582">
        <w:t>3 have the same forms as in (</w:t>
      </w:r>
      <w:r w:rsidR="00A40B63">
        <w:t>5-</w:t>
      </w:r>
      <w:r w:rsidRPr="007C2582">
        <w:t>19) and</w:t>
      </w:r>
    </w:p>
    <w:p w14:paraId="0CA4E251" w14:textId="77777777" w:rsidR="007C2582" w:rsidRPr="007C2582" w:rsidRDefault="007C2582" w:rsidP="00A40B63">
      <w:pPr>
        <w:jc w:val="right"/>
      </w:pPr>
      <w:r w:rsidRPr="007C2582">
        <w:object w:dxaOrig="1980" w:dyaOrig="400" w14:anchorId="4F56FDF0">
          <v:shape id="_x0000_i1196" type="#_x0000_t75" style="width:91.5pt;height:21pt" o:ole="">
            <v:imagedata r:id="rId305" o:title=""/>
          </v:shape>
          <o:OLEObject Type="Embed" ProgID="Equation.DSMT4" ShapeID="_x0000_i1196" DrawAspect="Content" ObjectID="_1532825737" r:id="rId306"/>
        </w:object>
      </w:r>
      <w:r w:rsidRPr="007C2582">
        <w:tab/>
      </w:r>
      <w:r w:rsidRPr="007C2582">
        <w:tab/>
      </w:r>
      <w:r w:rsidRPr="007C2582">
        <w:tab/>
      </w:r>
      <w:r w:rsidRPr="007C2582">
        <w:tab/>
      </w:r>
      <w:r w:rsidRPr="007C2582">
        <w:tab/>
      </w:r>
      <w:r w:rsidRPr="007C2582">
        <w:tab/>
      </w:r>
      <w:r w:rsidRPr="007C2582">
        <w:tab/>
        <w:t>(</w:t>
      </w:r>
      <w:r w:rsidR="00A40B63">
        <w:t>5-</w:t>
      </w:r>
      <w:r w:rsidRPr="007C2582">
        <w:t>29)</w:t>
      </w:r>
    </w:p>
    <w:p w14:paraId="2C8AF686" w14:textId="77777777" w:rsidR="007C2582" w:rsidRPr="007C2582" w:rsidRDefault="007C2582" w:rsidP="007C2582">
      <w:r w:rsidRPr="007C2582">
        <w:t xml:space="preserve">Take the derivative, w.r.t. </w:t>
      </w:r>
      <w:r w:rsidRPr="007C2582">
        <w:rPr>
          <w:i/>
        </w:rPr>
        <w:t>P</w:t>
      </w:r>
      <w:r w:rsidRPr="007C2582">
        <w:rPr>
          <w:i/>
          <w:vertAlign w:val="subscript"/>
        </w:rPr>
        <w:t>i</w:t>
      </w:r>
      <w:r w:rsidRPr="007C2582">
        <w:t>, on both sides of (</w:t>
      </w:r>
      <w:r w:rsidR="00A40B63">
        <w:t>5-</w:t>
      </w:r>
      <w:r w:rsidRPr="007C2582">
        <w:t>7) and (</w:t>
      </w:r>
      <w:r w:rsidR="00A40B63">
        <w:t>5-</w:t>
      </w:r>
      <w:r w:rsidRPr="007C2582">
        <w:t xml:space="preserve">8): </w:t>
      </w:r>
    </w:p>
    <w:p w14:paraId="6A2035E3" w14:textId="77777777" w:rsidR="007C2582" w:rsidRPr="007C2582" w:rsidRDefault="007C2582" w:rsidP="00A40B63">
      <w:pPr>
        <w:jc w:val="right"/>
      </w:pPr>
      <w:r w:rsidRPr="007C2582">
        <w:object w:dxaOrig="4740" w:dyaOrig="700" w14:anchorId="5758B3E2">
          <v:shape id="_x0000_i1197" type="#_x0000_t75" style="width:246pt;height:34.5pt" o:ole="">
            <v:imagedata r:id="rId307" o:title=""/>
          </v:shape>
          <o:OLEObject Type="Embed" ProgID="Equation.DSMT4" ShapeID="_x0000_i1197" DrawAspect="Content" ObjectID="_1532825738" r:id="rId308"/>
        </w:object>
      </w:r>
      <w:r w:rsidRPr="007C2582">
        <w:tab/>
      </w:r>
      <w:r w:rsidRPr="007C2582">
        <w:tab/>
      </w:r>
      <w:r w:rsidRPr="007C2582">
        <w:tab/>
      </w:r>
      <w:r w:rsidRPr="007C2582">
        <w:tab/>
        <w:t>(</w:t>
      </w:r>
      <w:r w:rsidR="00A40B63">
        <w:t>5-</w:t>
      </w:r>
      <w:r w:rsidRPr="007C2582">
        <w:t>30)</w:t>
      </w:r>
    </w:p>
    <w:p w14:paraId="70C0430B" w14:textId="77777777" w:rsidR="007C2582" w:rsidRPr="007C2582" w:rsidRDefault="007C2582" w:rsidP="007C2582">
      <w:r w:rsidRPr="007C2582">
        <w:t>where</w:t>
      </w:r>
    </w:p>
    <w:p w14:paraId="1AD8E752" w14:textId="77777777" w:rsidR="007C2582" w:rsidRPr="007C2582" w:rsidRDefault="007C2582" w:rsidP="00A40B63">
      <w:pPr>
        <w:jc w:val="right"/>
      </w:pPr>
      <w:r w:rsidRPr="007C2582">
        <w:object w:dxaOrig="6340" w:dyaOrig="940" w14:anchorId="00F9BAD3">
          <v:shape id="_x0000_i1198" type="#_x0000_t75" style="width:229.5pt;height:39pt" o:ole="">
            <v:imagedata r:id="rId309" o:title=""/>
          </v:shape>
          <o:OLEObject Type="Embed" ProgID="Equation.DSMT4" ShapeID="_x0000_i1198" DrawAspect="Content" ObjectID="_1532825739" r:id="rId310"/>
        </w:object>
      </w:r>
      <w:r w:rsidRPr="007C2582">
        <w:tab/>
      </w:r>
      <w:r w:rsidRPr="007C2582">
        <w:tab/>
      </w:r>
      <w:r w:rsidRPr="007C2582">
        <w:tab/>
      </w:r>
      <w:r w:rsidRPr="007C2582">
        <w:tab/>
        <w:t>(</w:t>
      </w:r>
      <w:r w:rsidR="00A40B63">
        <w:t>5-</w:t>
      </w:r>
      <w:r w:rsidRPr="007C2582">
        <w:t>31)</w:t>
      </w:r>
    </w:p>
    <w:p w14:paraId="0E2F050A" w14:textId="77777777" w:rsidR="007C2582" w:rsidRPr="007C2582" w:rsidRDefault="007C2582" w:rsidP="00A40B63">
      <w:pPr>
        <w:jc w:val="right"/>
      </w:pPr>
      <w:r w:rsidRPr="007C2582">
        <w:object w:dxaOrig="6420" w:dyaOrig="940" w14:anchorId="0780DC57">
          <v:shape id="_x0000_i1199" type="#_x0000_t75" style="width:229.5pt;height:39pt" o:ole="">
            <v:imagedata r:id="rId311" o:title=""/>
          </v:shape>
          <o:OLEObject Type="Embed" ProgID="Equation.DSMT4" ShapeID="_x0000_i1199" DrawAspect="Content" ObjectID="_1532825740" r:id="rId312"/>
        </w:object>
      </w:r>
      <w:r w:rsidRPr="007C2582">
        <w:tab/>
      </w:r>
      <w:r w:rsidRPr="007C2582">
        <w:tab/>
      </w:r>
      <w:r w:rsidRPr="007C2582">
        <w:tab/>
      </w:r>
      <w:r w:rsidRPr="007C2582">
        <w:tab/>
        <w:t>(</w:t>
      </w:r>
      <w:r w:rsidR="00A40B63">
        <w:t>5-</w:t>
      </w:r>
      <w:r w:rsidRPr="007C2582">
        <w:t>32)</w:t>
      </w:r>
    </w:p>
    <w:p w14:paraId="1973848E" w14:textId="77777777" w:rsidR="00451ED6" w:rsidRDefault="007C2582" w:rsidP="00451ED6">
      <w:pPr>
        <w:jc w:val="distribute"/>
      </w:pPr>
      <w:r w:rsidRPr="007C2582">
        <w:t>If we substitute ∂</w:t>
      </w:r>
      <w:r w:rsidRPr="007C2582">
        <w:rPr>
          <w:i/>
        </w:rPr>
        <w:t>R</w:t>
      </w:r>
      <w:r w:rsidRPr="007C2582">
        <w:rPr>
          <w:i/>
          <w:vertAlign w:val="subscript"/>
        </w:rPr>
        <w:t>eq,i</w:t>
      </w:r>
      <w:r w:rsidRPr="007C2582">
        <w:t>/∂</w:t>
      </w:r>
      <w:r w:rsidRPr="007C2582">
        <w:rPr>
          <w:i/>
        </w:rPr>
        <w:t>P</w:t>
      </w:r>
      <w:r w:rsidRPr="007C2582">
        <w:rPr>
          <w:i/>
          <w:vertAlign w:val="subscript"/>
        </w:rPr>
        <w:t xml:space="preserve">i </w:t>
      </w:r>
      <w:r w:rsidRPr="007C2582">
        <w:t>and</w:t>
      </w:r>
      <w:r w:rsidRPr="007C2582">
        <w:rPr>
          <w:i/>
        </w:rPr>
        <w:t xml:space="preserve"> </w:t>
      </w:r>
      <w:r w:rsidRPr="007C2582">
        <w:t>∂</w:t>
      </w:r>
      <w:r w:rsidRPr="007C2582">
        <w:rPr>
          <w:i/>
        </w:rPr>
        <w:t>X</w:t>
      </w:r>
      <w:r w:rsidRPr="007C2582">
        <w:rPr>
          <w:i/>
          <w:vertAlign w:val="subscript"/>
        </w:rPr>
        <w:t>eq,i</w:t>
      </w:r>
      <w:r w:rsidRPr="007C2582">
        <w:t>/∂</w:t>
      </w:r>
      <w:r w:rsidRPr="007C2582">
        <w:rPr>
          <w:i/>
        </w:rPr>
        <w:t>P</w:t>
      </w:r>
      <w:r w:rsidRPr="007C2582">
        <w:rPr>
          <w:i/>
          <w:vertAlign w:val="subscript"/>
        </w:rPr>
        <w:t>i</w:t>
      </w:r>
      <w:r w:rsidRPr="007C2582">
        <w:t xml:space="preserve"> in (</w:t>
      </w:r>
      <w:r w:rsidR="00A40B63">
        <w:t>5-</w:t>
      </w:r>
      <w:r w:rsidRPr="007C2582">
        <w:t>28) with (</w:t>
      </w:r>
      <w:r w:rsidR="00A40B63">
        <w:t>5-</w:t>
      </w:r>
      <w:r w:rsidRPr="007C2582">
        <w:t>30), ∂</w:t>
      </w:r>
      <w:r w:rsidRPr="007C2582">
        <w:rPr>
          <w:i/>
        </w:rPr>
        <w:t>V</w:t>
      </w:r>
      <w:r w:rsidRPr="007C2582">
        <w:rPr>
          <w:i/>
          <w:vertAlign w:val="subscript"/>
        </w:rPr>
        <w:t>i</w:t>
      </w:r>
      <w:r w:rsidRPr="007C2582">
        <w:t>/∂</w:t>
      </w:r>
      <w:r w:rsidRPr="007C2582">
        <w:rPr>
          <w:i/>
        </w:rPr>
        <w:t>P</w:t>
      </w:r>
      <w:r w:rsidRPr="007C2582">
        <w:rPr>
          <w:i/>
          <w:vertAlign w:val="subscript"/>
        </w:rPr>
        <w:t>i</w:t>
      </w:r>
      <w:r w:rsidRPr="007C2582">
        <w:t xml:space="preserve"> can be directly computed. Then ∂</w:t>
      </w:r>
      <w:r w:rsidRPr="007C2582">
        <w:rPr>
          <w:i/>
        </w:rPr>
        <w:t>R</w:t>
      </w:r>
      <w:r w:rsidRPr="007C2582">
        <w:rPr>
          <w:i/>
          <w:vertAlign w:val="subscript"/>
        </w:rPr>
        <w:t>eq,i</w:t>
      </w:r>
      <w:r w:rsidRPr="007C2582">
        <w:t>/∂</w:t>
      </w:r>
      <w:r w:rsidRPr="007C2582">
        <w:rPr>
          <w:i/>
        </w:rPr>
        <w:t>P</w:t>
      </w:r>
      <w:r w:rsidRPr="007C2582">
        <w:rPr>
          <w:i/>
          <w:vertAlign w:val="subscript"/>
        </w:rPr>
        <w:t xml:space="preserve">i </w:t>
      </w:r>
      <w:r w:rsidRPr="007C2582">
        <w:t>and</w:t>
      </w:r>
      <w:r w:rsidRPr="007C2582">
        <w:rPr>
          <w:i/>
        </w:rPr>
        <w:t xml:space="preserve"> </w:t>
      </w:r>
      <w:r w:rsidRPr="007C2582">
        <w:t>∂</w:t>
      </w:r>
      <w:r w:rsidRPr="007C2582">
        <w:rPr>
          <w:i/>
        </w:rPr>
        <w:t>X</w:t>
      </w:r>
      <w:r w:rsidRPr="007C2582">
        <w:rPr>
          <w:i/>
          <w:vertAlign w:val="subscript"/>
        </w:rPr>
        <w:t>eq,i</w:t>
      </w:r>
      <w:r w:rsidRPr="007C2582">
        <w:t>/∂</w:t>
      </w:r>
      <w:r w:rsidRPr="007C2582">
        <w:rPr>
          <w:i/>
        </w:rPr>
        <w:t>P</w:t>
      </w:r>
      <w:r w:rsidRPr="007C2582">
        <w:rPr>
          <w:i/>
          <w:vertAlign w:val="subscript"/>
        </w:rPr>
        <w:t>i</w:t>
      </w:r>
      <w:r w:rsidRPr="007C2582">
        <w:t xml:space="preserve"> can be solved according to (</w:t>
      </w:r>
      <w:r w:rsidR="00A40B63">
        <w:t>5-</w:t>
      </w:r>
      <w:r w:rsidRPr="007C2582">
        <w:t xml:space="preserve">30). </w:t>
      </w:r>
    </w:p>
    <w:p w14:paraId="3CE118B7" w14:textId="7FB0FA4C" w:rsidR="007C2582" w:rsidRPr="007C2582" w:rsidRDefault="007C2582" w:rsidP="00451ED6">
      <w:pPr>
        <w:ind w:firstLine="0"/>
      </w:pPr>
      <w:r w:rsidRPr="007C2582">
        <w:lastRenderedPageBreak/>
        <w:t>Finally, the proposed self-sensitivity shown in (</w:t>
      </w:r>
      <w:r w:rsidR="00A40B63">
        <w:t>5-</w:t>
      </w:r>
      <w:r w:rsidRPr="007C2582">
        <w:t>26) can be calculated.</w:t>
      </w:r>
    </w:p>
    <w:p w14:paraId="227DF448" w14:textId="77777777" w:rsidR="007C2582" w:rsidRPr="007C2582" w:rsidRDefault="00A40B63" w:rsidP="00A40B63">
      <w:pPr>
        <w:pStyle w:val="Heading3"/>
      </w:pPr>
      <w:bookmarkStart w:id="112" w:name="_Toc459076568"/>
      <w:r>
        <w:t xml:space="preserve">5.2.3 </w:t>
      </w:r>
      <w:r w:rsidR="007C2582" w:rsidRPr="007C2582">
        <w:t>LMS w.r.t. Terminal Voltage of Generator Bus</w:t>
      </w:r>
      <w:bookmarkEnd w:id="112"/>
    </w:p>
    <w:p w14:paraId="551132CA" w14:textId="77777777" w:rsidR="007C2582" w:rsidRPr="007C2582" w:rsidRDefault="007C2582" w:rsidP="007C2582">
      <w:r w:rsidRPr="007C2582">
        <w:t>According to (</w:t>
      </w:r>
      <w:r w:rsidR="00A40B63">
        <w:t>5-</w:t>
      </w:r>
      <w:r w:rsidRPr="007C2582">
        <w:t xml:space="preserve">4), </w:t>
      </w:r>
      <w:r w:rsidRPr="007C2582">
        <w:rPr>
          <w:b/>
          <w:i/>
        </w:rPr>
        <w:t>E</w:t>
      </w:r>
      <w:r w:rsidRPr="007C2582">
        <w:rPr>
          <w:i/>
          <w:vertAlign w:val="subscript"/>
        </w:rPr>
        <w:t>eq,i</w:t>
      </w:r>
      <w:r w:rsidRPr="007C2582">
        <w:t xml:space="preserve">, the Thevenin voltage of load bus </w:t>
      </w:r>
      <w:r w:rsidRPr="007C2582">
        <w:rPr>
          <w:i/>
        </w:rPr>
        <w:t>i</w:t>
      </w:r>
      <w:r w:rsidRPr="007C2582">
        <w:t xml:space="preserve">, is determined by the terminal voltages of generator buses through </w:t>
      </w:r>
      <w:r w:rsidRPr="007C2582">
        <w:rPr>
          <w:b/>
          <w:i/>
        </w:rPr>
        <w:t>K</w:t>
      </w:r>
      <w:r w:rsidRPr="007C2582">
        <w:t xml:space="preserve"> matrix. However, the other elements in (</w:t>
      </w:r>
      <w:r w:rsidR="00A40B63">
        <w:t>5-</w:t>
      </w:r>
      <w:r w:rsidRPr="007C2582">
        <w:t xml:space="preserve">6) are not dependent on </w:t>
      </w:r>
      <w:r w:rsidRPr="007C2582">
        <w:rPr>
          <w:i/>
        </w:rPr>
        <w:t>V</w:t>
      </w:r>
      <w:r w:rsidRPr="007C2582">
        <w:rPr>
          <w:i/>
          <w:vertAlign w:val="subscript"/>
        </w:rPr>
        <w:t>g</w:t>
      </w:r>
      <w:r w:rsidRPr="007C2582">
        <w:t xml:space="preserve">, </w:t>
      </w:r>
      <w:r w:rsidRPr="007C2582">
        <w:rPr>
          <w:i/>
        </w:rPr>
        <w:t>g</w:t>
      </w:r>
      <w:r w:rsidRPr="007C2582">
        <w:t xml:space="preserve"> </w:t>
      </w:r>
      <m:oMath>
        <m:r>
          <w:rPr>
            <w:rFonts w:ascii="Cambria Math" w:hAnsi="Cambria Math"/>
          </w:rPr>
          <m:t>∈</m:t>
        </m:r>
      </m:oMath>
      <w:r w:rsidRPr="007C2582">
        <w:t xml:space="preserve"> </w:t>
      </w:r>
      <w:r w:rsidRPr="007C2582">
        <w:rPr>
          <w:i/>
        </w:rPr>
        <w:t>G</w:t>
      </w:r>
      <w:r w:rsidRPr="007C2582">
        <w:t xml:space="preserve">. Therefore, the sensitivity of LMs of load bus </w:t>
      </w:r>
      <w:r w:rsidRPr="007C2582">
        <w:rPr>
          <w:i/>
        </w:rPr>
        <w:t>i</w:t>
      </w:r>
      <w:r w:rsidRPr="007C2582">
        <w:t xml:space="preserve"> to the generator terminal voltage at bus </w:t>
      </w:r>
      <w:r w:rsidRPr="007C2582">
        <w:rPr>
          <w:i/>
        </w:rPr>
        <w:t>g</w:t>
      </w:r>
      <w:r w:rsidRPr="007C2582">
        <w:t xml:space="preserve">, </w:t>
      </w:r>
      <w:r w:rsidRPr="007C2582">
        <w:rPr>
          <w:i/>
        </w:rPr>
        <w:t>V</w:t>
      </w:r>
      <w:r w:rsidRPr="007C2582">
        <w:rPr>
          <w:i/>
          <w:vertAlign w:val="subscript"/>
        </w:rPr>
        <w:t>g</w:t>
      </w:r>
      <w:r w:rsidRPr="007C2582">
        <w:t xml:space="preserve"> (</w:t>
      </w:r>
      <w:r w:rsidRPr="007C2582">
        <w:rPr>
          <w:i/>
        </w:rPr>
        <w:t>g</w:t>
      </w:r>
      <w:r w:rsidRPr="007C2582">
        <w:t xml:space="preserve"> </w:t>
      </w:r>
      <m:oMath>
        <m:r>
          <w:rPr>
            <w:rFonts w:ascii="Cambria Math" w:hAnsi="Cambria Math"/>
          </w:rPr>
          <m:t>∈</m:t>
        </m:r>
      </m:oMath>
      <w:r w:rsidRPr="007C2582">
        <w:t xml:space="preserve"> </w:t>
      </w:r>
      <w:r w:rsidRPr="007C2582">
        <w:rPr>
          <w:i/>
        </w:rPr>
        <w:t>G</w:t>
      </w:r>
      <w:r w:rsidRPr="007C2582">
        <w:t>), can be derived as:</w:t>
      </w:r>
    </w:p>
    <w:p w14:paraId="0FD657E9" w14:textId="77777777" w:rsidR="007C2582" w:rsidRPr="007C2582" w:rsidRDefault="007C2582" w:rsidP="00A40B63">
      <w:pPr>
        <w:jc w:val="right"/>
      </w:pPr>
      <w:r w:rsidRPr="007C2582">
        <w:object w:dxaOrig="3360" w:dyaOrig="760" w14:anchorId="7591A51C">
          <v:shape id="_x0000_i1200" type="#_x0000_t75" style="width:172.5pt;height:39pt" o:ole="">
            <v:imagedata r:id="rId313" o:title=""/>
          </v:shape>
          <o:OLEObject Type="Embed" ProgID="Equation.DSMT4" ShapeID="_x0000_i1200" DrawAspect="Content" ObjectID="_1532825741" r:id="rId314"/>
        </w:object>
      </w:r>
      <w:r w:rsidR="00A40B63">
        <w:tab/>
      </w:r>
      <w:r w:rsidR="00A40B63">
        <w:tab/>
      </w:r>
      <w:r w:rsidR="00A40B63">
        <w:tab/>
      </w:r>
      <w:r w:rsidR="00A40B63">
        <w:tab/>
      </w:r>
      <w:r w:rsidRPr="007C2582">
        <w:t>(</w:t>
      </w:r>
      <w:r w:rsidR="00A40B63">
        <w:t>5-</w:t>
      </w:r>
      <w:r w:rsidRPr="007C2582">
        <w:t>33)</w:t>
      </w:r>
    </w:p>
    <w:p w14:paraId="2CF74808" w14:textId="77777777" w:rsidR="007C2582" w:rsidRPr="007C2582" w:rsidRDefault="007C2582" w:rsidP="007C2582">
      <w:r w:rsidRPr="007C2582">
        <w:t xml:space="preserve">Let </w:t>
      </w:r>
      <w:r w:rsidRPr="007C2582">
        <w:rPr>
          <w:i/>
        </w:rPr>
        <w:t>E</w:t>
      </w:r>
      <w:r w:rsidRPr="007C2582">
        <w:rPr>
          <w:i/>
          <w:vertAlign w:val="subscript"/>
        </w:rPr>
        <w:t>re,i</w:t>
      </w:r>
      <w:r w:rsidRPr="007C2582">
        <w:rPr>
          <w:i/>
        </w:rPr>
        <w:t xml:space="preserve"> </w:t>
      </w:r>
      <w:r w:rsidRPr="007C2582">
        <w:t xml:space="preserve">and </w:t>
      </w:r>
      <w:r w:rsidRPr="007C2582">
        <w:rPr>
          <w:i/>
        </w:rPr>
        <w:t>E</w:t>
      </w:r>
      <w:r w:rsidRPr="007C2582">
        <w:rPr>
          <w:i/>
          <w:vertAlign w:val="subscript"/>
        </w:rPr>
        <w:t>im,i</w:t>
      </w:r>
      <w:r w:rsidRPr="007C2582">
        <w:rPr>
          <w:vertAlign w:val="subscript"/>
        </w:rPr>
        <w:t xml:space="preserve"> </w:t>
      </w:r>
      <w:r w:rsidRPr="007C2582">
        <w:t xml:space="preserve">denote the real and imaginary part of </w:t>
      </w:r>
      <w:r w:rsidRPr="007C2582">
        <w:rPr>
          <w:b/>
          <w:i/>
        </w:rPr>
        <w:t>E</w:t>
      </w:r>
      <w:r w:rsidRPr="007C2582">
        <w:rPr>
          <w:i/>
          <w:vertAlign w:val="subscript"/>
        </w:rPr>
        <w:t>eq,i</w:t>
      </w:r>
      <w:r w:rsidRPr="007C2582">
        <w:t xml:space="preserve">, and </w:t>
      </w:r>
      <w:r w:rsidRPr="007C2582">
        <w:rPr>
          <w:i/>
        </w:rPr>
        <w:t>K</w:t>
      </w:r>
      <w:r w:rsidRPr="007C2582">
        <w:rPr>
          <w:i/>
          <w:vertAlign w:val="subscript"/>
        </w:rPr>
        <w:t xml:space="preserve">re,ig </w:t>
      </w:r>
      <w:r w:rsidRPr="007C2582">
        <w:t xml:space="preserve">and </w:t>
      </w:r>
      <w:r w:rsidRPr="007C2582">
        <w:rPr>
          <w:i/>
        </w:rPr>
        <w:t>K</w:t>
      </w:r>
      <w:r w:rsidRPr="007C2582">
        <w:rPr>
          <w:i/>
          <w:vertAlign w:val="subscript"/>
        </w:rPr>
        <w:t>im,ig</w:t>
      </w:r>
      <w:r w:rsidRPr="007C2582">
        <w:rPr>
          <w:vertAlign w:val="subscript"/>
        </w:rPr>
        <w:t xml:space="preserve"> </w:t>
      </w:r>
      <w:r w:rsidRPr="007C2582">
        <w:t xml:space="preserve">denote the real and imaginary part of </w:t>
      </w:r>
      <w:r w:rsidRPr="007C2582">
        <w:rPr>
          <w:b/>
          <w:i/>
        </w:rPr>
        <w:t>K</w:t>
      </w:r>
      <w:r w:rsidRPr="007C2582">
        <w:rPr>
          <w:i/>
          <w:vertAlign w:val="subscript"/>
        </w:rPr>
        <w:t>ig</w:t>
      </w:r>
      <w:r w:rsidRPr="007C2582">
        <w:t xml:space="preserve">. Based on the </w:t>
      </w:r>
      <w:r w:rsidRPr="007C2582">
        <w:rPr>
          <w:b/>
          <w:i/>
        </w:rPr>
        <w:t>E</w:t>
      </w:r>
      <w:r w:rsidRPr="007C2582">
        <w:rPr>
          <w:i/>
          <w:vertAlign w:val="subscript"/>
        </w:rPr>
        <w:t>eq,i</w:t>
      </w:r>
      <w:r w:rsidRPr="007C2582">
        <w:t xml:space="preserve"> expression in (</w:t>
      </w:r>
      <w:r w:rsidR="00A40B63">
        <w:t>5-</w:t>
      </w:r>
      <w:r w:rsidRPr="007C2582">
        <w:t xml:space="preserve">4), </w:t>
      </w:r>
      <w:r w:rsidRPr="007C2582">
        <w:rPr>
          <w:i/>
        </w:rPr>
        <w:t>E</w:t>
      </w:r>
      <w:r w:rsidRPr="007C2582">
        <w:rPr>
          <w:i/>
          <w:vertAlign w:val="superscript"/>
        </w:rPr>
        <w:t>2</w:t>
      </w:r>
      <w:r w:rsidRPr="007C2582">
        <w:rPr>
          <w:i/>
          <w:vertAlign w:val="subscript"/>
        </w:rPr>
        <w:t>eq,i</w:t>
      </w:r>
      <w:r w:rsidRPr="007C2582">
        <w:t xml:space="preserve"> can be expressed as:</w:t>
      </w:r>
    </w:p>
    <w:p w14:paraId="25933233" w14:textId="77777777" w:rsidR="007C2582" w:rsidRPr="007C2582" w:rsidRDefault="007C2582" w:rsidP="00A40B63">
      <w:pPr>
        <w:jc w:val="right"/>
      </w:pPr>
      <w:r w:rsidRPr="007C2582">
        <w:object w:dxaOrig="3820" w:dyaOrig="1620" w14:anchorId="6F780EA7">
          <v:shape id="_x0000_i1201" type="#_x0000_t75" style="width:199.5pt;height:81pt" o:ole="">
            <v:imagedata r:id="rId315" o:title=""/>
          </v:shape>
          <o:OLEObject Type="Embed" ProgID="Equation.DSMT4" ShapeID="_x0000_i1201" DrawAspect="Content" ObjectID="_1532825742" r:id="rId316"/>
        </w:object>
      </w:r>
      <w:r w:rsidR="00A40B63">
        <w:tab/>
      </w:r>
      <w:r w:rsidR="00A40B63">
        <w:tab/>
      </w:r>
      <w:r w:rsidR="00A40B63">
        <w:tab/>
      </w:r>
      <w:r w:rsidRPr="007C2582">
        <w:tab/>
        <w:t>(</w:t>
      </w:r>
      <w:r w:rsidR="00A40B63">
        <w:t>5-</w:t>
      </w:r>
      <w:r w:rsidRPr="007C2582">
        <w:t>34)</w:t>
      </w:r>
    </w:p>
    <w:p w14:paraId="1AF99975" w14:textId="77777777" w:rsidR="007C2582" w:rsidRPr="007C2582" w:rsidRDefault="007C2582" w:rsidP="007C2582">
      <w:r w:rsidRPr="007C2582">
        <w:t xml:space="preserve">where </w:t>
      </w:r>
      <w:r w:rsidRPr="007C2582">
        <w:rPr>
          <w:i/>
        </w:rPr>
        <w:t>V</w:t>
      </w:r>
      <w:r w:rsidRPr="007C2582">
        <w:rPr>
          <w:i/>
          <w:vertAlign w:val="subscript"/>
        </w:rPr>
        <w:t>g</w:t>
      </w:r>
      <w:r w:rsidRPr="007C2582">
        <w:t xml:space="preserve"> and </w:t>
      </w:r>
      <w:r w:rsidRPr="007C2582">
        <w:rPr>
          <w:i/>
        </w:rPr>
        <w:t>δ</w:t>
      </w:r>
      <w:r w:rsidRPr="007C2582">
        <w:rPr>
          <w:i/>
          <w:vertAlign w:val="subscript"/>
        </w:rPr>
        <w:t>g</w:t>
      </w:r>
      <w:r w:rsidRPr="007C2582">
        <w:t xml:space="preserve"> are the magnitude and angle of terminal voltage of generator bus </w:t>
      </w:r>
      <w:r w:rsidRPr="007C2582">
        <w:rPr>
          <w:i/>
        </w:rPr>
        <w:t>g</w:t>
      </w:r>
      <w:r w:rsidRPr="007C2582">
        <w:t xml:space="preserve">, respectively; </w:t>
      </w:r>
      <w:r w:rsidRPr="007C2582">
        <w:rPr>
          <w:i/>
        </w:rPr>
        <w:t>G</w:t>
      </w:r>
      <w:r w:rsidRPr="007C2582">
        <w:t xml:space="preserve"> is the generator bus set.</w:t>
      </w:r>
    </w:p>
    <w:p w14:paraId="7480E98E" w14:textId="77777777" w:rsidR="007C2582" w:rsidRPr="007C2582" w:rsidRDefault="007C2582" w:rsidP="007C2582">
      <w:r w:rsidRPr="007C2582">
        <w:t>With (</w:t>
      </w:r>
      <w:r w:rsidR="00A40B63">
        <w:t>5-</w:t>
      </w:r>
      <w:r w:rsidRPr="007C2582">
        <w:t>34), ∂</w:t>
      </w:r>
      <w:r w:rsidRPr="007C2582">
        <w:rPr>
          <w:i/>
        </w:rPr>
        <w:t>E</w:t>
      </w:r>
      <w:r w:rsidRPr="007C2582">
        <w:rPr>
          <w:i/>
          <w:vertAlign w:val="superscript"/>
        </w:rPr>
        <w:t>2</w:t>
      </w:r>
      <w:r w:rsidRPr="007C2582">
        <w:rPr>
          <w:i/>
          <w:vertAlign w:val="subscript"/>
        </w:rPr>
        <w:t>eq,i</w:t>
      </w:r>
      <w:r w:rsidRPr="007C2582">
        <w:t>/∂</w:t>
      </w:r>
      <w:r w:rsidRPr="007C2582">
        <w:rPr>
          <w:i/>
        </w:rPr>
        <w:t>V</w:t>
      </w:r>
      <w:r w:rsidRPr="007C2582">
        <w:rPr>
          <w:i/>
          <w:vertAlign w:val="subscript"/>
        </w:rPr>
        <w:t>g</w:t>
      </w:r>
      <w:r w:rsidRPr="007C2582">
        <w:t xml:space="preserve"> can be derived as follows:</w:t>
      </w:r>
    </w:p>
    <w:p w14:paraId="108CD471" w14:textId="77777777" w:rsidR="007C2582" w:rsidRPr="007C2582" w:rsidRDefault="007C2582" w:rsidP="00A40B63">
      <w:pPr>
        <w:jc w:val="right"/>
      </w:pPr>
      <w:r w:rsidRPr="007C2582">
        <w:object w:dxaOrig="4440" w:dyaOrig="880" w14:anchorId="6BD71F6A">
          <v:shape id="_x0000_i1202" type="#_x0000_t75" style="width:222pt;height:43.5pt" o:ole="">
            <v:imagedata r:id="rId317" o:title=""/>
          </v:shape>
          <o:OLEObject Type="Embed" ProgID="Equation.DSMT4" ShapeID="_x0000_i1202" DrawAspect="Content" ObjectID="_1532825743" r:id="rId318"/>
        </w:object>
      </w:r>
      <w:r w:rsidRPr="007C2582">
        <w:tab/>
      </w:r>
      <w:r w:rsidRPr="007C2582">
        <w:rPr>
          <w:rFonts w:hint="eastAsia"/>
        </w:rPr>
        <w:tab/>
      </w:r>
      <w:r w:rsidR="006F2C84">
        <w:tab/>
      </w:r>
      <w:r w:rsidRPr="007C2582">
        <w:t>(</w:t>
      </w:r>
      <w:r w:rsidR="00A40B63">
        <w:t>5-</w:t>
      </w:r>
      <w:r w:rsidRPr="007C2582">
        <w:t>35)</w:t>
      </w:r>
    </w:p>
    <w:p w14:paraId="05BE9D3D" w14:textId="77777777" w:rsidR="007C2582" w:rsidRPr="007C2582" w:rsidRDefault="007C2582" w:rsidP="007C2582">
      <w:r w:rsidRPr="007C2582">
        <w:t>If (</w:t>
      </w:r>
      <w:r w:rsidR="006F2C84">
        <w:t>5-</w:t>
      </w:r>
      <w:r w:rsidRPr="007C2582">
        <w:t>33) and (</w:t>
      </w:r>
      <w:r w:rsidR="006F2C84">
        <w:t>5-</w:t>
      </w:r>
      <w:r w:rsidRPr="007C2582">
        <w:t>35) are combined, the LMS w.r.t. generator terminal voltage can be solved.</w:t>
      </w:r>
    </w:p>
    <w:p w14:paraId="7CA2EABF" w14:textId="77777777" w:rsidR="007C2582" w:rsidRPr="007C2582" w:rsidRDefault="006F2C84" w:rsidP="004B5C30">
      <w:pPr>
        <w:pStyle w:val="Heading2"/>
      </w:pPr>
      <w:bookmarkStart w:id="113" w:name="_Toc459076569"/>
      <w:r>
        <w:lastRenderedPageBreak/>
        <w:t xml:space="preserve">5.3 </w:t>
      </w:r>
      <w:r w:rsidR="007C2582" w:rsidRPr="007C2582">
        <w:t>Voltage Stability Control Based on WALMS</w:t>
      </w:r>
      <w:bookmarkEnd w:id="113"/>
    </w:p>
    <w:p w14:paraId="1114AD6E" w14:textId="77777777" w:rsidR="007C2582" w:rsidRPr="007C2582" w:rsidRDefault="007C2582" w:rsidP="007C2582">
      <w:r w:rsidRPr="007C2582">
        <w:t xml:space="preserve">The WALMS derived in Section </w:t>
      </w:r>
      <w:r w:rsidR="006F2C84">
        <w:t>5.2</w:t>
      </w:r>
      <w:r w:rsidRPr="007C2582">
        <w:t xml:space="preserve"> are based on the two-bus coupled single-port circuit shown in </w:t>
      </w:r>
      <w:r w:rsidR="006F2C84">
        <w:fldChar w:fldCharType="begin"/>
      </w:r>
      <w:r w:rsidR="006F2C84">
        <w:instrText xml:space="preserve"> REF _Ref432062664 \h </w:instrText>
      </w:r>
      <w:r w:rsidR="006F2C84">
        <w:fldChar w:fldCharType="separate"/>
      </w:r>
      <w:r w:rsidR="00656B13">
        <w:t xml:space="preserve">Figure </w:t>
      </w:r>
      <w:r w:rsidR="00656B13">
        <w:rPr>
          <w:noProof/>
        </w:rPr>
        <w:t>27</w:t>
      </w:r>
      <w:r w:rsidR="006F2C84">
        <w:fldChar w:fldCharType="end"/>
      </w:r>
      <w:r w:rsidRPr="007C2582">
        <w:t>, and can be calculated with minimum complexity from the wide-area measurements. Thus, it is more suitable to be deployed online compared with its model-based counterparts.</w:t>
      </w:r>
    </w:p>
    <w:p w14:paraId="614E1B2B" w14:textId="77777777" w:rsidR="007C2582" w:rsidRPr="007C2582" w:rsidRDefault="007C2582" w:rsidP="007C2582">
      <w:r w:rsidRPr="007C2582">
        <w:t xml:space="preserve">If implemented online, the proposed WALMS will provide valuable information for system operators to take proper control actions to maintain sufficient voltage stability margins. The measurement-based WALMS can also act as a complement of the model-based sensitivity and they can validate one another. In general, the proposed WALMS is able to function similarly as the model-based LMSs in various applications. </w:t>
      </w:r>
    </w:p>
    <w:p w14:paraId="0C752208" w14:textId="77777777" w:rsidR="007C2582" w:rsidRPr="007C2582" w:rsidRDefault="007C2582" w:rsidP="007C2582">
      <w:r w:rsidRPr="007C2582">
        <w:t>It is not our priority to explore the potential of the WALMS in various applications. However, here we propose a simple yet effective VSA control strategy based on the WALMS in order to better demonstrate and verify the proposed WALMS.</w:t>
      </w:r>
    </w:p>
    <w:p w14:paraId="04A7457B" w14:textId="77777777" w:rsidR="007C2582" w:rsidRPr="007C2582" w:rsidRDefault="007C2582" w:rsidP="007C2582">
      <w:r w:rsidRPr="007C2582">
        <w:t xml:space="preserve">A common practice regarding VSA is to operate the system with a predefined LM (say, 10% for normal status and 5% for post-contingency status) to ensure that the system is free from voltage instability </w:t>
      </w:r>
      <w:r w:rsidR="006F2C84">
        <w:fldChar w:fldCharType="begin" w:fldLock="1"/>
      </w:r>
      <w:r w:rsidR="00351740">
        <w:instrText>ADDIN CSL_CITATION { "citationItems" : [ { "id" : "ITEM-1", "itemData" : { "DOI" : "10.1016/j.ijepes.2005.10.002", "ISSN" : "01420615", "author" : [ { "dropping-particle" : "", "family" : "Echavarren", "given" : "F.M.", "non-dropping-particle" : "", "parse-names" : false, "suffix" : "" }, { "dropping-particle" : "", "family" : "Lobato", "given" : "E.", "non-dropping-particle" : "", "parse-names" : false, "suffix" : "" }, { "dropping-particle" : "", "family" : "Rouco", "given" : "L.", "non-dropping-particle" : "", "parse-names" : false, "suffix" : "" } ], "container-title" : "International Journal of Electrical Power &amp; Energy Systems", "id" : "ITEM-1", "issue" : "1", "issued" : { "date-parts" : [ [ "2006", "1" ] ] }, "page" : "58-64", "title" : "A corrective load shedding scheme to mitigate voltage collapse", "type" : "article-journal", "volume" : "28" }, "uris" : [ "http://www.mendeley.com/documents/?uuid=d734fe7e-8ba9-42d1-88e6-39e05b9b3064" ] } ], "mendeley" : { "formattedCitation" : "[59]", "plainTextFormattedCitation" : "[59]", "previouslyFormattedCitation" : "[59]" }, "properties" : { "noteIndex" : 0 }, "schema" : "https://github.com/citation-style-language/schema/raw/master/csl-citation.json" }</w:instrText>
      </w:r>
      <w:r w:rsidR="006F2C84">
        <w:fldChar w:fldCharType="separate"/>
      </w:r>
      <w:r w:rsidR="00DD7036" w:rsidRPr="00DD7036">
        <w:rPr>
          <w:noProof/>
        </w:rPr>
        <w:t>[59]</w:t>
      </w:r>
      <w:r w:rsidR="006F2C84">
        <w:fldChar w:fldCharType="end"/>
      </w:r>
      <w:r w:rsidRPr="007C2582">
        <w:t>. Such a predefined margin is usually calculated offline, in advance, with the predicted load profile and selected contingencies. If the system fails to meet such margin in real time, system operators must take proper control actions to increase the LM.</w:t>
      </w:r>
    </w:p>
    <w:p w14:paraId="437F3716" w14:textId="77777777" w:rsidR="00451ED6" w:rsidRDefault="007C2582" w:rsidP="00451ED6">
      <w:pPr>
        <w:jc w:val="distribute"/>
      </w:pPr>
      <w:r w:rsidRPr="007C2582">
        <w:t xml:space="preserve">Usually, there are sets of available control actions that a system operator can take. Choosing how to select from various options is essentially an optimization problem. If nonlinearity of the power system is fully modeled, such problems usually require </w:t>
      </w:r>
    </w:p>
    <w:p w14:paraId="2021387B" w14:textId="02711C0A" w:rsidR="007C2582" w:rsidRPr="007C2582" w:rsidRDefault="007C2582" w:rsidP="00451ED6">
      <w:pPr>
        <w:ind w:firstLine="0"/>
      </w:pPr>
      <w:r w:rsidRPr="007C2582">
        <w:lastRenderedPageBreak/>
        <w:t>significant amounts of computational resources to solve, especially for large systems.</w:t>
      </w:r>
    </w:p>
    <w:p w14:paraId="35809463" w14:textId="77777777" w:rsidR="007C2582" w:rsidRPr="007C2582" w:rsidRDefault="007C2582" w:rsidP="007C2582">
      <w:r w:rsidRPr="007C2582">
        <w:t>Based on the WALMS, a straightforward multi-step control strategy for voltage stability is proposed. The proposed control strategy takes advantage of the simplicity of WALMS and is able to efficiently make the decision of which control action to take and what amount to apply in a multi-step process.</w:t>
      </w:r>
    </w:p>
    <w:p w14:paraId="20C95B4E" w14:textId="77777777" w:rsidR="007C2582" w:rsidRPr="007C2582" w:rsidRDefault="007C2582" w:rsidP="007C2582">
      <w:r w:rsidRPr="007C2582">
        <w:t xml:space="preserve">For a power system, let </w:t>
      </w:r>
      <w:r w:rsidRPr="007C2582">
        <w:rPr>
          <w:b/>
          <w:i/>
        </w:rPr>
        <w:t>λ</w:t>
      </w:r>
      <w:r w:rsidRPr="007C2582">
        <w:rPr>
          <w:vertAlign w:val="superscript"/>
        </w:rPr>
        <w:t>(0)</w:t>
      </w:r>
      <w:r w:rsidRPr="007C2582">
        <w:rPr>
          <w:b/>
          <w:i/>
        </w:rPr>
        <w:t xml:space="preserve"> </w:t>
      </w:r>
      <w:r w:rsidRPr="007C2582">
        <w:t xml:space="preserve">and </w:t>
      </w:r>
      <w:r w:rsidRPr="007C2582">
        <w:rPr>
          <w:b/>
          <w:i/>
        </w:rPr>
        <w:t>λ</w:t>
      </w:r>
      <w:r w:rsidRPr="007C2582">
        <w:rPr>
          <w:vertAlign w:val="superscript"/>
        </w:rPr>
        <w:t>(</w:t>
      </w:r>
      <w:r w:rsidRPr="007C2582">
        <w:rPr>
          <w:i/>
          <w:vertAlign w:val="superscript"/>
        </w:rPr>
        <w:t>k</w:t>
      </w:r>
      <w:r w:rsidRPr="007C2582">
        <w:rPr>
          <w:vertAlign w:val="superscript"/>
        </w:rPr>
        <w:t xml:space="preserve">) </w:t>
      </w:r>
      <w:r w:rsidRPr="007C2582">
        <w:t xml:space="preserve">be the vector of LMs at Step 0 (i.e., the initial system status) and Step </w:t>
      </w:r>
      <w:r w:rsidRPr="007C2582">
        <w:rPr>
          <w:i/>
        </w:rPr>
        <w:t>k</w:t>
      </w:r>
      <w:r w:rsidRPr="007C2582">
        <w:t xml:space="preserve">, respectively. Let </w:t>
      </w:r>
      <w:r w:rsidRPr="007C2582">
        <w:rPr>
          <w:b/>
          <w:i/>
        </w:rPr>
        <w:t>u</w:t>
      </w:r>
      <w:r w:rsidRPr="007C2582">
        <w:rPr>
          <w:vertAlign w:val="superscript"/>
        </w:rPr>
        <w:t>(</w:t>
      </w:r>
      <w:r w:rsidRPr="007C2582">
        <w:rPr>
          <w:i/>
          <w:vertAlign w:val="superscript"/>
        </w:rPr>
        <w:t>k</w:t>
      </w:r>
      <w:r w:rsidRPr="007C2582">
        <w:rPr>
          <w:vertAlign w:val="superscript"/>
        </w:rPr>
        <w:t>)</w:t>
      </w:r>
      <w:r w:rsidRPr="007C2582">
        <w:t xml:space="preserve"> be the vector of control actions at Step </w:t>
      </w:r>
      <w:r w:rsidRPr="007C2582">
        <w:rPr>
          <w:i/>
        </w:rPr>
        <w:t>k</w:t>
      </w:r>
      <w:r w:rsidRPr="007C2582">
        <w:t xml:space="preserve">. With the three types of WALMS derived in Section </w:t>
      </w:r>
      <w:r w:rsidR="006F2C84">
        <w:t>5.2</w:t>
      </w:r>
      <w:r w:rsidRPr="007C2582">
        <w:t xml:space="preserve">, </w:t>
      </w:r>
      <w:r w:rsidRPr="007C2582">
        <w:rPr>
          <w:b/>
          <w:i/>
        </w:rPr>
        <w:t>u</w:t>
      </w:r>
      <w:r w:rsidRPr="007C2582">
        <w:rPr>
          <w:vertAlign w:val="superscript"/>
        </w:rPr>
        <w:t>(</w:t>
      </w:r>
      <w:r w:rsidRPr="007C2582">
        <w:rPr>
          <w:i/>
          <w:vertAlign w:val="superscript"/>
        </w:rPr>
        <w:t>k</w:t>
      </w:r>
      <w:r w:rsidRPr="007C2582">
        <w:rPr>
          <w:vertAlign w:val="superscript"/>
        </w:rPr>
        <w:t>)</w:t>
      </w:r>
      <w:r w:rsidRPr="007C2582">
        <w:t xml:space="preserve"> should consist of [∆</w:t>
      </w:r>
      <w:r w:rsidRPr="007C2582">
        <w:rPr>
          <w:b/>
          <w:i/>
        </w:rPr>
        <w:t>P</w:t>
      </w:r>
      <w:r w:rsidRPr="007C2582">
        <w:rPr>
          <w:i/>
          <w:vertAlign w:val="subscript"/>
        </w:rPr>
        <w:t>L</w:t>
      </w:r>
      <w:r w:rsidRPr="007C2582">
        <w:rPr>
          <w:vertAlign w:val="superscript"/>
        </w:rPr>
        <w:t>(</w:t>
      </w:r>
      <w:r w:rsidRPr="007C2582">
        <w:rPr>
          <w:i/>
          <w:vertAlign w:val="superscript"/>
        </w:rPr>
        <w:t>k</w:t>
      </w:r>
      <w:r w:rsidRPr="007C2582">
        <w:rPr>
          <w:vertAlign w:val="superscript"/>
        </w:rPr>
        <w:t>)</w:t>
      </w:r>
      <w:r w:rsidRPr="007C2582">
        <w:t>,</w:t>
      </w:r>
      <w:r w:rsidRPr="007C2582">
        <w:rPr>
          <w:i/>
        </w:rPr>
        <w:t xml:space="preserve"> </w:t>
      </w:r>
      <w:r w:rsidRPr="007C2582">
        <w:t>∆</w:t>
      </w:r>
      <w:r w:rsidRPr="007C2582">
        <w:rPr>
          <w:b/>
          <w:i/>
        </w:rPr>
        <w:t>Q</w:t>
      </w:r>
      <w:r w:rsidRPr="007C2582">
        <w:rPr>
          <w:i/>
          <w:vertAlign w:val="subscript"/>
        </w:rPr>
        <w:t>L</w:t>
      </w:r>
      <w:r w:rsidRPr="007C2582">
        <w:rPr>
          <w:vertAlign w:val="superscript"/>
        </w:rPr>
        <w:t>(</w:t>
      </w:r>
      <w:r w:rsidRPr="007C2582">
        <w:rPr>
          <w:i/>
          <w:vertAlign w:val="superscript"/>
        </w:rPr>
        <w:t>k</w:t>
      </w:r>
      <w:r w:rsidRPr="007C2582">
        <w:rPr>
          <w:vertAlign w:val="superscript"/>
        </w:rPr>
        <w:t>)</w:t>
      </w:r>
      <w:r w:rsidRPr="007C2582">
        <w:t>, ∆</w:t>
      </w:r>
      <w:r w:rsidRPr="007C2582">
        <w:rPr>
          <w:b/>
          <w:i/>
        </w:rPr>
        <w:t>V</w:t>
      </w:r>
      <w:r w:rsidRPr="007C2582">
        <w:rPr>
          <w:i/>
          <w:vertAlign w:val="subscript"/>
        </w:rPr>
        <w:t>G</w:t>
      </w:r>
      <w:r w:rsidRPr="007C2582">
        <w:rPr>
          <w:vertAlign w:val="superscript"/>
        </w:rPr>
        <w:t>(</w:t>
      </w:r>
      <w:r w:rsidRPr="007C2582">
        <w:rPr>
          <w:i/>
          <w:vertAlign w:val="superscript"/>
        </w:rPr>
        <w:t>k</w:t>
      </w:r>
      <w:r w:rsidRPr="007C2582">
        <w:rPr>
          <w:vertAlign w:val="superscript"/>
        </w:rPr>
        <w:t>)</w:t>
      </w:r>
      <w:r w:rsidRPr="007C2582">
        <w:t>], or a subset of it that contains the candidate locations only.</w:t>
      </w:r>
    </w:p>
    <w:p w14:paraId="67C081CC" w14:textId="77777777" w:rsidR="007C2582" w:rsidRPr="007C2582" w:rsidRDefault="007C2582" w:rsidP="007C2582">
      <w:r w:rsidRPr="007C2582">
        <w:t xml:space="preserve">The proposed control strategy is able to deal with controls of three categories: 1) reactive power compensation, 2) generator terminal voltage increment, and 3) load shedding. Regarding the three categories, the proposed control strategy takes the control actions in the order of 1), 2), and then 3). At decision Step </w:t>
      </w:r>
      <w:r w:rsidRPr="007C2582">
        <w:rPr>
          <w:i/>
        </w:rPr>
        <w:t>k</w:t>
      </w:r>
      <w:r w:rsidRPr="007C2582">
        <w:t xml:space="preserve">, the algorithm first searches the available category with the highest order and then within that category the control strategy takes the available control action with the largest sensitivity (absolute value) at that step and forms control vector </w:t>
      </w:r>
      <w:r w:rsidRPr="007C2582">
        <w:rPr>
          <w:b/>
          <w:i/>
        </w:rPr>
        <w:t>u</w:t>
      </w:r>
      <w:r w:rsidRPr="007C2582">
        <w:rPr>
          <w:vertAlign w:val="superscript"/>
        </w:rPr>
        <w:t>(</w:t>
      </w:r>
      <w:r w:rsidRPr="007C2582">
        <w:rPr>
          <w:i/>
          <w:vertAlign w:val="superscript"/>
        </w:rPr>
        <w:t>k</w:t>
      </w:r>
      <w:r w:rsidRPr="007C2582">
        <w:rPr>
          <w:vertAlign w:val="superscript"/>
        </w:rPr>
        <w:t xml:space="preserve">) </w:t>
      </w:r>
      <w:r w:rsidRPr="007C2582">
        <w:t xml:space="preserve">(discussed in the following). Then, the LM after Step </w:t>
      </w:r>
      <w:r w:rsidRPr="007C2582">
        <w:rPr>
          <w:i/>
        </w:rPr>
        <w:t>k</w:t>
      </w:r>
      <w:r w:rsidRPr="007C2582">
        <w:t xml:space="preserve"> is updated, according to (</w:t>
      </w:r>
      <w:r w:rsidR="006F2C84">
        <w:t>5-</w:t>
      </w:r>
      <w:r w:rsidRPr="007C2582">
        <w:t>36).</w:t>
      </w:r>
    </w:p>
    <w:p w14:paraId="5F404D5E" w14:textId="77777777" w:rsidR="007C2582" w:rsidRPr="007C2582" w:rsidRDefault="007C2582" w:rsidP="006F2C84">
      <w:pPr>
        <w:jc w:val="right"/>
      </w:pPr>
      <w:r w:rsidRPr="007C2582">
        <w:t xml:space="preserve">  </w:t>
      </w:r>
      <w:r w:rsidRPr="007C2582">
        <w:object w:dxaOrig="2700" w:dyaOrig="380" w14:anchorId="36DD245D">
          <v:shape id="_x0000_i1203" type="#_x0000_t75" style="width:142.5pt;height:19.5pt" o:ole="">
            <v:imagedata r:id="rId319" o:title=""/>
          </v:shape>
          <o:OLEObject Type="Embed" ProgID="Equation.DSMT4" ShapeID="_x0000_i1203" DrawAspect="Content" ObjectID="_1532825744" r:id="rId320"/>
        </w:object>
      </w:r>
      <w:r w:rsidRPr="007C2582">
        <w:tab/>
      </w:r>
      <w:r w:rsidRPr="007C2582">
        <w:tab/>
      </w:r>
      <w:r w:rsidRPr="007C2582">
        <w:tab/>
      </w:r>
      <w:r w:rsidRPr="007C2582">
        <w:tab/>
        <w:t>(</w:t>
      </w:r>
      <w:r w:rsidR="006F2C84">
        <w:t>5-</w:t>
      </w:r>
      <w:r w:rsidRPr="007C2582">
        <w:t>36)</w:t>
      </w:r>
    </w:p>
    <w:p w14:paraId="40E4FC52" w14:textId="77777777" w:rsidR="007C2582" w:rsidRPr="007C2582" w:rsidRDefault="007C2582" w:rsidP="007C2582">
      <w:r w:rsidRPr="007C2582">
        <w:t xml:space="preserve">If the smallest value in </w:t>
      </w:r>
      <w:r w:rsidRPr="007C2582">
        <w:rPr>
          <w:b/>
          <w:i/>
        </w:rPr>
        <w:t>λ</w:t>
      </w:r>
      <w:r w:rsidRPr="007C2582">
        <w:rPr>
          <w:vertAlign w:val="superscript"/>
        </w:rPr>
        <w:t>(</w:t>
      </w:r>
      <w:r w:rsidRPr="007C2582">
        <w:rPr>
          <w:i/>
          <w:vertAlign w:val="superscript"/>
        </w:rPr>
        <w:t>k</w:t>
      </w:r>
      <w:r w:rsidRPr="007C2582">
        <w:rPr>
          <w:vertAlign w:val="superscript"/>
        </w:rPr>
        <w:t>)</w:t>
      </w:r>
      <w:r w:rsidRPr="007C2582">
        <w:t xml:space="preserve"> is larger than the desired LM, then the multi-step decision process is terminated, and the control decisions of all the steps are applied; otherwise, the decision process goes to Step </w:t>
      </w:r>
      <w:r w:rsidRPr="007C2582">
        <w:rPr>
          <w:i/>
        </w:rPr>
        <w:t>k</w:t>
      </w:r>
      <w:r w:rsidRPr="007C2582">
        <w:t xml:space="preserve">+1. The proposed control strategy is illustrated in </w:t>
      </w:r>
      <w:r w:rsidR="006F2C84">
        <w:fldChar w:fldCharType="begin"/>
      </w:r>
      <w:r w:rsidR="006F2C84">
        <w:instrText xml:space="preserve"> REF _Ref432063671 \h </w:instrText>
      </w:r>
      <w:r w:rsidR="006F2C84">
        <w:fldChar w:fldCharType="separate"/>
      </w:r>
      <w:r w:rsidR="00656B13">
        <w:t xml:space="preserve">Figure </w:t>
      </w:r>
      <w:r w:rsidR="00656B13">
        <w:rPr>
          <w:noProof/>
        </w:rPr>
        <w:t>28</w:t>
      </w:r>
      <w:r w:rsidR="006F2C84">
        <w:fldChar w:fldCharType="end"/>
      </w:r>
      <w:r w:rsidRPr="007C2582">
        <w:t xml:space="preserve"> and described in detail in the remainder of this section. </w:t>
      </w:r>
    </w:p>
    <w:p w14:paraId="2BB0A238" w14:textId="77777777" w:rsidR="007C2582" w:rsidRPr="007C2582" w:rsidRDefault="007C2582" w:rsidP="00685FFD">
      <w:pPr>
        <w:spacing w:line="240" w:lineRule="auto"/>
        <w:ind w:firstLine="0"/>
        <w:jc w:val="center"/>
        <w:rPr>
          <w:lang w:val="x-none"/>
        </w:rPr>
      </w:pPr>
      <w:r w:rsidRPr="007C2582">
        <w:rPr>
          <w:lang w:val="x-none"/>
        </w:rPr>
        <w:object w:dxaOrig="7036" w:dyaOrig="8311" w14:anchorId="5CC8CB31">
          <v:shape id="_x0000_i1204" type="#_x0000_t75" style="width:264pt;height:309pt" o:ole="">
            <v:imagedata r:id="rId321" o:title=""/>
          </v:shape>
          <o:OLEObject Type="Embed" ProgID="Visio.Drawing.15" ShapeID="_x0000_i1204" DrawAspect="Content" ObjectID="_1532825745" r:id="rId322"/>
        </w:object>
      </w:r>
    </w:p>
    <w:p w14:paraId="324BFC50" w14:textId="77777777" w:rsidR="007C2582" w:rsidRDefault="006F2C84" w:rsidP="009D0201">
      <w:pPr>
        <w:pStyle w:val="Caption"/>
      </w:pPr>
      <w:bookmarkStart w:id="114" w:name="_Ref432063671"/>
      <w:bookmarkStart w:id="115" w:name="_Toc459076479"/>
      <w:r>
        <w:t xml:space="preserve">Figure </w:t>
      </w:r>
      <w:fldSimple w:instr=" SEQ Figure \* ARABIC ">
        <w:r w:rsidR="00B0208A">
          <w:rPr>
            <w:noProof/>
          </w:rPr>
          <w:t>28</w:t>
        </w:r>
      </w:fldSimple>
      <w:bookmarkEnd w:id="114"/>
      <w:r w:rsidR="007C2582" w:rsidRPr="007C2582">
        <w:t>. Flowchart of the proposed control strategy</w:t>
      </w:r>
      <w:r w:rsidR="004F29E5">
        <w:t>.</w:t>
      </w:r>
      <w:bookmarkEnd w:id="115"/>
    </w:p>
    <w:p w14:paraId="281B44DB" w14:textId="484D6554" w:rsidR="00451ED6" w:rsidRDefault="00451ED6">
      <w:r>
        <w:br w:type="page"/>
      </w:r>
    </w:p>
    <w:p w14:paraId="392D5D73" w14:textId="77777777" w:rsidR="007C2582" w:rsidRPr="007C2582" w:rsidRDefault="006F2C84" w:rsidP="006F2C84">
      <w:pPr>
        <w:pStyle w:val="Heading3"/>
      </w:pPr>
      <w:bookmarkStart w:id="116" w:name="_Toc459076570"/>
      <w:r>
        <w:lastRenderedPageBreak/>
        <w:t xml:space="preserve">5.3.1 </w:t>
      </w:r>
      <w:r w:rsidR="007C2582" w:rsidRPr="007C2582">
        <w:t>Category 1) Reactive Power Compensation</w:t>
      </w:r>
      <w:bookmarkEnd w:id="116"/>
      <w:r w:rsidR="007C2582" w:rsidRPr="007C2582">
        <w:t xml:space="preserve"> </w:t>
      </w:r>
    </w:p>
    <w:p w14:paraId="1C66E117" w14:textId="77777777" w:rsidR="007C2582" w:rsidRPr="007C2582" w:rsidRDefault="007C2582" w:rsidP="007C2582">
      <w:r w:rsidRPr="007C2582">
        <w:t>Reactive power compensation provided near the weakest load buses (i.e., load buses with the smallest LM) are among the most effective con</w:t>
      </w:r>
      <w:r w:rsidR="006F2C84">
        <w:t xml:space="preserve">trol actions </w:t>
      </w:r>
      <w:r w:rsidR="006F2C84">
        <w:fldChar w:fldCharType="begin" w:fldLock="1"/>
      </w:r>
      <w:r w:rsidR="00351740">
        <w:instrText>ADDIN CSL_CITATION { "citationItems" : [ { "id" : "ITEM-1", "itemData" : { "author" : [ { "dropping-particle" : "", "family" : "Begovic", "given" : "Miroslav M", "non-dropping-particle" : "", "parse-names" : false, "suffix" : "" }, { "dropping-particle" : "", "family" : "Phadke", "given" : "Arun G.", "non-dropping-particle" : "", "parse-names" : false, "suffix" : "" } ], "container-title" : "IEEE Transactions on Power Systems", "id" : "ITEM-1", "issue" : "1", "issued" : { "date-parts" : [ [ "1992" ] ] }, "title" : "CONTROL OF VOLTAGE STABILITY USING SENSITIVITY ANALYSIS", "type" : "article-journal", "volume" : "7" }, "uris" : [ "http://www.mendeley.com/documents/?uuid=74c3592e-6e11-4338-b37e-cd699f216c29" ] } ], "mendeley" : { "formattedCitation" : "[53]", "plainTextFormattedCitation" : "[53]", "previouslyFormattedCitation" : "[53]" }, "properties" : { "noteIndex" : 0 }, "schema" : "https://github.com/citation-style-language/schema/raw/master/csl-citation.json" }</w:instrText>
      </w:r>
      <w:r w:rsidR="006F2C84">
        <w:fldChar w:fldCharType="separate"/>
      </w:r>
      <w:r w:rsidR="00DD7036" w:rsidRPr="00DD7036">
        <w:rPr>
          <w:noProof/>
        </w:rPr>
        <w:t>[53]</w:t>
      </w:r>
      <w:r w:rsidR="006F2C84">
        <w:fldChar w:fldCharType="end"/>
      </w:r>
      <w:r w:rsidRPr="007C2582">
        <w:t>; therefore, this category is assigned the highest priority, always considered first. Within this category, the candidate location with the sensitivity of the largest absolute value is considered first because the same amount of compensation will increase the LM most among all candidate locations.</w:t>
      </w:r>
    </w:p>
    <w:p w14:paraId="31D600CE" w14:textId="77777777" w:rsidR="007C2582" w:rsidRPr="007C2582" w:rsidRDefault="007C2582" w:rsidP="007C2582">
      <w:r w:rsidRPr="007C2582">
        <w:t xml:space="preserve">Let </w:t>
      </w:r>
      <w:r w:rsidRPr="007C2582">
        <w:rPr>
          <w:i/>
        </w:rPr>
        <w:t>λ</w:t>
      </w:r>
      <w:r w:rsidRPr="007C2582">
        <w:rPr>
          <w:vertAlign w:val="subscript"/>
        </w:rPr>
        <w:t>0</w:t>
      </w:r>
      <w:r w:rsidRPr="007C2582">
        <w:t xml:space="preserve"> be the desired LM, bus </w:t>
      </w:r>
      <w:r w:rsidRPr="007C2582">
        <w:rPr>
          <w:i/>
        </w:rPr>
        <w:t>i</w:t>
      </w:r>
      <w:r w:rsidRPr="007C2582">
        <w:t xml:space="preserve"> be the bus with the smallest LM. If </w:t>
      </w:r>
      <w:r w:rsidRPr="007C2582">
        <w:rPr>
          <w:i/>
        </w:rPr>
        <w:t>λ</w:t>
      </w:r>
      <w:r w:rsidRPr="007C2582">
        <w:rPr>
          <w:vertAlign w:val="subscript"/>
        </w:rPr>
        <w:t xml:space="preserve">i </w:t>
      </w:r>
      <w:r w:rsidRPr="007C2582">
        <w:t>&lt;</w:t>
      </w:r>
      <w:r w:rsidRPr="007C2582">
        <w:rPr>
          <w:i/>
        </w:rPr>
        <w:t>λ</w:t>
      </w:r>
      <w:r w:rsidRPr="007C2582">
        <w:rPr>
          <w:vertAlign w:val="subscript"/>
        </w:rPr>
        <w:t>0</w:t>
      </w:r>
      <w:r w:rsidRPr="007C2582">
        <w:t xml:space="preserve">. The amount of reactive power compensation to be applied at bus </w:t>
      </w:r>
      <w:r w:rsidRPr="007C2582">
        <w:rPr>
          <w:i/>
        </w:rPr>
        <w:t>j</w:t>
      </w:r>
      <w:r w:rsidRPr="007C2582">
        <w:t>, the candidate location with the largest sensitivity, can be determined by</w:t>
      </w:r>
    </w:p>
    <w:p w14:paraId="79E9A351" w14:textId="77777777" w:rsidR="007C2582" w:rsidRPr="007C2582" w:rsidRDefault="007C2582" w:rsidP="006F2C84">
      <w:pPr>
        <w:jc w:val="right"/>
      </w:pPr>
      <w:r w:rsidRPr="007C2582">
        <w:object w:dxaOrig="3879" w:dyaOrig="800" w14:anchorId="1E27F49D">
          <v:shape id="_x0000_i1049" type="#_x0000_t75" style="width:201pt;height:40.5pt" o:ole="">
            <v:imagedata r:id="rId323" o:title=""/>
          </v:shape>
          <o:OLEObject Type="Embed" ProgID="Equation.DSMT4" ShapeID="_x0000_i1049" DrawAspect="Content" ObjectID="_1532825746" r:id="rId324"/>
        </w:object>
      </w:r>
      <w:r w:rsidRPr="007C2582">
        <w:tab/>
      </w:r>
      <w:r w:rsidRPr="007C2582">
        <w:tab/>
      </w:r>
      <w:r w:rsidRPr="007C2582">
        <w:tab/>
      </w:r>
      <w:r w:rsidRPr="007C2582">
        <w:tab/>
      </w:r>
      <w:r w:rsidRPr="007C2582">
        <w:tab/>
        <w:t>(</w:t>
      </w:r>
      <w:r w:rsidR="006F2C84">
        <w:t>5-</w:t>
      </w:r>
      <w:r w:rsidRPr="007C2582">
        <w:t>37)</w:t>
      </w:r>
    </w:p>
    <w:p w14:paraId="132B5B61" w14:textId="77777777" w:rsidR="007C2582" w:rsidRPr="007C2582" w:rsidRDefault="007C2582" w:rsidP="007C2582">
      <w:r w:rsidRPr="007C2582">
        <w:t>where ∆</w:t>
      </w:r>
      <w:r w:rsidRPr="007C2582">
        <w:rPr>
          <w:i/>
        </w:rPr>
        <w:t>Q</w:t>
      </w:r>
      <w:r w:rsidRPr="007C2582">
        <w:rPr>
          <w:i/>
          <w:vertAlign w:val="subscript"/>
        </w:rPr>
        <w:t>j</w:t>
      </w:r>
      <w:r w:rsidRPr="007C2582">
        <w:rPr>
          <w:vertAlign w:val="subscript"/>
        </w:rPr>
        <w:t>,lim</w:t>
      </w:r>
      <w:r w:rsidRPr="007C2582">
        <w:t xml:space="preserve"> is the capacity of the reactive compensation at bus </w:t>
      </w:r>
      <w:r w:rsidRPr="007C2582">
        <w:rPr>
          <w:i/>
        </w:rPr>
        <w:t>j</w:t>
      </w:r>
      <w:r w:rsidRPr="007C2582">
        <w:t xml:space="preserve"> and is a negative number, meaning opposite direction of load increasing. ∆</w:t>
      </w:r>
      <w:r w:rsidRPr="007C2582">
        <w:rPr>
          <w:i/>
        </w:rPr>
        <w:t>Q</w:t>
      </w:r>
      <w:r w:rsidRPr="007C2582">
        <w:rPr>
          <w:i/>
          <w:vertAlign w:val="subscript"/>
        </w:rPr>
        <w:t>j</w:t>
      </w:r>
      <w:r w:rsidRPr="007C2582">
        <w:rPr>
          <w:vertAlign w:val="subscript"/>
        </w:rPr>
        <w:t>,req</w:t>
      </w:r>
      <w:r w:rsidRPr="007C2582">
        <w:t xml:space="preserve"> (also negative) is the amount of compensation required to meet the LM </w:t>
      </w:r>
      <w:r w:rsidRPr="007C2582">
        <w:rPr>
          <w:i/>
        </w:rPr>
        <w:t>λ</w:t>
      </w:r>
      <w:r w:rsidRPr="007C2582">
        <w:rPr>
          <w:vertAlign w:val="subscript"/>
        </w:rPr>
        <w:t>0</w:t>
      </w:r>
      <w:r w:rsidRPr="007C2582">
        <w:t xml:space="preserve">. </w:t>
      </w:r>
    </w:p>
    <w:p w14:paraId="015D62F2" w14:textId="77777777" w:rsidR="007C2582" w:rsidRPr="007C2582" w:rsidRDefault="007C2582" w:rsidP="007C2582">
      <w:r w:rsidRPr="007C2582">
        <w:t>According to (</w:t>
      </w:r>
      <w:r w:rsidR="006F2C84">
        <w:t>5-</w:t>
      </w:r>
      <w:r w:rsidRPr="007C2582">
        <w:t xml:space="preserve">37), when the compensation at bus </w:t>
      </w:r>
      <w:r w:rsidRPr="007C2582">
        <w:rPr>
          <w:i/>
        </w:rPr>
        <w:t>j</w:t>
      </w:r>
      <w:r w:rsidRPr="007C2582">
        <w:t xml:space="preserve"> alone is capable of lifting the LM to meet </w:t>
      </w:r>
      <w:r w:rsidRPr="007C2582">
        <w:rPr>
          <w:i/>
        </w:rPr>
        <w:t>λ</w:t>
      </w:r>
      <w:r w:rsidRPr="007C2582">
        <w:rPr>
          <w:vertAlign w:val="subscript"/>
        </w:rPr>
        <w:t xml:space="preserve">0 </w:t>
      </w:r>
      <w:r w:rsidRPr="007C2582">
        <w:t>(i.e., ∆</w:t>
      </w:r>
      <w:r w:rsidRPr="007C2582">
        <w:rPr>
          <w:i/>
        </w:rPr>
        <w:t>Q</w:t>
      </w:r>
      <w:r w:rsidRPr="007C2582">
        <w:rPr>
          <w:i/>
          <w:vertAlign w:val="subscript"/>
        </w:rPr>
        <w:t>j</w:t>
      </w:r>
      <w:r w:rsidRPr="007C2582">
        <w:rPr>
          <w:vertAlign w:val="subscript"/>
        </w:rPr>
        <w:t>,req</w:t>
      </w:r>
      <w:r w:rsidRPr="007C2582">
        <w:t xml:space="preserve"> &gt; ∆</w:t>
      </w:r>
      <w:r w:rsidRPr="007C2582">
        <w:rPr>
          <w:i/>
        </w:rPr>
        <w:t>Q</w:t>
      </w:r>
      <w:r w:rsidRPr="007C2582">
        <w:rPr>
          <w:i/>
          <w:vertAlign w:val="subscript"/>
        </w:rPr>
        <w:t>j</w:t>
      </w:r>
      <w:r w:rsidRPr="007C2582">
        <w:rPr>
          <w:vertAlign w:val="subscript"/>
        </w:rPr>
        <w:t>,lim</w:t>
      </w:r>
      <w:r w:rsidRPr="007C2582">
        <w:t>) the amount to be compensated is ∆</w:t>
      </w:r>
      <w:r w:rsidRPr="007C2582">
        <w:rPr>
          <w:i/>
        </w:rPr>
        <w:t>Q</w:t>
      </w:r>
      <w:r w:rsidRPr="007C2582">
        <w:rPr>
          <w:i/>
          <w:vertAlign w:val="subscript"/>
        </w:rPr>
        <w:t>j</w:t>
      </w:r>
      <w:r w:rsidRPr="007C2582">
        <w:rPr>
          <w:vertAlign w:val="subscript"/>
        </w:rPr>
        <w:t>,req</w:t>
      </w:r>
      <w:r w:rsidRPr="007C2582">
        <w:t>. Otherwise, if ∆</w:t>
      </w:r>
      <w:r w:rsidRPr="007C2582">
        <w:rPr>
          <w:i/>
        </w:rPr>
        <w:t>Q</w:t>
      </w:r>
      <w:r w:rsidRPr="007C2582">
        <w:rPr>
          <w:i/>
          <w:vertAlign w:val="subscript"/>
        </w:rPr>
        <w:t>j</w:t>
      </w:r>
      <w:r w:rsidRPr="007C2582">
        <w:rPr>
          <w:vertAlign w:val="subscript"/>
        </w:rPr>
        <w:t>,req</w:t>
      </w:r>
      <w:r w:rsidRPr="007C2582">
        <w:t xml:space="preserve"> &lt; ∆</w:t>
      </w:r>
      <w:r w:rsidRPr="007C2582">
        <w:rPr>
          <w:i/>
        </w:rPr>
        <w:t>Q</w:t>
      </w:r>
      <w:r w:rsidRPr="007C2582">
        <w:rPr>
          <w:i/>
          <w:vertAlign w:val="subscript"/>
        </w:rPr>
        <w:t>j</w:t>
      </w:r>
      <w:r w:rsidRPr="007C2582">
        <w:rPr>
          <w:vertAlign w:val="subscript"/>
        </w:rPr>
        <w:t>,lim</w:t>
      </w:r>
      <w:r w:rsidRPr="007C2582">
        <w:t>, after ∆</w:t>
      </w:r>
      <w:r w:rsidRPr="007C2582">
        <w:rPr>
          <w:i/>
        </w:rPr>
        <w:t>Q</w:t>
      </w:r>
      <w:r w:rsidRPr="007C2582">
        <w:rPr>
          <w:i/>
          <w:vertAlign w:val="subscript"/>
        </w:rPr>
        <w:t>j</w:t>
      </w:r>
      <w:r w:rsidRPr="007C2582">
        <w:rPr>
          <w:vertAlign w:val="subscript"/>
        </w:rPr>
        <w:t>,lim</w:t>
      </w:r>
      <w:r w:rsidRPr="007C2582">
        <w:t xml:space="preserve"> is applied, the LM still fails to meet </w:t>
      </w:r>
      <w:r w:rsidRPr="007C2582">
        <w:rPr>
          <w:i/>
        </w:rPr>
        <w:t>λ</w:t>
      </w:r>
      <w:r w:rsidRPr="007C2582">
        <w:rPr>
          <w:vertAlign w:val="subscript"/>
        </w:rPr>
        <w:t>0</w:t>
      </w:r>
      <w:r w:rsidRPr="007C2582">
        <w:t>. For the latter case, the ∆</w:t>
      </w:r>
      <w:r w:rsidRPr="007C2582">
        <w:rPr>
          <w:i/>
        </w:rPr>
        <w:t>Q</w:t>
      </w:r>
      <w:r w:rsidRPr="007C2582">
        <w:rPr>
          <w:i/>
          <w:vertAlign w:val="subscript"/>
        </w:rPr>
        <w:t>j</w:t>
      </w:r>
      <w:r w:rsidRPr="007C2582">
        <w:rPr>
          <w:vertAlign w:val="subscript"/>
        </w:rPr>
        <w:t>,lim</w:t>
      </w:r>
      <w:r w:rsidRPr="007C2582">
        <w:t xml:space="preserve"> is applied. For Category 1, </w:t>
      </w:r>
      <w:r w:rsidRPr="007C2582">
        <w:rPr>
          <w:b/>
          <w:i/>
        </w:rPr>
        <w:t>u</w:t>
      </w:r>
      <w:r w:rsidRPr="007C2582">
        <w:rPr>
          <w:vertAlign w:val="superscript"/>
        </w:rPr>
        <w:t>(</w:t>
      </w:r>
      <w:r w:rsidRPr="007C2582">
        <w:rPr>
          <w:i/>
          <w:vertAlign w:val="superscript"/>
        </w:rPr>
        <w:t>k</w:t>
      </w:r>
      <w:r w:rsidRPr="007C2582">
        <w:rPr>
          <w:vertAlign w:val="superscript"/>
        </w:rPr>
        <w:t xml:space="preserve">) </w:t>
      </w:r>
      <w:r w:rsidRPr="007C2582">
        <w:t>= [∆</w:t>
      </w:r>
      <w:r w:rsidRPr="007C2582">
        <w:rPr>
          <w:i/>
        </w:rPr>
        <w:t>Q</w:t>
      </w:r>
      <w:r w:rsidRPr="007C2582">
        <w:rPr>
          <w:i/>
          <w:vertAlign w:val="subscript"/>
        </w:rPr>
        <w:t>j</w:t>
      </w:r>
      <w:r w:rsidRPr="007C2582">
        <w:t xml:space="preserve">] is formed and LM vector </w:t>
      </w:r>
      <w:r w:rsidRPr="007C2582">
        <w:rPr>
          <w:b/>
        </w:rPr>
        <w:t>λ</w:t>
      </w:r>
      <w:r w:rsidRPr="007C2582">
        <w:t xml:space="preserve"> is updated based on (</w:t>
      </w:r>
      <w:r w:rsidR="006F2C84">
        <w:t>5-</w:t>
      </w:r>
      <w:r w:rsidRPr="007C2582">
        <w:t>36).</w:t>
      </w:r>
    </w:p>
    <w:p w14:paraId="7C8451C8" w14:textId="77777777" w:rsidR="00451ED6" w:rsidRDefault="007C2582" w:rsidP="00451ED6">
      <w:pPr>
        <w:jc w:val="distribute"/>
      </w:pPr>
      <w:r w:rsidRPr="007C2582">
        <w:t xml:space="preserve">If the updated </w:t>
      </w:r>
      <w:r w:rsidRPr="007C2582">
        <w:rPr>
          <w:b/>
          <w:i/>
        </w:rPr>
        <w:t>λ</w:t>
      </w:r>
      <w:r w:rsidRPr="007C2582">
        <w:rPr>
          <w:b/>
        </w:rPr>
        <w:t xml:space="preserve"> </w:t>
      </w:r>
      <w:r w:rsidRPr="007C2582">
        <w:t xml:space="preserve">does not meet </w:t>
      </w:r>
      <w:r w:rsidRPr="007C2582">
        <w:rPr>
          <w:i/>
        </w:rPr>
        <w:t>λ</w:t>
      </w:r>
      <w:r w:rsidRPr="007C2582">
        <w:rPr>
          <w:vertAlign w:val="subscript"/>
        </w:rPr>
        <w:t>0</w:t>
      </w:r>
      <w:r w:rsidRPr="007C2582">
        <w:t xml:space="preserve">, further actions need to be taken. If there is not any candidate bus with reactive compensation capability, the control algorithm will </w:t>
      </w:r>
    </w:p>
    <w:p w14:paraId="76A9950F" w14:textId="7B427045" w:rsidR="007C2582" w:rsidRPr="007C2582" w:rsidRDefault="007C2582" w:rsidP="00451ED6">
      <w:pPr>
        <w:ind w:firstLine="0"/>
      </w:pPr>
      <w:r w:rsidRPr="007C2582">
        <w:lastRenderedPageBreak/>
        <w:t>search control actions in Category 2.</w:t>
      </w:r>
    </w:p>
    <w:p w14:paraId="62C854AA" w14:textId="77777777" w:rsidR="007C2582" w:rsidRPr="007C2582" w:rsidRDefault="006F2C84" w:rsidP="006F2C84">
      <w:pPr>
        <w:pStyle w:val="Heading3"/>
      </w:pPr>
      <w:bookmarkStart w:id="117" w:name="_Toc459076571"/>
      <w:r>
        <w:t xml:space="preserve">5.3.2 </w:t>
      </w:r>
      <w:r w:rsidR="007C2582" w:rsidRPr="007C2582">
        <w:t>Category 2) Generator Terminal Voltage Increment</w:t>
      </w:r>
      <w:bookmarkEnd w:id="117"/>
    </w:p>
    <w:p w14:paraId="3A64D8A6" w14:textId="77777777" w:rsidR="007C2582" w:rsidRPr="007C2582" w:rsidRDefault="007C2582" w:rsidP="007C2582">
      <w:r w:rsidRPr="007C2582">
        <w:t>Increasing the terminal voltage at generator buses is equivalent to apply reactive compensation at the corresponding buses. The terminal voltage is chosen here to quantify this control category; for a generator bus, the terminal voltage is regulated and the amount of reactive compensation is determined by the setting of the terminal voltage.</w:t>
      </w:r>
    </w:p>
    <w:p w14:paraId="49D81871" w14:textId="77777777" w:rsidR="007C2582" w:rsidRPr="007C2582" w:rsidRDefault="007C2582" w:rsidP="007C2582">
      <w:r w:rsidRPr="007C2582">
        <w:t>This category is considered after Category 1 because generator buses are usually located with some distance to the weakest load buses and as a result, the compensation of reactive power at the generator buses is less effective compared to the compensation at nearby load buses due to the high percentage of reactive losses along the transfer path.</w:t>
      </w:r>
    </w:p>
    <w:p w14:paraId="022E937A" w14:textId="77777777" w:rsidR="007C2582" w:rsidRPr="007C2582" w:rsidRDefault="007C2582" w:rsidP="007C2582">
      <w:r w:rsidRPr="007C2582">
        <w:t xml:space="preserve">Similarly, within this category, the candidate generator bus with the largest sensitivity (e.g., bus </w:t>
      </w:r>
      <w:r w:rsidRPr="007C2582">
        <w:rPr>
          <w:i/>
        </w:rPr>
        <w:t>g</w:t>
      </w:r>
      <w:r w:rsidRPr="007C2582">
        <w:t>) is first considered. The increment is determined by (</w:t>
      </w:r>
      <w:r w:rsidR="006F2C84">
        <w:t>5-</w:t>
      </w:r>
      <w:r w:rsidRPr="007C2582">
        <w:t>38).</w:t>
      </w:r>
    </w:p>
    <w:p w14:paraId="4FDC5C6D" w14:textId="77777777" w:rsidR="007C2582" w:rsidRPr="007C2582" w:rsidRDefault="007C2582" w:rsidP="006F2C84">
      <w:pPr>
        <w:jc w:val="right"/>
      </w:pPr>
      <w:r w:rsidRPr="007C2582">
        <w:object w:dxaOrig="3840" w:dyaOrig="800" w14:anchorId="7DDFEE64">
          <v:shape id="_x0000_i1050" type="#_x0000_t75" style="width:198pt;height:40.5pt" o:ole="">
            <v:imagedata r:id="rId325" o:title=""/>
          </v:shape>
          <o:OLEObject Type="Embed" ProgID="Equation.DSMT4" ShapeID="_x0000_i1050" DrawAspect="Content" ObjectID="_1532825747" r:id="rId326"/>
        </w:object>
      </w:r>
      <w:r w:rsidRPr="007C2582">
        <w:tab/>
      </w:r>
      <w:r w:rsidR="006F2C84">
        <w:tab/>
      </w:r>
      <w:r w:rsidR="006F2C84">
        <w:tab/>
      </w:r>
      <w:r w:rsidR="006F2C84">
        <w:tab/>
      </w:r>
      <w:r w:rsidRPr="007C2582">
        <w:t>(</w:t>
      </w:r>
      <w:r w:rsidR="006F2C84">
        <w:t>5-</w:t>
      </w:r>
      <w:r w:rsidRPr="007C2582">
        <w:t>38)</w:t>
      </w:r>
    </w:p>
    <w:p w14:paraId="53D2A8C6" w14:textId="77777777" w:rsidR="007C2582" w:rsidRPr="007C2582" w:rsidRDefault="007C2582" w:rsidP="007C2582">
      <w:r w:rsidRPr="007C2582">
        <w:t>where ∆</w:t>
      </w:r>
      <w:r w:rsidRPr="007C2582">
        <w:rPr>
          <w:i/>
        </w:rPr>
        <w:t>V</w:t>
      </w:r>
      <w:r w:rsidRPr="007C2582">
        <w:rPr>
          <w:i/>
          <w:vertAlign w:val="subscript"/>
        </w:rPr>
        <w:t>g</w:t>
      </w:r>
      <w:r w:rsidRPr="007C2582">
        <w:rPr>
          <w:vertAlign w:val="subscript"/>
        </w:rPr>
        <w:t>,req</w:t>
      </w:r>
      <w:r w:rsidRPr="007C2582">
        <w:t xml:space="preserve"> is the voltage increment required to increase the LM to </w:t>
      </w:r>
      <w:r w:rsidRPr="007C2582">
        <w:rPr>
          <w:i/>
        </w:rPr>
        <w:t>λ</w:t>
      </w:r>
      <w:r w:rsidRPr="007C2582">
        <w:rPr>
          <w:vertAlign w:val="subscript"/>
        </w:rPr>
        <w:t>0</w:t>
      </w:r>
      <w:r w:rsidRPr="007C2582">
        <w:t>. According to (</w:t>
      </w:r>
      <w:r w:rsidR="006F2C84">
        <w:t>5-</w:t>
      </w:r>
      <w:r w:rsidRPr="007C2582">
        <w:t>38), if ∆</w:t>
      </w:r>
      <w:r w:rsidRPr="007C2582">
        <w:rPr>
          <w:i/>
        </w:rPr>
        <w:t>V</w:t>
      </w:r>
      <w:r w:rsidRPr="007C2582">
        <w:rPr>
          <w:i/>
          <w:vertAlign w:val="subscript"/>
        </w:rPr>
        <w:t>g</w:t>
      </w:r>
      <w:r w:rsidRPr="007C2582">
        <w:rPr>
          <w:vertAlign w:val="subscript"/>
        </w:rPr>
        <w:t>,req</w:t>
      </w:r>
      <w:r w:rsidRPr="007C2582">
        <w:t xml:space="preserve"> is smaller than ∆</w:t>
      </w:r>
      <w:r w:rsidRPr="007C2582">
        <w:rPr>
          <w:i/>
        </w:rPr>
        <w:t>V</w:t>
      </w:r>
      <w:r w:rsidRPr="007C2582">
        <w:rPr>
          <w:i/>
          <w:vertAlign w:val="subscript"/>
        </w:rPr>
        <w:t>g</w:t>
      </w:r>
      <w:r w:rsidRPr="007C2582">
        <w:rPr>
          <w:vertAlign w:val="subscript"/>
        </w:rPr>
        <w:t>,max</w:t>
      </w:r>
      <w:r w:rsidRPr="007C2582">
        <w:t xml:space="preserve">, the maximum allowable increment at bus </w:t>
      </w:r>
      <w:r w:rsidRPr="007C2582">
        <w:rPr>
          <w:i/>
        </w:rPr>
        <w:t>g</w:t>
      </w:r>
      <w:r w:rsidRPr="007C2582">
        <w:t>, the voltage is increased by ∆</w:t>
      </w:r>
      <w:r w:rsidRPr="007C2582">
        <w:rPr>
          <w:i/>
        </w:rPr>
        <w:t>V</w:t>
      </w:r>
      <w:r w:rsidRPr="007C2582">
        <w:rPr>
          <w:i/>
          <w:vertAlign w:val="subscript"/>
        </w:rPr>
        <w:t>g</w:t>
      </w:r>
      <w:r w:rsidRPr="007C2582">
        <w:rPr>
          <w:vertAlign w:val="subscript"/>
        </w:rPr>
        <w:t>,req</w:t>
      </w:r>
      <w:r w:rsidRPr="007C2582">
        <w:t>. Otherwise, ∆</w:t>
      </w:r>
      <w:r w:rsidRPr="007C2582">
        <w:rPr>
          <w:i/>
        </w:rPr>
        <w:t>V</w:t>
      </w:r>
      <w:r w:rsidRPr="007C2582">
        <w:rPr>
          <w:i/>
          <w:vertAlign w:val="subscript"/>
        </w:rPr>
        <w:t>g</w:t>
      </w:r>
      <w:r w:rsidRPr="007C2582">
        <w:rPr>
          <w:vertAlign w:val="subscript"/>
        </w:rPr>
        <w:t>,max</w:t>
      </w:r>
      <w:r w:rsidRPr="007C2582">
        <w:t xml:space="preserve"> is applied.</w:t>
      </w:r>
    </w:p>
    <w:p w14:paraId="53A1A957" w14:textId="77777777" w:rsidR="007C2582" w:rsidRPr="007C2582" w:rsidRDefault="007C2582" w:rsidP="007C2582">
      <w:r w:rsidRPr="007C2582">
        <w:t xml:space="preserve">For this category, </w:t>
      </w:r>
      <w:r w:rsidRPr="007C2582">
        <w:rPr>
          <w:b/>
          <w:i/>
        </w:rPr>
        <w:t>u</w:t>
      </w:r>
      <w:r w:rsidRPr="007C2582">
        <w:rPr>
          <w:vertAlign w:val="superscript"/>
        </w:rPr>
        <w:t>(</w:t>
      </w:r>
      <w:r w:rsidRPr="007C2582">
        <w:rPr>
          <w:i/>
          <w:vertAlign w:val="superscript"/>
        </w:rPr>
        <w:t>k</w:t>
      </w:r>
      <w:r w:rsidRPr="007C2582">
        <w:rPr>
          <w:vertAlign w:val="superscript"/>
        </w:rPr>
        <w:t xml:space="preserve">) </w:t>
      </w:r>
      <w:r w:rsidRPr="007C2582">
        <w:t>= [∆</w:t>
      </w:r>
      <w:r w:rsidRPr="007C2582">
        <w:rPr>
          <w:i/>
        </w:rPr>
        <w:t>V</w:t>
      </w:r>
      <w:r w:rsidRPr="007C2582">
        <w:rPr>
          <w:i/>
          <w:vertAlign w:val="subscript"/>
        </w:rPr>
        <w:t>g</w:t>
      </w:r>
      <w:r w:rsidRPr="007C2582">
        <w:t xml:space="preserve">] is formed and LM vector </w:t>
      </w:r>
      <w:r w:rsidRPr="007C2582">
        <w:rPr>
          <w:b/>
          <w:i/>
        </w:rPr>
        <w:t>λ</w:t>
      </w:r>
      <w:r w:rsidRPr="007C2582">
        <w:t xml:space="preserve"> is updated based on (</w:t>
      </w:r>
      <w:r w:rsidR="006F2C84">
        <w:t>5-</w:t>
      </w:r>
      <w:r w:rsidRPr="007C2582">
        <w:t xml:space="preserve">36).  </w:t>
      </w:r>
    </w:p>
    <w:p w14:paraId="7BEA60A5" w14:textId="77777777" w:rsidR="007C2582" w:rsidRPr="007C2582" w:rsidRDefault="007C2582" w:rsidP="007C2582">
      <w:r w:rsidRPr="007C2582">
        <w:t xml:space="preserve">If the updated LM still does not meet </w:t>
      </w:r>
      <w:r w:rsidRPr="007C2582">
        <w:rPr>
          <w:i/>
        </w:rPr>
        <w:t>λ</w:t>
      </w:r>
      <w:r w:rsidRPr="007C2582">
        <w:rPr>
          <w:vertAlign w:val="subscript"/>
        </w:rPr>
        <w:t>0</w:t>
      </w:r>
      <w:r w:rsidRPr="007C2582">
        <w:t>, the algorithm will search the candidate location with the largest sensitivity among the remaining candidates in this category. If no such candidate exists, the algorithm will search Category 3.</w:t>
      </w:r>
    </w:p>
    <w:p w14:paraId="698A8550" w14:textId="77777777" w:rsidR="007C2582" w:rsidRPr="007C2582" w:rsidRDefault="006F2C84" w:rsidP="006F2C84">
      <w:pPr>
        <w:pStyle w:val="Heading3"/>
      </w:pPr>
      <w:bookmarkStart w:id="118" w:name="_Toc459076572"/>
      <w:r>
        <w:lastRenderedPageBreak/>
        <w:t xml:space="preserve">5.3.3 </w:t>
      </w:r>
      <w:r w:rsidR="007C2582" w:rsidRPr="007C2582">
        <w:t>Category 3) Load Shedding</w:t>
      </w:r>
      <w:bookmarkEnd w:id="118"/>
    </w:p>
    <w:p w14:paraId="02293325" w14:textId="77777777" w:rsidR="007C2582" w:rsidRPr="007C2582" w:rsidRDefault="007C2582" w:rsidP="007C2582">
      <w:r w:rsidRPr="007C2582">
        <w:t xml:space="preserve">Load shedding is a last resort for voltage stability control and is usually associated with the highest costs </w:t>
      </w:r>
      <w:r w:rsidR="006F2C84">
        <w:fldChar w:fldCharType="begin" w:fldLock="1"/>
      </w:r>
      <w:r w:rsidR="00351740">
        <w:instrText>ADDIN CSL_CITATION { "citationItems" : [ { "id" : "ITEM-1", "itemData" : { "DOI" : "10.1016/j.epsr.2006.09.005", "ISSN" : "03787796", "author" : [ { "dropping-particle" : "", "family" : "Amraee", "given" : "T.", "non-dropping-particle" : "", "parse-names" : false, "suffix" : "" }, { "dropping-particle" : "", "family" : "Ranjbar", "given" : "a.M.", "non-dropping-particle" : "", "parse-names" : false, "suffix" : "" }, { "dropping-particle" : "", "family" : "Mozafari", "given" : "B.", "non-dropping-particle" : "", "parse-names" : false, "suffix" : "" }, { "dropping-particle" : "", "family" : "Sadati", "given" : "N.", "non-dropping-particle" : "", "parse-names" : false, "suffix" : "" } ], "container-title" : "Electric Power Systems Research", "id" : "ITEM-1", "issue" : "8", "issued" : { "date-parts" : [ [ "2007", "6" ] ] }, "page" : "1038-1046", "title" : "An enhanced under-voltage load-shedding scheme to provide voltage stability", "type" : "article-journal", "volume" : "77" }, "uris" : [ "http://www.mendeley.com/documents/?uuid=c7e2b2c8-a114-4c0f-b269-50fc82280d67" ] } ], "mendeley" : { "formattedCitation" : "[61]", "plainTextFormattedCitation" : "[61]", "previouslyFormattedCitation" : "[61]" }, "properties" : { "noteIndex" : 0 }, "schema" : "https://github.com/citation-style-language/schema/raw/master/csl-citation.json" }</w:instrText>
      </w:r>
      <w:r w:rsidR="006F2C84">
        <w:fldChar w:fldCharType="separate"/>
      </w:r>
      <w:r w:rsidR="00DD7036" w:rsidRPr="00DD7036">
        <w:rPr>
          <w:noProof/>
        </w:rPr>
        <w:t>[61]</w:t>
      </w:r>
      <w:r w:rsidR="006F2C84">
        <w:fldChar w:fldCharType="end"/>
      </w:r>
      <w:r w:rsidRPr="007C2582">
        <w:t xml:space="preserve">. Therefore, it is the category with the lowest priority. Within this category, the algorithm will first search the candidate location with the sensitivity of the largest absolute value (e.g., bus </w:t>
      </w:r>
      <w:r w:rsidRPr="007C2582">
        <w:rPr>
          <w:i/>
        </w:rPr>
        <w:t>j</w:t>
      </w:r>
      <w:r w:rsidRPr="007C2582">
        <w:t xml:space="preserve">). It is assumed that the amount of load to be shed shares the same power factor, </w:t>
      </w:r>
      <w:r w:rsidRPr="007C2582">
        <w:rPr>
          <w:i/>
        </w:rPr>
        <w:t>φ</w:t>
      </w:r>
      <w:r w:rsidRPr="007C2582">
        <w:rPr>
          <w:i/>
          <w:vertAlign w:val="subscript"/>
        </w:rPr>
        <w:t>j</w:t>
      </w:r>
      <w:r w:rsidRPr="007C2582">
        <w:t>, with the load before shedding. The amount of load to be shed can be determined by</w:t>
      </w:r>
    </w:p>
    <w:p w14:paraId="019BC732" w14:textId="77777777" w:rsidR="007C2582" w:rsidRPr="007C2582" w:rsidRDefault="007C2582" w:rsidP="006F2C84">
      <w:pPr>
        <w:jc w:val="right"/>
      </w:pPr>
      <w:r w:rsidRPr="007C2582">
        <w:object w:dxaOrig="5340" w:dyaOrig="1200" w14:anchorId="12C97DD9">
          <v:shape id="_x0000_i1051" type="#_x0000_t75" style="width:273pt;height:61.5pt" o:ole="">
            <v:imagedata r:id="rId327" o:title=""/>
          </v:shape>
          <o:OLEObject Type="Embed" ProgID="Equation.DSMT4" ShapeID="_x0000_i1051" DrawAspect="Content" ObjectID="_1532825748" r:id="rId328"/>
        </w:object>
      </w:r>
      <w:r w:rsidRPr="007C2582">
        <w:tab/>
      </w:r>
      <w:r w:rsidRPr="007C2582">
        <w:tab/>
      </w:r>
      <w:r w:rsidRPr="007C2582">
        <w:tab/>
        <w:t>(</w:t>
      </w:r>
      <w:r w:rsidR="006F2C84">
        <w:t>5-</w:t>
      </w:r>
      <w:r w:rsidRPr="007C2582">
        <w:t>39)</w:t>
      </w:r>
    </w:p>
    <w:p w14:paraId="503577D9" w14:textId="77777777" w:rsidR="007C2582" w:rsidRPr="007C2582" w:rsidRDefault="007C2582" w:rsidP="007C2582">
      <w:r w:rsidRPr="007C2582">
        <w:t>where ∆</w:t>
      </w:r>
      <w:r w:rsidRPr="007C2582">
        <w:rPr>
          <w:i/>
        </w:rPr>
        <w:t>P</w:t>
      </w:r>
      <w:r w:rsidRPr="007C2582">
        <w:rPr>
          <w:i/>
          <w:vertAlign w:val="subscript"/>
        </w:rPr>
        <w:t>j</w:t>
      </w:r>
      <w:r w:rsidRPr="007C2582">
        <w:rPr>
          <w:vertAlign w:val="subscript"/>
        </w:rPr>
        <w:t>,lim</w:t>
      </w:r>
      <w:r w:rsidRPr="007C2582">
        <w:t xml:space="preserve"> is the limit of the real power shedding at location </w:t>
      </w:r>
      <w:r w:rsidRPr="007C2582">
        <w:rPr>
          <w:i/>
        </w:rPr>
        <w:t>j</w:t>
      </w:r>
      <w:r w:rsidRPr="007C2582">
        <w:t xml:space="preserve"> and is a negative value indicating the decrease of load. In (</w:t>
      </w:r>
      <w:r w:rsidR="006F2C84">
        <w:t>5-</w:t>
      </w:r>
      <w:r w:rsidRPr="007C2582">
        <w:t xml:space="preserve">39), the power factor remains the same throughout the second equation. For load shedding, control vector </w:t>
      </w:r>
      <w:r w:rsidRPr="007C2582">
        <w:rPr>
          <w:b/>
          <w:i/>
        </w:rPr>
        <w:t>u</w:t>
      </w:r>
      <w:r w:rsidRPr="007C2582">
        <w:rPr>
          <w:vertAlign w:val="superscript"/>
        </w:rPr>
        <w:t>(</w:t>
      </w:r>
      <w:r w:rsidRPr="007C2582">
        <w:rPr>
          <w:i/>
          <w:vertAlign w:val="superscript"/>
        </w:rPr>
        <w:t>k</w:t>
      </w:r>
      <w:r w:rsidRPr="007C2582">
        <w:rPr>
          <w:vertAlign w:val="superscript"/>
        </w:rPr>
        <w:t xml:space="preserve">) </w:t>
      </w:r>
      <w:r w:rsidRPr="007C2582">
        <w:t>= [∆</w:t>
      </w:r>
      <w:r w:rsidRPr="007C2582">
        <w:rPr>
          <w:i/>
        </w:rPr>
        <w:t>P</w:t>
      </w:r>
      <w:r w:rsidRPr="007C2582">
        <w:rPr>
          <w:i/>
          <w:vertAlign w:val="subscript"/>
        </w:rPr>
        <w:t>j</w:t>
      </w:r>
      <w:r w:rsidRPr="007C2582">
        <w:t>, ∆</w:t>
      </w:r>
      <w:r w:rsidRPr="007C2582">
        <w:rPr>
          <w:i/>
        </w:rPr>
        <w:t>Q</w:t>
      </w:r>
      <w:r w:rsidRPr="007C2582">
        <w:rPr>
          <w:i/>
          <w:vertAlign w:val="subscript"/>
        </w:rPr>
        <w:t>j</w:t>
      </w:r>
      <w:r w:rsidRPr="007C2582">
        <w:t xml:space="preserve">] is formed and </w:t>
      </w:r>
      <w:r w:rsidRPr="007C2582">
        <w:rPr>
          <w:b/>
        </w:rPr>
        <w:t>λ</w:t>
      </w:r>
      <w:r w:rsidRPr="007C2582">
        <w:t xml:space="preserve"> is updated based on (</w:t>
      </w:r>
      <w:r w:rsidR="006F2C84">
        <w:t>5-</w:t>
      </w:r>
      <w:r w:rsidRPr="007C2582">
        <w:t>36).</w:t>
      </w:r>
    </w:p>
    <w:p w14:paraId="2E439086" w14:textId="77777777" w:rsidR="007C2582" w:rsidRPr="007C2582" w:rsidRDefault="007C2582" w:rsidP="007C2582">
      <w:r w:rsidRPr="007C2582">
        <w:t xml:space="preserve">If the updated </w:t>
      </w:r>
      <w:r w:rsidRPr="007C2582">
        <w:rPr>
          <w:b/>
        </w:rPr>
        <w:t xml:space="preserve">λ </w:t>
      </w:r>
      <w:r w:rsidRPr="007C2582">
        <w:t xml:space="preserve">does not meet </w:t>
      </w:r>
      <w:r w:rsidRPr="007C2582">
        <w:rPr>
          <w:i/>
        </w:rPr>
        <w:t>λ</w:t>
      </w:r>
      <w:r w:rsidRPr="007C2582">
        <w:rPr>
          <w:vertAlign w:val="subscript"/>
        </w:rPr>
        <w:t>0</w:t>
      </w:r>
      <w:r w:rsidRPr="007C2582">
        <w:t>, one more step will be taken in this category to decide upon the next location of load shedding. If after all available load-shedding controls have been applied and the system still cannot satisfy the desired LM, then additional controls should be included. For example, the limit for load shedding should be increased; otherwise, more locations should be considered for load shedding. The algorithm will exit and provide this warning to the system operator.</w:t>
      </w:r>
    </w:p>
    <w:p w14:paraId="710C4376" w14:textId="77777777" w:rsidR="007C2582" w:rsidRPr="007C2582" w:rsidRDefault="007C2582" w:rsidP="007C2582">
      <w:r w:rsidRPr="007C2582">
        <w:t xml:space="preserve">Note that the multiple steps are decision-steps only. After the algorithm ends, as shown in </w:t>
      </w:r>
      <w:r w:rsidR="006F2C84">
        <w:fldChar w:fldCharType="begin"/>
      </w:r>
      <w:r w:rsidR="006F2C84">
        <w:instrText xml:space="preserve"> REF _Ref432063671 \h </w:instrText>
      </w:r>
      <w:r w:rsidR="006F2C84">
        <w:fldChar w:fldCharType="separate"/>
      </w:r>
      <w:r w:rsidR="00656B13">
        <w:t xml:space="preserve">Figure </w:t>
      </w:r>
      <w:r w:rsidR="00656B13">
        <w:rPr>
          <w:noProof/>
        </w:rPr>
        <w:t>28</w:t>
      </w:r>
      <w:r w:rsidR="006F2C84">
        <w:fldChar w:fldCharType="end"/>
      </w:r>
      <w:r w:rsidRPr="007C2582">
        <w:t xml:space="preserve">, all the controls in the k-steps should be applied to the system in order </w:t>
      </w:r>
      <w:r w:rsidRPr="007C2582">
        <w:lastRenderedPageBreak/>
        <w:t xml:space="preserve">to improve the voltage stability margin. Furthermore, the sensitivity matrix is formed only once in the beginning and subsequently remains the same. In each step, the critical bus (i.e., the load bus with the smallest LM) is identified to determine the system level margin. Between these different steps, the critical bus may shift, as the increments of the margin resulting from the differentiation for different buses controls of previous steps are different.  </w:t>
      </w:r>
    </w:p>
    <w:p w14:paraId="7E84FD73" w14:textId="77777777" w:rsidR="007C2582" w:rsidRPr="007C2582" w:rsidRDefault="009232B4" w:rsidP="004B5C30">
      <w:pPr>
        <w:pStyle w:val="Heading2"/>
      </w:pPr>
      <w:bookmarkStart w:id="119" w:name="_Toc459076573"/>
      <w:r>
        <w:t xml:space="preserve">5.4 </w:t>
      </w:r>
      <w:r w:rsidR="007C2582" w:rsidRPr="007C2582">
        <w:t xml:space="preserve">Case </w:t>
      </w:r>
      <w:r w:rsidR="00E55F77">
        <w:t>S</w:t>
      </w:r>
      <w:r w:rsidR="00E55F77" w:rsidRPr="007C2582">
        <w:t>tudies</w:t>
      </w:r>
      <w:bookmarkEnd w:id="119"/>
    </w:p>
    <w:p w14:paraId="4EFC2115" w14:textId="77777777" w:rsidR="007C2582" w:rsidRPr="007C2582" w:rsidRDefault="007C2582" w:rsidP="007C2582">
      <w:r w:rsidRPr="007C2582">
        <w:t xml:space="preserve">In this section, the proposed WALMS and the multi-step control strategy are comprehensively tested on the IEEE 39-bus system, which is also known as the 10-machine ISO New England power system </w:t>
      </w:r>
      <w:r w:rsidR="009232B4">
        <w:fldChar w:fldCharType="begin" w:fldLock="1"/>
      </w:r>
      <w:r w:rsidR="00351740">
        <w:instrText>ADDIN CSL_CITATION { "citationItems" : [ { "id" : "ITEM-1", "itemData" : { "author" : [ { "dropping-particle" : "", "family" : "Pai", "given" : "M. A.", "non-dropping-particle" : "", "parse-names" : false, "suffix" : "" } ], "id" : "ITEM-1", "issued" : { "date-parts" : [ [ "1989" ] ] }, "publisher" : "Kluwer", "publisher-place" : "Norwell, MA", "title" : "Energy Function Analysis for Power System Stability", "type" : "book" }, "uris" : [ "http://www.mendeley.com/documents/?uuid=d6104750-16db-479e-b388-beafa1211a2a" ] } ], "mendeley" : { "formattedCitation" : "[65]", "plainTextFormattedCitation" : "[65]", "previouslyFormattedCitation" : "[65]" }, "properties" : { "noteIndex" : 0 }, "schema" : "https://github.com/citation-style-language/schema/raw/master/csl-citation.json" }</w:instrText>
      </w:r>
      <w:r w:rsidR="009232B4">
        <w:fldChar w:fldCharType="separate"/>
      </w:r>
      <w:r w:rsidR="00DD7036" w:rsidRPr="00DD7036">
        <w:rPr>
          <w:noProof/>
        </w:rPr>
        <w:t>[65]</w:t>
      </w:r>
      <w:r w:rsidR="009232B4">
        <w:fldChar w:fldCharType="end"/>
      </w:r>
      <w:r w:rsidRPr="007C2582">
        <w:t xml:space="preserve">. Extensive tests of the WALMS on the IEEE 14, 57, and 300-bus systems </w:t>
      </w:r>
      <w:r w:rsidR="00EB1C6C">
        <w:fldChar w:fldCharType="begin" w:fldLock="1"/>
      </w:r>
      <w:r w:rsidR="00351740">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sidR="00EB1C6C">
        <w:fldChar w:fldCharType="separate"/>
      </w:r>
      <w:r w:rsidR="00DD7036" w:rsidRPr="00DD7036">
        <w:rPr>
          <w:noProof/>
        </w:rPr>
        <w:t>[64]</w:t>
      </w:r>
      <w:r w:rsidR="00EB1C6C">
        <w:fldChar w:fldCharType="end"/>
      </w:r>
      <w:r w:rsidRPr="007C2582">
        <w:t xml:space="preserve"> are also conducted.</w:t>
      </w:r>
    </w:p>
    <w:p w14:paraId="398E09A8" w14:textId="77777777" w:rsidR="007C2582" w:rsidRPr="007C2582" w:rsidRDefault="007C2582" w:rsidP="007C2582">
      <w:r w:rsidRPr="007C2582">
        <w:t xml:space="preserve">In order to verify the proposed WALMS, the IEEE 39-bus system is intentionally stressed by scaling up the load to 215% of the base load. The stressed system provides an insecure scenario where the LM of the system for N-0 (i.e., without any contingency) is under </w:t>
      </w:r>
      <w:r w:rsidRPr="007C2582">
        <w:rPr>
          <w:i/>
        </w:rPr>
        <w:t>λ</w:t>
      </w:r>
      <w:r w:rsidRPr="007C2582">
        <w:rPr>
          <w:vertAlign w:val="subscript"/>
        </w:rPr>
        <w:t>0</w:t>
      </w:r>
      <w:r w:rsidRPr="007C2582">
        <w:t xml:space="preserve">, which is set as 10% in this study. The LMs of buses 4, 7, 8, and 15, all below </w:t>
      </w:r>
      <w:r w:rsidRPr="007C2582">
        <w:rPr>
          <w:i/>
        </w:rPr>
        <w:t>λ</w:t>
      </w:r>
      <w:r w:rsidRPr="007C2582">
        <w:rPr>
          <w:vertAlign w:val="subscript"/>
        </w:rPr>
        <w:t>0</w:t>
      </w:r>
      <w:r w:rsidRPr="007C2582">
        <w:t xml:space="preserve">, are summarized in </w:t>
      </w:r>
      <w:r w:rsidR="00EB1C6C">
        <w:fldChar w:fldCharType="begin"/>
      </w:r>
      <w:r w:rsidR="00EB1C6C">
        <w:instrText xml:space="preserve"> REF _Ref432082553 \h </w:instrText>
      </w:r>
      <w:r w:rsidR="00EB1C6C">
        <w:fldChar w:fldCharType="separate"/>
      </w:r>
      <w:r w:rsidR="00656B13">
        <w:t xml:space="preserve">Table </w:t>
      </w:r>
      <w:r w:rsidR="00656B13">
        <w:rPr>
          <w:noProof/>
        </w:rPr>
        <w:t>7</w:t>
      </w:r>
      <w:r w:rsidR="00EB1C6C">
        <w:fldChar w:fldCharType="end"/>
      </w:r>
      <w:r w:rsidRPr="007C2582">
        <w:t xml:space="preserve">. According to the table, the LM of the system is determined by the bus 4, the critical bus, with a LM of 4.67%. In the remainder of this section, the results are based on analogously stressed system conditions, if not explicitly stated otherwise. </w:t>
      </w:r>
    </w:p>
    <w:p w14:paraId="19154282" w14:textId="77777777" w:rsidR="007C2582" w:rsidRPr="007C2582" w:rsidRDefault="00EB1C6C" w:rsidP="009D0201">
      <w:pPr>
        <w:pStyle w:val="Caption"/>
      </w:pPr>
      <w:bookmarkStart w:id="120" w:name="_Ref432082553"/>
      <w:bookmarkStart w:id="121" w:name="_Toc459076664"/>
      <w:r>
        <w:t xml:space="preserve">Table </w:t>
      </w:r>
      <w:fldSimple w:instr=" SEQ Table \* ARABIC ">
        <w:r w:rsidR="00656B13">
          <w:rPr>
            <w:noProof/>
          </w:rPr>
          <w:t>7</w:t>
        </w:r>
      </w:fldSimple>
      <w:bookmarkEnd w:id="120"/>
      <w:r w:rsidR="00CC759C">
        <w:t>:</w:t>
      </w:r>
      <w:r w:rsidR="007C2582" w:rsidRPr="007C2582">
        <w:t xml:space="preserve"> Loading Margins of Insecure Buses</w:t>
      </w:r>
      <w:bookmarkEnd w:id="121"/>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2163"/>
        <w:gridCol w:w="877"/>
        <w:gridCol w:w="878"/>
        <w:gridCol w:w="877"/>
        <w:gridCol w:w="1472"/>
      </w:tblGrid>
      <w:tr w:rsidR="007C2582" w:rsidRPr="007C2582" w14:paraId="7245CDB7" w14:textId="77777777" w:rsidTr="00EB1C6C">
        <w:trPr>
          <w:trHeight w:val="330"/>
          <w:jc w:val="center"/>
        </w:trPr>
        <w:tc>
          <w:tcPr>
            <w:tcW w:w="2163" w:type="dxa"/>
            <w:tcBorders>
              <w:bottom w:val="single" w:sz="6" w:space="0" w:color="000000"/>
              <w:right w:val="single" w:sz="6" w:space="0" w:color="000000"/>
            </w:tcBorders>
            <w:shd w:val="clear" w:color="auto" w:fill="auto"/>
          </w:tcPr>
          <w:p w14:paraId="5FA52BD9" w14:textId="77777777" w:rsidR="007C2582" w:rsidRPr="007C2582" w:rsidRDefault="007C2582" w:rsidP="00EB1C6C">
            <w:pPr>
              <w:spacing w:line="240" w:lineRule="auto"/>
              <w:ind w:firstLine="0"/>
              <w:jc w:val="center"/>
              <w:rPr>
                <w:i/>
                <w:iCs/>
              </w:rPr>
            </w:pPr>
            <w:r w:rsidRPr="007C2582">
              <w:rPr>
                <w:i/>
                <w:iCs/>
              </w:rPr>
              <w:t>Bus No</w:t>
            </w:r>
          </w:p>
        </w:tc>
        <w:tc>
          <w:tcPr>
            <w:tcW w:w="877" w:type="dxa"/>
            <w:tcBorders>
              <w:bottom w:val="single" w:sz="6" w:space="0" w:color="000000"/>
            </w:tcBorders>
            <w:shd w:val="clear" w:color="auto" w:fill="auto"/>
          </w:tcPr>
          <w:p w14:paraId="5E900DA1" w14:textId="77777777" w:rsidR="007C2582" w:rsidRPr="007C2582" w:rsidRDefault="007C2582" w:rsidP="00EB1C6C">
            <w:pPr>
              <w:spacing w:line="240" w:lineRule="auto"/>
              <w:ind w:firstLine="0"/>
              <w:jc w:val="center"/>
              <w:rPr>
                <w:i/>
                <w:iCs/>
              </w:rPr>
            </w:pPr>
            <w:r w:rsidRPr="007C2582">
              <w:rPr>
                <w:i/>
                <w:iCs/>
              </w:rPr>
              <w:t>Bus 4</w:t>
            </w:r>
          </w:p>
        </w:tc>
        <w:tc>
          <w:tcPr>
            <w:tcW w:w="878" w:type="dxa"/>
            <w:tcBorders>
              <w:bottom w:val="single" w:sz="6" w:space="0" w:color="000000"/>
            </w:tcBorders>
            <w:shd w:val="clear" w:color="auto" w:fill="auto"/>
          </w:tcPr>
          <w:p w14:paraId="5767C59C" w14:textId="77777777" w:rsidR="007C2582" w:rsidRPr="007C2582" w:rsidRDefault="007C2582" w:rsidP="00EB1C6C">
            <w:pPr>
              <w:spacing w:line="240" w:lineRule="auto"/>
              <w:ind w:firstLine="0"/>
              <w:jc w:val="center"/>
              <w:rPr>
                <w:i/>
                <w:iCs/>
              </w:rPr>
            </w:pPr>
            <w:r w:rsidRPr="007C2582">
              <w:rPr>
                <w:i/>
                <w:iCs/>
              </w:rPr>
              <w:t>Bus 7</w:t>
            </w:r>
          </w:p>
        </w:tc>
        <w:tc>
          <w:tcPr>
            <w:tcW w:w="877" w:type="dxa"/>
            <w:tcBorders>
              <w:bottom w:val="single" w:sz="6" w:space="0" w:color="000000"/>
            </w:tcBorders>
            <w:shd w:val="clear" w:color="auto" w:fill="auto"/>
          </w:tcPr>
          <w:p w14:paraId="4314CFA2" w14:textId="77777777" w:rsidR="007C2582" w:rsidRPr="007C2582" w:rsidRDefault="007C2582" w:rsidP="00EB1C6C">
            <w:pPr>
              <w:spacing w:line="240" w:lineRule="auto"/>
              <w:ind w:firstLine="0"/>
              <w:jc w:val="center"/>
              <w:rPr>
                <w:i/>
                <w:iCs/>
              </w:rPr>
            </w:pPr>
            <w:r w:rsidRPr="007C2582">
              <w:rPr>
                <w:i/>
                <w:iCs/>
              </w:rPr>
              <w:t>Bus 8</w:t>
            </w:r>
          </w:p>
        </w:tc>
        <w:tc>
          <w:tcPr>
            <w:tcW w:w="1472" w:type="dxa"/>
            <w:tcBorders>
              <w:bottom w:val="single" w:sz="6" w:space="0" w:color="000000"/>
            </w:tcBorders>
            <w:shd w:val="clear" w:color="auto" w:fill="auto"/>
          </w:tcPr>
          <w:p w14:paraId="106E4B27" w14:textId="77777777" w:rsidR="007C2582" w:rsidRPr="007C2582" w:rsidRDefault="007C2582" w:rsidP="00EB1C6C">
            <w:pPr>
              <w:spacing w:line="240" w:lineRule="auto"/>
              <w:ind w:firstLine="0"/>
              <w:jc w:val="center"/>
              <w:rPr>
                <w:i/>
                <w:iCs/>
              </w:rPr>
            </w:pPr>
            <w:r w:rsidRPr="007C2582">
              <w:rPr>
                <w:i/>
                <w:iCs/>
              </w:rPr>
              <w:t>Bus 15</w:t>
            </w:r>
          </w:p>
        </w:tc>
      </w:tr>
      <w:tr w:rsidR="007C2582" w:rsidRPr="007C2582" w14:paraId="0D42D044" w14:textId="77777777" w:rsidTr="00EB1C6C">
        <w:trPr>
          <w:trHeight w:val="210"/>
          <w:jc w:val="center"/>
        </w:trPr>
        <w:tc>
          <w:tcPr>
            <w:tcW w:w="2163" w:type="dxa"/>
            <w:tcBorders>
              <w:right w:val="single" w:sz="6" w:space="0" w:color="000000"/>
            </w:tcBorders>
            <w:shd w:val="clear" w:color="auto" w:fill="auto"/>
          </w:tcPr>
          <w:p w14:paraId="7AF1C84F" w14:textId="77777777" w:rsidR="007C2582" w:rsidRPr="007C2582" w:rsidRDefault="007C2582" w:rsidP="00EB1C6C">
            <w:pPr>
              <w:spacing w:line="240" w:lineRule="auto"/>
              <w:ind w:firstLine="0"/>
              <w:jc w:val="center"/>
            </w:pPr>
            <w:r w:rsidRPr="007C2582">
              <w:t>Loading margin</w:t>
            </w:r>
          </w:p>
        </w:tc>
        <w:tc>
          <w:tcPr>
            <w:tcW w:w="877" w:type="dxa"/>
            <w:shd w:val="clear" w:color="auto" w:fill="auto"/>
          </w:tcPr>
          <w:p w14:paraId="289E6F05" w14:textId="77777777" w:rsidR="007C2582" w:rsidRPr="007C2582" w:rsidRDefault="007C2582" w:rsidP="00EB1C6C">
            <w:pPr>
              <w:spacing w:line="240" w:lineRule="auto"/>
              <w:ind w:firstLine="0"/>
              <w:jc w:val="center"/>
            </w:pPr>
            <w:r w:rsidRPr="007C2582">
              <w:t>4.67%</w:t>
            </w:r>
          </w:p>
        </w:tc>
        <w:tc>
          <w:tcPr>
            <w:tcW w:w="878" w:type="dxa"/>
            <w:shd w:val="clear" w:color="auto" w:fill="auto"/>
          </w:tcPr>
          <w:p w14:paraId="6115D115" w14:textId="77777777" w:rsidR="007C2582" w:rsidRPr="007C2582" w:rsidRDefault="007C2582" w:rsidP="00EB1C6C">
            <w:pPr>
              <w:spacing w:line="240" w:lineRule="auto"/>
              <w:ind w:firstLine="0"/>
              <w:jc w:val="center"/>
            </w:pPr>
            <w:r w:rsidRPr="007C2582">
              <w:t>5.25%</w:t>
            </w:r>
          </w:p>
        </w:tc>
        <w:tc>
          <w:tcPr>
            <w:tcW w:w="877" w:type="dxa"/>
            <w:shd w:val="clear" w:color="auto" w:fill="auto"/>
          </w:tcPr>
          <w:p w14:paraId="1D02EA4C" w14:textId="77777777" w:rsidR="007C2582" w:rsidRPr="007C2582" w:rsidRDefault="007C2582" w:rsidP="00EB1C6C">
            <w:pPr>
              <w:spacing w:line="240" w:lineRule="auto"/>
              <w:ind w:firstLine="0"/>
              <w:jc w:val="center"/>
            </w:pPr>
            <w:r w:rsidRPr="007C2582">
              <w:t>4.91%</w:t>
            </w:r>
          </w:p>
        </w:tc>
        <w:tc>
          <w:tcPr>
            <w:tcW w:w="1472" w:type="dxa"/>
            <w:shd w:val="clear" w:color="auto" w:fill="auto"/>
          </w:tcPr>
          <w:p w14:paraId="13E32D05" w14:textId="77777777" w:rsidR="007C2582" w:rsidRPr="007C2582" w:rsidRDefault="007C2582" w:rsidP="00EB1C6C">
            <w:pPr>
              <w:spacing w:line="240" w:lineRule="auto"/>
              <w:ind w:firstLine="0"/>
              <w:jc w:val="center"/>
            </w:pPr>
            <w:r w:rsidRPr="007C2582">
              <w:t>6.07%</w:t>
            </w:r>
          </w:p>
        </w:tc>
      </w:tr>
    </w:tbl>
    <w:p w14:paraId="573C8410" w14:textId="77777777" w:rsidR="00EB1C6C" w:rsidRPr="00EB1C6C" w:rsidRDefault="00EB1C6C" w:rsidP="00EB1C6C">
      <w:pPr>
        <w:ind w:left="420" w:firstLine="0"/>
        <w:rPr>
          <w:i/>
          <w:lang w:val="x-none"/>
        </w:rPr>
      </w:pPr>
    </w:p>
    <w:p w14:paraId="47A33EF7" w14:textId="77777777" w:rsidR="007C2582" w:rsidRPr="007C2582" w:rsidRDefault="00EB1C6C" w:rsidP="00EB1C6C">
      <w:pPr>
        <w:pStyle w:val="Heading3"/>
      </w:pPr>
      <w:bookmarkStart w:id="122" w:name="_Toc459076574"/>
      <w:r>
        <w:lastRenderedPageBreak/>
        <w:t xml:space="preserve">5.4.1 </w:t>
      </w:r>
      <w:r w:rsidR="007C2582" w:rsidRPr="007C2582">
        <w:t>Verification of WALMS w.r.t. Reactive Power Injection</w:t>
      </w:r>
      <w:bookmarkEnd w:id="122"/>
    </w:p>
    <w:p w14:paraId="5CB36BCF" w14:textId="77777777" w:rsidR="007C2582" w:rsidRPr="007C2582" w:rsidRDefault="007C2582" w:rsidP="007C2582">
      <w:r w:rsidRPr="007C2582">
        <w:t>The WALMS w.r.t. the reactive power injection is calculated based on (</w:t>
      </w:r>
      <w:r w:rsidR="00EB1C6C">
        <w:t>5-</w:t>
      </w:r>
      <w:r w:rsidRPr="007C2582">
        <w:t>10) to (</w:t>
      </w:r>
      <w:r w:rsidR="00EB1C6C">
        <w:t>5-</w:t>
      </w:r>
      <w:r w:rsidRPr="007C2582">
        <w:t>22). A sensitivity matrix, [∂</w:t>
      </w:r>
      <w:r w:rsidRPr="007C2582">
        <w:rPr>
          <w:b/>
        </w:rPr>
        <w:t>λ</w:t>
      </w:r>
      <w:r w:rsidRPr="007C2582">
        <w:t>/∂</w:t>
      </w:r>
      <w:r w:rsidRPr="007C2582">
        <w:rPr>
          <w:b/>
          <w:i/>
        </w:rPr>
        <w:t>Q</w:t>
      </w:r>
      <w:r w:rsidRPr="007C2582">
        <w:rPr>
          <w:i/>
          <w:vertAlign w:val="subscript"/>
        </w:rPr>
        <w:t>L</w:t>
      </w:r>
      <w:r w:rsidRPr="007C2582">
        <w:t>], is obtained where the (</w:t>
      </w:r>
      <w:r w:rsidRPr="007C2582">
        <w:rPr>
          <w:i/>
        </w:rPr>
        <w:t>i, j</w:t>
      </w:r>
      <w:r w:rsidRPr="007C2582">
        <w:t>) element represents ∂</w:t>
      </w:r>
      <w:r w:rsidRPr="007C2582">
        <w:rPr>
          <w:i/>
        </w:rPr>
        <w:t>λ</w:t>
      </w:r>
      <w:r w:rsidRPr="007C2582">
        <w:rPr>
          <w:i/>
          <w:vertAlign w:val="subscript"/>
        </w:rPr>
        <w:t>i</w:t>
      </w:r>
      <w:r w:rsidRPr="007C2582">
        <w:t>/∂</w:t>
      </w:r>
      <w:r w:rsidRPr="007C2582">
        <w:rPr>
          <w:i/>
        </w:rPr>
        <w:t>Q</w:t>
      </w:r>
      <w:r w:rsidRPr="007C2582">
        <w:rPr>
          <w:i/>
          <w:vertAlign w:val="subscript"/>
        </w:rPr>
        <w:t>j</w:t>
      </w:r>
      <w:r w:rsidRPr="007C2582">
        <w:t xml:space="preserve"> which is the sensitivity of LM of bus </w:t>
      </w:r>
      <w:r w:rsidRPr="007C2582">
        <w:rPr>
          <w:i/>
        </w:rPr>
        <w:t>i</w:t>
      </w:r>
      <w:r w:rsidRPr="007C2582">
        <w:t xml:space="preserve"> w.r.t. the reactive load at bus j. The matrix is depicted in </w:t>
      </w:r>
      <w:r w:rsidR="00EB1C6C">
        <w:fldChar w:fldCharType="begin"/>
      </w:r>
      <w:r w:rsidR="00EB1C6C">
        <w:instrText xml:space="preserve"> REF _Ref432082771 \h </w:instrText>
      </w:r>
      <w:r w:rsidR="00EB1C6C">
        <w:fldChar w:fldCharType="separate"/>
      </w:r>
      <w:r w:rsidR="00656B13">
        <w:t xml:space="preserve">Figure </w:t>
      </w:r>
      <w:r w:rsidR="00656B13">
        <w:rPr>
          <w:noProof/>
        </w:rPr>
        <w:t>29</w:t>
      </w:r>
      <w:r w:rsidR="00EB1C6C">
        <w:fldChar w:fldCharType="end"/>
      </w:r>
      <w:r w:rsidRPr="007C2582">
        <w:t xml:space="preserve">(a). According to </w:t>
      </w:r>
      <w:r w:rsidR="00EB1C6C">
        <w:fldChar w:fldCharType="begin"/>
      </w:r>
      <w:r w:rsidR="00EB1C6C">
        <w:instrText xml:space="preserve"> REF _Ref432082771 \h </w:instrText>
      </w:r>
      <w:r w:rsidR="00EB1C6C">
        <w:fldChar w:fldCharType="separate"/>
      </w:r>
      <w:r w:rsidR="00656B13">
        <w:t xml:space="preserve">Figure </w:t>
      </w:r>
      <w:r w:rsidR="00656B13">
        <w:rPr>
          <w:noProof/>
        </w:rPr>
        <w:t>29</w:t>
      </w:r>
      <w:r w:rsidR="00EB1C6C">
        <w:fldChar w:fldCharType="end"/>
      </w:r>
      <w:r w:rsidRPr="007C2582">
        <w:t>(a), all ∂</w:t>
      </w:r>
      <w:r w:rsidRPr="007C2582">
        <w:rPr>
          <w:i/>
        </w:rPr>
        <w:t>λ</w:t>
      </w:r>
      <w:r w:rsidRPr="007C2582">
        <w:rPr>
          <w:i/>
          <w:vertAlign w:val="subscript"/>
        </w:rPr>
        <w:t>i</w:t>
      </w:r>
      <w:r w:rsidRPr="007C2582">
        <w:t>/∂</w:t>
      </w:r>
      <w:r w:rsidRPr="007C2582">
        <w:rPr>
          <w:i/>
        </w:rPr>
        <w:t>Q</w:t>
      </w:r>
      <w:r w:rsidRPr="007C2582">
        <w:rPr>
          <w:i/>
          <w:vertAlign w:val="subscript"/>
        </w:rPr>
        <w:t>j</w:t>
      </w:r>
      <w:r w:rsidRPr="007C2582">
        <w:t xml:space="preserve"> values are negative which means an increase of Q load (i.e., reduction of Q compensation) at any bus j leads to a decrease of LM at any bus i. Another observation is that the diagonal elements and elements nearby are greater (in terms of absolute values) than other elements. This indicates the reactive compensation at nearby locations will impact the LM of buses more than all other locations.</w:t>
      </w:r>
    </w:p>
    <w:p w14:paraId="6A3BDB7C" w14:textId="77777777" w:rsidR="007C2582" w:rsidRDefault="007C2582" w:rsidP="007C2582">
      <w:r w:rsidRPr="007C2582">
        <w:t xml:space="preserve">To verify the sensitivity, 100 MVar (1.0 p.u.) of reactive compensation is applied at every load bus, respectively, and the LMs of all load buses after the change are calculated. The change of LM over -1.0 p.u. is considered as the actual sensitivity and is used to benchmark the proposed WALMS. The errors are summarized in </w:t>
      </w:r>
      <w:r w:rsidR="00B37C2E">
        <w:fldChar w:fldCharType="begin"/>
      </w:r>
      <w:r w:rsidR="00B37C2E">
        <w:instrText xml:space="preserve"> REF _Ref432083000 \h </w:instrText>
      </w:r>
      <w:r w:rsidR="00B37C2E">
        <w:fldChar w:fldCharType="separate"/>
      </w:r>
      <w:r w:rsidR="00656B13">
        <w:t xml:space="preserve">Table </w:t>
      </w:r>
      <w:r w:rsidR="00656B13">
        <w:rPr>
          <w:noProof/>
        </w:rPr>
        <w:t>8</w:t>
      </w:r>
      <w:r w:rsidR="00B37C2E">
        <w:fldChar w:fldCharType="end"/>
      </w:r>
      <w:r w:rsidRPr="007C2582">
        <w:t xml:space="preserve">. Moreover, in order to better illustrate the verification process, the self-sensitivity of bus 4, along with the cross-sensitivity of buses 4 to 12 are verified in </w:t>
      </w:r>
      <w:r w:rsidR="00EB1C6C">
        <w:fldChar w:fldCharType="begin"/>
      </w:r>
      <w:r w:rsidR="00EB1C6C">
        <w:instrText xml:space="preserve"> REF _Ref432082771 \h </w:instrText>
      </w:r>
      <w:r w:rsidR="00EB1C6C">
        <w:fldChar w:fldCharType="separate"/>
      </w:r>
      <w:r w:rsidR="00656B13">
        <w:t xml:space="preserve">Figure </w:t>
      </w:r>
      <w:r w:rsidR="00656B13">
        <w:rPr>
          <w:noProof/>
        </w:rPr>
        <w:t>29</w:t>
      </w:r>
      <w:r w:rsidR="00EB1C6C">
        <w:fldChar w:fldCharType="end"/>
      </w:r>
      <w:r w:rsidRPr="007C2582">
        <w:t>(b) and (c), respectively. Bus 4 is the critical bus and the accuracy regarding its LM is the most important for system operator.</w:t>
      </w:r>
    </w:p>
    <w:p w14:paraId="1560047C" w14:textId="096058BD" w:rsidR="00685FFD" w:rsidRDefault="00685FFD" w:rsidP="00451ED6">
      <w:pPr>
        <w:jc w:val="distribute"/>
      </w:pPr>
      <w:r w:rsidRPr="007C2582">
        <w:t xml:space="preserve">As shown in </w:t>
      </w:r>
      <w:r>
        <w:fldChar w:fldCharType="begin"/>
      </w:r>
      <w:r>
        <w:instrText xml:space="preserve"> REF _Ref432082771 \h </w:instrText>
      </w:r>
      <w:r>
        <w:fldChar w:fldCharType="separate"/>
      </w:r>
      <w:r>
        <w:t xml:space="preserve">Figure </w:t>
      </w:r>
      <w:r>
        <w:rPr>
          <w:noProof/>
        </w:rPr>
        <w:t>29</w:t>
      </w:r>
      <w:r>
        <w:fldChar w:fldCharType="end"/>
      </w:r>
      <w:r w:rsidRPr="007C2582">
        <w:t xml:space="preserve">(b) and </w:t>
      </w:r>
      <w:r>
        <w:fldChar w:fldCharType="begin"/>
      </w:r>
      <w:r>
        <w:instrText xml:space="preserve"> REF _Ref432082771 \h </w:instrText>
      </w:r>
      <w:r>
        <w:fldChar w:fldCharType="separate"/>
      </w:r>
      <w:r>
        <w:t xml:space="preserve">Figure </w:t>
      </w:r>
      <w:r>
        <w:rPr>
          <w:noProof/>
        </w:rPr>
        <w:t>29</w:t>
      </w:r>
      <w:r>
        <w:fldChar w:fldCharType="end"/>
      </w:r>
      <w:r w:rsidRPr="007C2582">
        <w:t xml:space="preserve">(c), the load reduction (equivalent to reactive compensation) is conducted in 10 steps. The blue curve with square marks represent the actual LM after the change while the red curve with diamond curve represent the linear predicted LM by multiplying the WALMS with the amount of </w:t>
      </w:r>
    </w:p>
    <w:p w14:paraId="1F98B3C2" w14:textId="77777777" w:rsidR="007C2582" w:rsidRPr="007C2582" w:rsidRDefault="007C2582" w:rsidP="00685FFD">
      <w:pPr>
        <w:spacing w:line="240" w:lineRule="auto"/>
        <w:ind w:firstLine="0"/>
        <w:jc w:val="center"/>
        <w:rPr>
          <w:lang w:val="x-none"/>
        </w:rPr>
      </w:pPr>
      <w:r w:rsidRPr="007C2582">
        <w:rPr>
          <w:noProof/>
          <w:lang w:eastAsia="zh-CN"/>
        </w:rPr>
        <w:lastRenderedPageBreak/>
        <w:drawing>
          <wp:inline distT="0" distB="0" distL="0" distR="0" wp14:anchorId="56EDA9B3" wp14:editId="769416E2">
            <wp:extent cx="2940685" cy="23260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9">
                      <a:extLst>
                        <a:ext uri="{28A0092B-C50C-407E-A947-70E740481C1C}">
                          <a14:useLocalDpi xmlns:a14="http://schemas.microsoft.com/office/drawing/2010/main" val="0"/>
                        </a:ext>
                      </a:extLst>
                    </a:blip>
                    <a:srcRect l="3201" r="4820"/>
                    <a:stretch>
                      <a:fillRect/>
                    </a:stretch>
                  </pic:blipFill>
                  <pic:spPr bwMode="auto">
                    <a:xfrm>
                      <a:off x="0" y="0"/>
                      <a:ext cx="2940685" cy="2326005"/>
                    </a:xfrm>
                    <a:prstGeom prst="rect">
                      <a:avLst/>
                    </a:prstGeom>
                    <a:noFill/>
                    <a:ln>
                      <a:noFill/>
                    </a:ln>
                  </pic:spPr>
                </pic:pic>
              </a:graphicData>
            </a:graphic>
          </wp:inline>
        </w:drawing>
      </w:r>
    </w:p>
    <w:p w14:paraId="4034E17C" w14:textId="77777777" w:rsidR="007C2582" w:rsidRPr="007C2582" w:rsidRDefault="007C2582" w:rsidP="004F29E5">
      <w:pPr>
        <w:numPr>
          <w:ilvl w:val="0"/>
          <w:numId w:val="20"/>
        </w:numPr>
        <w:spacing w:line="240" w:lineRule="auto"/>
        <w:ind w:left="418" w:hanging="418"/>
        <w:jc w:val="center"/>
        <w:rPr>
          <w:lang w:val="x-none"/>
        </w:rPr>
      </w:pPr>
      <w:r w:rsidRPr="007C2582">
        <w:rPr>
          <w:lang w:val="x-none"/>
        </w:rPr>
        <w:t>Matrix of WALMS w.r.t. reactive power injection</w:t>
      </w:r>
      <w:r w:rsidR="004F29E5">
        <w:t>.</w:t>
      </w:r>
    </w:p>
    <w:p w14:paraId="47BB1AE1" w14:textId="77777777" w:rsidR="007C2582" w:rsidRPr="007C2582" w:rsidRDefault="007C2582" w:rsidP="00685FFD">
      <w:pPr>
        <w:spacing w:line="240" w:lineRule="auto"/>
        <w:ind w:firstLine="0"/>
        <w:jc w:val="center"/>
        <w:rPr>
          <w:lang w:val="x-none"/>
        </w:rPr>
      </w:pPr>
      <w:r w:rsidRPr="007C2582">
        <w:rPr>
          <w:noProof/>
          <w:lang w:eastAsia="zh-CN"/>
        </w:rPr>
        <w:drawing>
          <wp:inline distT="0" distB="0" distL="0" distR="0" wp14:anchorId="2A3EDAA8" wp14:editId="485730ED">
            <wp:extent cx="3035935" cy="12579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3035935" cy="1257935"/>
                    </a:xfrm>
                    <a:prstGeom prst="rect">
                      <a:avLst/>
                    </a:prstGeom>
                    <a:noFill/>
                    <a:ln>
                      <a:noFill/>
                    </a:ln>
                  </pic:spPr>
                </pic:pic>
              </a:graphicData>
            </a:graphic>
          </wp:inline>
        </w:drawing>
      </w:r>
    </w:p>
    <w:p w14:paraId="7002F27E" w14:textId="77777777" w:rsidR="007C2582" w:rsidRPr="007C2582" w:rsidRDefault="007C2582" w:rsidP="004F29E5">
      <w:pPr>
        <w:numPr>
          <w:ilvl w:val="0"/>
          <w:numId w:val="20"/>
        </w:numPr>
        <w:spacing w:line="240" w:lineRule="auto"/>
        <w:ind w:left="418" w:hanging="418"/>
        <w:jc w:val="center"/>
        <w:rPr>
          <w:lang w:val="x-none"/>
        </w:rPr>
      </w:pPr>
      <w:r w:rsidRPr="007C2582">
        <w:rPr>
          <w:lang w:val="x-none"/>
        </w:rPr>
        <w:t>Verification of self-sensitivity of bus 4</w:t>
      </w:r>
      <w:r w:rsidR="004F29E5">
        <w:t>.</w:t>
      </w:r>
    </w:p>
    <w:p w14:paraId="3C1DB3ED" w14:textId="77777777" w:rsidR="007C2582" w:rsidRPr="007C2582" w:rsidRDefault="007C2582" w:rsidP="00685FFD">
      <w:pPr>
        <w:spacing w:line="240" w:lineRule="auto"/>
        <w:ind w:firstLine="0"/>
        <w:jc w:val="center"/>
        <w:rPr>
          <w:lang w:val="x-none"/>
        </w:rPr>
      </w:pPr>
      <w:r w:rsidRPr="007C2582">
        <w:rPr>
          <w:noProof/>
          <w:lang w:eastAsia="zh-CN"/>
        </w:rPr>
        <w:drawing>
          <wp:inline distT="0" distB="0" distL="0" distR="0" wp14:anchorId="53FCE264" wp14:editId="2785FE8E">
            <wp:extent cx="3035935" cy="12725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035935" cy="1272540"/>
                    </a:xfrm>
                    <a:prstGeom prst="rect">
                      <a:avLst/>
                    </a:prstGeom>
                    <a:noFill/>
                    <a:ln>
                      <a:noFill/>
                    </a:ln>
                  </pic:spPr>
                </pic:pic>
              </a:graphicData>
            </a:graphic>
          </wp:inline>
        </w:drawing>
      </w:r>
    </w:p>
    <w:p w14:paraId="5A8C5128" w14:textId="77777777" w:rsidR="007C2582" w:rsidRPr="007C2582" w:rsidRDefault="007C2582" w:rsidP="00BD3F66">
      <w:pPr>
        <w:numPr>
          <w:ilvl w:val="0"/>
          <w:numId w:val="20"/>
        </w:numPr>
        <w:spacing w:after="120" w:line="240" w:lineRule="auto"/>
        <w:ind w:left="418" w:hanging="418"/>
        <w:jc w:val="center"/>
        <w:rPr>
          <w:lang w:val="x-none"/>
        </w:rPr>
      </w:pPr>
      <w:r w:rsidRPr="007C2582">
        <w:rPr>
          <w:lang w:val="x-none"/>
        </w:rPr>
        <w:t>Verification of cross-sensitivity of bus 4 to bus 12</w:t>
      </w:r>
      <w:r w:rsidR="004F29E5">
        <w:t>.</w:t>
      </w:r>
    </w:p>
    <w:p w14:paraId="54123F00" w14:textId="77777777" w:rsidR="007C2582" w:rsidRDefault="00EB1C6C" w:rsidP="009D0201">
      <w:pPr>
        <w:pStyle w:val="Caption"/>
      </w:pPr>
      <w:bookmarkStart w:id="123" w:name="_Ref432082771"/>
      <w:bookmarkStart w:id="124" w:name="_Toc459076480"/>
      <w:r>
        <w:t xml:space="preserve">Figure </w:t>
      </w:r>
      <w:fldSimple w:instr=" SEQ Figure \* ARABIC ">
        <w:r w:rsidR="00B0208A">
          <w:rPr>
            <w:noProof/>
          </w:rPr>
          <w:t>29</w:t>
        </w:r>
      </w:fldSimple>
      <w:bookmarkEnd w:id="123"/>
      <w:r w:rsidR="007C2582" w:rsidRPr="007C2582">
        <w:t>. Verification of WALMS w.r.t. the reactive power injection</w:t>
      </w:r>
      <w:bookmarkEnd w:id="124"/>
    </w:p>
    <w:p w14:paraId="6A28697B" w14:textId="77777777" w:rsidR="00BD3F66" w:rsidRDefault="00BD3F66" w:rsidP="00451ED6">
      <w:pPr>
        <w:pStyle w:val="Caption"/>
      </w:pPr>
      <w:bookmarkStart w:id="125" w:name="_Ref432083000"/>
    </w:p>
    <w:p w14:paraId="206E02AE" w14:textId="77777777" w:rsidR="00451ED6" w:rsidRPr="007C2582" w:rsidRDefault="00451ED6" w:rsidP="00451ED6">
      <w:pPr>
        <w:pStyle w:val="Caption"/>
      </w:pPr>
      <w:bookmarkStart w:id="126" w:name="_Toc459076665"/>
      <w:r>
        <w:t xml:space="preserve">Table </w:t>
      </w:r>
      <w:fldSimple w:instr=" SEQ Table \* ARABIC ">
        <w:r>
          <w:rPr>
            <w:noProof/>
          </w:rPr>
          <w:t>8</w:t>
        </w:r>
      </w:fldSimple>
      <w:bookmarkEnd w:id="125"/>
      <w:r>
        <w:t>:</w:t>
      </w:r>
      <w:r w:rsidRPr="007C2582">
        <w:t xml:space="preserve"> Errors of WALMS to Reactive Power</w:t>
      </w:r>
      <w:bookmarkEnd w:id="126"/>
    </w:p>
    <w:tbl>
      <w:tblPr>
        <w:tblW w:w="0" w:type="auto"/>
        <w:jc w:val="center"/>
        <w:tblBorders>
          <w:top w:val="single" w:sz="12" w:space="0" w:color="000000"/>
          <w:bottom w:val="single" w:sz="12" w:space="0" w:color="000000"/>
        </w:tblBorders>
        <w:tblLook w:val="04A0" w:firstRow="1" w:lastRow="0" w:firstColumn="1" w:lastColumn="0" w:noHBand="0" w:noVBand="1"/>
      </w:tblPr>
      <w:tblGrid>
        <w:gridCol w:w="1935"/>
        <w:gridCol w:w="1163"/>
        <w:gridCol w:w="2010"/>
      </w:tblGrid>
      <w:tr w:rsidR="00451ED6" w:rsidRPr="007C2582" w14:paraId="01427C9C" w14:textId="77777777" w:rsidTr="00DB0BED">
        <w:trPr>
          <w:jc w:val="center"/>
        </w:trPr>
        <w:tc>
          <w:tcPr>
            <w:tcW w:w="1935" w:type="dxa"/>
            <w:tcBorders>
              <w:bottom w:val="single" w:sz="6" w:space="0" w:color="000000"/>
              <w:right w:val="single" w:sz="6" w:space="0" w:color="000000"/>
            </w:tcBorders>
            <w:shd w:val="clear" w:color="auto" w:fill="auto"/>
          </w:tcPr>
          <w:p w14:paraId="37697FCA" w14:textId="77777777" w:rsidR="00451ED6" w:rsidRPr="007C2582" w:rsidRDefault="00451ED6" w:rsidP="00DB0BED">
            <w:pPr>
              <w:spacing w:line="240" w:lineRule="auto"/>
              <w:jc w:val="center"/>
              <w:rPr>
                <w:i/>
                <w:iCs/>
                <w:lang w:val="x-none"/>
              </w:rPr>
            </w:pPr>
          </w:p>
        </w:tc>
        <w:tc>
          <w:tcPr>
            <w:tcW w:w="1163" w:type="dxa"/>
            <w:tcBorders>
              <w:bottom w:val="single" w:sz="6" w:space="0" w:color="000000"/>
            </w:tcBorders>
            <w:shd w:val="clear" w:color="auto" w:fill="auto"/>
          </w:tcPr>
          <w:p w14:paraId="65583329" w14:textId="77777777" w:rsidR="00451ED6" w:rsidRPr="007C2582" w:rsidRDefault="00451ED6" w:rsidP="00DB0BED">
            <w:pPr>
              <w:spacing w:line="240" w:lineRule="auto"/>
              <w:ind w:firstLine="0"/>
              <w:jc w:val="center"/>
              <w:rPr>
                <w:i/>
                <w:iCs/>
                <w:lang w:val="x-none"/>
              </w:rPr>
            </w:pPr>
            <w:r>
              <w:rPr>
                <w:i/>
                <w:iCs/>
              </w:rPr>
              <w:t>A</w:t>
            </w:r>
            <w:r w:rsidRPr="007C2582">
              <w:rPr>
                <w:i/>
                <w:iCs/>
                <w:lang w:val="x-none"/>
              </w:rPr>
              <w:t>ll buses</w:t>
            </w:r>
          </w:p>
        </w:tc>
        <w:tc>
          <w:tcPr>
            <w:tcW w:w="2010" w:type="dxa"/>
            <w:tcBorders>
              <w:bottom w:val="single" w:sz="6" w:space="0" w:color="000000"/>
            </w:tcBorders>
            <w:shd w:val="clear" w:color="auto" w:fill="auto"/>
          </w:tcPr>
          <w:p w14:paraId="03AF9061" w14:textId="77777777" w:rsidR="00451ED6" w:rsidRPr="007C2582" w:rsidRDefault="00451ED6" w:rsidP="00DB0BED">
            <w:pPr>
              <w:spacing w:line="240" w:lineRule="auto"/>
              <w:ind w:firstLine="0"/>
              <w:jc w:val="center"/>
              <w:rPr>
                <w:i/>
                <w:iCs/>
                <w:lang w:val="x-none"/>
              </w:rPr>
            </w:pPr>
            <w:r w:rsidRPr="007C2582">
              <w:rPr>
                <w:i/>
                <w:iCs/>
                <w:lang w:val="x-none"/>
              </w:rPr>
              <w:t>Bus 4, 7, 8 and 15</w:t>
            </w:r>
          </w:p>
        </w:tc>
      </w:tr>
      <w:tr w:rsidR="00451ED6" w:rsidRPr="007C2582" w14:paraId="794C9CD9" w14:textId="77777777" w:rsidTr="00DB0BED">
        <w:trPr>
          <w:jc w:val="center"/>
        </w:trPr>
        <w:tc>
          <w:tcPr>
            <w:tcW w:w="1935" w:type="dxa"/>
            <w:tcBorders>
              <w:right w:val="single" w:sz="6" w:space="0" w:color="000000"/>
            </w:tcBorders>
            <w:shd w:val="clear" w:color="auto" w:fill="auto"/>
          </w:tcPr>
          <w:p w14:paraId="6EB315F4" w14:textId="77777777" w:rsidR="00451ED6" w:rsidRPr="007C2582" w:rsidRDefault="00451ED6" w:rsidP="00DB0BED">
            <w:pPr>
              <w:spacing w:line="240" w:lineRule="auto"/>
              <w:ind w:firstLine="0"/>
              <w:jc w:val="center"/>
              <w:rPr>
                <w:lang w:val="x-none"/>
              </w:rPr>
            </w:pPr>
            <w:r w:rsidRPr="007C2582">
              <w:rPr>
                <w:lang w:val="x-none"/>
              </w:rPr>
              <w:t>Max. Error (%)</w:t>
            </w:r>
          </w:p>
        </w:tc>
        <w:tc>
          <w:tcPr>
            <w:tcW w:w="1163" w:type="dxa"/>
            <w:shd w:val="clear" w:color="auto" w:fill="auto"/>
          </w:tcPr>
          <w:p w14:paraId="675E3510" w14:textId="77777777" w:rsidR="00451ED6" w:rsidRPr="007C2582" w:rsidRDefault="00451ED6" w:rsidP="00DB0BED">
            <w:pPr>
              <w:spacing w:line="240" w:lineRule="auto"/>
              <w:ind w:firstLine="0"/>
              <w:jc w:val="center"/>
              <w:rPr>
                <w:lang w:val="x-none"/>
              </w:rPr>
            </w:pPr>
            <w:r w:rsidRPr="007C2582">
              <w:rPr>
                <w:lang w:val="x-none"/>
              </w:rPr>
              <w:t>2.37%</w:t>
            </w:r>
          </w:p>
        </w:tc>
        <w:tc>
          <w:tcPr>
            <w:tcW w:w="2010" w:type="dxa"/>
            <w:shd w:val="clear" w:color="auto" w:fill="auto"/>
          </w:tcPr>
          <w:p w14:paraId="2426A31F" w14:textId="77777777" w:rsidR="00451ED6" w:rsidRPr="007C2582" w:rsidRDefault="00451ED6" w:rsidP="00DB0BED">
            <w:pPr>
              <w:spacing w:line="240" w:lineRule="auto"/>
              <w:ind w:firstLine="0"/>
              <w:jc w:val="center"/>
              <w:rPr>
                <w:lang w:val="x-none"/>
              </w:rPr>
            </w:pPr>
            <w:r w:rsidRPr="007C2582">
              <w:rPr>
                <w:lang w:val="x-none"/>
              </w:rPr>
              <w:t>1.68%</w:t>
            </w:r>
          </w:p>
        </w:tc>
      </w:tr>
      <w:tr w:rsidR="00451ED6" w:rsidRPr="007C2582" w14:paraId="7A045676" w14:textId="77777777" w:rsidTr="00DB0BED">
        <w:trPr>
          <w:jc w:val="center"/>
        </w:trPr>
        <w:tc>
          <w:tcPr>
            <w:tcW w:w="1935" w:type="dxa"/>
            <w:tcBorders>
              <w:right w:val="single" w:sz="6" w:space="0" w:color="000000"/>
            </w:tcBorders>
            <w:shd w:val="clear" w:color="auto" w:fill="auto"/>
          </w:tcPr>
          <w:p w14:paraId="0B2A20B4" w14:textId="77777777" w:rsidR="00451ED6" w:rsidRPr="007C2582" w:rsidRDefault="00451ED6" w:rsidP="00DB0BED">
            <w:pPr>
              <w:spacing w:line="240" w:lineRule="auto"/>
              <w:ind w:firstLine="0"/>
              <w:jc w:val="center"/>
              <w:rPr>
                <w:lang w:val="x-none"/>
              </w:rPr>
            </w:pPr>
            <w:r w:rsidRPr="007C2582">
              <w:rPr>
                <w:lang w:val="x-none"/>
              </w:rPr>
              <w:t>Ave. Error (%)</w:t>
            </w:r>
          </w:p>
        </w:tc>
        <w:tc>
          <w:tcPr>
            <w:tcW w:w="1163" w:type="dxa"/>
            <w:shd w:val="clear" w:color="auto" w:fill="auto"/>
          </w:tcPr>
          <w:p w14:paraId="6A355435" w14:textId="77777777" w:rsidR="00451ED6" w:rsidRPr="007C2582" w:rsidRDefault="00451ED6" w:rsidP="00DB0BED">
            <w:pPr>
              <w:spacing w:line="240" w:lineRule="auto"/>
              <w:ind w:firstLine="0"/>
              <w:jc w:val="center"/>
              <w:rPr>
                <w:lang w:val="x-none"/>
              </w:rPr>
            </w:pPr>
            <w:r w:rsidRPr="007C2582">
              <w:rPr>
                <w:lang w:val="x-none"/>
              </w:rPr>
              <w:t>0.53%</w:t>
            </w:r>
          </w:p>
        </w:tc>
        <w:tc>
          <w:tcPr>
            <w:tcW w:w="2010" w:type="dxa"/>
            <w:shd w:val="clear" w:color="auto" w:fill="auto"/>
          </w:tcPr>
          <w:p w14:paraId="1AEC65A6" w14:textId="77777777" w:rsidR="00451ED6" w:rsidRPr="007C2582" w:rsidRDefault="00451ED6" w:rsidP="00DB0BED">
            <w:pPr>
              <w:spacing w:line="240" w:lineRule="auto"/>
              <w:ind w:firstLine="0"/>
              <w:jc w:val="center"/>
              <w:rPr>
                <w:lang w:val="x-none"/>
              </w:rPr>
            </w:pPr>
            <w:r w:rsidRPr="007C2582">
              <w:rPr>
                <w:lang w:val="x-none"/>
              </w:rPr>
              <w:t>0.24%</w:t>
            </w:r>
          </w:p>
        </w:tc>
      </w:tr>
      <w:tr w:rsidR="00451ED6" w:rsidRPr="007C2582" w14:paraId="2B504CD8" w14:textId="77777777" w:rsidTr="00DB0BED">
        <w:trPr>
          <w:jc w:val="center"/>
        </w:trPr>
        <w:tc>
          <w:tcPr>
            <w:tcW w:w="1935" w:type="dxa"/>
            <w:tcBorders>
              <w:right w:val="single" w:sz="6" w:space="0" w:color="000000"/>
            </w:tcBorders>
            <w:shd w:val="clear" w:color="auto" w:fill="auto"/>
          </w:tcPr>
          <w:p w14:paraId="1375DFCF" w14:textId="77777777" w:rsidR="00451ED6" w:rsidRPr="007C2582" w:rsidRDefault="00451ED6" w:rsidP="00DB0BED">
            <w:pPr>
              <w:spacing w:line="240" w:lineRule="auto"/>
              <w:ind w:firstLine="0"/>
              <w:jc w:val="center"/>
              <w:rPr>
                <w:lang w:val="x-none"/>
              </w:rPr>
            </w:pPr>
            <w:r w:rsidRPr="007C2582">
              <w:rPr>
                <w:lang w:val="x-none"/>
              </w:rPr>
              <w:t>Std. Dev. (%)</w:t>
            </w:r>
          </w:p>
        </w:tc>
        <w:tc>
          <w:tcPr>
            <w:tcW w:w="1163" w:type="dxa"/>
            <w:shd w:val="clear" w:color="auto" w:fill="auto"/>
          </w:tcPr>
          <w:p w14:paraId="2C17D441" w14:textId="77777777" w:rsidR="00451ED6" w:rsidRPr="007C2582" w:rsidRDefault="00451ED6" w:rsidP="00DB0BED">
            <w:pPr>
              <w:spacing w:line="240" w:lineRule="auto"/>
              <w:ind w:firstLine="0"/>
              <w:jc w:val="center"/>
              <w:rPr>
                <w:lang w:val="x-none"/>
              </w:rPr>
            </w:pPr>
            <w:r w:rsidRPr="007C2582">
              <w:rPr>
                <w:lang w:val="x-none"/>
              </w:rPr>
              <w:t>0.47%</w:t>
            </w:r>
          </w:p>
        </w:tc>
        <w:tc>
          <w:tcPr>
            <w:tcW w:w="2010" w:type="dxa"/>
            <w:shd w:val="clear" w:color="auto" w:fill="auto"/>
          </w:tcPr>
          <w:p w14:paraId="2936831A" w14:textId="77777777" w:rsidR="00451ED6" w:rsidRPr="007C2582" w:rsidRDefault="00451ED6" w:rsidP="00DB0BED">
            <w:pPr>
              <w:spacing w:line="240" w:lineRule="auto"/>
              <w:ind w:firstLine="0"/>
              <w:jc w:val="center"/>
              <w:rPr>
                <w:lang w:val="x-none"/>
              </w:rPr>
            </w:pPr>
            <w:r w:rsidRPr="007C2582">
              <w:rPr>
                <w:lang w:val="x-none"/>
              </w:rPr>
              <w:t>0.27%</w:t>
            </w:r>
          </w:p>
        </w:tc>
      </w:tr>
    </w:tbl>
    <w:p w14:paraId="42A0D07D" w14:textId="77777777" w:rsidR="00451ED6" w:rsidRPr="00EB1C6C" w:rsidRDefault="00451ED6" w:rsidP="00451ED6">
      <w:pPr>
        <w:ind w:left="420" w:firstLine="0"/>
        <w:rPr>
          <w:i/>
          <w:lang w:val="x-none"/>
        </w:rPr>
      </w:pPr>
    </w:p>
    <w:p w14:paraId="5B07CA2D" w14:textId="77777777" w:rsidR="00685FFD" w:rsidRDefault="00685FFD">
      <w:r>
        <w:br w:type="page"/>
      </w:r>
    </w:p>
    <w:p w14:paraId="343E249D" w14:textId="77777777" w:rsidR="00451ED6" w:rsidRDefault="00451ED6" w:rsidP="00451ED6">
      <w:pPr>
        <w:ind w:firstLine="0"/>
      </w:pPr>
      <w:r w:rsidRPr="007C2582">
        <w:lastRenderedPageBreak/>
        <w:t xml:space="preserve">reduction. For the self-sensitivity, the error of LM at 100 MVar is less than 1.0%. For the cross-sensitivity, the error is less than 0.1%. According to </w:t>
      </w:r>
      <w:r>
        <w:fldChar w:fldCharType="begin"/>
      </w:r>
      <w:r>
        <w:instrText xml:space="preserve"> REF _Ref432083000 \h </w:instrText>
      </w:r>
      <w:r>
        <w:fldChar w:fldCharType="separate"/>
      </w:r>
      <w:r>
        <w:t xml:space="preserve">Table </w:t>
      </w:r>
      <w:r>
        <w:rPr>
          <w:noProof/>
        </w:rPr>
        <w:t>8</w:t>
      </w:r>
      <w:r>
        <w:fldChar w:fldCharType="end"/>
      </w:r>
      <w:r w:rsidRPr="007C2582">
        <w:t xml:space="preserve">, the average error is at 0.53% for all buses and 0.24% for the four insecure </w:t>
      </w:r>
      <w:r>
        <w:t>buses.</w:t>
      </w:r>
    </w:p>
    <w:p w14:paraId="54E3FEC2" w14:textId="77777777" w:rsidR="00685FFD" w:rsidRPr="007C2582" w:rsidRDefault="00901C07" w:rsidP="00901C07">
      <w:r>
        <w:t>The errors regarding the inse</w:t>
      </w:r>
      <w:r w:rsidR="00685FFD" w:rsidRPr="007C2582">
        <w:t xml:space="preserve">cure buses are more meaningful because control actions will be taken based on these values. For buses with a LM far beyond </w:t>
      </w:r>
      <w:r w:rsidR="00685FFD" w:rsidRPr="007C2582">
        <w:rPr>
          <w:i/>
        </w:rPr>
        <w:t>λ</w:t>
      </w:r>
      <w:r w:rsidR="00685FFD" w:rsidRPr="007C2582">
        <w:rPr>
          <w:vertAlign w:val="subscript"/>
        </w:rPr>
        <w:t>0</w:t>
      </w:r>
      <w:r w:rsidR="00685FFD" w:rsidRPr="007C2582">
        <w:t xml:space="preserve">, their sensitivities are very unlikely to be used. </w:t>
      </w:r>
    </w:p>
    <w:p w14:paraId="49B12D38" w14:textId="77777777" w:rsidR="007C2582" w:rsidRPr="007C2582" w:rsidRDefault="007C2582" w:rsidP="007C2582">
      <w:r w:rsidRPr="007C2582">
        <w:t xml:space="preserve">Note that the accuracy achieved by the improved WALMS has been significantly improved compared with </w:t>
      </w:r>
      <w:r w:rsidR="00B37C2E">
        <w:fldChar w:fldCharType="begin" w:fldLock="1"/>
      </w:r>
      <w:r w:rsidR="00D96671">
        <w:instrText>ADDIN CSL_CITATION { "citationItems" : [ { "id" : "ITEM-1", "itemData" : { "ISBN" : "9781467380409", "author" : [ { "dropping-particle" : "", "family" : "Yuan", "given" : "Haoyu", "non-dropping-particle" : "", "parse-names" : false, "suffix" : "" }, { "dropping-particle" : "", "family" : "Jiang", "given" : "Tao", "non-dropping-particle" : "", "parse-names" : false, "suffix" : "" }, { "dropping-particle" : "", "family" : "Jia", "given" : "Hongjie", "non-dropping-particle" : "", "parse-names" : false, "suffix" : "" }, { "dropping-particle" : "", "family" : "Li", "given" : "Fangxing", "non-dropping-particle" : "", "parse-names" : false, "suffix" : "" }, { "dropping-particle" : "", "family" : "Mishra", "given" : "Yateendra", "non-dropping-particle" : "", "parse-names" : false, "suffix" : "" }, { "dropping-particle" : "", "family" : "Chen", "given" : "Houhe", "non-dropping-particle" : "", "parse-names" : false, "suffix" : "" }, { "dropping-particle" : "", "family" : "Li", "given" : "Guoqing", "non-dropping-particle" : "", "parse-names" : false, "suffix" : "" } ], "container-title" : "IEEE PES General Meeting", "id" : "ITEM-1", "issued" : { "date-parts" : [ [ "2015" ] ] }, "page" : "1-5", "title" : "Real-Time Wide-area Loading Margin Sensitivity ( WALMS ) in Power Systems", "type" : "paper-conference" }, "uris" : [ "http://www.mendeley.com/documents/?uuid=4ba41f46-e6eb-42c4-bb8a-6b794cb05de6" ] } ], "mendeley" : { "formattedCitation" : "[18]", "plainTextFormattedCitation" : "[18]", "previouslyFormattedCitation" : "[18]" }, "properties" : { "noteIndex" : 0 }, "schema" : "https://github.com/citation-style-language/schema/raw/master/csl-citation.json" }</w:instrText>
      </w:r>
      <w:r w:rsidR="00B37C2E">
        <w:fldChar w:fldCharType="separate"/>
      </w:r>
      <w:r w:rsidR="00D96671" w:rsidRPr="00D96671">
        <w:rPr>
          <w:noProof/>
        </w:rPr>
        <w:t>[18]</w:t>
      </w:r>
      <w:r w:rsidR="00B37C2E">
        <w:fldChar w:fldCharType="end"/>
      </w:r>
      <w:r w:rsidRPr="007C2582">
        <w:t xml:space="preserve"> due to several modifications introduced in Section </w:t>
      </w:r>
      <w:r w:rsidR="00EB1C6C">
        <w:t>5.2</w:t>
      </w:r>
      <w:r w:rsidRPr="007C2582">
        <w:t>.1.</w:t>
      </w:r>
    </w:p>
    <w:p w14:paraId="14E66BA6" w14:textId="77777777" w:rsidR="007C2582" w:rsidRPr="007C2582" w:rsidRDefault="00B37C2E" w:rsidP="00B37C2E">
      <w:pPr>
        <w:pStyle w:val="Heading3"/>
      </w:pPr>
      <w:bookmarkStart w:id="127" w:name="_Toc459076575"/>
      <w:r>
        <w:t xml:space="preserve">5.4.2 </w:t>
      </w:r>
      <w:r w:rsidR="007C2582" w:rsidRPr="007C2582">
        <w:t>Verification of WALMS w.r.t. Real Power Injection</w:t>
      </w:r>
      <w:bookmarkEnd w:id="127"/>
    </w:p>
    <w:p w14:paraId="66BC87D5" w14:textId="77777777" w:rsidR="007C2582" w:rsidRPr="007C2582" w:rsidRDefault="007C2582" w:rsidP="007C2582">
      <w:r w:rsidRPr="007C2582">
        <w:t>The WALMS w.r.t. real power is calculated according to (</w:t>
      </w:r>
      <w:r w:rsidR="00B37C2E">
        <w:t>5-</w:t>
      </w:r>
      <w:r w:rsidRPr="007C2582">
        <w:t>23) to (</w:t>
      </w:r>
      <w:r w:rsidR="00B37C2E">
        <w:t>5-</w:t>
      </w:r>
      <w:r w:rsidRPr="007C2582">
        <w:t>32). The sensitivity matrix, [∂</w:t>
      </w:r>
      <w:r w:rsidRPr="007C2582">
        <w:rPr>
          <w:b/>
        </w:rPr>
        <w:t>λ</w:t>
      </w:r>
      <w:r w:rsidRPr="007C2582">
        <w:t>/∂</w:t>
      </w:r>
      <w:r w:rsidRPr="007C2582">
        <w:rPr>
          <w:b/>
          <w:i/>
        </w:rPr>
        <w:t>P</w:t>
      </w:r>
      <w:r w:rsidRPr="007C2582">
        <w:rPr>
          <w:i/>
          <w:vertAlign w:val="subscript"/>
        </w:rPr>
        <w:t>L</w:t>
      </w:r>
      <w:r w:rsidRPr="007C2582">
        <w:t xml:space="preserve">], is obtained and shown in </w:t>
      </w:r>
      <w:r w:rsidR="00B37C2E">
        <w:fldChar w:fldCharType="begin"/>
      </w:r>
      <w:r w:rsidR="00B37C2E">
        <w:instrText xml:space="preserve"> REF _Ref432083150 \h </w:instrText>
      </w:r>
      <w:r w:rsidR="00B37C2E">
        <w:fldChar w:fldCharType="separate"/>
      </w:r>
      <w:r w:rsidR="00656B13">
        <w:t xml:space="preserve">Figure </w:t>
      </w:r>
      <w:r w:rsidR="00656B13">
        <w:rPr>
          <w:noProof/>
        </w:rPr>
        <w:t>30</w:t>
      </w:r>
      <w:r w:rsidR="00B37C2E">
        <w:fldChar w:fldCharType="end"/>
      </w:r>
      <w:r w:rsidRPr="007C2582">
        <w:t xml:space="preserve">(a). Similar to </w:t>
      </w:r>
      <w:r w:rsidR="00B37C2E">
        <w:fldChar w:fldCharType="begin"/>
      </w:r>
      <w:r w:rsidR="00B37C2E">
        <w:instrText xml:space="preserve"> REF _Ref432082771 \h </w:instrText>
      </w:r>
      <w:r w:rsidR="00B37C2E">
        <w:fldChar w:fldCharType="separate"/>
      </w:r>
      <w:r w:rsidR="00656B13">
        <w:t xml:space="preserve">Figure </w:t>
      </w:r>
      <w:r w:rsidR="00656B13">
        <w:rPr>
          <w:noProof/>
        </w:rPr>
        <w:t>29</w:t>
      </w:r>
      <w:r w:rsidR="00B37C2E">
        <w:fldChar w:fldCharType="end"/>
      </w:r>
      <w:r w:rsidRPr="007C2582">
        <w:t xml:space="preserve">(a), the matrix is dominated by the diagonal and near-diagonal elements. </w:t>
      </w:r>
    </w:p>
    <w:p w14:paraId="69B3EFFC" w14:textId="77777777" w:rsidR="007C2582" w:rsidRPr="007C2582" w:rsidRDefault="007C2582" w:rsidP="007C2582">
      <w:r w:rsidRPr="007C2582">
        <w:t xml:space="preserve">The self-sensitivity of bus 4 and the sensitivity of bus 4 to real power at bus 8, the largest cross-sensitivity, are depicted in </w:t>
      </w:r>
      <w:r w:rsidR="00B37C2E">
        <w:fldChar w:fldCharType="begin"/>
      </w:r>
      <w:r w:rsidR="00B37C2E">
        <w:instrText xml:space="preserve"> REF _Ref432083150 \h </w:instrText>
      </w:r>
      <w:r w:rsidR="00B37C2E">
        <w:fldChar w:fldCharType="separate"/>
      </w:r>
      <w:r w:rsidR="00656B13">
        <w:t xml:space="preserve">Figure </w:t>
      </w:r>
      <w:r w:rsidR="00656B13">
        <w:rPr>
          <w:noProof/>
        </w:rPr>
        <w:t>30</w:t>
      </w:r>
      <w:r w:rsidR="00B37C2E">
        <w:fldChar w:fldCharType="end"/>
      </w:r>
      <w:r w:rsidRPr="007C2582">
        <w:t xml:space="preserve">(b) and </w:t>
      </w:r>
      <w:r w:rsidR="00B37C2E">
        <w:fldChar w:fldCharType="begin"/>
      </w:r>
      <w:r w:rsidR="00B37C2E">
        <w:instrText xml:space="preserve"> REF _Ref432083150 \h </w:instrText>
      </w:r>
      <w:r w:rsidR="00B37C2E">
        <w:fldChar w:fldCharType="separate"/>
      </w:r>
      <w:r w:rsidR="00656B13">
        <w:t xml:space="preserve">Figure </w:t>
      </w:r>
      <w:r w:rsidR="00656B13">
        <w:rPr>
          <w:noProof/>
        </w:rPr>
        <w:t>30</w:t>
      </w:r>
      <w:r w:rsidR="00B37C2E">
        <w:fldChar w:fldCharType="end"/>
      </w:r>
      <w:r w:rsidRPr="007C2582">
        <w:t>(c), respectively. According to the figures, after 100 MW load reduction, the predicted LM is within 1% error compared with the actual LM.</w:t>
      </w:r>
    </w:p>
    <w:p w14:paraId="370A8F2F" w14:textId="77777777" w:rsidR="007C2582" w:rsidRDefault="007C2582" w:rsidP="007C2582">
      <w:r w:rsidRPr="007C2582">
        <w:t xml:space="preserve">The errors are summarized in </w:t>
      </w:r>
      <w:r w:rsidR="00B37C2E">
        <w:fldChar w:fldCharType="begin"/>
      </w:r>
      <w:r w:rsidR="00B37C2E">
        <w:instrText xml:space="preserve"> REF _Ref432083180 \h </w:instrText>
      </w:r>
      <w:r w:rsidR="00B37C2E">
        <w:fldChar w:fldCharType="separate"/>
      </w:r>
      <w:r w:rsidR="00656B13">
        <w:t xml:space="preserve">Table </w:t>
      </w:r>
      <w:r w:rsidR="00656B13">
        <w:rPr>
          <w:noProof/>
        </w:rPr>
        <w:t>9</w:t>
      </w:r>
      <w:r w:rsidR="00B37C2E">
        <w:fldChar w:fldCharType="end"/>
      </w:r>
      <w:r w:rsidRPr="007C2582">
        <w:t>. The maximum error and standard deviation of errors of the insecure buses are smaller than those of all buses. However, the average errors for the two categories are almost the same at around 0.6%. Still, this error can be considered acceptable.</w:t>
      </w:r>
    </w:p>
    <w:p w14:paraId="623BF9F1" w14:textId="77777777" w:rsidR="00720985" w:rsidRPr="007C2582" w:rsidRDefault="00720985" w:rsidP="00720985">
      <w:pPr>
        <w:pStyle w:val="Heading3"/>
      </w:pPr>
      <w:bookmarkStart w:id="128" w:name="_Toc459076576"/>
      <w:r>
        <w:t xml:space="preserve">5.4.3 </w:t>
      </w:r>
      <w:r w:rsidRPr="007C2582">
        <w:t>Verification of WALMS w.r.t. Generator Terminal Voltage</w:t>
      </w:r>
      <w:bookmarkEnd w:id="128"/>
    </w:p>
    <w:p w14:paraId="71F1BF12" w14:textId="7C284DB8" w:rsidR="00720985" w:rsidRPr="007C2582" w:rsidRDefault="00720985" w:rsidP="00720985">
      <w:pPr>
        <w:jc w:val="distribute"/>
      </w:pPr>
      <w:r w:rsidRPr="007C2582">
        <w:t>The WALMS w.r.t. generator terminal voltage is calculated based on (</w:t>
      </w:r>
      <w:r>
        <w:t>5-</w:t>
      </w:r>
      <w:r w:rsidRPr="007C2582">
        <w:t>33) to (</w:t>
      </w:r>
      <w:r>
        <w:t>5-</w:t>
      </w:r>
    </w:p>
    <w:p w14:paraId="2B23C27C" w14:textId="77777777" w:rsidR="007C2582" w:rsidRPr="007C2582" w:rsidRDefault="007C2582" w:rsidP="00901C07">
      <w:pPr>
        <w:spacing w:line="240" w:lineRule="auto"/>
        <w:jc w:val="center"/>
        <w:rPr>
          <w:lang w:val="x-none"/>
        </w:rPr>
      </w:pPr>
      <w:r w:rsidRPr="007C2582">
        <w:rPr>
          <w:noProof/>
          <w:lang w:eastAsia="zh-CN"/>
        </w:rPr>
        <w:lastRenderedPageBreak/>
        <w:drawing>
          <wp:inline distT="0" distB="0" distL="0" distR="0" wp14:anchorId="5A835A76" wp14:editId="7C3248A4">
            <wp:extent cx="3160395" cy="23628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160395" cy="2362835"/>
                    </a:xfrm>
                    <a:prstGeom prst="rect">
                      <a:avLst/>
                    </a:prstGeom>
                    <a:noFill/>
                    <a:ln>
                      <a:noFill/>
                    </a:ln>
                  </pic:spPr>
                </pic:pic>
              </a:graphicData>
            </a:graphic>
          </wp:inline>
        </w:drawing>
      </w:r>
    </w:p>
    <w:p w14:paraId="15E8E2AB" w14:textId="77777777" w:rsidR="007C2582" w:rsidRPr="007C2582" w:rsidRDefault="007C2582" w:rsidP="004F29E5">
      <w:pPr>
        <w:numPr>
          <w:ilvl w:val="0"/>
          <w:numId w:val="21"/>
        </w:numPr>
        <w:spacing w:line="240" w:lineRule="auto"/>
        <w:ind w:left="418" w:hanging="418"/>
        <w:jc w:val="center"/>
        <w:rPr>
          <w:lang w:val="x-none"/>
        </w:rPr>
      </w:pPr>
      <w:r w:rsidRPr="007C2582">
        <w:rPr>
          <w:lang w:val="x-none"/>
        </w:rPr>
        <w:t>Matrix of WALMS w.r.t. reactive power injection</w:t>
      </w:r>
      <w:r w:rsidR="004F29E5">
        <w:t>.</w:t>
      </w:r>
    </w:p>
    <w:p w14:paraId="224C88DF" w14:textId="77777777" w:rsidR="007C2582" w:rsidRPr="007C2582" w:rsidRDefault="007C2582" w:rsidP="00901C07">
      <w:pPr>
        <w:spacing w:line="240" w:lineRule="auto"/>
        <w:jc w:val="center"/>
        <w:rPr>
          <w:lang w:val="x-none"/>
        </w:rPr>
      </w:pPr>
      <w:r w:rsidRPr="007C2582">
        <w:rPr>
          <w:noProof/>
          <w:lang w:eastAsia="zh-CN"/>
        </w:rPr>
        <w:drawing>
          <wp:inline distT="0" distB="0" distL="0" distR="0" wp14:anchorId="3019AB5F" wp14:editId="63D035A6">
            <wp:extent cx="3035935" cy="1272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3035935" cy="1272540"/>
                    </a:xfrm>
                    <a:prstGeom prst="rect">
                      <a:avLst/>
                    </a:prstGeom>
                    <a:noFill/>
                    <a:ln>
                      <a:noFill/>
                    </a:ln>
                  </pic:spPr>
                </pic:pic>
              </a:graphicData>
            </a:graphic>
          </wp:inline>
        </w:drawing>
      </w:r>
    </w:p>
    <w:p w14:paraId="6D2BA92D" w14:textId="77777777" w:rsidR="007C2582" w:rsidRPr="007C2582" w:rsidRDefault="007C2582" w:rsidP="004F29E5">
      <w:pPr>
        <w:numPr>
          <w:ilvl w:val="0"/>
          <w:numId w:val="21"/>
        </w:numPr>
        <w:spacing w:line="240" w:lineRule="auto"/>
        <w:ind w:left="418" w:hanging="418"/>
        <w:jc w:val="center"/>
        <w:rPr>
          <w:lang w:val="x-none"/>
        </w:rPr>
      </w:pPr>
      <w:r w:rsidRPr="007C2582">
        <w:rPr>
          <w:lang w:val="x-none"/>
        </w:rPr>
        <w:t>Verification of self-sensitivity of bus 4</w:t>
      </w:r>
      <w:r w:rsidR="004F29E5">
        <w:t>.</w:t>
      </w:r>
    </w:p>
    <w:p w14:paraId="3F061F34" w14:textId="77777777" w:rsidR="007C2582" w:rsidRPr="007C2582" w:rsidRDefault="007C2582" w:rsidP="00901C07">
      <w:pPr>
        <w:spacing w:line="240" w:lineRule="auto"/>
        <w:jc w:val="center"/>
      </w:pPr>
      <w:r w:rsidRPr="007C2582">
        <w:rPr>
          <w:noProof/>
          <w:lang w:eastAsia="zh-CN"/>
        </w:rPr>
        <w:drawing>
          <wp:inline distT="0" distB="0" distL="0" distR="0" wp14:anchorId="45A70EDA" wp14:editId="34F18A1A">
            <wp:extent cx="3035935" cy="12801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035935" cy="1280160"/>
                    </a:xfrm>
                    <a:prstGeom prst="rect">
                      <a:avLst/>
                    </a:prstGeom>
                    <a:noFill/>
                    <a:ln>
                      <a:noFill/>
                    </a:ln>
                  </pic:spPr>
                </pic:pic>
              </a:graphicData>
            </a:graphic>
          </wp:inline>
        </w:drawing>
      </w:r>
    </w:p>
    <w:p w14:paraId="68E7F178" w14:textId="67C5673E" w:rsidR="007C2582" w:rsidRPr="00720985" w:rsidRDefault="007C2582" w:rsidP="00720985">
      <w:pPr>
        <w:pStyle w:val="ListParagraph"/>
        <w:numPr>
          <w:ilvl w:val="0"/>
          <w:numId w:val="21"/>
        </w:numPr>
        <w:spacing w:line="240" w:lineRule="auto"/>
        <w:jc w:val="center"/>
        <w:rPr>
          <w:lang w:val="x-none"/>
        </w:rPr>
      </w:pPr>
      <w:r w:rsidRPr="00720985">
        <w:rPr>
          <w:lang w:val="x-none"/>
        </w:rPr>
        <w:t>Verification of cross-sensitivity of Bus 4 to Bus 8</w:t>
      </w:r>
      <w:r w:rsidR="004F29E5">
        <w:t>.</w:t>
      </w:r>
    </w:p>
    <w:p w14:paraId="252771CC" w14:textId="77777777" w:rsidR="007C2582" w:rsidRPr="007C2582" w:rsidRDefault="00B37C2E" w:rsidP="009D0201">
      <w:pPr>
        <w:pStyle w:val="Caption"/>
      </w:pPr>
      <w:bookmarkStart w:id="129" w:name="_Ref432083150"/>
      <w:bookmarkStart w:id="130" w:name="_Toc459076481"/>
      <w:r>
        <w:t xml:space="preserve">Figure </w:t>
      </w:r>
      <w:fldSimple w:instr=" SEQ Figure \* ARABIC ">
        <w:r w:rsidR="00B0208A">
          <w:rPr>
            <w:noProof/>
          </w:rPr>
          <w:t>30</w:t>
        </w:r>
      </w:fldSimple>
      <w:bookmarkEnd w:id="129"/>
      <w:r w:rsidR="007C2582" w:rsidRPr="007C2582">
        <w:t>. Verification of WALMS w.r.t. the real power injection</w:t>
      </w:r>
      <w:r w:rsidR="004F29E5">
        <w:t>.</w:t>
      </w:r>
      <w:bookmarkEnd w:id="130"/>
    </w:p>
    <w:p w14:paraId="7545537B" w14:textId="1E57124C" w:rsidR="007C2582" w:rsidRPr="007C2582" w:rsidRDefault="00B37C2E" w:rsidP="009D0201">
      <w:pPr>
        <w:pStyle w:val="Caption"/>
      </w:pPr>
      <w:bookmarkStart w:id="131" w:name="_Ref432083180"/>
      <w:bookmarkStart w:id="132" w:name="_Toc459076666"/>
      <w:r>
        <w:t xml:space="preserve">Table </w:t>
      </w:r>
      <w:fldSimple w:instr=" SEQ Table \* ARABIC ">
        <w:r w:rsidR="00656B13">
          <w:rPr>
            <w:noProof/>
          </w:rPr>
          <w:t>9</w:t>
        </w:r>
      </w:fldSimple>
      <w:bookmarkEnd w:id="131"/>
      <w:r w:rsidR="00CC759C">
        <w:t>:</w:t>
      </w:r>
      <w:r w:rsidR="007C2582" w:rsidRPr="007C2582">
        <w:t xml:space="preserve"> Errors of WALMS to Real Power</w:t>
      </w:r>
      <w:bookmarkEnd w:id="132"/>
    </w:p>
    <w:tbl>
      <w:tblPr>
        <w:tblW w:w="0" w:type="auto"/>
        <w:jc w:val="center"/>
        <w:tblBorders>
          <w:top w:val="single" w:sz="12" w:space="0" w:color="000000"/>
          <w:bottom w:val="single" w:sz="12" w:space="0" w:color="000000"/>
        </w:tblBorders>
        <w:tblLook w:val="04A0" w:firstRow="1" w:lastRow="0" w:firstColumn="1" w:lastColumn="0" w:noHBand="0" w:noVBand="1"/>
      </w:tblPr>
      <w:tblGrid>
        <w:gridCol w:w="2174"/>
        <w:gridCol w:w="1405"/>
        <w:gridCol w:w="2105"/>
      </w:tblGrid>
      <w:tr w:rsidR="007C2582" w:rsidRPr="007C2582" w14:paraId="1C00E13E" w14:textId="77777777" w:rsidTr="00B37C2E">
        <w:trPr>
          <w:jc w:val="center"/>
        </w:trPr>
        <w:tc>
          <w:tcPr>
            <w:tcW w:w="2174" w:type="dxa"/>
            <w:tcBorders>
              <w:bottom w:val="single" w:sz="6" w:space="0" w:color="000000"/>
              <w:right w:val="single" w:sz="6" w:space="0" w:color="000000"/>
            </w:tcBorders>
            <w:shd w:val="clear" w:color="auto" w:fill="auto"/>
          </w:tcPr>
          <w:p w14:paraId="7FA0949C" w14:textId="77777777" w:rsidR="007C2582" w:rsidRPr="007C2582" w:rsidRDefault="007C2582" w:rsidP="00B37C2E">
            <w:pPr>
              <w:spacing w:line="240" w:lineRule="auto"/>
              <w:jc w:val="center"/>
              <w:rPr>
                <w:i/>
                <w:iCs/>
                <w:lang w:val="x-none"/>
              </w:rPr>
            </w:pPr>
          </w:p>
        </w:tc>
        <w:tc>
          <w:tcPr>
            <w:tcW w:w="1405" w:type="dxa"/>
            <w:tcBorders>
              <w:bottom w:val="single" w:sz="6" w:space="0" w:color="000000"/>
            </w:tcBorders>
            <w:shd w:val="clear" w:color="auto" w:fill="auto"/>
          </w:tcPr>
          <w:p w14:paraId="4E72197C" w14:textId="77777777" w:rsidR="007C2582" w:rsidRPr="007C2582" w:rsidRDefault="007C2582" w:rsidP="00B37C2E">
            <w:pPr>
              <w:spacing w:line="240" w:lineRule="auto"/>
              <w:ind w:firstLine="0"/>
              <w:jc w:val="center"/>
              <w:rPr>
                <w:i/>
                <w:iCs/>
                <w:lang w:val="x-none"/>
              </w:rPr>
            </w:pPr>
            <w:r w:rsidRPr="007C2582">
              <w:rPr>
                <w:i/>
                <w:iCs/>
                <w:lang w:val="x-none"/>
              </w:rPr>
              <w:t>All buses</w:t>
            </w:r>
          </w:p>
        </w:tc>
        <w:tc>
          <w:tcPr>
            <w:tcW w:w="2105" w:type="dxa"/>
            <w:tcBorders>
              <w:bottom w:val="single" w:sz="6" w:space="0" w:color="000000"/>
            </w:tcBorders>
            <w:shd w:val="clear" w:color="auto" w:fill="auto"/>
          </w:tcPr>
          <w:p w14:paraId="0A488AC8" w14:textId="77777777" w:rsidR="007C2582" w:rsidRPr="007C2582" w:rsidRDefault="007C2582" w:rsidP="00B37C2E">
            <w:pPr>
              <w:spacing w:line="240" w:lineRule="auto"/>
              <w:ind w:firstLine="0"/>
              <w:jc w:val="center"/>
              <w:rPr>
                <w:i/>
                <w:iCs/>
                <w:lang w:val="x-none"/>
              </w:rPr>
            </w:pPr>
            <w:r w:rsidRPr="007C2582">
              <w:rPr>
                <w:i/>
                <w:iCs/>
                <w:lang w:val="x-none"/>
              </w:rPr>
              <w:t>Bus 4, 7, 8, and 15</w:t>
            </w:r>
          </w:p>
        </w:tc>
      </w:tr>
      <w:tr w:rsidR="007C2582" w:rsidRPr="007C2582" w14:paraId="6F62CD8C" w14:textId="77777777" w:rsidTr="00B37C2E">
        <w:trPr>
          <w:jc w:val="center"/>
        </w:trPr>
        <w:tc>
          <w:tcPr>
            <w:tcW w:w="2174" w:type="dxa"/>
            <w:tcBorders>
              <w:right w:val="single" w:sz="6" w:space="0" w:color="000000"/>
            </w:tcBorders>
            <w:shd w:val="clear" w:color="auto" w:fill="auto"/>
          </w:tcPr>
          <w:p w14:paraId="68CDBF0B" w14:textId="77777777" w:rsidR="007C2582" w:rsidRPr="007C2582" w:rsidRDefault="007C2582" w:rsidP="00B37C2E">
            <w:pPr>
              <w:spacing w:line="240" w:lineRule="auto"/>
              <w:ind w:firstLine="0"/>
              <w:jc w:val="center"/>
              <w:rPr>
                <w:lang w:val="x-none"/>
              </w:rPr>
            </w:pPr>
            <w:r w:rsidRPr="007C2582">
              <w:rPr>
                <w:lang w:val="x-none"/>
              </w:rPr>
              <w:t>Max. Error (%)</w:t>
            </w:r>
          </w:p>
        </w:tc>
        <w:tc>
          <w:tcPr>
            <w:tcW w:w="1405" w:type="dxa"/>
            <w:shd w:val="clear" w:color="auto" w:fill="auto"/>
          </w:tcPr>
          <w:p w14:paraId="3826F9B0" w14:textId="77777777" w:rsidR="007C2582" w:rsidRPr="007C2582" w:rsidRDefault="007C2582" w:rsidP="00B37C2E">
            <w:pPr>
              <w:spacing w:line="240" w:lineRule="auto"/>
              <w:ind w:firstLine="0"/>
              <w:jc w:val="center"/>
              <w:rPr>
                <w:lang w:val="x-none"/>
              </w:rPr>
            </w:pPr>
            <w:r w:rsidRPr="007C2582">
              <w:rPr>
                <w:lang w:val="x-none"/>
              </w:rPr>
              <w:t>2.65%</w:t>
            </w:r>
          </w:p>
        </w:tc>
        <w:tc>
          <w:tcPr>
            <w:tcW w:w="2105" w:type="dxa"/>
            <w:shd w:val="clear" w:color="auto" w:fill="auto"/>
          </w:tcPr>
          <w:p w14:paraId="4A45B5F8" w14:textId="77777777" w:rsidR="007C2582" w:rsidRPr="007C2582" w:rsidRDefault="007C2582" w:rsidP="00B37C2E">
            <w:pPr>
              <w:spacing w:line="240" w:lineRule="auto"/>
              <w:ind w:firstLine="0"/>
              <w:jc w:val="center"/>
              <w:rPr>
                <w:lang w:val="x-none"/>
              </w:rPr>
            </w:pPr>
            <w:r w:rsidRPr="007C2582">
              <w:rPr>
                <w:lang w:val="x-none"/>
              </w:rPr>
              <w:t>1.23%</w:t>
            </w:r>
          </w:p>
        </w:tc>
      </w:tr>
      <w:tr w:rsidR="007C2582" w:rsidRPr="007C2582" w14:paraId="331A6825" w14:textId="77777777" w:rsidTr="00B37C2E">
        <w:trPr>
          <w:jc w:val="center"/>
        </w:trPr>
        <w:tc>
          <w:tcPr>
            <w:tcW w:w="2174" w:type="dxa"/>
            <w:tcBorders>
              <w:right w:val="single" w:sz="6" w:space="0" w:color="000000"/>
            </w:tcBorders>
            <w:shd w:val="clear" w:color="auto" w:fill="auto"/>
          </w:tcPr>
          <w:p w14:paraId="3C7467A0" w14:textId="77777777" w:rsidR="007C2582" w:rsidRPr="007C2582" w:rsidRDefault="007C2582" w:rsidP="00B37C2E">
            <w:pPr>
              <w:spacing w:line="240" w:lineRule="auto"/>
              <w:ind w:firstLine="0"/>
              <w:jc w:val="center"/>
              <w:rPr>
                <w:lang w:val="x-none"/>
              </w:rPr>
            </w:pPr>
            <w:r w:rsidRPr="007C2582">
              <w:rPr>
                <w:lang w:val="x-none"/>
              </w:rPr>
              <w:t>Ave. Error (%)</w:t>
            </w:r>
          </w:p>
        </w:tc>
        <w:tc>
          <w:tcPr>
            <w:tcW w:w="1405" w:type="dxa"/>
            <w:shd w:val="clear" w:color="auto" w:fill="auto"/>
          </w:tcPr>
          <w:p w14:paraId="58B83107" w14:textId="77777777" w:rsidR="007C2582" w:rsidRPr="007C2582" w:rsidRDefault="007C2582" w:rsidP="00B37C2E">
            <w:pPr>
              <w:spacing w:line="240" w:lineRule="auto"/>
              <w:ind w:firstLine="0"/>
              <w:jc w:val="center"/>
              <w:rPr>
                <w:lang w:val="x-none"/>
              </w:rPr>
            </w:pPr>
            <w:r w:rsidRPr="007C2582">
              <w:rPr>
                <w:lang w:val="x-none"/>
              </w:rPr>
              <w:t>0.61%</w:t>
            </w:r>
          </w:p>
        </w:tc>
        <w:tc>
          <w:tcPr>
            <w:tcW w:w="2105" w:type="dxa"/>
            <w:shd w:val="clear" w:color="auto" w:fill="auto"/>
          </w:tcPr>
          <w:p w14:paraId="2D3DB375" w14:textId="77777777" w:rsidR="007C2582" w:rsidRPr="007C2582" w:rsidRDefault="007C2582" w:rsidP="00B37C2E">
            <w:pPr>
              <w:spacing w:line="240" w:lineRule="auto"/>
              <w:ind w:firstLine="0"/>
              <w:jc w:val="center"/>
              <w:rPr>
                <w:lang w:val="x-none"/>
              </w:rPr>
            </w:pPr>
            <w:r w:rsidRPr="007C2582">
              <w:rPr>
                <w:lang w:val="x-none"/>
              </w:rPr>
              <w:t>0.68%</w:t>
            </w:r>
          </w:p>
        </w:tc>
      </w:tr>
      <w:tr w:rsidR="007C2582" w:rsidRPr="007C2582" w14:paraId="263941A4" w14:textId="77777777" w:rsidTr="00B37C2E">
        <w:trPr>
          <w:jc w:val="center"/>
        </w:trPr>
        <w:tc>
          <w:tcPr>
            <w:tcW w:w="2174" w:type="dxa"/>
            <w:tcBorders>
              <w:right w:val="single" w:sz="6" w:space="0" w:color="000000"/>
            </w:tcBorders>
            <w:shd w:val="clear" w:color="auto" w:fill="auto"/>
          </w:tcPr>
          <w:p w14:paraId="171A28B6" w14:textId="77777777" w:rsidR="007C2582" w:rsidRPr="007C2582" w:rsidRDefault="007C2582" w:rsidP="00B37C2E">
            <w:pPr>
              <w:spacing w:line="240" w:lineRule="auto"/>
              <w:ind w:firstLine="0"/>
              <w:jc w:val="center"/>
              <w:rPr>
                <w:lang w:val="x-none"/>
              </w:rPr>
            </w:pPr>
            <w:r w:rsidRPr="007C2582">
              <w:rPr>
                <w:lang w:val="x-none"/>
              </w:rPr>
              <w:t>Std. Dev. (%)</w:t>
            </w:r>
          </w:p>
        </w:tc>
        <w:tc>
          <w:tcPr>
            <w:tcW w:w="1405" w:type="dxa"/>
            <w:shd w:val="clear" w:color="auto" w:fill="auto"/>
          </w:tcPr>
          <w:p w14:paraId="61989CB7" w14:textId="77777777" w:rsidR="007C2582" w:rsidRPr="007C2582" w:rsidRDefault="007C2582" w:rsidP="00B37C2E">
            <w:pPr>
              <w:spacing w:line="240" w:lineRule="auto"/>
              <w:ind w:firstLine="0"/>
              <w:jc w:val="center"/>
              <w:rPr>
                <w:lang w:val="x-none"/>
              </w:rPr>
            </w:pPr>
            <w:r w:rsidRPr="007C2582">
              <w:rPr>
                <w:lang w:val="x-none"/>
              </w:rPr>
              <w:t>0.44%</w:t>
            </w:r>
          </w:p>
        </w:tc>
        <w:tc>
          <w:tcPr>
            <w:tcW w:w="2105" w:type="dxa"/>
            <w:shd w:val="clear" w:color="auto" w:fill="auto"/>
          </w:tcPr>
          <w:p w14:paraId="36C10713" w14:textId="77777777" w:rsidR="007C2582" w:rsidRPr="007C2582" w:rsidRDefault="007C2582" w:rsidP="00B37C2E">
            <w:pPr>
              <w:spacing w:line="240" w:lineRule="auto"/>
              <w:ind w:firstLine="0"/>
              <w:jc w:val="center"/>
              <w:rPr>
                <w:lang w:val="x-none"/>
              </w:rPr>
            </w:pPr>
            <w:r w:rsidRPr="007C2582">
              <w:rPr>
                <w:lang w:val="x-none"/>
              </w:rPr>
              <w:t>0.37%</w:t>
            </w:r>
          </w:p>
        </w:tc>
      </w:tr>
    </w:tbl>
    <w:p w14:paraId="71C56F9D" w14:textId="77777777" w:rsidR="00720985" w:rsidRDefault="00720985" w:rsidP="007C2582"/>
    <w:p w14:paraId="4BC962FE" w14:textId="77777777" w:rsidR="00720985" w:rsidRDefault="00720985">
      <w:r>
        <w:br w:type="page"/>
      </w:r>
    </w:p>
    <w:p w14:paraId="486ACF5E" w14:textId="58457863" w:rsidR="007C2582" w:rsidRDefault="007C2582" w:rsidP="00720985">
      <w:pPr>
        <w:spacing w:after="120"/>
        <w:ind w:firstLine="0"/>
      </w:pPr>
      <w:r w:rsidRPr="007C2582">
        <w:lastRenderedPageBreak/>
        <w:t>35). The sensitivity matrix, [∂</w:t>
      </w:r>
      <w:r w:rsidRPr="007C2582">
        <w:rPr>
          <w:b/>
        </w:rPr>
        <w:t>λ</w:t>
      </w:r>
      <w:r w:rsidRPr="007C2582">
        <w:t>/∂</w:t>
      </w:r>
      <w:r w:rsidRPr="007C2582">
        <w:rPr>
          <w:b/>
          <w:i/>
        </w:rPr>
        <w:t>V</w:t>
      </w:r>
      <w:r w:rsidRPr="007C2582">
        <w:rPr>
          <w:i/>
          <w:vertAlign w:val="subscript"/>
        </w:rPr>
        <w:t>G</w:t>
      </w:r>
      <w:r w:rsidRPr="007C2582">
        <w:t xml:space="preserve">], is shown in </w:t>
      </w:r>
      <w:r w:rsidR="00B37C2E">
        <w:fldChar w:fldCharType="begin"/>
      </w:r>
      <w:r w:rsidR="00B37C2E">
        <w:instrText xml:space="preserve"> REF _Ref432083481 \h </w:instrText>
      </w:r>
      <w:r w:rsidR="00B37C2E">
        <w:fldChar w:fldCharType="separate"/>
      </w:r>
      <w:r w:rsidR="00656B13">
        <w:t xml:space="preserve">Figure </w:t>
      </w:r>
      <w:r w:rsidR="00656B13">
        <w:rPr>
          <w:noProof/>
        </w:rPr>
        <w:t>31</w:t>
      </w:r>
      <w:r w:rsidR="00B37C2E">
        <w:fldChar w:fldCharType="end"/>
      </w:r>
      <w:r w:rsidRPr="007C2582">
        <w:t>(a). Note that the values shown in the figure are the values of the actual sensitivities, scaled by 0.05. This is because the upper bound of voltage variation is usually limited by the ability of the reactive power the generator can supply and usually a variation of 0.05 p.u. in terminal voltage is a large amount. Scaling by 0.05, the values are more comparable to the previous two types of sensitivities. Similarly, the generators near the load buses tend to have larger impact. Take bus 29 for example, the largest sensitivity is the one w.r.t. to generator 38, which is the nearest generator bus.</w:t>
      </w:r>
    </w:p>
    <w:p w14:paraId="44A22AEE" w14:textId="77777777" w:rsidR="007C2582" w:rsidRPr="007C2582" w:rsidRDefault="007C2582" w:rsidP="00901C07">
      <w:pPr>
        <w:spacing w:line="240" w:lineRule="auto"/>
        <w:jc w:val="center"/>
        <w:rPr>
          <w:lang w:val="x-none"/>
        </w:rPr>
      </w:pPr>
      <w:r w:rsidRPr="007C2582">
        <w:rPr>
          <w:noProof/>
          <w:lang w:eastAsia="zh-CN"/>
        </w:rPr>
        <w:drawing>
          <wp:inline distT="0" distB="0" distL="0" distR="0" wp14:anchorId="314BD72C" wp14:editId="458A70A6">
            <wp:extent cx="2751727" cy="20984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752552" cy="2099060"/>
                    </a:xfrm>
                    <a:prstGeom prst="rect">
                      <a:avLst/>
                    </a:prstGeom>
                    <a:noFill/>
                    <a:ln>
                      <a:noFill/>
                    </a:ln>
                  </pic:spPr>
                </pic:pic>
              </a:graphicData>
            </a:graphic>
          </wp:inline>
        </w:drawing>
      </w:r>
    </w:p>
    <w:p w14:paraId="1C55C7E0" w14:textId="291A3445" w:rsidR="007C2582" w:rsidRPr="004F29E5" w:rsidRDefault="007C2582" w:rsidP="00720985">
      <w:pPr>
        <w:pStyle w:val="ListParagraph"/>
        <w:numPr>
          <w:ilvl w:val="0"/>
          <w:numId w:val="35"/>
        </w:numPr>
        <w:spacing w:line="240" w:lineRule="auto"/>
        <w:jc w:val="center"/>
      </w:pPr>
      <w:r w:rsidRPr="00720985">
        <w:rPr>
          <w:lang w:val="x-none"/>
        </w:rPr>
        <w:t>Matrix of WALMS w.r.t. generator terminal voltage</w:t>
      </w:r>
      <w:r w:rsidR="004F29E5">
        <w:t>.</w:t>
      </w:r>
    </w:p>
    <w:p w14:paraId="21E1A6EE" w14:textId="77777777" w:rsidR="007C2582" w:rsidRPr="007C2582" w:rsidRDefault="007C2582" w:rsidP="00901C07">
      <w:pPr>
        <w:spacing w:line="240" w:lineRule="auto"/>
        <w:jc w:val="center"/>
        <w:rPr>
          <w:lang w:val="x-none"/>
        </w:rPr>
      </w:pPr>
      <w:r w:rsidRPr="007C2582">
        <w:rPr>
          <w:noProof/>
          <w:lang w:eastAsia="zh-CN"/>
        </w:rPr>
        <w:drawing>
          <wp:inline distT="0" distB="0" distL="0" distR="0" wp14:anchorId="6B107CF3" wp14:editId="72965EA6">
            <wp:extent cx="2926080" cy="12433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926080" cy="1243330"/>
                    </a:xfrm>
                    <a:prstGeom prst="rect">
                      <a:avLst/>
                    </a:prstGeom>
                    <a:noFill/>
                    <a:ln>
                      <a:noFill/>
                    </a:ln>
                  </pic:spPr>
                </pic:pic>
              </a:graphicData>
            </a:graphic>
          </wp:inline>
        </w:drawing>
      </w:r>
    </w:p>
    <w:p w14:paraId="68CDC808" w14:textId="6F5DCE04" w:rsidR="00901C07" w:rsidRPr="00901C07" w:rsidRDefault="007C2582" w:rsidP="00720985">
      <w:pPr>
        <w:pStyle w:val="ListParagraph"/>
        <w:numPr>
          <w:ilvl w:val="0"/>
          <w:numId w:val="34"/>
        </w:numPr>
        <w:spacing w:line="240" w:lineRule="auto"/>
        <w:jc w:val="center"/>
      </w:pPr>
      <w:r w:rsidRPr="00901C07">
        <w:rPr>
          <w:lang w:val="x-none"/>
        </w:rPr>
        <w:t>Verification of sensitivity of bus 4 to terminal voltage of bus 32</w:t>
      </w:r>
      <w:bookmarkStart w:id="133" w:name="_Ref432083481"/>
      <w:r w:rsidR="004F29E5">
        <w:t>.</w:t>
      </w:r>
    </w:p>
    <w:p w14:paraId="397FD75D" w14:textId="77777777" w:rsidR="007C2582" w:rsidRPr="007C2582" w:rsidRDefault="00B37C2E" w:rsidP="00901C07">
      <w:pPr>
        <w:spacing w:line="240" w:lineRule="auto"/>
        <w:ind w:firstLine="0"/>
        <w:jc w:val="center"/>
      </w:pPr>
      <w:bookmarkStart w:id="134" w:name="_Toc459076482"/>
      <w:r>
        <w:t xml:space="preserve">Figure </w:t>
      </w:r>
      <w:fldSimple w:instr=" SEQ Figure \* ARABIC ">
        <w:r w:rsidR="00B0208A">
          <w:rPr>
            <w:noProof/>
          </w:rPr>
          <w:t>31</w:t>
        </w:r>
      </w:fldSimple>
      <w:bookmarkEnd w:id="133"/>
      <w:r w:rsidR="007C2582" w:rsidRPr="007C2582">
        <w:t>. Verification of WALMS w.r.t. generator terminal voltage</w:t>
      </w:r>
      <w:r w:rsidR="004F29E5">
        <w:t>.</w:t>
      </w:r>
      <w:bookmarkEnd w:id="134"/>
    </w:p>
    <w:p w14:paraId="7875D94F" w14:textId="77777777" w:rsidR="00901C07" w:rsidRPr="007C2582" w:rsidRDefault="00901C07" w:rsidP="00720985">
      <w:pPr>
        <w:spacing w:before="360" w:after="120"/>
      </w:pPr>
      <w:bookmarkStart w:id="135" w:name="_Ref432083515"/>
      <w:r w:rsidRPr="007C2582">
        <w:t xml:space="preserve">The largest sensitivity of bus 4, the WALMS of bus 4 to generator terminal voltage at bus 32 is depicted in detail in </w:t>
      </w:r>
      <w:r>
        <w:fldChar w:fldCharType="begin"/>
      </w:r>
      <w:r>
        <w:instrText xml:space="preserve"> REF _Ref432083481 \h </w:instrText>
      </w:r>
      <w:r>
        <w:fldChar w:fldCharType="separate"/>
      </w:r>
      <w:r>
        <w:t xml:space="preserve">Figure </w:t>
      </w:r>
      <w:r>
        <w:rPr>
          <w:noProof/>
        </w:rPr>
        <w:t>31</w:t>
      </w:r>
      <w:r>
        <w:fldChar w:fldCharType="end"/>
      </w:r>
      <w:r w:rsidRPr="007C2582">
        <w:t xml:space="preserve">(b). The errors of the sensitivity matrix </w:t>
      </w:r>
      <w:r w:rsidRPr="007C2582">
        <w:lastRenderedPageBreak/>
        <w:t xml:space="preserve">are summarized in </w:t>
      </w:r>
      <w:r>
        <w:fldChar w:fldCharType="begin"/>
      </w:r>
      <w:r>
        <w:instrText xml:space="preserve"> REF _Ref432083515 \h </w:instrText>
      </w:r>
      <w:r>
        <w:fldChar w:fldCharType="separate"/>
      </w:r>
      <w:r>
        <w:t xml:space="preserve">Table </w:t>
      </w:r>
      <w:r>
        <w:rPr>
          <w:noProof/>
        </w:rPr>
        <w:t>10</w:t>
      </w:r>
      <w:r>
        <w:fldChar w:fldCharType="end"/>
      </w:r>
      <w:r w:rsidRPr="007C2582">
        <w:t>. According to the table, the errors for all buses are similar to the previous two types, and the errors for the insecure buses are significantly smaller.</w:t>
      </w:r>
    </w:p>
    <w:p w14:paraId="5C1E9353" w14:textId="77777777" w:rsidR="007C2582" w:rsidRPr="007C2582" w:rsidRDefault="00B37C2E" w:rsidP="009D0201">
      <w:pPr>
        <w:pStyle w:val="Caption"/>
      </w:pPr>
      <w:bookmarkStart w:id="136" w:name="_Toc459076667"/>
      <w:r>
        <w:t xml:space="preserve">Table </w:t>
      </w:r>
      <w:fldSimple w:instr=" SEQ Table \* ARABIC ">
        <w:r w:rsidR="00656B13">
          <w:rPr>
            <w:noProof/>
          </w:rPr>
          <w:t>10</w:t>
        </w:r>
      </w:fldSimple>
      <w:bookmarkEnd w:id="135"/>
      <w:r w:rsidR="00CC759C">
        <w:t>:</w:t>
      </w:r>
      <w:r w:rsidR="007C2582" w:rsidRPr="007C2582">
        <w:t xml:space="preserve"> Errors of WALMS to Generator Terminal Voltage</w:t>
      </w:r>
      <w:bookmarkEnd w:id="136"/>
    </w:p>
    <w:tbl>
      <w:tblPr>
        <w:tblW w:w="0" w:type="auto"/>
        <w:jc w:val="center"/>
        <w:tblBorders>
          <w:top w:val="single" w:sz="12" w:space="0" w:color="000000"/>
          <w:bottom w:val="single" w:sz="12" w:space="0" w:color="000000"/>
        </w:tblBorders>
        <w:tblLook w:val="04A0" w:firstRow="1" w:lastRow="0" w:firstColumn="1" w:lastColumn="0" w:noHBand="0" w:noVBand="1"/>
      </w:tblPr>
      <w:tblGrid>
        <w:gridCol w:w="1755"/>
        <w:gridCol w:w="1343"/>
        <w:gridCol w:w="2077"/>
      </w:tblGrid>
      <w:tr w:rsidR="007C2582" w:rsidRPr="007C2582" w14:paraId="4A20F676" w14:textId="77777777" w:rsidTr="00B37C2E">
        <w:trPr>
          <w:jc w:val="center"/>
        </w:trPr>
        <w:tc>
          <w:tcPr>
            <w:tcW w:w="1755" w:type="dxa"/>
            <w:tcBorders>
              <w:bottom w:val="single" w:sz="6" w:space="0" w:color="000000"/>
              <w:right w:val="single" w:sz="6" w:space="0" w:color="000000"/>
            </w:tcBorders>
            <w:shd w:val="clear" w:color="auto" w:fill="auto"/>
          </w:tcPr>
          <w:p w14:paraId="1C06B916" w14:textId="77777777" w:rsidR="007C2582" w:rsidRPr="007C2582" w:rsidRDefault="007C2582" w:rsidP="00B37C2E">
            <w:pPr>
              <w:spacing w:line="240" w:lineRule="auto"/>
              <w:jc w:val="center"/>
              <w:rPr>
                <w:i/>
                <w:iCs/>
                <w:lang w:val="x-none"/>
              </w:rPr>
            </w:pPr>
          </w:p>
        </w:tc>
        <w:tc>
          <w:tcPr>
            <w:tcW w:w="1343" w:type="dxa"/>
            <w:tcBorders>
              <w:bottom w:val="single" w:sz="6" w:space="0" w:color="000000"/>
            </w:tcBorders>
            <w:shd w:val="clear" w:color="auto" w:fill="auto"/>
          </w:tcPr>
          <w:p w14:paraId="48F743FA" w14:textId="77777777" w:rsidR="007C2582" w:rsidRPr="007C2582" w:rsidRDefault="00B37C2E" w:rsidP="00B37C2E">
            <w:pPr>
              <w:spacing w:line="240" w:lineRule="auto"/>
              <w:ind w:firstLine="0"/>
              <w:jc w:val="center"/>
              <w:rPr>
                <w:i/>
                <w:iCs/>
                <w:lang w:val="x-none"/>
              </w:rPr>
            </w:pPr>
            <w:r>
              <w:rPr>
                <w:i/>
                <w:iCs/>
              </w:rPr>
              <w:t>A</w:t>
            </w:r>
            <w:r w:rsidR="007C2582" w:rsidRPr="007C2582">
              <w:rPr>
                <w:i/>
                <w:iCs/>
                <w:lang w:val="x-none"/>
              </w:rPr>
              <w:t>ll buses</w:t>
            </w:r>
          </w:p>
        </w:tc>
        <w:tc>
          <w:tcPr>
            <w:tcW w:w="2077" w:type="dxa"/>
            <w:tcBorders>
              <w:bottom w:val="single" w:sz="6" w:space="0" w:color="000000"/>
            </w:tcBorders>
            <w:shd w:val="clear" w:color="auto" w:fill="auto"/>
          </w:tcPr>
          <w:p w14:paraId="50F7B67F" w14:textId="77777777" w:rsidR="007C2582" w:rsidRPr="007C2582" w:rsidRDefault="007C2582" w:rsidP="00B37C2E">
            <w:pPr>
              <w:spacing w:line="240" w:lineRule="auto"/>
              <w:ind w:firstLine="0"/>
              <w:jc w:val="center"/>
              <w:rPr>
                <w:i/>
                <w:iCs/>
                <w:lang w:val="x-none"/>
              </w:rPr>
            </w:pPr>
            <w:r w:rsidRPr="007C2582">
              <w:rPr>
                <w:i/>
                <w:iCs/>
                <w:lang w:val="x-none"/>
              </w:rPr>
              <w:t>Bus 4, 7, 8 and 15</w:t>
            </w:r>
          </w:p>
        </w:tc>
      </w:tr>
      <w:tr w:rsidR="007C2582" w:rsidRPr="007C2582" w14:paraId="0EBDC7AE" w14:textId="77777777" w:rsidTr="00B37C2E">
        <w:trPr>
          <w:jc w:val="center"/>
        </w:trPr>
        <w:tc>
          <w:tcPr>
            <w:tcW w:w="1755" w:type="dxa"/>
            <w:tcBorders>
              <w:right w:val="single" w:sz="6" w:space="0" w:color="000000"/>
            </w:tcBorders>
            <w:shd w:val="clear" w:color="auto" w:fill="auto"/>
          </w:tcPr>
          <w:p w14:paraId="6D9BDBEA" w14:textId="77777777" w:rsidR="007C2582" w:rsidRPr="007C2582" w:rsidRDefault="007C2582" w:rsidP="00B37C2E">
            <w:pPr>
              <w:spacing w:line="240" w:lineRule="auto"/>
              <w:ind w:firstLine="0"/>
              <w:jc w:val="center"/>
              <w:rPr>
                <w:lang w:val="x-none"/>
              </w:rPr>
            </w:pPr>
            <w:r w:rsidRPr="007C2582">
              <w:rPr>
                <w:lang w:val="x-none"/>
              </w:rPr>
              <w:t>Max. Error (%)</w:t>
            </w:r>
          </w:p>
        </w:tc>
        <w:tc>
          <w:tcPr>
            <w:tcW w:w="1343" w:type="dxa"/>
            <w:shd w:val="clear" w:color="auto" w:fill="auto"/>
          </w:tcPr>
          <w:p w14:paraId="0F50920D" w14:textId="77777777" w:rsidR="007C2582" w:rsidRPr="007C2582" w:rsidRDefault="007C2582" w:rsidP="00B37C2E">
            <w:pPr>
              <w:spacing w:line="240" w:lineRule="auto"/>
              <w:ind w:firstLine="0"/>
              <w:jc w:val="center"/>
              <w:rPr>
                <w:lang w:val="x-none"/>
              </w:rPr>
            </w:pPr>
            <w:r w:rsidRPr="007C2582">
              <w:rPr>
                <w:lang w:val="x-none"/>
              </w:rPr>
              <w:t>3.15%</w:t>
            </w:r>
          </w:p>
        </w:tc>
        <w:tc>
          <w:tcPr>
            <w:tcW w:w="2077" w:type="dxa"/>
            <w:shd w:val="clear" w:color="auto" w:fill="auto"/>
          </w:tcPr>
          <w:p w14:paraId="20FFC1E2" w14:textId="77777777" w:rsidR="007C2582" w:rsidRPr="007C2582" w:rsidRDefault="007C2582" w:rsidP="00B37C2E">
            <w:pPr>
              <w:spacing w:line="240" w:lineRule="auto"/>
              <w:ind w:firstLine="0"/>
              <w:jc w:val="center"/>
              <w:rPr>
                <w:lang w:val="x-none"/>
              </w:rPr>
            </w:pPr>
            <w:r w:rsidRPr="007C2582">
              <w:rPr>
                <w:lang w:val="x-none"/>
              </w:rPr>
              <w:t>0.56%</w:t>
            </w:r>
          </w:p>
        </w:tc>
      </w:tr>
      <w:tr w:rsidR="007C2582" w:rsidRPr="007C2582" w14:paraId="23673624" w14:textId="77777777" w:rsidTr="00B37C2E">
        <w:trPr>
          <w:jc w:val="center"/>
        </w:trPr>
        <w:tc>
          <w:tcPr>
            <w:tcW w:w="1755" w:type="dxa"/>
            <w:tcBorders>
              <w:right w:val="single" w:sz="6" w:space="0" w:color="000000"/>
            </w:tcBorders>
            <w:shd w:val="clear" w:color="auto" w:fill="auto"/>
          </w:tcPr>
          <w:p w14:paraId="21A22A1E" w14:textId="77777777" w:rsidR="007C2582" w:rsidRPr="007C2582" w:rsidRDefault="007C2582" w:rsidP="00B37C2E">
            <w:pPr>
              <w:spacing w:line="240" w:lineRule="auto"/>
              <w:ind w:firstLine="0"/>
              <w:jc w:val="center"/>
              <w:rPr>
                <w:lang w:val="x-none"/>
              </w:rPr>
            </w:pPr>
            <w:r w:rsidRPr="007C2582">
              <w:rPr>
                <w:lang w:val="x-none"/>
              </w:rPr>
              <w:t>Ave. Error (%)</w:t>
            </w:r>
          </w:p>
        </w:tc>
        <w:tc>
          <w:tcPr>
            <w:tcW w:w="1343" w:type="dxa"/>
            <w:shd w:val="clear" w:color="auto" w:fill="auto"/>
          </w:tcPr>
          <w:p w14:paraId="65367472" w14:textId="77777777" w:rsidR="007C2582" w:rsidRPr="007C2582" w:rsidRDefault="007C2582" w:rsidP="00B37C2E">
            <w:pPr>
              <w:spacing w:line="240" w:lineRule="auto"/>
              <w:ind w:firstLine="0"/>
              <w:jc w:val="center"/>
              <w:rPr>
                <w:lang w:val="x-none"/>
              </w:rPr>
            </w:pPr>
            <w:r w:rsidRPr="007C2582">
              <w:rPr>
                <w:lang w:val="x-none"/>
              </w:rPr>
              <w:t>0.65%</w:t>
            </w:r>
          </w:p>
        </w:tc>
        <w:tc>
          <w:tcPr>
            <w:tcW w:w="2077" w:type="dxa"/>
            <w:shd w:val="clear" w:color="auto" w:fill="auto"/>
          </w:tcPr>
          <w:p w14:paraId="751E386A" w14:textId="77777777" w:rsidR="007C2582" w:rsidRPr="007C2582" w:rsidRDefault="007C2582" w:rsidP="00B37C2E">
            <w:pPr>
              <w:spacing w:line="240" w:lineRule="auto"/>
              <w:ind w:firstLine="0"/>
              <w:jc w:val="center"/>
              <w:rPr>
                <w:lang w:val="x-none"/>
              </w:rPr>
            </w:pPr>
            <w:r w:rsidRPr="007C2582">
              <w:rPr>
                <w:lang w:val="x-none"/>
              </w:rPr>
              <w:t>0.25%</w:t>
            </w:r>
          </w:p>
        </w:tc>
      </w:tr>
      <w:tr w:rsidR="007C2582" w:rsidRPr="007C2582" w14:paraId="443FC641" w14:textId="77777777" w:rsidTr="00B37C2E">
        <w:trPr>
          <w:jc w:val="center"/>
        </w:trPr>
        <w:tc>
          <w:tcPr>
            <w:tcW w:w="1755" w:type="dxa"/>
            <w:tcBorders>
              <w:right w:val="single" w:sz="6" w:space="0" w:color="000000"/>
            </w:tcBorders>
            <w:shd w:val="clear" w:color="auto" w:fill="auto"/>
          </w:tcPr>
          <w:p w14:paraId="4994D1D4" w14:textId="77777777" w:rsidR="007C2582" w:rsidRPr="007C2582" w:rsidRDefault="007C2582" w:rsidP="00B37C2E">
            <w:pPr>
              <w:spacing w:line="240" w:lineRule="auto"/>
              <w:ind w:firstLine="0"/>
              <w:jc w:val="center"/>
              <w:rPr>
                <w:lang w:val="x-none"/>
              </w:rPr>
            </w:pPr>
            <w:r w:rsidRPr="007C2582">
              <w:rPr>
                <w:lang w:val="x-none"/>
              </w:rPr>
              <w:t>Std. Dev. (%)</w:t>
            </w:r>
          </w:p>
        </w:tc>
        <w:tc>
          <w:tcPr>
            <w:tcW w:w="1343" w:type="dxa"/>
            <w:shd w:val="clear" w:color="auto" w:fill="auto"/>
          </w:tcPr>
          <w:p w14:paraId="6D42882E" w14:textId="77777777" w:rsidR="007C2582" w:rsidRPr="007C2582" w:rsidRDefault="007C2582" w:rsidP="00B37C2E">
            <w:pPr>
              <w:spacing w:line="240" w:lineRule="auto"/>
              <w:ind w:firstLine="0"/>
              <w:jc w:val="center"/>
              <w:rPr>
                <w:lang w:val="x-none"/>
              </w:rPr>
            </w:pPr>
            <w:r w:rsidRPr="007C2582">
              <w:rPr>
                <w:lang w:val="x-none"/>
              </w:rPr>
              <w:t>0.58%</w:t>
            </w:r>
          </w:p>
        </w:tc>
        <w:tc>
          <w:tcPr>
            <w:tcW w:w="2077" w:type="dxa"/>
            <w:shd w:val="clear" w:color="auto" w:fill="auto"/>
          </w:tcPr>
          <w:p w14:paraId="2C6F4892" w14:textId="77777777" w:rsidR="007C2582" w:rsidRPr="007C2582" w:rsidRDefault="007C2582" w:rsidP="00B37C2E">
            <w:pPr>
              <w:spacing w:line="240" w:lineRule="auto"/>
              <w:ind w:firstLine="0"/>
              <w:jc w:val="center"/>
              <w:rPr>
                <w:lang w:val="x-none"/>
              </w:rPr>
            </w:pPr>
            <w:r w:rsidRPr="007C2582">
              <w:rPr>
                <w:lang w:val="x-none"/>
              </w:rPr>
              <w:t>0.15%</w:t>
            </w:r>
          </w:p>
        </w:tc>
      </w:tr>
    </w:tbl>
    <w:p w14:paraId="5DA594D0" w14:textId="77777777" w:rsidR="00B37C2E" w:rsidRPr="00B37C2E" w:rsidRDefault="00B37C2E" w:rsidP="00B37C2E">
      <w:pPr>
        <w:rPr>
          <w:i/>
          <w:lang w:val="x-none"/>
        </w:rPr>
      </w:pPr>
    </w:p>
    <w:p w14:paraId="344ACA4D" w14:textId="77777777" w:rsidR="007C2582" w:rsidRPr="007C2582" w:rsidRDefault="00B37C2E" w:rsidP="00B37C2E">
      <w:pPr>
        <w:pStyle w:val="Heading3"/>
      </w:pPr>
      <w:bookmarkStart w:id="137" w:name="_Toc459076577"/>
      <w:r>
        <w:t xml:space="preserve">5.4.4 </w:t>
      </w:r>
      <w:r w:rsidR="007C2582" w:rsidRPr="007C2582">
        <w:t>Validation of the Proposed Control Strategy</w:t>
      </w:r>
      <w:bookmarkEnd w:id="137"/>
    </w:p>
    <w:p w14:paraId="343FC48A" w14:textId="77777777" w:rsidR="007C2582" w:rsidRPr="007C2582" w:rsidRDefault="007C2582" w:rsidP="007C2582">
      <w:r w:rsidRPr="007C2582">
        <w:t xml:space="preserve">As mentioned in the beginning of the case study, a LM of 4.67% will leave the stressed system insecure because it is below the predefined threshold of 10%. With the sensitivity calculated in Subsections </w:t>
      </w:r>
      <w:r w:rsidR="00B37C2E">
        <w:t>5.4</w:t>
      </w:r>
      <w:r w:rsidRPr="007C2582">
        <w:t>.1, 5</w:t>
      </w:r>
      <w:r w:rsidR="00B37C2E">
        <w:t>.4</w:t>
      </w:r>
      <w:r w:rsidRPr="007C2582">
        <w:t>.2, and 5.</w:t>
      </w:r>
      <w:r w:rsidR="00B37C2E">
        <w:t>4.</w:t>
      </w:r>
      <w:r w:rsidRPr="007C2582">
        <w:t>3, the proposed control strategy is applied.</w:t>
      </w:r>
    </w:p>
    <w:p w14:paraId="0D63B070" w14:textId="77777777" w:rsidR="007C2582" w:rsidRPr="007C2582" w:rsidRDefault="007C2582" w:rsidP="007C2582">
      <w:r w:rsidRPr="007C2582">
        <w:t xml:space="preserve">The available control actions are listed in </w:t>
      </w:r>
      <w:r w:rsidR="00153AD2">
        <w:fldChar w:fldCharType="begin"/>
      </w:r>
      <w:r w:rsidR="00153AD2">
        <w:instrText xml:space="preserve"> REF _Ref432083707 \h </w:instrText>
      </w:r>
      <w:r w:rsidR="00153AD2">
        <w:fldChar w:fldCharType="separate"/>
      </w:r>
      <w:r w:rsidR="00656B13">
        <w:t xml:space="preserve">Table </w:t>
      </w:r>
      <w:r w:rsidR="00656B13">
        <w:rPr>
          <w:noProof/>
        </w:rPr>
        <w:t>11</w:t>
      </w:r>
      <w:r w:rsidR="00153AD2">
        <w:fldChar w:fldCharType="end"/>
      </w:r>
      <w:r w:rsidRPr="007C2582">
        <w:t xml:space="preserve"> (in positive value for convenience). The decisions at each step are listed in </w:t>
      </w:r>
      <w:r w:rsidR="00153AD2">
        <w:fldChar w:fldCharType="begin"/>
      </w:r>
      <w:r w:rsidR="00153AD2">
        <w:instrText xml:space="preserve"> REF _Ref432083986 \h </w:instrText>
      </w:r>
      <w:r w:rsidR="00153AD2">
        <w:fldChar w:fldCharType="separate"/>
      </w:r>
      <w:r w:rsidR="00656B13">
        <w:t xml:space="preserve">Table </w:t>
      </w:r>
      <w:r w:rsidR="00656B13">
        <w:rPr>
          <w:noProof/>
        </w:rPr>
        <w:t>12</w:t>
      </w:r>
      <w:r w:rsidR="00153AD2">
        <w:fldChar w:fldCharType="end"/>
      </w:r>
      <w:r w:rsidRPr="007C2582">
        <w:t xml:space="preserve"> and the LMs of the insecure buses (i.e., Bus 4, 7, 8, and 15) are shown in </w:t>
      </w:r>
      <w:r w:rsidR="00153AD2">
        <w:fldChar w:fldCharType="begin"/>
      </w:r>
      <w:r w:rsidR="00153AD2">
        <w:instrText xml:space="preserve"> REF _Ref432083727 \h </w:instrText>
      </w:r>
      <w:r w:rsidR="00153AD2">
        <w:fldChar w:fldCharType="separate"/>
      </w:r>
      <w:r w:rsidR="00656B13">
        <w:t xml:space="preserve">Figure </w:t>
      </w:r>
      <w:r w:rsidR="00656B13">
        <w:rPr>
          <w:noProof/>
        </w:rPr>
        <w:t>32</w:t>
      </w:r>
      <w:r w:rsidR="00153AD2">
        <w:fldChar w:fldCharType="end"/>
      </w:r>
      <w:r w:rsidRPr="007C2582">
        <w:t xml:space="preserve">. </w:t>
      </w:r>
    </w:p>
    <w:p w14:paraId="4474650C" w14:textId="77777777" w:rsidR="007C2582" w:rsidRPr="007C2582" w:rsidRDefault="007C2582" w:rsidP="007C2582">
      <w:pPr>
        <w:numPr>
          <w:ilvl w:val="0"/>
          <w:numId w:val="24"/>
        </w:numPr>
      </w:pPr>
      <w:r w:rsidRPr="007C2582">
        <w:t xml:space="preserve">At Step 0, the algorithm detects that the system is insecure and the critical bus is bus 4 with a LM of 4.67%. Then the algorithm goes to Step 1 to determine which action to take. </w:t>
      </w:r>
    </w:p>
    <w:p w14:paraId="40554537" w14:textId="77777777" w:rsidR="007C2582" w:rsidRPr="007C2582" w:rsidRDefault="007C2582" w:rsidP="007C2582">
      <w:pPr>
        <w:numPr>
          <w:ilvl w:val="0"/>
          <w:numId w:val="23"/>
        </w:numPr>
      </w:pPr>
      <w:r w:rsidRPr="007C2582">
        <w:t>At Step 1, since there are two locations available for Category 1 control, the algorithm compares the WALMS of bus 4 to the reactive compensation at buses 7 and 8. The two sensitivities are -0.016 versus -0.015; thus, bus 7 is chosen and the amount to compensate is determined through (</w:t>
      </w:r>
      <w:r w:rsidR="00153AD2">
        <w:t>5-</w:t>
      </w:r>
      <w:r w:rsidRPr="007C2582">
        <w:t xml:space="preserve">37). As shown in </w:t>
      </w:r>
      <w:r w:rsidR="00153AD2">
        <w:fldChar w:fldCharType="begin"/>
      </w:r>
      <w:r w:rsidR="00153AD2">
        <w:instrText xml:space="preserve"> REF _Ref432083727 \h </w:instrText>
      </w:r>
      <w:r w:rsidR="00153AD2">
        <w:fldChar w:fldCharType="separate"/>
      </w:r>
      <w:r w:rsidR="00656B13">
        <w:t xml:space="preserve">Figure </w:t>
      </w:r>
      <w:r w:rsidR="00656B13">
        <w:rPr>
          <w:noProof/>
        </w:rPr>
        <w:t>32</w:t>
      </w:r>
      <w:r w:rsidR="00153AD2">
        <w:fldChar w:fldCharType="end"/>
      </w:r>
      <w:r w:rsidRPr="007C2582">
        <w:t xml:space="preserve">, after Step 1, the LM is still below 10% and the critical bus remains bus 4. </w:t>
      </w:r>
    </w:p>
    <w:p w14:paraId="590FB707" w14:textId="7E3D7BFA" w:rsidR="00901C07" w:rsidRPr="007C2582" w:rsidRDefault="00901C07" w:rsidP="009D0201">
      <w:pPr>
        <w:pStyle w:val="Caption"/>
      </w:pPr>
      <w:bookmarkStart w:id="138" w:name="_Ref432083707"/>
      <w:bookmarkStart w:id="139" w:name="_Toc459076668"/>
      <w:r>
        <w:lastRenderedPageBreak/>
        <w:t xml:space="preserve">Table </w:t>
      </w:r>
      <w:fldSimple w:instr=" SEQ Table \* ARABIC ">
        <w:r>
          <w:t>11</w:t>
        </w:r>
      </w:fldSimple>
      <w:bookmarkEnd w:id="138"/>
      <w:r>
        <w:t>:</w:t>
      </w:r>
      <w:r w:rsidRPr="007C2582">
        <w:t xml:space="preserve"> Candidate Control Actions</w:t>
      </w:r>
      <w:bookmarkEnd w:id="139"/>
    </w:p>
    <w:tbl>
      <w:tblPr>
        <w:tblW w:w="0" w:type="auto"/>
        <w:jc w:val="center"/>
        <w:tblBorders>
          <w:top w:val="single" w:sz="12" w:space="0" w:color="000000"/>
          <w:bottom w:val="single" w:sz="12" w:space="0" w:color="000000"/>
        </w:tblBorders>
        <w:tblLook w:val="04A0" w:firstRow="1" w:lastRow="0" w:firstColumn="1" w:lastColumn="0" w:noHBand="0" w:noVBand="1"/>
      </w:tblPr>
      <w:tblGrid>
        <w:gridCol w:w="1978"/>
        <w:gridCol w:w="2218"/>
        <w:gridCol w:w="2069"/>
      </w:tblGrid>
      <w:tr w:rsidR="00901C07" w:rsidRPr="007C2582" w14:paraId="0B8CE999" w14:textId="77777777" w:rsidTr="006B60E2">
        <w:trPr>
          <w:jc w:val="center"/>
        </w:trPr>
        <w:tc>
          <w:tcPr>
            <w:tcW w:w="1978" w:type="dxa"/>
            <w:tcBorders>
              <w:bottom w:val="single" w:sz="6" w:space="0" w:color="000000"/>
              <w:right w:val="nil"/>
            </w:tcBorders>
            <w:shd w:val="clear" w:color="auto" w:fill="auto"/>
          </w:tcPr>
          <w:p w14:paraId="4AED5E16" w14:textId="77777777" w:rsidR="00901C07" w:rsidRPr="007C2582" w:rsidRDefault="00901C07" w:rsidP="006B60E2">
            <w:pPr>
              <w:spacing w:line="240" w:lineRule="auto"/>
              <w:ind w:firstLine="0"/>
              <w:jc w:val="center"/>
              <w:rPr>
                <w:i/>
                <w:iCs/>
                <w:lang w:val="x-none"/>
              </w:rPr>
            </w:pPr>
            <w:r w:rsidRPr="007C2582">
              <w:rPr>
                <w:i/>
                <w:iCs/>
                <w:lang w:val="x-none"/>
              </w:rPr>
              <w:t>Control Category</w:t>
            </w:r>
          </w:p>
        </w:tc>
        <w:tc>
          <w:tcPr>
            <w:tcW w:w="2218" w:type="dxa"/>
            <w:tcBorders>
              <w:left w:val="nil"/>
              <w:bottom w:val="single" w:sz="6" w:space="0" w:color="000000"/>
            </w:tcBorders>
            <w:shd w:val="clear" w:color="auto" w:fill="auto"/>
          </w:tcPr>
          <w:p w14:paraId="0F3F43F8" w14:textId="77777777" w:rsidR="00901C07" w:rsidRPr="007C2582" w:rsidRDefault="00901C07" w:rsidP="006B60E2">
            <w:pPr>
              <w:spacing w:line="240" w:lineRule="auto"/>
              <w:ind w:firstLine="0"/>
              <w:jc w:val="center"/>
              <w:rPr>
                <w:i/>
                <w:iCs/>
                <w:lang w:val="x-none"/>
              </w:rPr>
            </w:pPr>
            <w:r w:rsidRPr="007C2582">
              <w:rPr>
                <w:i/>
                <w:iCs/>
                <w:lang w:val="x-none"/>
              </w:rPr>
              <w:t>Location</w:t>
            </w:r>
          </w:p>
        </w:tc>
        <w:tc>
          <w:tcPr>
            <w:tcW w:w="2069" w:type="dxa"/>
            <w:tcBorders>
              <w:bottom w:val="single" w:sz="6" w:space="0" w:color="000000"/>
            </w:tcBorders>
            <w:shd w:val="clear" w:color="auto" w:fill="auto"/>
          </w:tcPr>
          <w:p w14:paraId="091F29A2" w14:textId="77777777" w:rsidR="00901C07" w:rsidRPr="007C2582" w:rsidRDefault="00901C07" w:rsidP="006B60E2">
            <w:pPr>
              <w:spacing w:line="240" w:lineRule="auto"/>
              <w:ind w:firstLine="0"/>
              <w:jc w:val="center"/>
              <w:rPr>
                <w:i/>
                <w:iCs/>
                <w:lang w:val="x-none"/>
              </w:rPr>
            </w:pPr>
            <w:r w:rsidRPr="007C2582">
              <w:rPr>
                <w:i/>
                <w:iCs/>
                <w:lang w:val="x-none"/>
              </w:rPr>
              <w:t>Amount</w:t>
            </w:r>
          </w:p>
        </w:tc>
      </w:tr>
      <w:tr w:rsidR="00901C07" w:rsidRPr="007C2582" w14:paraId="3CC4AFD4" w14:textId="77777777" w:rsidTr="006B60E2">
        <w:trPr>
          <w:jc w:val="center"/>
        </w:trPr>
        <w:tc>
          <w:tcPr>
            <w:tcW w:w="1978" w:type="dxa"/>
            <w:tcBorders>
              <w:right w:val="nil"/>
            </w:tcBorders>
            <w:shd w:val="clear" w:color="auto" w:fill="auto"/>
          </w:tcPr>
          <w:p w14:paraId="37EA3978" w14:textId="77777777" w:rsidR="00901C07" w:rsidRPr="007C2582" w:rsidRDefault="00901C07" w:rsidP="006B60E2">
            <w:pPr>
              <w:spacing w:line="240" w:lineRule="auto"/>
              <w:ind w:firstLine="0"/>
              <w:jc w:val="center"/>
              <w:rPr>
                <w:lang w:val="x-none"/>
              </w:rPr>
            </w:pPr>
            <w:r w:rsidRPr="007C2582">
              <w:rPr>
                <w:lang w:val="x-none"/>
              </w:rPr>
              <w:t>Category 1)</w:t>
            </w:r>
          </w:p>
        </w:tc>
        <w:tc>
          <w:tcPr>
            <w:tcW w:w="2218" w:type="dxa"/>
            <w:tcBorders>
              <w:left w:val="nil"/>
            </w:tcBorders>
            <w:shd w:val="clear" w:color="auto" w:fill="auto"/>
          </w:tcPr>
          <w:p w14:paraId="2FAB94D9" w14:textId="77777777" w:rsidR="00901C07" w:rsidRPr="007C2582" w:rsidRDefault="00901C07" w:rsidP="006B60E2">
            <w:pPr>
              <w:spacing w:line="240" w:lineRule="auto"/>
              <w:ind w:firstLine="0"/>
              <w:jc w:val="center"/>
              <w:rPr>
                <w:lang w:val="x-none"/>
              </w:rPr>
            </w:pPr>
            <w:r w:rsidRPr="007C2582">
              <w:rPr>
                <w:lang w:val="x-none"/>
              </w:rPr>
              <w:t>Bus 7, 8</w:t>
            </w:r>
          </w:p>
        </w:tc>
        <w:tc>
          <w:tcPr>
            <w:tcW w:w="2069" w:type="dxa"/>
            <w:shd w:val="clear" w:color="auto" w:fill="auto"/>
          </w:tcPr>
          <w:p w14:paraId="647A2405" w14:textId="77777777" w:rsidR="00901C07" w:rsidRPr="007C2582" w:rsidRDefault="00901C07" w:rsidP="006B60E2">
            <w:pPr>
              <w:spacing w:line="240" w:lineRule="auto"/>
              <w:ind w:firstLine="0"/>
              <w:jc w:val="center"/>
              <w:rPr>
                <w:lang w:val="x-none"/>
              </w:rPr>
            </w:pPr>
            <w:r w:rsidRPr="007C2582">
              <w:rPr>
                <w:lang w:val="x-none"/>
              </w:rPr>
              <w:t>100 MVar per Bus</w:t>
            </w:r>
          </w:p>
        </w:tc>
      </w:tr>
      <w:tr w:rsidR="00901C07" w:rsidRPr="007C2582" w14:paraId="67FD128E" w14:textId="77777777" w:rsidTr="006B60E2">
        <w:trPr>
          <w:jc w:val="center"/>
        </w:trPr>
        <w:tc>
          <w:tcPr>
            <w:tcW w:w="1978" w:type="dxa"/>
            <w:tcBorders>
              <w:right w:val="nil"/>
            </w:tcBorders>
            <w:shd w:val="clear" w:color="auto" w:fill="auto"/>
          </w:tcPr>
          <w:p w14:paraId="609A33F3" w14:textId="77777777" w:rsidR="00901C07" w:rsidRPr="007C2582" w:rsidRDefault="00901C07" w:rsidP="006B60E2">
            <w:pPr>
              <w:spacing w:line="240" w:lineRule="auto"/>
              <w:ind w:firstLine="0"/>
              <w:jc w:val="center"/>
              <w:rPr>
                <w:lang w:val="x-none"/>
              </w:rPr>
            </w:pPr>
            <w:r w:rsidRPr="007C2582">
              <w:rPr>
                <w:lang w:val="x-none"/>
              </w:rPr>
              <w:t>Category 2)</w:t>
            </w:r>
          </w:p>
        </w:tc>
        <w:tc>
          <w:tcPr>
            <w:tcW w:w="2218" w:type="dxa"/>
            <w:tcBorders>
              <w:left w:val="nil"/>
            </w:tcBorders>
            <w:shd w:val="clear" w:color="auto" w:fill="auto"/>
          </w:tcPr>
          <w:p w14:paraId="16C7EC9D" w14:textId="77777777" w:rsidR="00901C07" w:rsidRPr="007C2582" w:rsidRDefault="00901C07" w:rsidP="006B60E2">
            <w:pPr>
              <w:spacing w:line="240" w:lineRule="auto"/>
              <w:ind w:firstLine="0"/>
              <w:jc w:val="center"/>
              <w:rPr>
                <w:lang w:val="x-none"/>
              </w:rPr>
            </w:pPr>
            <w:r w:rsidRPr="007C2582">
              <w:rPr>
                <w:lang w:val="x-none"/>
              </w:rPr>
              <w:t>Generator at Bus 32</w:t>
            </w:r>
          </w:p>
        </w:tc>
        <w:tc>
          <w:tcPr>
            <w:tcW w:w="2069" w:type="dxa"/>
            <w:shd w:val="clear" w:color="auto" w:fill="auto"/>
          </w:tcPr>
          <w:p w14:paraId="0ECCF5C4" w14:textId="77777777" w:rsidR="00901C07" w:rsidRPr="007C2582" w:rsidRDefault="00901C07" w:rsidP="006B60E2">
            <w:pPr>
              <w:spacing w:line="240" w:lineRule="auto"/>
              <w:ind w:firstLine="0"/>
              <w:jc w:val="center"/>
              <w:rPr>
                <w:lang w:val="x-none"/>
              </w:rPr>
            </w:pPr>
            <w:r w:rsidRPr="007C2582">
              <w:rPr>
                <w:lang w:val="x-none"/>
              </w:rPr>
              <w:t>0.05 p.u.</w:t>
            </w:r>
          </w:p>
        </w:tc>
      </w:tr>
      <w:tr w:rsidR="00901C07" w:rsidRPr="007C2582" w14:paraId="12358309" w14:textId="77777777" w:rsidTr="006B60E2">
        <w:trPr>
          <w:jc w:val="center"/>
        </w:trPr>
        <w:tc>
          <w:tcPr>
            <w:tcW w:w="1978" w:type="dxa"/>
            <w:tcBorders>
              <w:right w:val="nil"/>
            </w:tcBorders>
            <w:shd w:val="clear" w:color="auto" w:fill="auto"/>
          </w:tcPr>
          <w:p w14:paraId="72BDADD2" w14:textId="77777777" w:rsidR="00901C07" w:rsidRPr="007C2582" w:rsidRDefault="00901C07" w:rsidP="006B60E2">
            <w:pPr>
              <w:spacing w:line="240" w:lineRule="auto"/>
              <w:ind w:firstLine="0"/>
              <w:jc w:val="center"/>
              <w:rPr>
                <w:lang w:val="x-none"/>
              </w:rPr>
            </w:pPr>
            <w:r w:rsidRPr="007C2582">
              <w:rPr>
                <w:lang w:val="x-none"/>
              </w:rPr>
              <w:t>Category 3)</w:t>
            </w:r>
          </w:p>
        </w:tc>
        <w:tc>
          <w:tcPr>
            <w:tcW w:w="2218" w:type="dxa"/>
            <w:tcBorders>
              <w:left w:val="nil"/>
            </w:tcBorders>
            <w:shd w:val="clear" w:color="auto" w:fill="auto"/>
          </w:tcPr>
          <w:p w14:paraId="71C24221" w14:textId="77777777" w:rsidR="00901C07" w:rsidRPr="007C2582" w:rsidRDefault="00901C07" w:rsidP="006B60E2">
            <w:pPr>
              <w:spacing w:line="240" w:lineRule="auto"/>
              <w:ind w:firstLine="0"/>
              <w:jc w:val="center"/>
              <w:rPr>
                <w:lang w:val="x-none"/>
              </w:rPr>
            </w:pPr>
            <w:r w:rsidRPr="007C2582">
              <w:rPr>
                <w:lang w:val="x-none"/>
              </w:rPr>
              <w:t>Bus 4, 7, 8, 15</w:t>
            </w:r>
          </w:p>
        </w:tc>
        <w:tc>
          <w:tcPr>
            <w:tcW w:w="2069" w:type="dxa"/>
            <w:shd w:val="clear" w:color="auto" w:fill="auto"/>
          </w:tcPr>
          <w:p w14:paraId="446FDB1B" w14:textId="77777777" w:rsidR="00901C07" w:rsidRPr="007C2582" w:rsidRDefault="00901C07" w:rsidP="006B60E2">
            <w:pPr>
              <w:spacing w:line="240" w:lineRule="auto"/>
              <w:ind w:firstLine="0"/>
              <w:jc w:val="center"/>
              <w:rPr>
                <w:lang w:val="x-none"/>
              </w:rPr>
            </w:pPr>
            <w:r w:rsidRPr="007C2582">
              <w:rPr>
                <w:lang w:val="x-none"/>
              </w:rPr>
              <w:t>100 MW per Bus</w:t>
            </w:r>
          </w:p>
        </w:tc>
      </w:tr>
    </w:tbl>
    <w:p w14:paraId="57C66E79" w14:textId="77777777" w:rsidR="00720985" w:rsidRPr="00720985" w:rsidRDefault="00720985" w:rsidP="00720985">
      <w:bookmarkStart w:id="140" w:name="_Ref432083986"/>
    </w:p>
    <w:p w14:paraId="29F0BD26" w14:textId="77777777" w:rsidR="007C2582" w:rsidRPr="007C2582" w:rsidRDefault="00153AD2" w:rsidP="009D0201">
      <w:pPr>
        <w:pStyle w:val="Caption"/>
      </w:pPr>
      <w:bookmarkStart w:id="141" w:name="_Toc459076669"/>
      <w:r>
        <w:t xml:space="preserve">Table </w:t>
      </w:r>
      <w:fldSimple w:instr=" SEQ Table \* ARABIC ">
        <w:r w:rsidR="00656B13">
          <w:rPr>
            <w:noProof/>
          </w:rPr>
          <w:t>12</w:t>
        </w:r>
      </w:fldSimple>
      <w:bookmarkEnd w:id="140"/>
      <w:r w:rsidR="00CC759C">
        <w:t>:</w:t>
      </w:r>
      <w:r w:rsidR="007C2582" w:rsidRPr="007C2582">
        <w:t xml:space="preserve"> Decision at Each Step</w:t>
      </w:r>
      <w:bookmarkEnd w:id="141"/>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124"/>
        <w:gridCol w:w="1218"/>
        <w:gridCol w:w="1101"/>
        <w:gridCol w:w="1350"/>
        <w:gridCol w:w="1553"/>
      </w:tblGrid>
      <w:tr w:rsidR="007C2582" w:rsidRPr="007C2582" w14:paraId="0C196A01" w14:textId="77777777" w:rsidTr="00153AD2">
        <w:trPr>
          <w:jc w:val="center"/>
        </w:trPr>
        <w:tc>
          <w:tcPr>
            <w:tcW w:w="1124" w:type="dxa"/>
            <w:tcBorders>
              <w:bottom w:val="single" w:sz="6" w:space="0" w:color="000000"/>
              <w:right w:val="nil"/>
            </w:tcBorders>
            <w:shd w:val="clear" w:color="auto" w:fill="auto"/>
          </w:tcPr>
          <w:p w14:paraId="13951C38" w14:textId="77777777" w:rsidR="007C2582" w:rsidRPr="007C2582" w:rsidRDefault="007C2582" w:rsidP="00153AD2">
            <w:pPr>
              <w:spacing w:line="240" w:lineRule="auto"/>
              <w:ind w:firstLine="0"/>
              <w:rPr>
                <w:i/>
                <w:iCs/>
                <w:lang w:val="x-none"/>
              </w:rPr>
            </w:pPr>
            <w:r w:rsidRPr="007C2582">
              <w:rPr>
                <w:i/>
                <w:iCs/>
                <w:lang w:val="x-none"/>
              </w:rPr>
              <w:t>Step No.</w:t>
            </w:r>
          </w:p>
        </w:tc>
        <w:tc>
          <w:tcPr>
            <w:tcW w:w="1218" w:type="dxa"/>
            <w:tcBorders>
              <w:left w:val="nil"/>
              <w:bottom w:val="single" w:sz="6" w:space="0" w:color="000000"/>
            </w:tcBorders>
            <w:shd w:val="clear" w:color="auto" w:fill="auto"/>
          </w:tcPr>
          <w:p w14:paraId="5A6859C6" w14:textId="77777777" w:rsidR="007C2582" w:rsidRPr="007C2582" w:rsidRDefault="007C2582" w:rsidP="00153AD2">
            <w:pPr>
              <w:spacing w:line="240" w:lineRule="auto"/>
              <w:ind w:firstLine="0"/>
              <w:rPr>
                <w:i/>
                <w:iCs/>
                <w:lang w:val="x-none"/>
              </w:rPr>
            </w:pPr>
            <w:r w:rsidRPr="007C2582">
              <w:rPr>
                <w:i/>
                <w:iCs/>
                <w:lang w:val="x-none"/>
              </w:rPr>
              <w:t>Category</w:t>
            </w:r>
          </w:p>
        </w:tc>
        <w:tc>
          <w:tcPr>
            <w:tcW w:w="1101" w:type="dxa"/>
            <w:tcBorders>
              <w:bottom w:val="single" w:sz="6" w:space="0" w:color="000000"/>
            </w:tcBorders>
            <w:shd w:val="clear" w:color="auto" w:fill="auto"/>
          </w:tcPr>
          <w:p w14:paraId="7048DB11" w14:textId="77777777" w:rsidR="007C2582" w:rsidRPr="007C2582" w:rsidRDefault="007C2582" w:rsidP="00153AD2">
            <w:pPr>
              <w:spacing w:line="240" w:lineRule="auto"/>
              <w:ind w:firstLine="0"/>
              <w:rPr>
                <w:i/>
                <w:iCs/>
                <w:lang w:val="x-none"/>
              </w:rPr>
            </w:pPr>
            <w:r w:rsidRPr="007C2582">
              <w:rPr>
                <w:i/>
                <w:iCs/>
                <w:lang w:val="x-none"/>
              </w:rPr>
              <w:t>Location</w:t>
            </w:r>
          </w:p>
        </w:tc>
        <w:tc>
          <w:tcPr>
            <w:tcW w:w="1350" w:type="dxa"/>
            <w:tcBorders>
              <w:bottom w:val="single" w:sz="6" w:space="0" w:color="000000"/>
            </w:tcBorders>
            <w:shd w:val="clear" w:color="auto" w:fill="auto"/>
          </w:tcPr>
          <w:p w14:paraId="360908B9" w14:textId="77777777" w:rsidR="007C2582" w:rsidRPr="007C2582" w:rsidRDefault="007C2582" w:rsidP="00153AD2">
            <w:pPr>
              <w:spacing w:line="240" w:lineRule="auto"/>
              <w:ind w:firstLine="0"/>
              <w:rPr>
                <w:i/>
                <w:iCs/>
                <w:lang w:val="x-none"/>
              </w:rPr>
            </w:pPr>
            <w:r w:rsidRPr="007C2582">
              <w:rPr>
                <w:i/>
                <w:iCs/>
                <w:lang w:val="x-none"/>
              </w:rPr>
              <w:t>Amount</w:t>
            </w:r>
          </w:p>
        </w:tc>
        <w:tc>
          <w:tcPr>
            <w:tcW w:w="1553" w:type="dxa"/>
            <w:tcBorders>
              <w:bottom w:val="single" w:sz="6" w:space="0" w:color="000000"/>
            </w:tcBorders>
            <w:shd w:val="clear" w:color="auto" w:fill="auto"/>
          </w:tcPr>
          <w:p w14:paraId="13A06A44" w14:textId="77777777" w:rsidR="007C2582" w:rsidRPr="007C2582" w:rsidRDefault="007C2582" w:rsidP="00153AD2">
            <w:pPr>
              <w:spacing w:line="240" w:lineRule="auto"/>
              <w:ind w:firstLine="0"/>
              <w:rPr>
                <w:i/>
                <w:iCs/>
                <w:lang w:val="x-none"/>
              </w:rPr>
            </w:pPr>
            <w:r w:rsidRPr="007C2582">
              <w:rPr>
                <w:i/>
                <w:iCs/>
                <w:lang w:val="x-none"/>
              </w:rPr>
              <w:t>Critical Bus</w:t>
            </w:r>
          </w:p>
        </w:tc>
      </w:tr>
      <w:tr w:rsidR="007C2582" w:rsidRPr="007C2582" w14:paraId="40616A5B" w14:textId="77777777" w:rsidTr="00153AD2">
        <w:trPr>
          <w:jc w:val="center"/>
        </w:trPr>
        <w:tc>
          <w:tcPr>
            <w:tcW w:w="1124" w:type="dxa"/>
            <w:tcBorders>
              <w:right w:val="nil"/>
            </w:tcBorders>
            <w:shd w:val="clear" w:color="auto" w:fill="auto"/>
          </w:tcPr>
          <w:p w14:paraId="46045DCA" w14:textId="77777777" w:rsidR="007C2582" w:rsidRPr="007C2582" w:rsidRDefault="007C2582" w:rsidP="00153AD2">
            <w:pPr>
              <w:spacing w:line="240" w:lineRule="auto"/>
              <w:ind w:firstLine="0"/>
              <w:rPr>
                <w:lang w:val="x-none"/>
              </w:rPr>
            </w:pPr>
            <w:r w:rsidRPr="007C2582">
              <w:rPr>
                <w:lang w:val="x-none"/>
              </w:rPr>
              <w:t>Step 1</w:t>
            </w:r>
          </w:p>
        </w:tc>
        <w:tc>
          <w:tcPr>
            <w:tcW w:w="1218" w:type="dxa"/>
            <w:tcBorders>
              <w:left w:val="nil"/>
            </w:tcBorders>
            <w:shd w:val="clear" w:color="auto" w:fill="auto"/>
          </w:tcPr>
          <w:p w14:paraId="308ED56B" w14:textId="77777777" w:rsidR="007C2582" w:rsidRPr="007C2582" w:rsidRDefault="007C2582" w:rsidP="00153AD2">
            <w:pPr>
              <w:spacing w:line="240" w:lineRule="auto"/>
              <w:ind w:firstLine="0"/>
              <w:rPr>
                <w:lang w:val="x-none"/>
              </w:rPr>
            </w:pPr>
            <w:r w:rsidRPr="007C2582">
              <w:rPr>
                <w:lang w:val="x-none"/>
              </w:rPr>
              <w:t>1)</w:t>
            </w:r>
          </w:p>
        </w:tc>
        <w:tc>
          <w:tcPr>
            <w:tcW w:w="1101" w:type="dxa"/>
            <w:shd w:val="clear" w:color="auto" w:fill="auto"/>
          </w:tcPr>
          <w:p w14:paraId="729E24D6" w14:textId="77777777" w:rsidR="007C2582" w:rsidRPr="007C2582" w:rsidRDefault="007C2582" w:rsidP="00153AD2">
            <w:pPr>
              <w:spacing w:line="240" w:lineRule="auto"/>
              <w:ind w:firstLine="0"/>
              <w:rPr>
                <w:lang w:val="x-none"/>
              </w:rPr>
            </w:pPr>
            <w:r w:rsidRPr="007C2582">
              <w:rPr>
                <w:lang w:val="x-none"/>
              </w:rPr>
              <w:t>Bus 7</w:t>
            </w:r>
          </w:p>
        </w:tc>
        <w:tc>
          <w:tcPr>
            <w:tcW w:w="1350" w:type="dxa"/>
            <w:shd w:val="clear" w:color="auto" w:fill="auto"/>
          </w:tcPr>
          <w:p w14:paraId="37F82412" w14:textId="77777777" w:rsidR="007C2582" w:rsidRPr="007C2582" w:rsidRDefault="007C2582" w:rsidP="00153AD2">
            <w:pPr>
              <w:spacing w:line="240" w:lineRule="auto"/>
              <w:ind w:firstLine="0"/>
              <w:rPr>
                <w:lang w:val="x-none"/>
              </w:rPr>
            </w:pPr>
            <w:r w:rsidRPr="007C2582">
              <w:rPr>
                <w:lang w:val="x-none"/>
              </w:rPr>
              <w:t xml:space="preserve">100 </w:t>
            </w:r>
            <w:r w:rsidR="00153AD2">
              <w:t>M</w:t>
            </w:r>
            <w:r w:rsidRPr="007C2582">
              <w:rPr>
                <w:lang w:val="x-none"/>
              </w:rPr>
              <w:t>Var</w:t>
            </w:r>
          </w:p>
        </w:tc>
        <w:tc>
          <w:tcPr>
            <w:tcW w:w="1553" w:type="dxa"/>
            <w:shd w:val="clear" w:color="auto" w:fill="auto"/>
          </w:tcPr>
          <w:p w14:paraId="458CA9F8" w14:textId="77777777" w:rsidR="007C2582" w:rsidRPr="007C2582" w:rsidRDefault="007C2582" w:rsidP="00153AD2">
            <w:pPr>
              <w:spacing w:line="240" w:lineRule="auto"/>
              <w:ind w:firstLine="0"/>
              <w:rPr>
                <w:lang w:val="x-none"/>
              </w:rPr>
            </w:pPr>
            <w:r w:rsidRPr="007C2582">
              <w:rPr>
                <w:lang w:val="x-none"/>
              </w:rPr>
              <w:t>Bus 4</w:t>
            </w:r>
          </w:p>
        </w:tc>
      </w:tr>
      <w:tr w:rsidR="007C2582" w:rsidRPr="007C2582" w14:paraId="2394246A" w14:textId="77777777" w:rsidTr="00153AD2">
        <w:trPr>
          <w:jc w:val="center"/>
        </w:trPr>
        <w:tc>
          <w:tcPr>
            <w:tcW w:w="1124" w:type="dxa"/>
            <w:tcBorders>
              <w:right w:val="nil"/>
            </w:tcBorders>
            <w:shd w:val="clear" w:color="auto" w:fill="auto"/>
          </w:tcPr>
          <w:p w14:paraId="743A0809" w14:textId="77777777" w:rsidR="007C2582" w:rsidRPr="007C2582" w:rsidRDefault="007C2582" w:rsidP="00153AD2">
            <w:pPr>
              <w:spacing w:line="240" w:lineRule="auto"/>
              <w:ind w:firstLine="0"/>
              <w:rPr>
                <w:lang w:val="x-none"/>
              </w:rPr>
            </w:pPr>
            <w:r w:rsidRPr="007C2582">
              <w:rPr>
                <w:lang w:val="x-none"/>
              </w:rPr>
              <w:t>Step 2</w:t>
            </w:r>
          </w:p>
        </w:tc>
        <w:tc>
          <w:tcPr>
            <w:tcW w:w="1218" w:type="dxa"/>
            <w:tcBorders>
              <w:left w:val="nil"/>
            </w:tcBorders>
            <w:shd w:val="clear" w:color="auto" w:fill="auto"/>
          </w:tcPr>
          <w:p w14:paraId="71533F72" w14:textId="77777777" w:rsidR="007C2582" w:rsidRPr="007C2582" w:rsidRDefault="007C2582" w:rsidP="00153AD2">
            <w:pPr>
              <w:spacing w:line="240" w:lineRule="auto"/>
              <w:ind w:firstLine="0"/>
              <w:rPr>
                <w:lang w:val="x-none"/>
              </w:rPr>
            </w:pPr>
            <w:r w:rsidRPr="007C2582">
              <w:rPr>
                <w:lang w:val="x-none"/>
              </w:rPr>
              <w:t>1)</w:t>
            </w:r>
          </w:p>
        </w:tc>
        <w:tc>
          <w:tcPr>
            <w:tcW w:w="1101" w:type="dxa"/>
            <w:shd w:val="clear" w:color="auto" w:fill="auto"/>
          </w:tcPr>
          <w:p w14:paraId="21B5F41F" w14:textId="77777777" w:rsidR="007C2582" w:rsidRPr="007C2582" w:rsidRDefault="007C2582" w:rsidP="00153AD2">
            <w:pPr>
              <w:spacing w:line="240" w:lineRule="auto"/>
              <w:ind w:firstLine="0"/>
              <w:rPr>
                <w:lang w:val="x-none"/>
              </w:rPr>
            </w:pPr>
            <w:r w:rsidRPr="007C2582">
              <w:rPr>
                <w:lang w:val="x-none"/>
              </w:rPr>
              <w:t>Bus 8</w:t>
            </w:r>
          </w:p>
        </w:tc>
        <w:tc>
          <w:tcPr>
            <w:tcW w:w="1350" w:type="dxa"/>
            <w:shd w:val="clear" w:color="auto" w:fill="auto"/>
          </w:tcPr>
          <w:p w14:paraId="5C631EE7" w14:textId="77777777" w:rsidR="007C2582" w:rsidRPr="007C2582" w:rsidRDefault="007C2582" w:rsidP="00153AD2">
            <w:pPr>
              <w:spacing w:line="240" w:lineRule="auto"/>
              <w:ind w:firstLine="0"/>
              <w:rPr>
                <w:lang w:val="x-none"/>
              </w:rPr>
            </w:pPr>
            <w:r w:rsidRPr="007C2582">
              <w:rPr>
                <w:lang w:val="x-none"/>
              </w:rPr>
              <w:t>100 MVar</w:t>
            </w:r>
          </w:p>
        </w:tc>
        <w:tc>
          <w:tcPr>
            <w:tcW w:w="1553" w:type="dxa"/>
            <w:shd w:val="clear" w:color="auto" w:fill="auto"/>
          </w:tcPr>
          <w:p w14:paraId="61A5755C" w14:textId="77777777" w:rsidR="007C2582" w:rsidRPr="007C2582" w:rsidRDefault="007C2582" w:rsidP="00153AD2">
            <w:pPr>
              <w:spacing w:line="240" w:lineRule="auto"/>
              <w:ind w:firstLine="0"/>
              <w:rPr>
                <w:lang w:val="x-none"/>
              </w:rPr>
            </w:pPr>
            <w:r w:rsidRPr="007C2582">
              <w:rPr>
                <w:lang w:val="x-none"/>
              </w:rPr>
              <w:t>Bus 4</w:t>
            </w:r>
          </w:p>
        </w:tc>
      </w:tr>
      <w:tr w:rsidR="007C2582" w:rsidRPr="007C2582" w14:paraId="33B98319" w14:textId="77777777" w:rsidTr="00153AD2">
        <w:trPr>
          <w:jc w:val="center"/>
        </w:trPr>
        <w:tc>
          <w:tcPr>
            <w:tcW w:w="1124" w:type="dxa"/>
            <w:tcBorders>
              <w:right w:val="nil"/>
            </w:tcBorders>
            <w:shd w:val="clear" w:color="auto" w:fill="auto"/>
          </w:tcPr>
          <w:p w14:paraId="0545AFC2" w14:textId="77777777" w:rsidR="007C2582" w:rsidRPr="007C2582" w:rsidRDefault="007C2582" w:rsidP="00153AD2">
            <w:pPr>
              <w:spacing w:line="240" w:lineRule="auto"/>
              <w:ind w:firstLine="0"/>
              <w:rPr>
                <w:lang w:val="x-none"/>
              </w:rPr>
            </w:pPr>
            <w:r w:rsidRPr="007C2582">
              <w:rPr>
                <w:lang w:val="x-none"/>
              </w:rPr>
              <w:t>Step 3</w:t>
            </w:r>
          </w:p>
        </w:tc>
        <w:tc>
          <w:tcPr>
            <w:tcW w:w="1218" w:type="dxa"/>
            <w:tcBorders>
              <w:left w:val="nil"/>
            </w:tcBorders>
            <w:shd w:val="clear" w:color="auto" w:fill="auto"/>
          </w:tcPr>
          <w:p w14:paraId="5D745042" w14:textId="77777777" w:rsidR="007C2582" w:rsidRPr="007C2582" w:rsidRDefault="007C2582" w:rsidP="00153AD2">
            <w:pPr>
              <w:spacing w:line="240" w:lineRule="auto"/>
              <w:ind w:firstLine="0"/>
              <w:rPr>
                <w:lang w:val="x-none"/>
              </w:rPr>
            </w:pPr>
            <w:r w:rsidRPr="007C2582">
              <w:rPr>
                <w:lang w:val="x-none"/>
              </w:rPr>
              <w:t>2)</w:t>
            </w:r>
          </w:p>
        </w:tc>
        <w:tc>
          <w:tcPr>
            <w:tcW w:w="1101" w:type="dxa"/>
            <w:shd w:val="clear" w:color="auto" w:fill="auto"/>
          </w:tcPr>
          <w:p w14:paraId="5237E950" w14:textId="77777777" w:rsidR="007C2582" w:rsidRPr="007C2582" w:rsidRDefault="007C2582" w:rsidP="00153AD2">
            <w:pPr>
              <w:spacing w:line="240" w:lineRule="auto"/>
              <w:ind w:firstLine="0"/>
              <w:rPr>
                <w:lang w:val="x-none"/>
              </w:rPr>
            </w:pPr>
            <w:r w:rsidRPr="007C2582">
              <w:rPr>
                <w:lang w:val="x-none"/>
              </w:rPr>
              <w:t>Bus 32</w:t>
            </w:r>
          </w:p>
        </w:tc>
        <w:tc>
          <w:tcPr>
            <w:tcW w:w="1350" w:type="dxa"/>
            <w:shd w:val="clear" w:color="auto" w:fill="auto"/>
          </w:tcPr>
          <w:p w14:paraId="45FE8D23" w14:textId="77777777" w:rsidR="007C2582" w:rsidRPr="007C2582" w:rsidRDefault="007C2582" w:rsidP="00153AD2">
            <w:pPr>
              <w:spacing w:line="240" w:lineRule="auto"/>
              <w:ind w:firstLine="0"/>
              <w:rPr>
                <w:lang w:val="x-none"/>
              </w:rPr>
            </w:pPr>
            <w:r w:rsidRPr="007C2582">
              <w:rPr>
                <w:lang w:val="x-none"/>
              </w:rPr>
              <w:t>0.05 p.u.</w:t>
            </w:r>
          </w:p>
        </w:tc>
        <w:tc>
          <w:tcPr>
            <w:tcW w:w="1553" w:type="dxa"/>
            <w:shd w:val="clear" w:color="auto" w:fill="auto"/>
          </w:tcPr>
          <w:p w14:paraId="517940D8" w14:textId="77777777" w:rsidR="007C2582" w:rsidRPr="007C2582" w:rsidRDefault="007C2582" w:rsidP="00153AD2">
            <w:pPr>
              <w:spacing w:line="240" w:lineRule="auto"/>
              <w:ind w:firstLine="0"/>
              <w:rPr>
                <w:lang w:val="x-none"/>
              </w:rPr>
            </w:pPr>
            <w:r w:rsidRPr="007C2582">
              <w:rPr>
                <w:lang w:val="x-none"/>
              </w:rPr>
              <w:t>Bus 15</w:t>
            </w:r>
          </w:p>
        </w:tc>
      </w:tr>
      <w:tr w:rsidR="007C2582" w:rsidRPr="007C2582" w14:paraId="1EB35E68" w14:textId="77777777" w:rsidTr="00153AD2">
        <w:trPr>
          <w:jc w:val="center"/>
        </w:trPr>
        <w:tc>
          <w:tcPr>
            <w:tcW w:w="1124" w:type="dxa"/>
            <w:tcBorders>
              <w:right w:val="nil"/>
            </w:tcBorders>
            <w:shd w:val="clear" w:color="auto" w:fill="auto"/>
          </w:tcPr>
          <w:p w14:paraId="6EE72DBF" w14:textId="77777777" w:rsidR="007C2582" w:rsidRPr="007C2582" w:rsidRDefault="007C2582" w:rsidP="00153AD2">
            <w:pPr>
              <w:spacing w:line="240" w:lineRule="auto"/>
              <w:ind w:firstLine="0"/>
              <w:rPr>
                <w:lang w:val="x-none"/>
              </w:rPr>
            </w:pPr>
            <w:r w:rsidRPr="007C2582">
              <w:rPr>
                <w:lang w:val="x-none"/>
              </w:rPr>
              <w:t>Step 4</w:t>
            </w:r>
          </w:p>
        </w:tc>
        <w:tc>
          <w:tcPr>
            <w:tcW w:w="1218" w:type="dxa"/>
            <w:tcBorders>
              <w:left w:val="nil"/>
            </w:tcBorders>
            <w:shd w:val="clear" w:color="auto" w:fill="auto"/>
          </w:tcPr>
          <w:p w14:paraId="35D2E628" w14:textId="77777777" w:rsidR="007C2582" w:rsidRPr="007C2582" w:rsidRDefault="007C2582" w:rsidP="00153AD2">
            <w:pPr>
              <w:spacing w:line="240" w:lineRule="auto"/>
              <w:ind w:firstLine="0"/>
              <w:rPr>
                <w:lang w:val="x-none"/>
              </w:rPr>
            </w:pPr>
            <w:r w:rsidRPr="007C2582">
              <w:rPr>
                <w:lang w:val="x-none"/>
              </w:rPr>
              <w:t>3)</w:t>
            </w:r>
          </w:p>
        </w:tc>
        <w:tc>
          <w:tcPr>
            <w:tcW w:w="1101" w:type="dxa"/>
            <w:shd w:val="clear" w:color="auto" w:fill="auto"/>
          </w:tcPr>
          <w:p w14:paraId="76D46A6A" w14:textId="77777777" w:rsidR="007C2582" w:rsidRPr="007C2582" w:rsidRDefault="007C2582" w:rsidP="00153AD2">
            <w:pPr>
              <w:spacing w:line="240" w:lineRule="auto"/>
              <w:ind w:firstLine="0"/>
              <w:rPr>
                <w:lang w:val="x-none"/>
              </w:rPr>
            </w:pPr>
            <w:r w:rsidRPr="007C2582">
              <w:rPr>
                <w:lang w:val="x-none"/>
              </w:rPr>
              <w:t>Bus 15</w:t>
            </w:r>
          </w:p>
        </w:tc>
        <w:tc>
          <w:tcPr>
            <w:tcW w:w="1350" w:type="dxa"/>
            <w:shd w:val="clear" w:color="auto" w:fill="auto"/>
          </w:tcPr>
          <w:p w14:paraId="4E035533" w14:textId="77777777" w:rsidR="007C2582" w:rsidRPr="007C2582" w:rsidRDefault="007C2582" w:rsidP="00153AD2">
            <w:pPr>
              <w:spacing w:line="240" w:lineRule="auto"/>
              <w:ind w:firstLine="0"/>
              <w:rPr>
                <w:lang w:val="x-none"/>
              </w:rPr>
            </w:pPr>
            <w:r w:rsidRPr="007C2582">
              <w:rPr>
                <w:lang w:val="x-none"/>
              </w:rPr>
              <w:t>44.5 MW</w:t>
            </w:r>
          </w:p>
        </w:tc>
        <w:tc>
          <w:tcPr>
            <w:tcW w:w="1553" w:type="dxa"/>
            <w:shd w:val="clear" w:color="auto" w:fill="auto"/>
          </w:tcPr>
          <w:p w14:paraId="70E8668F" w14:textId="77777777" w:rsidR="007C2582" w:rsidRPr="007C2582" w:rsidRDefault="007C2582" w:rsidP="00153AD2">
            <w:pPr>
              <w:spacing w:line="240" w:lineRule="auto"/>
              <w:ind w:firstLine="0"/>
              <w:rPr>
                <w:lang w:val="x-none"/>
              </w:rPr>
            </w:pPr>
            <w:r w:rsidRPr="007C2582">
              <w:rPr>
                <w:lang w:val="x-none"/>
              </w:rPr>
              <w:t>Bus 15</w:t>
            </w:r>
          </w:p>
        </w:tc>
      </w:tr>
    </w:tbl>
    <w:p w14:paraId="62398955" w14:textId="77777777" w:rsidR="00901C07" w:rsidRDefault="00901C07" w:rsidP="00720985">
      <w:bookmarkStart w:id="142" w:name="_Ref432084179"/>
    </w:p>
    <w:p w14:paraId="09DFA84D" w14:textId="77777777" w:rsidR="00720985" w:rsidRPr="00901C07" w:rsidRDefault="00720985" w:rsidP="00720985">
      <w:pPr>
        <w:pStyle w:val="ListParagraph"/>
        <w:numPr>
          <w:ilvl w:val="0"/>
          <w:numId w:val="23"/>
        </w:numPr>
        <w:spacing w:after="0" w:line="240" w:lineRule="auto"/>
        <w:jc w:val="center"/>
        <w:rPr>
          <w:lang w:val="x-none"/>
        </w:rPr>
      </w:pPr>
      <w:r w:rsidRPr="007C2582">
        <w:rPr>
          <w:noProof/>
          <w:lang w:eastAsia="zh-CN"/>
        </w:rPr>
        <w:drawing>
          <wp:inline distT="0" distB="0" distL="0" distR="0" wp14:anchorId="417AF705" wp14:editId="256363F1">
            <wp:extent cx="3037622" cy="13950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7">
                      <a:extLst>
                        <a:ext uri="{28A0092B-C50C-407E-A947-70E740481C1C}">
                          <a14:useLocalDpi xmlns:a14="http://schemas.microsoft.com/office/drawing/2010/main" val="0"/>
                        </a:ext>
                      </a:extLst>
                    </a:blip>
                    <a:srcRect l="3593" r="1797"/>
                    <a:stretch>
                      <a:fillRect/>
                    </a:stretch>
                  </pic:blipFill>
                  <pic:spPr bwMode="auto">
                    <a:xfrm>
                      <a:off x="0" y="0"/>
                      <a:ext cx="3040624" cy="1396425"/>
                    </a:xfrm>
                    <a:prstGeom prst="rect">
                      <a:avLst/>
                    </a:prstGeom>
                    <a:noFill/>
                    <a:ln>
                      <a:noFill/>
                    </a:ln>
                  </pic:spPr>
                </pic:pic>
              </a:graphicData>
            </a:graphic>
          </wp:inline>
        </w:drawing>
      </w:r>
    </w:p>
    <w:p w14:paraId="64483736" w14:textId="77777777" w:rsidR="00720985" w:rsidRPr="007C2582" w:rsidRDefault="00720985" w:rsidP="00720985">
      <w:pPr>
        <w:pStyle w:val="Caption"/>
      </w:pPr>
      <w:bookmarkStart w:id="143" w:name="_Ref432083727"/>
      <w:bookmarkStart w:id="144" w:name="_Toc459076483"/>
      <w:r>
        <w:t xml:space="preserve">Figure </w:t>
      </w:r>
      <w:fldSimple w:instr=" SEQ Figure \* ARABIC ">
        <w:r>
          <w:rPr>
            <w:noProof/>
          </w:rPr>
          <w:t>32</w:t>
        </w:r>
      </w:fldSimple>
      <w:bookmarkEnd w:id="143"/>
      <w:r w:rsidRPr="007C2582">
        <w:t>. Loading margins of insecure buses at each decision step</w:t>
      </w:r>
      <w:r>
        <w:t>.</w:t>
      </w:r>
      <w:bookmarkEnd w:id="144"/>
    </w:p>
    <w:p w14:paraId="4F8A5B5C" w14:textId="25549ADF" w:rsidR="00720985" w:rsidRDefault="00720985">
      <w:r>
        <w:br w:type="page"/>
      </w:r>
    </w:p>
    <w:bookmarkEnd w:id="142"/>
    <w:p w14:paraId="2060DCEF" w14:textId="77777777" w:rsidR="00720985" w:rsidRPr="007C2582" w:rsidRDefault="00720985" w:rsidP="00720985">
      <w:pPr>
        <w:numPr>
          <w:ilvl w:val="0"/>
          <w:numId w:val="23"/>
        </w:numPr>
      </w:pPr>
      <w:r w:rsidRPr="007C2582">
        <w:lastRenderedPageBreak/>
        <w:t>At Step 2, 100 MVar at bus 8 is compensated according to (</w:t>
      </w:r>
      <w:r>
        <w:t>5-</w:t>
      </w:r>
      <w:r w:rsidRPr="007C2582">
        <w:t xml:space="preserve">37). An interesting change is that after this step, the critical bus shifts from bus 4 to bus 15 as depicted in </w:t>
      </w:r>
      <w:r>
        <w:fldChar w:fldCharType="begin"/>
      </w:r>
      <w:r>
        <w:instrText xml:space="preserve"> REF _Ref432083727 \h </w:instrText>
      </w:r>
      <w:r>
        <w:fldChar w:fldCharType="separate"/>
      </w:r>
      <w:r>
        <w:t xml:space="preserve">Figure </w:t>
      </w:r>
      <w:r>
        <w:rPr>
          <w:noProof/>
        </w:rPr>
        <w:t>32</w:t>
      </w:r>
      <w:r>
        <w:fldChar w:fldCharType="end"/>
      </w:r>
      <w:r w:rsidRPr="007C2582">
        <w:t xml:space="preserve">. </w:t>
      </w:r>
    </w:p>
    <w:p w14:paraId="3F089324" w14:textId="77777777" w:rsidR="00720985" w:rsidRPr="007C2582" w:rsidRDefault="00720985" w:rsidP="00720985">
      <w:pPr>
        <w:numPr>
          <w:ilvl w:val="0"/>
          <w:numId w:val="23"/>
        </w:numPr>
      </w:pPr>
      <w:r w:rsidRPr="007C2582">
        <w:t>At Step 3, the WALMS of bus 15 is examined rather than that of bus 4. Since Category 1 control is not available anymore, Category 2 voltage increment of the generator at bus 32 is selected and the amount to be increased is 0.05 p.u. determined by (</w:t>
      </w:r>
      <w:r>
        <w:t>5-</w:t>
      </w:r>
      <w:r w:rsidRPr="007C2582">
        <w:t xml:space="preserve">38). After this step, bus 15 is still under 10%, and Category 3, the load shedding, is taken in Step 4. </w:t>
      </w:r>
    </w:p>
    <w:p w14:paraId="4701AF82" w14:textId="77777777" w:rsidR="00720985" w:rsidRDefault="00720985" w:rsidP="00720985">
      <w:pPr>
        <w:numPr>
          <w:ilvl w:val="0"/>
          <w:numId w:val="23"/>
        </w:numPr>
      </w:pPr>
      <w:r w:rsidRPr="007C2582">
        <w:t>At Step 4, the most sensitive location for load shedding turns out to be bus 15 itself, and the amount to be shed is 44.5 MW and 21.3 MVar based on (39). After this step, the LM at bus 15 is improved to 10%, which terminates the algorithm and all the 4 steps should be applied to the system.</w:t>
      </w:r>
    </w:p>
    <w:p w14:paraId="4A58AE65" w14:textId="77777777" w:rsidR="007C2582" w:rsidRPr="007C2582" w:rsidRDefault="007C2582" w:rsidP="007C2582">
      <w:r w:rsidRPr="007C2582">
        <w:t>Indeed, after the four steps are applied, the actual LM of the system is 11.08% determined by bus 15. The total errors after the four steps are only 1.08%. The LM is within a reasonable range considering that in the decision steps, the algorithm does not require an update of the sensitivities.</w:t>
      </w:r>
    </w:p>
    <w:p w14:paraId="4727350A" w14:textId="77777777" w:rsidR="007C2582" w:rsidRPr="007C2582" w:rsidRDefault="00153AD2" w:rsidP="00153AD2">
      <w:pPr>
        <w:pStyle w:val="Heading3"/>
      </w:pPr>
      <w:bookmarkStart w:id="145" w:name="_Toc459076578"/>
      <w:r>
        <w:t xml:space="preserve">5.4.5 </w:t>
      </w:r>
      <w:r w:rsidR="007C2582" w:rsidRPr="007C2582">
        <w:t xml:space="preserve">Extensive Validation of WALMS on IEEE </w:t>
      </w:r>
      <w:r w:rsidR="00253FA7">
        <w:t>T</w:t>
      </w:r>
      <w:r w:rsidR="007C2582" w:rsidRPr="007C2582">
        <w:t xml:space="preserve">est </w:t>
      </w:r>
      <w:r w:rsidR="00253FA7">
        <w:t>S</w:t>
      </w:r>
      <w:r w:rsidR="007C2582" w:rsidRPr="007C2582">
        <w:t>ystems</w:t>
      </w:r>
      <w:bookmarkEnd w:id="145"/>
    </w:p>
    <w:p w14:paraId="39BEEDF5" w14:textId="77777777" w:rsidR="00720985" w:rsidRDefault="007C2582" w:rsidP="00720985">
      <w:pPr>
        <w:jc w:val="distribute"/>
      </w:pPr>
      <w:r w:rsidRPr="007C2582">
        <w:t xml:space="preserve">To further verify the WALMS as well as to demonstrate the application of the proposed WALMS, case studies on the IEEE 14, 57, and 300-bus systems </w:t>
      </w:r>
      <w:r w:rsidR="00153AD2">
        <w:fldChar w:fldCharType="begin" w:fldLock="1"/>
      </w:r>
      <w:r w:rsidR="00351740">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sidR="00153AD2">
        <w:fldChar w:fldCharType="separate"/>
      </w:r>
      <w:r w:rsidR="00DD7036" w:rsidRPr="00DD7036">
        <w:rPr>
          <w:noProof/>
        </w:rPr>
        <w:t>[64]</w:t>
      </w:r>
      <w:r w:rsidR="00153AD2">
        <w:fldChar w:fldCharType="end"/>
      </w:r>
      <w:r w:rsidRPr="007C2582">
        <w:t xml:space="preserve"> are conducted. The average error on the LMS of the top 1/3 insecure load buses are summarized in </w:t>
      </w:r>
      <w:r w:rsidR="00153AD2">
        <w:fldChar w:fldCharType="begin"/>
      </w:r>
      <w:r w:rsidR="00153AD2">
        <w:instrText xml:space="preserve"> REF _Ref432084179 \h </w:instrText>
      </w:r>
      <w:r w:rsidR="00153AD2">
        <w:fldChar w:fldCharType="separate"/>
      </w:r>
      <w:r w:rsidR="00656B13">
        <w:t xml:space="preserve">Table </w:t>
      </w:r>
      <w:r w:rsidR="00656B13">
        <w:rPr>
          <w:noProof/>
        </w:rPr>
        <w:t>13</w:t>
      </w:r>
      <w:r w:rsidR="00153AD2">
        <w:fldChar w:fldCharType="end"/>
      </w:r>
      <w:r w:rsidRPr="007C2582">
        <w:t xml:space="preserve">. The WALMS of the remaining 2/3 load buses are not included for practical reason since their loading margins are way above the critical region. As </w:t>
      </w:r>
    </w:p>
    <w:p w14:paraId="477EF7FE" w14:textId="02F70807" w:rsidR="00720985" w:rsidRPr="007C2582" w:rsidRDefault="00720985" w:rsidP="00720985">
      <w:pPr>
        <w:pStyle w:val="Caption"/>
      </w:pPr>
      <w:bookmarkStart w:id="146" w:name="_Toc459076670"/>
      <w:r>
        <w:lastRenderedPageBreak/>
        <w:t xml:space="preserve">Table </w:t>
      </w:r>
      <w:fldSimple w:instr=" SEQ Table \* ARABIC ">
        <w:r>
          <w:rPr>
            <w:noProof/>
          </w:rPr>
          <w:t>13</w:t>
        </w:r>
      </w:fldSimple>
      <w:r>
        <w:t>:</w:t>
      </w:r>
      <w:r w:rsidRPr="007C2582">
        <w:t xml:space="preserve"> Average Absolute Errors </w:t>
      </w:r>
      <w:r>
        <w:t>of WALMS i</w:t>
      </w:r>
      <w:r w:rsidRPr="007C2582">
        <w:t>n IEEE Test Systems</w:t>
      </w:r>
      <w:bookmarkEnd w:id="146"/>
    </w:p>
    <w:tbl>
      <w:tblPr>
        <w:tblW w:w="0" w:type="auto"/>
        <w:jc w:val="center"/>
        <w:tblBorders>
          <w:top w:val="single" w:sz="12" w:space="0" w:color="000000"/>
          <w:bottom w:val="single" w:sz="12" w:space="0" w:color="000000"/>
        </w:tblBorders>
        <w:tblLook w:val="04A0" w:firstRow="1" w:lastRow="0" w:firstColumn="1" w:lastColumn="0" w:noHBand="0" w:noVBand="1"/>
      </w:tblPr>
      <w:tblGrid>
        <w:gridCol w:w="1089"/>
        <w:gridCol w:w="1486"/>
        <w:gridCol w:w="1714"/>
        <w:gridCol w:w="1769"/>
      </w:tblGrid>
      <w:tr w:rsidR="00720985" w:rsidRPr="007C2582" w14:paraId="082182AB" w14:textId="77777777" w:rsidTr="00DB0BED">
        <w:trPr>
          <w:jc w:val="center"/>
        </w:trPr>
        <w:tc>
          <w:tcPr>
            <w:tcW w:w="1089" w:type="dxa"/>
            <w:tcBorders>
              <w:bottom w:val="single" w:sz="6" w:space="0" w:color="000000"/>
              <w:right w:val="single" w:sz="6" w:space="0" w:color="000000"/>
            </w:tcBorders>
            <w:shd w:val="clear" w:color="auto" w:fill="auto"/>
            <w:vAlign w:val="center"/>
          </w:tcPr>
          <w:p w14:paraId="6CFCB0CD" w14:textId="77777777" w:rsidR="00720985" w:rsidRPr="007C2582" w:rsidRDefault="00720985" w:rsidP="00DB0BED">
            <w:pPr>
              <w:spacing w:line="240" w:lineRule="auto"/>
              <w:ind w:firstLine="0"/>
              <w:jc w:val="center"/>
              <w:rPr>
                <w:i/>
                <w:iCs/>
                <w:lang w:val="x-none"/>
              </w:rPr>
            </w:pPr>
            <w:r w:rsidRPr="007C2582">
              <w:rPr>
                <w:i/>
                <w:iCs/>
                <w:lang w:val="x-none"/>
              </w:rPr>
              <w:t>LMS w.r.t.</w:t>
            </w:r>
          </w:p>
        </w:tc>
        <w:tc>
          <w:tcPr>
            <w:tcW w:w="1486" w:type="dxa"/>
            <w:tcBorders>
              <w:bottom w:val="single" w:sz="6" w:space="0" w:color="000000"/>
            </w:tcBorders>
            <w:shd w:val="clear" w:color="auto" w:fill="auto"/>
          </w:tcPr>
          <w:p w14:paraId="35178708" w14:textId="77777777" w:rsidR="00720985" w:rsidRPr="007C2582" w:rsidRDefault="00720985" w:rsidP="00DB0BED">
            <w:pPr>
              <w:spacing w:line="240" w:lineRule="auto"/>
              <w:ind w:firstLine="0"/>
              <w:jc w:val="center"/>
              <w:rPr>
                <w:i/>
                <w:iCs/>
                <w:lang w:val="x-none"/>
              </w:rPr>
            </w:pPr>
            <w:r w:rsidRPr="007C2582">
              <w:rPr>
                <w:i/>
                <w:iCs/>
                <w:lang w:val="x-none"/>
              </w:rPr>
              <w:t>IEEE 14-bus System</w:t>
            </w:r>
          </w:p>
        </w:tc>
        <w:tc>
          <w:tcPr>
            <w:tcW w:w="1714" w:type="dxa"/>
            <w:tcBorders>
              <w:bottom w:val="single" w:sz="6" w:space="0" w:color="000000"/>
            </w:tcBorders>
            <w:shd w:val="clear" w:color="auto" w:fill="auto"/>
          </w:tcPr>
          <w:p w14:paraId="62A420BC" w14:textId="77777777" w:rsidR="00720985" w:rsidRPr="007C2582" w:rsidRDefault="00720985" w:rsidP="00DB0BED">
            <w:pPr>
              <w:spacing w:line="240" w:lineRule="auto"/>
              <w:ind w:firstLine="0"/>
              <w:jc w:val="center"/>
              <w:rPr>
                <w:i/>
                <w:iCs/>
                <w:lang w:val="x-none"/>
              </w:rPr>
            </w:pPr>
            <w:r w:rsidRPr="007C2582">
              <w:rPr>
                <w:i/>
                <w:iCs/>
                <w:lang w:val="x-none"/>
              </w:rPr>
              <w:t>IEEE 57-bus System</w:t>
            </w:r>
          </w:p>
        </w:tc>
        <w:tc>
          <w:tcPr>
            <w:tcW w:w="1769" w:type="dxa"/>
            <w:tcBorders>
              <w:bottom w:val="single" w:sz="6" w:space="0" w:color="000000"/>
            </w:tcBorders>
            <w:shd w:val="clear" w:color="auto" w:fill="auto"/>
          </w:tcPr>
          <w:p w14:paraId="4D88BC8A" w14:textId="77777777" w:rsidR="00720985" w:rsidRPr="007C2582" w:rsidRDefault="00720985" w:rsidP="00DB0BED">
            <w:pPr>
              <w:spacing w:line="240" w:lineRule="auto"/>
              <w:ind w:firstLine="0"/>
              <w:jc w:val="center"/>
              <w:rPr>
                <w:i/>
                <w:iCs/>
                <w:lang w:val="x-none"/>
              </w:rPr>
            </w:pPr>
            <w:r w:rsidRPr="007C2582">
              <w:rPr>
                <w:i/>
                <w:iCs/>
                <w:lang w:val="x-none"/>
              </w:rPr>
              <w:t>IEEE 300-bus</w:t>
            </w:r>
          </w:p>
          <w:p w14:paraId="11B5D7B9" w14:textId="77777777" w:rsidR="00720985" w:rsidRPr="007C2582" w:rsidRDefault="00720985" w:rsidP="00DB0BED">
            <w:pPr>
              <w:spacing w:line="240" w:lineRule="auto"/>
              <w:ind w:firstLine="0"/>
              <w:jc w:val="center"/>
              <w:rPr>
                <w:i/>
                <w:iCs/>
                <w:lang w:val="x-none"/>
              </w:rPr>
            </w:pPr>
            <w:r w:rsidRPr="007C2582">
              <w:rPr>
                <w:i/>
                <w:iCs/>
                <w:lang w:val="x-none"/>
              </w:rPr>
              <w:t>System</w:t>
            </w:r>
          </w:p>
        </w:tc>
      </w:tr>
      <w:tr w:rsidR="00720985" w:rsidRPr="007C2582" w14:paraId="39399349" w14:textId="77777777" w:rsidTr="00DB0BED">
        <w:trPr>
          <w:trHeight w:val="216"/>
          <w:jc w:val="center"/>
        </w:trPr>
        <w:tc>
          <w:tcPr>
            <w:tcW w:w="1089" w:type="dxa"/>
            <w:tcBorders>
              <w:right w:val="single" w:sz="6" w:space="0" w:color="000000"/>
            </w:tcBorders>
            <w:shd w:val="clear" w:color="auto" w:fill="auto"/>
            <w:vAlign w:val="center"/>
          </w:tcPr>
          <w:p w14:paraId="089E7EEA" w14:textId="77777777" w:rsidR="00720985" w:rsidRPr="007C2582" w:rsidRDefault="00720985" w:rsidP="00DB0BED">
            <w:pPr>
              <w:spacing w:line="240" w:lineRule="auto"/>
              <w:ind w:firstLine="0"/>
              <w:jc w:val="center"/>
              <w:rPr>
                <w:lang w:val="x-none"/>
              </w:rPr>
            </w:pPr>
            <w:r w:rsidRPr="007C2582">
              <w:rPr>
                <w:lang w:val="x-none"/>
              </w:rPr>
              <w:t>Q (%)</w:t>
            </w:r>
          </w:p>
        </w:tc>
        <w:tc>
          <w:tcPr>
            <w:tcW w:w="1486" w:type="dxa"/>
            <w:shd w:val="clear" w:color="auto" w:fill="auto"/>
            <w:vAlign w:val="center"/>
          </w:tcPr>
          <w:p w14:paraId="4377919A" w14:textId="77777777" w:rsidR="00720985" w:rsidRPr="007C2582" w:rsidRDefault="00720985" w:rsidP="00DB0BED">
            <w:pPr>
              <w:spacing w:line="240" w:lineRule="auto"/>
              <w:ind w:firstLine="0"/>
              <w:jc w:val="center"/>
              <w:rPr>
                <w:lang w:val="x-none"/>
              </w:rPr>
            </w:pPr>
            <w:r w:rsidRPr="007C2582">
              <w:rPr>
                <w:lang w:val="x-none"/>
              </w:rPr>
              <w:t>1.00%</w:t>
            </w:r>
          </w:p>
        </w:tc>
        <w:tc>
          <w:tcPr>
            <w:tcW w:w="1714" w:type="dxa"/>
            <w:shd w:val="clear" w:color="auto" w:fill="auto"/>
            <w:vAlign w:val="center"/>
          </w:tcPr>
          <w:p w14:paraId="5D199C6E" w14:textId="77777777" w:rsidR="00720985" w:rsidRPr="007C2582" w:rsidRDefault="00720985" w:rsidP="00DB0BED">
            <w:pPr>
              <w:spacing w:line="240" w:lineRule="auto"/>
              <w:ind w:firstLine="0"/>
              <w:jc w:val="center"/>
              <w:rPr>
                <w:lang w:val="x-none"/>
              </w:rPr>
            </w:pPr>
            <w:r w:rsidRPr="007C2582">
              <w:rPr>
                <w:lang w:val="x-none"/>
              </w:rPr>
              <w:t>0.34%</w:t>
            </w:r>
          </w:p>
        </w:tc>
        <w:tc>
          <w:tcPr>
            <w:tcW w:w="1769" w:type="dxa"/>
            <w:shd w:val="clear" w:color="auto" w:fill="auto"/>
            <w:vAlign w:val="center"/>
          </w:tcPr>
          <w:p w14:paraId="3A931FD9" w14:textId="77777777" w:rsidR="00720985" w:rsidRPr="007C2582" w:rsidRDefault="00720985" w:rsidP="00DB0BED">
            <w:pPr>
              <w:spacing w:line="240" w:lineRule="auto"/>
              <w:ind w:firstLine="0"/>
              <w:jc w:val="center"/>
              <w:rPr>
                <w:lang w:val="x-none"/>
              </w:rPr>
            </w:pPr>
            <w:r w:rsidRPr="007C2582">
              <w:rPr>
                <w:lang w:val="x-none"/>
              </w:rPr>
              <w:t>0.76%</w:t>
            </w:r>
          </w:p>
        </w:tc>
      </w:tr>
      <w:tr w:rsidR="00720985" w:rsidRPr="007C2582" w14:paraId="5AED2D17" w14:textId="77777777" w:rsidTr="00DB0BED">
        <w:trPr>
          <w:trHeight w:val="216"/>
          <w:jc w:val="center"/>
        </w:trPr>
        <w:tc>
          <w:tcPr>
            <w:tcW w:w="1089" w:type="dxa"/>
            <w:tcBorders>
              <w:right w:val="single" w:sz="6" w:space="0" w:color="000000"/>
            </w:tcBorders>
            <w:shd w:val="clear" w:color="auto" w:fill="auto"/>
            <w:vAlign w:val="center"/>
          </w:tcPr>
          <w:p w14:paraId="70D42DFC" w14:textId="77777777" w:rsidR="00720985" w:rsidRPr="007C2582" w:rsidRDefault="00720985" w:rsidP="00DB0BED">
            <w:pPr>
              <w:spacing w:line="240" w:lineRule="auto"/>
              <w:ind w:firstLine="0"/>
              <w:jc w:val="center"/>
              <w:rPr>
                <w:lang w:val="x-none"/>
              </w:rPr>
            </w:pPr>
            <w:r w:rsidRPr="007C2582">
              <w:rPr>
                <w:lang w:val="x-none"/>
              </w:rPr>
              <w:t>P (%)</w:t>
            </w:r>
          </w:p>
        </w:tc>
        <w:tc>
          <w:tcPr>
            <w:tcW w:w="1486" w:type="dxa"/>
            <w:shd w:val="clear" w:color="auto" w:fill="auto"/>
            <w:vAlign w:val="center"/>
          </w:tcPr>
          <w:p w14:paraId="16F50DEB" w14:textId="77777777" w:rsidR="00720985" w:rsidRPr="007C2582" w:rsidRDefault="00720985" w:rsidP="00DB0BED">
            <w:pPr>
              <w:spacing w:line="240" w:lineRule="auto"/>
              <w:ind w:firstLine="0"/>
              <w:jc w:val="center"/>
              <w:rPr>
                <w:lang w:val="x-none"/>
              </w:rPr>
            </w:pPr>
            <w:r w:rsidRPr="007C2582">
              <w:rPr>
                <w:lang w:val="x-none"/>
              </w:rPr>
              <w:t>1.27%</w:t>
            </w:r>
          </w:p>
        </w:tc>
        <w:tc>
          <w:tcPr>
            <w:tcW w:w="1714" w:type="dxa"/>
            <w:shd w:val="clear" w:color="auto" w:fill="auto"/>
            <w:vAlign w:val="center"/>
          </w:tcPr>
          <w:p w14:paraId="52239D1A" w14:textId="77777777" w:rsidR="00720985" w:rsidRPr="007C2582" w:rsidRDefault="00720985" w:rsidP="00DB0BED">
            <w:pPr>
              <w:spacing w:line="240" w:lineRule="auto"/>
              <w:ind w:firstLine="0"/>
              <w:jc w:val="center"/>
              <w:rPr>
                <w:lang w:val="x-none"/>
              </w:rPr>
            </w:pPr>
            <w:r w:rsidRPr="007C2582">
              <w:rPr>
                <w:lang w:val="x-none"/>
              </w:rPr>
              <w:t>0.41%</w:t>
            </w:r>
          </w:p>
        </w:tc>
        <w:tc>
          <w:tcPr>
            <w:tcW w:w="1769" w:type="dxa"/>
            <w:shd w:val="clear" w:color="auto" w:fill="auto"/>
            <w:vAlign w:val="center"/>
          </w:tcPr>
          <w:p w14:paraId="3B4ED925" w14:textId="77777777" w:rsidR="00720985" w:rsidRPr="007C2582" w:rsidRDefault="00720985" w:rsidP="00DB0BED">
            <w:pPr>
              <w:spacing w:line="240" w:lineRule="auto"/>
              <w:ind w:firstLine="0"/>
              <w:jc w:val="center"/>
              <w:rPr>
                <w:lang w:val="x-none"/>
              </w:rPr>
            </w:pPr>
            <w:r w:rsidRPr="007C2582">
              <w:rPr>
                <w:lang w:val="x-none"/>
              </w:rPr>
              <w:t>1.64%</w:t>
            </w:r>
          </w:p>
        </w:tc>
      </w:tr>
      <w:tr w:rsidR="00720985" w:rsidRPr="007C2582" w14:paraId="6069CA20" w14:textId="77777777" w:rsidTr="00DB0BED">
        <w:trPr>
          <w:trHeight w:val="216"/>
          <w:jc w:val="center"/>
        </w:trPr>
        <w:tc>
          <w:tcPr>
            <w:tcW w:w="1089" w:type="dxa"/>
            <w:tcBorders>
              <w:right w:val="single" w:sz="6" w:space="0" w:color="000000"/>
            </w:tcBorders>
            <w:shd w:val="clear" w:color="auto" w:fill="auto"/>
            <w:vAlign w:val="center"/>
          </w:tcPr>
          <w:p w14:paraId="57E7C497" w14:textId="77777777" w:rsidR="00720985" w:rsidRPr="007C2582" w:rsidRDefault="00720985" w:rsidP="00DB0BED">
            <w:pPr>
              <w:spacing w:line="240" w:lineRule="auto"/>
              <w:ind w:firstLine="0"/>
              <w:jc w:val="center"/>
              <w:rPr>
                <w:lang w:val="x-none"/>
              </w:rPr>
            </w:pPr>
            <w:r w:rsidRPr="007C2582">
              <w:rPr>
                <w:lang w:val="x-none"/>
              </w:rPr>
              <w:t>V (%)</w:t>
            </w:r>
          </w:p>
        </w:tc>
        <w:tc>
          <w:tcPr>
            <w:tcW w:w="1486" w:type="dxa"/>
            <w:shd w:val="clear" w:color="auto" w:fill="auto"/>
            <w:vAlign w:val="center"/>
          </w:tcPr>
          <w:p w14:paraId="716DAAA5" w14:textId="77777777" w:rsidR="00720985" w:rsidRPr="007C2582" w:rsidRDefault="00720985" w:rsidP="00DB0BED">
            <w:pPr>
              <w:spacing w:line="240" w:lineRule="auto"/>
              <w:ind w:firstLine="0"/>
              <w:jc w:val="center"/>
              <w:rPr>
                <w:lang w:val="x-none"/>
              </w:rPr>
            </w:pPr>
            <w:r w:rsidRPr="007C2582">
              <w:rPr>
                <w:lang w:val="x-none"/>
              </w:rPr>
              <w:t>0.38%</w:t>
            </w:r>
          </w:p>
        </w:tc>
        <w:tc>
          <w:tcPr>
            <w:tcW w:w="1714" w:type="dxa"/>
            <w:shd w:val="clear" w:color="auto" w:fill="auto"/>
            <w:vAlign w:val="center"/>
          </w:tcPr>
          <w:p w14:paraId="17387B53" w14:textId="77777777" w:rsidR="00720985" w:rsidRPr="007C2582" w:rsidRDefault="00720985" w:rsidP="00DB0BED">
            <w:pPr>
              <w:spacing w:line="240" w:lineRule="auto"/>
              <w:ind w:firstLine="0"/>
              <w:jc w:val="center"/>
              <w:rPr>
                <w:lang w:val="x-none"/>
              </w:rPr>
            </w:pPr>
            <w:r w:rsidRPr="007C2582">
              <w:rPr>
                <w:lang w:val="x-none"/>
              </w:rPr>
              <w:t>0.28%</w:t>
            </w:r>
          </w:p>
        </w:tc>
        <w:tc>
          <w:tcPr>
            <w:tcW w:w="1769" w:type="dxa"/>
            <w:shd w:val="clear" w:color="auto" w:fill="auto"/>
            <w:vAlign w:val="center"/>
          </w:tcPr>
          <w:p w14:paraId="6CDFCA89" w14:textId="77777777" w:rsidR="00720985" w:rsidRPr="007C2582" w:rsidRDefault="00720985" w:rsidP="00DB0BED">
            <w:pPr>
              <w:spacing w:line="240" w:lineRule="auto"/>
              <w:ind w:firstLine="0"/>
              <w:jc w:val="center"/>
              <w:rPr>
                <w:lang w:val="x-none"/>
              </w:rPr>
            </w:pPr>
            <w:r w:rsidRPr="007C2582">
              <w:rPr>
                <w:lang w:val="x-none"/>
              </w:rPr>
              <w:t>0.07%</w:t>
            </w:r>
          </w:p>
        </w:tc>
      </w:tr>
    </w:tbl>
    <w:p w14:paraId="557C1E3E" w14:textId="77777777" w:rsidR="00720985" w:rsidRDefault="00720985" w:rsidP="00720985"/>
    <w:p w14:paraId="75C5FCC5" w14:textId="15A10A97" w:rsidR="00720985" w:rsidRDefault="00720985">
      <w:r>
        <w:br w:type="page"/>
      </w:r>
    </w:p>
    <w:p w14:paraId="462AA8C8" w14:textId="6CBBA56B" w:rsidR="007C2582" w:rsidRPr="007C2582" w:rsidRDefault="007C2582" w:rsidP="00720985">
      <w:pPr>
        <w:ind w:firstLine="0"/>
      </w:pPr>
      <w:r w:rsidRPr="007C2582">
        <w:lastRenderedPageBreak/>
        <w:t xml:space="preserve">shown in </w:t>
      </w:r>
      <w:r w:rsidR="00153AD2">
        <w:fldChar w:fldCharType="begin"/>
      </w:r>
      <w:r w:rsidR="00153AD2">
        <w:instrText xml:space="preserve"> REF _Ref432084179 \h </w:instrText>
      </w:r>
      <w:r w:rsidR="00153AD2">
        <w:fldChar w:fldCharType="separate"/>
      </w:r>
      <w:r w:rsidR="00656B13">
        <w:t xml:space="preserve">Table </w:t>
      </w:r>
      <w:r w:rsidR="00656B13">
        <w:rPr>
          <w:noProof/>
        </w:rPr>
        <w:t>13</w:t>
      </w:r>
      <w:r w:rsidR="00153AD2">
        <w:fldChar w:fldCharType="end"/>
      </w:r>
      <w:r w:rsidRPr="007C2582">
        <w:t xml:space="preserve">, the proposed WALMS performs well in all the three test systems. Due to the length limit, the validation of the control strategy is not presented. </w:t>
      </w:r>
    </w:p>
    <w:p w14:paraId="6D99ECED" w14:textId="77777777" w:rsidR="007C2582" w:rsidRPr="007C2582" w:rsidRDefault="00153AD2" w:rsidP="004B5C30">
      <w:pPr>
        <w:pStyle w:val="Heading2"/>
      </w:pPr>
      <w:bookmarkStart w:id="147" w:name="_Toc459076579"/>
      <w:r>
        <w:t xml:space="preserve">5.5 </w:t>
      </w:r>
      <w:r w:rsidR="007C2582" w:rsidRPr="007C2582">
        <w:t>Conclusion</w:t>
      </w:r>
      <w:bookmarkEnd w:id="147"/>
    </w:p>
    <w:p w14:paraId="45232BFF" w14:textId="77777777" w:rsidR="007C2582" w:rsidRPr="007C2582" w:rsidRDefault="007C2582" w:rsidP="007C2582">
      <w:pPr>
        <w:rPr>
          <w:bCs/>
        </w:rPr>
      </w:pPr>
      <w:r w:rsidRPr="007C2582">
        <w:rPr>
          <w:bCs/>
        </w:rPr>
        <w:t xml:space="preserve">Two major contributions of this work can be summarized as: 1) the derivation of analytical expression of measurement- based WALMS using the coupled single-port circuit; and 2) the development of the multi-step control strategy for voltage stability based on the WALMS. </w:t>
      </w:r>
    </w:p>
    <w:p w14:paraId="715B9EB0" w14:textId="77777777" w:rsidR="007C2582" w:rsidRDefault="007C2582" w:rsidP="007C2582">
      <w:pPr>
        <w:rPr>
          <w:bCs/>
        </w:rPr>
      </w:pPr>
      <w:r w:rsidRPr="007C2582">
        <w:rPr>
          <w:bCs/>
        </w:rPr>
        <w:t>With the advantage of the simplicity of the measurement- based VSA, the WALMS is computationally efficient if compared with the existing model-based sensitivities which require the detailed system Jacobian matrix and eigenvalues calculation. The WALMS w.r.t. real power injection, reactive power injection, and generator terminal voltage, is derived and verified on the IEEE 14, 39, 57, and 300-bus systems. It has been demonstrated that the WALMS achieves good accuracy on the test systems. On the other hand, benefiting from the WALMS, a straightforward yet effective voltage control strategy is proposed. Validation of the control strategy on the 39-bus system shows decent results and the potential of online applications. Further, the application of the WALMS is not limited to the proposed control strategy but can be integrated in various applications for VSA and control. Those can be explored in future works.</w:t>
      </w:r>
    </w:p>
    <w:p w14:paraId="62E3C9F6" w14:textId="77777777" w:rsidR="000E06C6" w:rsidRDefault="000E06C6">
      <w:pPr>
        <w:rPr>
          <w:bCs/>
        </w:rPr>
      </w:pPr>
      <w:r>
        <w:rPr>
          <w:bCs/>
        </w:rPr>
        <w:br w:type="page"/>
      </w:r>
    </w:p>
    <w:p w14:paraId="57C7BE4E" w14:textId="77777777" w:rsidR="00E5478E" w:rsidRDefault="00E5478E" w:rsidP="00CC759C">
      <w:pPr>
        <w:pStyle w:val="Heading1"/>
        <w:rPr>
          <w:lang w:eastAsia="zh-CN"/>
        </w:rPr>
      </w:pPr>
      <w:bookmarkStart w:id="148" w:name="_Toc459076580"/>
      <w:r w:rsidRPr="00F920F6">
        <w:lastRenderedPageBreak/>
        <w:t>C</w:t>
      </w:r>
      <w:r>
        <w:t>HAPTER</w:t>
      </w:r>
      <w:r w:rsidRPr="00F920F6">
        <w:t xml:space="preserve"> </w:t>
      </w:r>
      <w:r>
        <w:rPr>
          <w:rFonts w:hint="eastAsia"/>
          <w:lang w:eastAsia="zh-CN"/>
        </w:rPr>
        <w:t>6</w:t>
      </w:r>
      <w:r w:rsidRPr="004D734D">
        <w:br/>
      </w:r>
      <w:r w:rsidR="001C09CE" w:rsidRPr="00E5478E">
        <w:rPr>
          <w:lang w:eastAsia="zh-CN"/>
        </w:rPr>
        <w:t>MITIGAT</w:t>
      </w:r>
      <w:r w:rsidR="00E17746">
        <w:rPr>
          <w:caps w:val="0"/>
          <w:lang w:eastAsia="zh-CN"/>
        </w:rPr>
        <w:t>ING</w:t>
      </w:r>
      <w:r w:rsidR="001C09CE" w:rsidRPr="00E5478E">
        <w:rPr>
          <w:lang w:eastAsia="zh-CN"/>
        </w:rPr>
        <w:t xml:space="preserve"> OVERESTIMATION OF VOLTAGE STABILITY MARGIN BY COUPLED SINGLE-PORT CIRCUIT MODELS</w:t>
      </w:r>
      <w:bookmarkEnd w:id="148"/>
      <w:r>
        <w:rPr>
          <w:rFonts w:hint="eastAsia"/>
          <w:lang w:eastAsia="zh-CN"/>
        </w:rPr>
        <w:tab/>
      </w:r>
    </w:p>
    <w:p w14:paraId="24DC8B4E" w14:textId="77777777" w:rsidR="00E5478E" w:rsidRDefault="00E5478E" w:rsidP="00E5478E">
      <w:pPr>
        <w:rPr>
          <w:lang w:eastAsia="zh-CN"/>
        </w:rPr>
      </w:pPr>
      <w:r w:rsidRPr="00E5478E">
        <w:rPr>
          <w:lang w:eastAsia="zh-CN"/>
        </w:rPr>
        <w:t xml:space="preserve">Wide-area measurement-based voltage stability assessment (VSA) by coupled single-port circuit models has been widely discussed recently. This method models the coupling effects of load buses within a meshed network into extra impedance of a single-port model for each load bus. In simulation studies, overestimations of voltage stability margin using this approach have been observed when critical load bus or buses are decoupled from other load buses. In this </w:t>
      </w:r>
      <w:r>
        <w:rPr>
          <w:lang w:eastAsia="zh-CN"/>
        </w:rPr>
        <w:t>chapter</w:t>
      </w:r>
      <w:r w:rsidRPr="00E5478E">
        <w:rPr>
          <w:lang w:eastAsia="zh-CN"/>
        </w:rPr>
        <w:t>, the overestimations are reported for the first time through examples and are further analyzed in details. Moreover, to mitigate such overestimations, two methods are proposed: one method uses a mitigation factor based on actual system reactive power response; the other method changes the types of certain weak generation buses when forming the coupled impedance. Both approaches are applied to a sample 4-bus system as well as the IEEE 118-bus system and successfully mitigate the overestimations.</w:t>
      </w:r>
    </w:p>
    <w:p w14:paraId="3BD9086D" w14:textId="77777777" w:rsidR="00E5478E" w:rsidRDefault="00E5478E" w:rsidP="004B5C30">
      <w:pPr>
        <w:pStyle w:val="Heading2"/>
        <w:rPr>
          <w:lang w:eastAsia="zh-CN"/>
        </w:rPr>
      </w:pPr>
      <w:bookmarkStart w:id="149" w:name="_Toc459076581"/>
      <w:r>
        <w:rPr>
          <w:lang w:eastAsia="zh-CN"/>
        </w:rPr>
        <w:t xml:space="preserve">6.1 </w:t>
      </w:r>
      <w:r w:rsidR="00253FA7">
        <w:rPr>
          <w:lang w:eastAsia="zh-CN"/>
        </w:rPr>
        <w:t>Overestimations of Voltage Stability Margins</w:t>
      </w:r>
      <w:bookmarkEnd w:id="149"/>
    </w:p>
    <w:p w14:paraId="10251651" w14:textId="77777777" w:rsidR="00E5478E" w:rsidRDefault="00E5478E" w:rsidP="00E5478E">
      <w:pPr>
        <w:rPr>
          <w:lang w:eastAsia="zh-CN"/>
        </w:rPr>
      </w:pPr>
      <w:r>
        <w:rPr>
          <w:lang w:eastAsia="zh-CN"/>
        </w:rPr>
        <w:t xml:space="preserve">The coupled single-port circuit (CSPC) method has been introduced in Chapter 5.1 and is therefore not described again in this chapter. </w:t>
      </w:r>
      <w:r w:rsidRPr="00E5478E">
        <w:rPr>
          <w:lang w:eastAsia="zh-CN"/>
        </w:rPr>
        <w:t>Although CSPC method achieves decent results in standard as well as practical test systems, overestimation can be observed in certain system topologies under certain load increasing scenarios as explained in this section.</w:t>
      </w:r>
    </w:p>
    <w:p w14:paraId="79D5D74C" w14:textId="77777777" w:rsidR="002D7E76" w:rsidRDefault="002D7E76" w:rsidP="002D7E76">
      <w:pPr>
        <w:pStyle w:val="Heading3"/>
        <w:rPr>
          <w:lang w:eastAsia="zh-CN"/>
        </w:rPr>
      </w:pPr>
      <w:bookmarkStart w:id="150" w:name="_Toc459076582"/>
      <w:r>
        <w:rPr>
          <w:lang w:eastAsia="zh-CN"/>
        </w:rPr>
        <w:lastRenderedPageBreak/>
        <w:t xml:space="preserve">6.1.1 </w:t>
      </w:r>
      <w:r w:rsidRPr="002D7E76">
        <w:rPr>
          <w:lang w:eastAsia="zh-CN"/>
        </w:rPr>
        <w:t>Observed Overestimation in IEEE 118-</w:t>
      </w:r>
      <w:r w:rsidR="00253FA7">
        <w:rPr>
          <w:lang w:eastAsia="zh-CN"/>
        </w:rPr>
        <w:t>B</w:t>
      </w:r>
      <w:r w:rsidR="00253FA7" w:rsidRPr="002D7E76">
        <w:rPr>
          <w:lang w:eastAsia="zh-CN"/>
        </w:rPr>
        <w:t xml:space="preserve">us </w:t>
      </w:r>
      <w:r w:rsidR="00253FA7">
        <w:rPr>
          <w:lang w:eastAsia="zh-CN"/>
        </w:rPr>
        <w:t>S</w:t>
      </w:r>
      <w:r w:rsidR="00253FA7" w:rsidRPr="002D7E76">
        <w:rPr>
          <w:lang w:eastAsia="zh-CN"/>
        </w:rPr>
        <w:t>ystem</w:t>
      </w:r>
      <w:bookmarkEnd w:id="150"/>
    </w:p>
    <w:p w14:paraId="1BB16F74" w14:textId="77777777" w:rsidR="002D7E76" w:rsidRPr="002D7E76" w:rsidRDefault="002D7E76" w:rsidP="002D7E76">
      <w:pPr>
        <w:pStyle w:val="BodyText"/>
        <w:rPr>
          <w:rFonts w:eastAsia="MS Mincho"/>
          <w:sz w:val="24"/>
        </w:rPr>
      </w:pPr>
      <w:r w:rsidRPr="002D7E76">
        <w:rPr>
          <w:rFonts w:eastAsia="MS Mincho"/>
          <w:sz w:val="24"/>
        </w:rPr>
        <w:t xml:space="preserve">The overestimation is first observed in IEEE 118-bus system </w:t>
      </w:r>
      <w:r>
        <w:rPr>
          <w:rFonts w:eastAsia="MS Mincho"/>
          <w:sz w:val="24"/>
        </w:rPr>
        <w:fldChar w:fldCharType="begin" w:fldLock="1"/>
      </w:r>
      <w:r w:rsidR="00351740">
        <w:rPr>
          <w:rFonts w:eastAsia="MS Mincho"/>
          <w:sz w:val="24"/>
        </w:rPr>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Pr>
          <w:rFonts w:eastAsia="MS Mincho"/>
          <w:sz w:val="24"/>
        </w:rPr>
        <w:fldChar w:fldCharType="separate"/>
      </w:r>
      <w:r w:rsidR="00DD7036" w:rsidRPr="00DD7036">
        <w:rPr>
          <w:rFonts w:eastAsia="MS Mincho"/>
          <w:noProof/>
          <w:sz w:val="24"/>
        </w:rPr>
        <w:t>[64]</w:t>
      </w:r>
      <w:r>
        <w:rPr>
          <w:rFonts w:eastAsia="MS Mincho"/>
          <w:sz w:val="24"/>
        </w:rPr>
        <w:fldChar w:fldCharType="end"/>
      </w:r>
      <w:r w:rsidRPr="002D7E76">
        <w:rPr>
          <w:rFonts w:eastAsia="MS Mincho"/>
          <w:sz w:val="24"/>
        </w:rPr>
        <w:t xml:space="preserve"> when all the loads and generation are increasing proportionally. The loading margins of selected critical buses using CSPC method are shown in</w:t>
      </w:r>
      <w:r>
        <w:rPr>
          <w:rFonts w:eastAsia="MS Mincho"/>
          <w:sz w:val="24"/>
        </w:rPr>
        <w:t xml:space="preserve"> </w:t>
      </w:r>
      <w:r w:rsidRPr="002D7E76">
        <w:rPr>
          <w:rFonts w:eastAsia="MS Mincho"/>
          <w:sz w:val="24"/>
          <w:szCs w:val="24"/>
        </w:rPr>
        <w:fldChar w:fldCharType="begin"/>
      </w:r>
      <w:r w:rsidRPr="002D7E76">
        <w:rPr>
          <w:rFonts w:eastAsia="MS Mincho"/>
          <w:sz w:val="24"/>
          <w:szCs w:val="24"/>
        </w:rPr>
        <w:instrText xml:space="preserve"> REF _Ref453064192 \h </w:instrText>
      </w:r>
      <w:r>
        <w:rPr>
          <w:rFonts w:eastAsia="MS Mincho"/>
          <w:sz w:val="24"/>
          <w:szCs w:val="24"/>
        </w:rPr>
        <w:instrText xml:space="preserve"> \* MERGEFORMAT </w:instrText>
      </w:r>
      <w:r w:rsidRPr="002D7E76">
        <w:rPr>
          <w:rFonts w:eastAsia="MS Mincho"/>
          <w:sz w:val="24"/>
          <w:szCs w:val="24"/>
        </w:rPr>
      </w:r>
      <w:r w:rsidRPr="002D7E76">
        <w:rPr>
          <w:rFonts w:eastAsia="MS Mincho"/>
          <w:sz w:val="24"/>
          <w:szCs w:val="24"/>
        </w:rPr>
        <w:fldChar w:fldCharType="separate"/>
      </w:r>
      <w:r w:rsidRPr="002D7E76">
        <w:rPr>
          <w:sz w:val="24"/>
          <w:szCs w:val="24"/>
        </w:rPr>
        <w:t xml:space="preserve">Figure </w:t>
      </w:r>
      <w:r w:rsidRPr="002D7E76">
        <w:rPr>
          <w:noProof/>
          <w:sz w:val="24"/>
          <w:szCs w:val="24"/>
        </w:rPr>
        <w:t>33</w:t>
      </w:r>
      <w:r w:rsidRPr="002D7E76">
        <w:rPr>
          <w:rFonts w:eastAsia="MS Mincho"/>
          <w:sz w:val="24"/>
          <w:szCs w:val="24"/>
        </w:rPr>
        <w:fldChar w:fldCharType="end"/>
      </w:r>
      <w:r w:rsidRPr="002D7E76">
        <w:rPr>
          <w:rFonts w:eastAsia="MS Mincho"/>
          <w:sz w:val="24"/>
        </w:rPr>
        <w:t>. According to</w:t>
      </w:r>
      <w:r>
        <w:rPr>
          <w:rFonts w:eastAsia="MS Mincho"/>
          <w:sz w:val="24"/>
        </w:rPr>
        <w:t xml:space="preserve"> </w:t>
      </w:r>
      <w:r w:rsidRPr="002D7E76">
        <w:rPr>
          <w:rFonts w:eastAsia="MS Mincho"/>
          <w:sz w:val="24"/>
          <w:szCs w:val="24"/>
        </w:rPr>
        <w:fldChar w:fldCharType="begin"/>
      </w:r>
      <w:r w:rsidRPr="002D7E76">
        <w:rPr>
          <w:rFonts w:eastAsia="MS Mincho"/>
          <w:sz w:val="24"/>
          <w:szCs w:val="24"/>
        </w:rPr>
        <w:instrText xml:space="preserve"> REF _Ref453064192 \h </w:instrText>
      </w:r>
      <w:r>
        <w:rPr>
          <w:rFonts w:eastAsia="MS Mincho"/>
          <w:sz w:val="24"/>
          <w:szCs w:val="24"/>
        </w:rPr>
        <w:instrText xml:space="preserve"> \* MERGEFORMAT </w:instrText>
      </w:r>
      <w:r w:rsidRPr="002D7E76">
        <w:rPr>
          <w:rFonts w:eastAsia="MS Mincho"/>
          <w:sz w:val="24"/>
          <w:szCs w:val="24"/>
        </w:rPr>
      </w:r>
      <w:r w:rsidRPr="002D7E76">
        <w:rPr>
          <w:rFonts w:eastAsia="MS Mincho"/>
          <w:sz w:val="24"/>
          <w:szCs w:val="24"/>
        </w:rPr>
        <w:fldChar w:fldCharType="separate"/>
      </w:r>
      <w:r w:rsidRPr="002D7E76">
        <w:rPr>
          <w:sz w:val="24"/>
          <w:szCs w:val="24"/>
        </w:rPr>
        <w:t xml:space="preserve">Figure </w:t>
      </w:r>
      <w:r w:rsidRPr="002D7E76">
        <w:rPr>
          <w:noProof/>
          <w:sz w:val="24"/>
          <w:szCs w:val="24"/>
        </w:rPr>
        <w:t>33</w:t>
      </w:r>
      <w:r w:rsidRPr="002D7E76">
        <w:rPr>
          <w:rFonts w:eastAsia="MS Mincho"/>
          <w:sz w:val="24"/>
          <w:szCs w:val="24"/>
        </w:rPr>
        <w:fldChar w:fldCharType="end"/>
      </w:r>
      <w:r w:rsidRPr="002D7E76">
        <w:rPr>
          <w:rFonts w:eastAsia="MS Mincho"/>
          <w:sz w:val="24"/>
        </w:rPr>
        <w:t>, the most critical bus is Bus 44 with the smallest LM of 3.81 which means the system can support 381% of the base load. However, the LM of the system calculated through continuation power flow is 2.19 and is represented by the</w:t>
      </w:r>
      <w:r>
        <w:rPr>
          <w:rFonts w:eastAsia="MS Mincho"/>
          <w:sz w:val="24"/>
        </w:rPr>
        <w:t xml:space="preserve"> red line in </w:t>
      </w:r>
      <w:r w:rsidRPr="002D7E76">
        <w:rPr>
          <w:rFonts w:eastAsia="MS Mincho"/>
          <w:sz w:val="24"/>
          <w:szCs w:val="24"/>
        </w:rPr>
        <w:fldChar w:fldCharType="begin"/>
      </w:r>
      <w:r w:rsidRPr="002D7E76">
        <w:rPr>
          <w:rFonts w:eastAsia="MS Mincho"/>
          <w:sz w:val="24"/>
          <w:szCs w:val="24"/>
        </w:rPr>
        <w:instrText xml:space="preserve"> REF _Ref453064192 \h </w:instrText>
      </w:r>
      <w:r>
        <w:rPr>
          <w:rFonts w:eastAsia="MS Mincho"/>
          <w:sz w:val="24"/>
          <w:szCs w:val="24"/>
        </w:rPr>
        <w:instrText xml:space="preserve"> \* MERGEFORMAT </w:instrText>
      </w:r>
      <w:r w:rsidRPr="002D7E76">
        <w:rPr>
          <w:rFonts w:eastAsia="MS Mincho"/>
          <w:sz w:val="24"/>
          <w:szCs w:val="24"/>
        </w:rPr>
      </w:r>
      <w:r w:rsidRPr="002D7E76">
        <w:rPr>
          <w:rFonts w:eastAsia="MS Mincho"/>
          <w:sz w:val="24"/>
          <w:szCs w:val="24"/>
        </w:rPr>
        <w:fldChar w:fldCharType="separate"/>
      </w:r>
      <w:r w:rsidRPr="002D7E76">
        <w:rPr>
          <w:sz w:val="24"/>
          <w:szCs w:val="24"/>
        </w:rPr>
        <w:t xml:space="preserve">Figure </w:t>
      </w:r>
      <w:r w:rsidRPr="002D7E76">
        <w:rPr>
          <w:noProof/>
          <w:sz w:val="24"/>
          <w:szCs w:val="24"/>
        </w:rPr>
        <w:t>33</w:t>
      </w:r>
      <w:r w:rsidRPr="002D7E76">
        <w:rPr>
          <w:rFonts w:eastAsia="MS Mincho"/>
          <w:sz w:val="24"/>
          <w:szCs w:val="24"/>
        </w:rPr>
        <w:fldChar w:fldCharType="end"/>
      </w:r>
      <w:r w:rsidRPr="002D7E76">
        <w:rPr>
          <w:rFonts w:eastAsia="MS Mincho"/>
          <w:sz w:val="24"/>
        </w:rPr>
        <w:t xml:space="preserve"> (The continuation power flow result used in this study is from MATPOWER 5.1</w:t>
      </w:r>
      <w:r>
        <w:rPr>
          <w:rFonts w:eastAsia="MS Mincho"/>
          <w:sz w:val="24"/>
        </w:rPr>
        <w:t xml:space="preserve"> </w:t>
      </w:r>
      <w:r>
        <w:rPr>
          <w:rFonts w:eastAsia="MS Mincho"/>
          <w:sz w:val="24"/>
        </w:rPr>
        <w:fldChar w:fldCharType="begin" w:fldLock="1"/>
      </w:r>
      <w:r w:rsidR="00351740">
        <w:rPr>
          <w:rFonts w:eastAsia="MS Mincho"/>
          <w:sz w:val="24"/>
        </w:rPr>
        <w:instrText>ADDIN CSL_CITATION { "citationItems" : [ { "id" : "ITEM-1", "itemData" : { "DOI" : "10.1109/TPWRS.2010.2051168", "ISBN" : "08858950", "ISSN" : "0885-8950", "abstract" : "MATPOWER is an open-source Matlab-based power system simulation package that provides a high-level set of power flow, optimal power flow (OPF), and other tools targeted toward researchers, educators, and students. The OPF architecture is designed to be extensible, making it easy to add user-defined variables, costs, and constraints to the standard OPF problem. This paper presents the details of the network modeling and problem formulations used by MATPOWER, including its extensible OPF architecture. This structure is used internally to implement several extensions to the standard OPF problem, including piece-wise linear cost functions, dispatchable loads, generator capability curves, and branch angle difference limits. Simulation results are presented for a number of test cases comparing the performance of several available OPF solvers and demonstrating MATPOWER's ability to solve large-scale AC and DC OPF problems.", "author" : [ { "dropping-particle" : "", "family" : "Zimmerman", "given" : "R.D.", "non-dropping-particle" : "", "parse-names" : false, "suffix" : "" }, { "dropping-particle" : "", "family" : "Murillo Sa\u0301nchez", "given" : "C.E.", "non-dropping-particle" : "", "parse-names" : false, "suffix" : "" }, { "dropping-particle" : "", "family" : "Thomas", "given" : "R.J.", "non-dropping-particle" : "", "parse-names" : false, "suffix" : "" } ], "container-title" : "IEEE Transactions on Power Systems", "id" : "ITEM-1", "issue" : "1", "issued" : { "date-parts" : [ [ "2011" ] ] }, "page" : "12-19", "title" : "MATPOWER: Steady-State Operations, Planning, and Analysis Tools for Power Systems Research and Education", "type" : "article-journal", "volume" : "26" }, "uris" : [ "http://www.mendeley.com/documents/?uuid=584f0197-4295-4d23-aae9-c13022777b9d" ] } ], "mendeley" : { "formattedCitation" : "[66]", "plainTextFormattedCitation" : "[66]", "previouslyFormattedCitation" : "[66]" }, "properties" : { "noteIndex" : 0 }, "schema" : "https://github.com/citation-style-language/schema/raw/master/csl-citation.json" }</w:instrText>
      </w:r>
      <w:r>
        <w:rPr>
          <w:rFonts w:eastAsia="MS Mincho"/>
          <w:sz w:val="24"/>
        </w:rPr>
        <w:fldChar w:fldCharType="separate"/>
      </w:r>
      <w:r w:rsidR="00DD7036" w:rsidRPr="00DD7036">
        <w:rPr>
          <w:rFonts w:eastAsia="MS Mincho"/>
          <w:noProof/>
          <w:sz w:val="24"/>
        </w:rPr>
        <w:t>[66]</w:t>
      </w:r>
      <w:r>
        <w:rPr>
          <w:rFonts w:eastAsia="MS Mincho"/>
          <w:sz w:val="24"/>
        </w:rPr>
        <w:fldChar w:fldCharType="end"/>
      </w:r>
      <w:r w:rsidRPr="002D7E76">
        <w:rPr>
          <w:rFonts w:eastAsia="MS Mincho"/>
          <w:sz w:val="24"/>
        </w:rPr>
        <w:t xml:space="preserve"> under MATLAB R2013b environment). It is clear that CSPC method overestimates the voltage stability margin of the IEEE 118-bus system in this case. The mismatch in terms of LM is around 1.62 or 162%.</w:t>
      </w:r>
    </w:p>
    <w:p w14:paraId="704AC270" w14:textId="77777777" w:rsidR="002D7E76" w:rsidRDefault="002D7E76" w:rsidP="009D3286">
      <w:pPr>
        <w:pStyle w:val="BodyText"/>
        <w:rPr>
          <w:rFonts w:eastAsia="MS Mincho"/>
          <w:sz w:val="24"/>
        </w:rPr>
      </w:pPr>
      <w:r w:rsidRPr="002D7E76">
        <w:rPr>
          <w:rFonts w:eastAsia="MS Mincho"/>
          <w:sz w:val="24"/>
        </w:rPr>
        <w:t>Further examining the topology of the system around Bus 44, it is found that the small pocket containing Bus 44 is ‘isolated’ by several generator buses from the outside system as shown in</w:t>
      </w:r>
      <w:r>
        <w:rPr>
          <w:rFonts w:eastAsia="MS Mincho"/>
          <w:sz w:val="24"/>
        </w:rPr>
        <w:t xml:space="preserve"> </w:t>
      </w:r>
      <w:r w:rsidRPr="002D7E76">
        <w:rPr>
          <w:rFonts w:eastAsia="MS Mincho"/>
          <w:sz w:val="24"/>
          <w:szCs w:val="24"/>
        </w:rPr>
        <w:fldChar w:fldCharType="begin"/>
      </w:r>
      <w:r w:rsidRPr="002D7E76">
        <w:rPr>
          <w:rFonts w:eastAsia="MS Mincho"/>
          <w:sz w:val="24"/>
          <w:szCs w:val="24"/>
        </w:rPr>
        <w:instrText xml:space="preserve"> REF _Ref453064560 \h  \* MERGEFORMAT </w:instrText>
      </w:r>
      <w:r w:rsidRPr="002D7E76">
        <w:rPr>
          <w:rFonts w:eastAsia="MS Mincho"/>
          <w:sz w:val="24"/>
          <w:szCs w:val="24"/>
        </w:rPr>
      </w:r>
      <w:r w:rsidRPr="002D7E76">
        <w:rPr>
          <w:rFonts w:eastAsia="MS Mincho"/>
          <w:sz w:val="24"/>
          <w:szCs w:val="24"/>
        </w:rPr>
        <w:fldChar w:fldCharType="separate"/>
      </w:r>
      <w:r w:rsidRPr="002D7E76">
        <w:rPr>
          <w:sz w:val="24"/>
          <w:szCs w:val="24"/>
        </w:rPr>
        <w:t xml:space="preserve">Figure </w:t>
      </w:r>
      <w:r w:rsidRPr="002D7E76">
        <w:rPr>
          <w:noProof/>
          <w:sz w:val="24"/>
          <w:szCs w:val="24"/>
        </w:rPr>
        <w:t>34</w:t>
      </w:r>
      <w:r w:rsidRPr="002D7E76">
        <w:rPr>
          <w:rFonts w:eastAsia="MS Mincho"/>
          <w:sz w:val="24"/>
          <w:szCs w:val="24"/>
        </w:rPr>
        <w:fldChar w:fldCharType="end"/>
      </w:r>
      <w:r w:rsidRPr="002D7E76">
        <w:rPr>
          <w:rFonts w:eastAsia="MS Mincho"/>
          <w:sz w:val="24"/>
        </w:rPr>
        <w:t xml:space="preserve">. In </w:t>
      </w:r>
      <w:r w:rsidRPr="002D7E76">
        <w:rPr>
          <w:rFonts w:eastAsia="MS Mincho"/>
          <w:sz w:val="24"/>
          <w:szCs w:val="24"/>
        </w:rPr>
        <w:fldChar w:fldCharType="begin"/>
      </w:r>
      <w:r w:rsidRPr="002D7E76">
        <w:rPr>
          <w:rFonts w:eastAsia="MS Mincho"/>
          <w:sz w:val="24"/>
          <w:szCs w:val="24"/>
        </w:rPr>
        <w:instrText xml:space="preserve"> REF _Ref453064560 \h  \* MERGEFORMAT </w:instrText>
      </w:r>
      <w:r w:rsidRPr="002D7E76">
        <w:rPr>
          <w:rFonts w:eastAsia="MS Mincho"/>
          <w:sz w:val="24"/>
          <w:szCs w:val="24"/>
        </w:rPr>
      </w:r>
      <w:r w:rsidRPr="002D7E76">
        <w:rPr>
          <w:rFonts w:eastAsia="MS Mincho"/>
          <w:sz w:val="24"/>
          <w:szCs w:val="24"/>
        </w:rPr>
        <w:fldChar w:fldCharType="separate"/>
      </w:r>
      <w:r w:rsidRPr="002D7E76">
        <w:rPr>
          <w:sz w:val="24"/>
          <w:szCs w:val="24"/>
        </w:rPr>
        <w:t xml:space="preserve">Figure </w:t>
      </w:r>
      <w:r w:rsidRPr="002D7E76">
        <w:rPr>
          <w:noProof/>
          <w:sz w:val="24"/>
          <w:szCs w:val="24"/>
        </w:rPr>
        <w:t>34</w:t>
      </w:r>
      <w:r w:rsidRPr="002D7E76">
        <w:rPr>
          <w:rFonts w:eastAsia="MS Mincho"/>
          <w:sz w:val="24"/>
          <w:szCs w:val="24"/>
        </w:rPr>
        <w:fldChar w:fldCharType="end"/>
      </w:r>
      <w:r w:rsidRPr="002D7E76">
        <w:rPr>
          <w:rFonts w:eastAsia="MS Mincho"/>
          <w:sz w:val="24"/>
        </w:rPr>
        <w:t xml:space="preserve">, the open lines are branches that connect to the rest of the system. With this special topology, load buses 43, 44, and 45 are decoupled from other load buses because the elements of </w:t>
      </w:r>
      <w:r w:rsidRPr="002D7E76">
        <w:rPr>
          <w:rFonts w:eastAsia="MS Mincho"/>
          <w:b/>
          <w:i/>
          <w:sz w:val="24"/>
        </w:rPr>
        <w:t>Z</w:t>
      </w:r>
      <w:r w:rsidRPr="002D7E76">
        <w:rPr>
          <w:rFonts w:eastAsia="MS Mincho"/>
          <w:i/>
          <w:sz w:val="24"/>
          <w:vertAlign w:val="subscript"/>
        </w:rPr>
        <w:t>LL</w:t>
      </w:r>
      <w:r w:rsidRPr="002D7E76">
        <w:rPr>
          <w:rFonts w:eastAsia="MS Mincho"/>
          <w:sz w:val="24"/>
        </w:rPr>
        <w:t xml:space="preserve"> in (</w:t>
      </w:r>
      <w:r>
        <w:rPr>
          <w:rFonts w:eastAsia="MS Mincho"/>
          <w:sz w:val="24"/>
        </w:rPr>
        <w:t>5-</w:t>
      </w:r>
      <w:r w:rsidRPr="002D7E76">
        <w:rPr>
          <w:rFonts w:eastAsia="MS Mincho"/>
          <w:sz w:val="24"/>
        </w:rPr>
        <w:t xml:space="preserve">2) corresponding to the coupling effects of outside load buses are all zero. </w:t>
      </w:r>
    </w:p>
    <w:p w14:paraId="7F122DC2" w14:textId="77777777" w:rsidR="002D7E76" w:rsidRDefault="002D7E76" w:rsidP="002D7E76">
      <w:pPr>
        <w:pStyle w:val="Heading3"/>
      </w:pPr>
      <w:bookmarkStart w:id="151" w:name="_Toc459076583"/>
      <w:r>
        <w:t xml:space="preserve">6.1.2 </w:t>
      </w:r>
      <w:r w:rsidRPr="002D7E76">
        <w:t xml:space="preserve">Analysis on </w:t>
      </w:r>
      <w:r w:rsidR="00253FA7">
        <w:t xml:space="preserve">the </w:t>
      </w:r>
      <w:r w:rsidRPr="002D7E76">
        <w:t>Sample 4-</w:t>
      </w:r>
      <w:r w:rsidR="00253FA7">
        <w:t>B</w:t>
      </w:r>
      <w:r w:rsidR="00253FA7" w:rsidRPr="002D7E76">
        <w:t xml:space="preserve">us </w:t>
      </w:r>
      <w:r w:rsidR="00253FA7">
        <w:t>S</w:t>
      </w:r>
      <w:r w:rsidR="00253FA7" w:rsidRPr="002D7E76">
        <w:t>ystem</w:t>
      </w:r>
      <w:bookmarkEnd w:id="151"/>
    </w:p>
    <w:p w14:paraId="791BA0AA" w14:textId="40D19097" w:rsidR="00725197" w:rsidRDefault="00725197" w:rsidP="009D3286">
      <w:pPr>
        <w:pStyle w:val="BodyText"/>
        <w:rPr>
          <w:rFonts w:eastAsia="MS Mincho"/>
          <w:sz w:val="24"/>
          <w:szCs w:val="24"/>
        </w:rPr>
      </w:pPr>
      <w:r w:rsidRPr="00725197">
        <w:rPr>
          <w:rFonts w:eastAsia="MS Mincho"/>
          <w:sz w:val="24"/>
          <w:szCs w:val="24"/>
        </w:rPr>
        <w:t xml:space="preserve">To better demonstrate the correlation between the special isolation topology and the overestimation in voltage stability margin, a sample 4-bus system is built. The topology of the system is shown in </w:t>
      </w:r>
      <w:r w:rsidRPr="00725197">
        <w:rPr>
          <w:rFonts w:eastAsia="MS Mincho"/>
          <w:sz w:val="24"/>
          <w:szCs w:val="24"/>
        </w:rPr>
        <w:fldChar w:fldCharType="begin"/>
      </w:r>
      <w:r w:rsidRPr="00725197">
        <w:rPr>
          <w:rFonts w:eastAsia="MS Mincho"/>
          <w:sz w:val="24"/>
          <w:szCs w:val="24"/>
        </w:rPr>
        <w:instrText xml:space="preserve"> REF _Ref453064743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35</w:t>
      </w:r>
      <w:r w:rsidRPr="00725197">
        <w:rPr>
          <w:rFonts w:eastAsia="MS Mincho"/>
          <w:sz w:val="24"/>
          <w:szCs w:val="24"/>
        </w:rPr>
        <w:fldChar w:fldCharType="end"/>
      </w:r>
      <w:r w:rsidRPr="00725197">
        <w:rPr>
          <w:rFonts w:eastAsia="MS Mincho"/>
          <w:sz w:val="24"/>
          <w:szCs w:val="24"/>
        </w:rPr>
        <w:t xml:space="preserve">. The transmission lines are assumed to be identical with a reactance of 0.2 p.u. Load bus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each has a load of (100 MW, 30 </w:t>
      </w:r>
    </w:p>
    <w:p w14:paraId="6AB90D51" w14:textId="77777777" w:rsidR="00C13A1F" w:rsidRPr="00444F5B" w:rsidRDefault="00C13A1F" w:rsidP="00C13A1F">
      <w:pPr>
        <w:pStyle w:val="BodyText"/>
        <w:spacing w:line="240" w:lineRule="auto"/>
        <w:ind w:firstLine="0"/>
        <w:jc w:val="center"/>
        <w:rPr>
          <w:rFonts w:eastAsia="MS Mincho"/>
        </w:rPr>
      </w:pPr>
      <w:r w:rsidRPr="00444F5B">
        <w:rPr>
          <w:rFonts w:eastAsia="MS Mincho"/>
          <w:noProof/>
          <w:lang w:eastAsia="zh-CN"/>
        </w:rPr>
        <w:lastRenderedPageBreak/>
        <w:drawing>
          <wp:inline distT="0" distB="0" distL="0" distR="0" wp14:anchorId="472B3E6D" wp14:editId="0C0D0B19">
            <wp:extent cx="3271880" cy="140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8">
                      <a:extLst>
                        <a:ext uri="{28A0092B-C50C-407E-A947-70E740481C1C}">
                          <a14:useLocalDpi xmlns:a14="http://schemas.microsoft.com/office/drawing/2010/main" val="0"/>
                        </a:ext>
                      </a:extLst>
                    </a:blip>
                    <a:srcRect l="4024" t="3168" r="5432"/>
                    <a:stretch>
                      <a:fillRect/>
                    </a:stretch>
                  </pic:blipFill>
                  <pic:spPr bwMode="auto">
                    <a:xfrm>
                      <a:off x="0" y="0"/>
                      <a:ext cx="3328283" cy="1424312"/>
                    </a:xfrm>
                    <a:prstGeom prst="rect">
                      <a:avLst/>
                    </a:prstGeom>
                    <a:noFill/>
                    <a:ln>
                      <a:noFill/>
                    </a:ln>
                  </pic:spPr>
                </pic:pic>
              </a:graphicData>
            </a:graphic>
          </wp:inline>
        </w:drawing>
      </w:r>
    </w:p>
    <w:p w14:paraId="5840C0A4" w14:textId="77777777" w:rsidR="00C13A1F" w:rsidRDefault="00C13A1F" w:rsidP="00C13A1F">
      <w:pPr>
        <w:pStyle w:val="Caption"/>
      </w:pPr>
      <w:bookmarkStart w:id="152" w:name="_Ref453064192"/>
      <w:bookmarkStart w:id="153" w:name="_Toc459076484"/>
      <w:r>
        <w:t xml:space="preserve">Figure </w:t>
      </w:r>
      <w:fldSimple w:instr=" SEQ Figure \* ARABIC ">
        <w:r>
          <w:rPr>
            <w:noProof/>
          </w:rPr>
          <w:t>33</w:t>
        </w:r>
      </w:fldSimple>
      <w:bookmarkEnd w:id="152"/>
      <w:r>
        <w:t>. Loading margin of selected buses of IEEE 118-bus system.</w:t>
      </w:r>
      <w:bookmarkEnd w:id="153"/>
    </w:p>
    <w:p w14:paraId="1893FAFE" w14:textId="2E52E1E3" w:rsidR="00C13A1F" w:rsidRDefault="009D3286" w:rsidP="00C13A1F">
      <w:pPr>
        <w:pStyle w:val="BodyText"/>
        <w:spacing w:line="240" w:lineRule="auto"/>
        <w:ind w:firstLine="0"/>
        <w:jc w:val="center"/>
      </w:pPr>
      <w:r>
        <w:object w:dxaOrig="4065" w:dyaOrig="1935" w14:anchorId="0731B25B">
          <v:shape id="_x0000_i1048" type="#_x0000_t75" style="width:202.5pt;height:96pt" o:ole="">
            <v:imagedata r:id="rId339" o:title=""/>
          </v:shape>
          <o:OLEObject Type="Embed" ProgID="Visio.Drawing.15" ShapeID="_x0000_i1048" DrawAspect="Content" ObjectID="_1532825749" r:id="rId340"/>
        </w:object>
      </w:r>
      <w:bookmarkStart w:id="154" w:name="_Ref453064560"/>
    </w:p>
    <w:p w14:paraId="0010A304" w14:textId="77777777" w:rsidR="00C13A1F" w:rsidRPr="002D7E76" w:rsidRDefault="00C13A1F" w:rsidP="00C13A1F">
      <w:pPr>
        <w:pStyle w:val="Caption"/>
      </w:pPr>
      <w:bookmarkStart w:id="155" w:name="_Toc459076485"/>
      <w:r>
        <w:t xml:space="preserve">Figure </w:t>
      </w:r>
      <w:fldSimple w:instr=" SEQ Figure \* ARABIC ">
        <w:r>
          <w:t>34</w:t>
        </w:r>
      </w:fldSimple>
      <w:bookmarkEnd w:id="154"/>
      <w:r>
        <w:t xml:space="preserve">. </w:t>
      </w:r>
      <w:r w:rsidRPr="002D7E76">
        <w:t>Partial diagram of IEEE 118-bus system near Bus 44.</w:t>
      </w:r>
      <w:bookmarkEnd w:id="155"/>
      <w:r w:rsidRPr="002D7E76">
        <w:t xml:space="preserve"> </w:t>
      </w:r>
    </w:p>
    <w:p w14:paraId="33EF9AB6" w14:textId="77777777" w:rsidR="00725197" w:rsidRPr="00725197" w:rsidRDefault="00725197" w:rsidP="009D3286">
      <w:pPr>
        <w:pStyle w:val="BodyText"/>
        <w:spacing w:before="360" w:line="240" w:lineRule="auto"/>
        <w:ind w:firstLine="0"/>
        <w:jc w:val="center"/>
        <w:rPr>
          <w:rFonts w:eastAsia="MS Mincho"/>
          <w:sz w:val="24"/>
          <w:szCs w:val="24"/>
        </w:rPr>
      </w:pPr>
      <w:r w:rsidRPr="00725197">
        <w:rPr>
          <w:rFonts w:eastAsia="MS Mincho"/>
          <w:sz w:val="24"/>
          <w:szCs w:val="24"/>
        </w:rPr>
        <w:object w:dxaOrig="6705" w:dyaOrig="1920" w14:anchorId="19EFF36B">
          <v:shape id="_x0000_i1047" type="#_x0000_t75" style="width:267pt;height:76.5pt" o:ole="">
            <v:imagedata r:id="rId341" o:title=""/>
          </v:shape>
          <o:OLEObject Type="Embed" ProgID="Visio.Drawing.15" ShapeID="_x0000_i1047" DrawAspect="Content" ObjectID="_1532825750" r:id="rId342"/>
        </w:object>
      </w:r>
    </w:p>
    <w:p w14:paraId="0A0F02D3" w14:textId="77777777" w:rsidR="00725197" w:rsidRPr="00725197" w:rsidRDefault="00725197" w:rsidP="009D0201">
      <w:pPr>
        <w:pStyle w:val="Caption"/>
        <w:rPr>
          <w:rFonts w:eastAsia="MS Mincho"/>
          <w:szCs w:val="24"/>
        </w:rPr>
      </w:pPr>
      <w:bookmarkStart w:id="156" w:name="_Ref453064743"/>
      <w:bookmarkStart w:id="157" w:name="_Toc459076486"/>
      <w:r>
        <w:t xml:space="preserve">Figure </w:t>
      </w:r>
      <w:fldSimple w:instr=" SEQ Figure \* ARABIC ">
        <w:r w:rsidR="00B0208A">
          <w:rPr>
            <w:noProof/>
          </w:rPr>
          <w:t>35</w:t>
        </w:r>
      </w:fldSimple>
      <w:bookmarkEnd w:id="156"/>
      <w:r>
        <w:t>.</w:t>
      </w:r>
      <w:r>
        <w:rPr>
          <w:rFonts w:eastAsia="MS Mincho"/>
          <w:szCs w:val="24"/>
        </w:rPr>
        <w:t xml:space="preserve"> </w:t>
      </w:r>
      <w:r w:rsidRPr="00725197">
        <w:rPr>
          <w:rFonts w:eastAsia="MS Mincho"/>
          <w:szCs w:val="24"/>
        </w:rPr>
        <w:t>Sample 4-bus system.</w:t>
      </w:r>
      <w:bookmarkEnd w:id="157"/>
    </w:p>
    <w:p w14:paraId="1CCE8F14" w14:textId="77777777" w:rsidR="009D3286" w:rsidRDefault="009D3286">
      <w:pPr>
        <w:rPr>
          <w:rFonts w:eastAsia="MS Mincho"/>
        </w:rPr>
      </w:pPr>
      <w:r>
        <w:rPr>
          <w:rFonts w:eastAsia="MS Mincho"/>
        </w:rPr>
        <w:br w:type="page"/>
      </w:r>
    </w:p>
    <w:p w14:paraId="493A1231" w14:textId="2488526B" w:rsidR="009D3286" w:rsidRPr="00725197" w:rsidRDefault="009D3286" w:rsidP="009D3286">
      <w:pPr>
        <w:pStyle w:val="BodyText"/>
        <w:ind w:firstLine="0"/>
        <w:rPr>
          <w:rFonts w:eastAsia="MS Mincho"/>
          <w:sz w:val="24"/>
          <w:szCs w:val="24"/>
        </w:rPr>
      </w:pPr>
      <w:r w:rsidRPr="00725197">
        <w:rPr>
          <w:rFonts w:eastAsia="MS Mincho"/>
          <w:sz w:val="24"/>
          <w:szCs w:val="24"/>
        </w:rPr>
        <w:lastRenderedPageBreak/>
        <w:t xml:space="preserve">MVar) with a 100 MVA base. The scheduled voltage magnitudes at both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are set to 1.0 p.u.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(Bus 1) is the slack bus.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(Bus 2) is a PV bus. </w:t>
      </w:r>
    </w:p>
    <w:p w14:paraId="53D8CF32" w14:textId="77777777" w:rsidR="009D3286" w:rsidRDefault="009D3286" w:rsidP="009D3286">
      <w:pPr>
        <w:pStyle w:val="BodyText"/>
        <w:rPr>
          <w:rFonts w:eastAsia="MS Mincho"/>
          <w:sz w:val="24"/>
          <w:szCs w:val="24"/>
        </w:rPr>
      </w:pPr>
      <w:r w:rsidRPr="00725197">
        <w:rPr>
          <w:rFonts w:eastAsia="MS Mincho"/>
          <w:sz w:val="24"/>
          <w:szCs w:val="24"/>
        </w:rPr>
        <w:t xml:space="preserve">In the sample 4-bus system,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is isolated by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from the other load bus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and is to mimic the load pocket illustrated in </w:t>
      </w:r>
      <w:r w:rsidRPr="00725197">
        <w:rPr>
          <w:rFonts w:eastAsia="MS Mincho"/>
          <w:sz w:val="24"/>
          <w:szCs w:val="24"/>
        </w:rPr>
        <w:fldChar w:fldCharType="begin"/>
      </w:r>
      <w:r w:rsidRPr="00725197">
        <w:rPr>
          <w:rFonts w:eastAsia="MS Mincho"/>
          <w:sz w:val="24"/>
          <w:szCs w:val="24"/>
        </w:rPr>
        <w:instrText xml:space="preserve"> REF _Ref453064743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35</w:t>
      </w:r>
      <w:r w:rsidRPr="00725197">
        <w:rPr>
          <w:rFonts w:eastAsia="MS Mincho"/>
          <w:sz w:val="24"/>
          <w:szCs w:val="24"/>
        </w:rPr>
        <w:fldChar w:fldCharType="end"/>
      </w:r>
      <w:r w:rsidRPr="00725197">
        <w:rPr>
          <w:rFonts w:eastAsia="MS Mincho"/>
          <w:sz w:val="24"/>
          <w:szCs w:val="24"/>
        </w:rPr>
        <w:t xml:space="preserve"> in the IEEE 118-bus system.</w:t>
      </w:r>
    </w:p>
    <w:p w14:paraId="7CEC0FCC" w14:textId="77777777" w:rsidR="00725197" w:rsidRPr="00725197" w:rsidRDefault="00725197" w:rsidP="009D3286">
      <w:pPr>
        <w:pStyle w:val="BodyText"/>
        <w:rPr>
          <w:rFonts w:eastAsia="MS Mincho"/>
          <w:sz w:val="24"/>
          <w:szCs w:val="24"/>
        </w:rPr>
      </w:pPr>
      <w:r w:rsidRPr="00725197">
        <w:rPr>
          <w:rFonts w:eastAsia="MS Mincho"/>
          <w:sz w:val="24"/>
          <w:szCs w:val="24"/>
        </w:rPr>
        <w:t xml:space="preserve">Voltage stability studies using both CSPC method and the standard CPF are conducted on this system. Different scenarios of generation dispatch between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are considered. Because the resistances are all 0, if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is set to generate </w:t>
      </w:r>
      <w:r w:rsidRPr="00725197">
        <w:rPr>
          <w:rFonts w:eastAsia="MS Mincho"/>
          <w:i/>
          <w:sz w:val="24"/>
          <w:szCs w:val="24"/>
        </w:rPr>
        <w:t>PG</w:t>
      </w:r>
      <w:r w:rsidRPr="00725197">
        <w:rPr>
          <w:rFonts w:eastAsia="MS Mincho"/>
          <w:sz w:val="24"/>
          <w:szCs w:val="24"/>
          <w:vertAlign w:val="subscript"/>
        </w:rPr>
        <w:t>2</w:t>
      </w:r>
      <w:r w:rsidRPr="00725197">
        <w:rPr>
          <w:rFonts w:eastAsia="MS Mincho"/>
          <w:sz w:val="24"/>
          <w:szCs w:val="24"/>
        </w:rPr>
        <w:t xml:space="preserve"> MW, the real power output of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will be (200 – </w:t>
      </w:r>
      <w:r w:rsidRPr="00725197">
        <w:rPr>
          <w:rFonts w:eastAsia="MS Mincho"/>
          <w:i/>
          <w:sz w:val="24"/>
          <w:szCs w:val="24"/>
        </w:rPr>
        <w:t>PG</w:t>
      </w:r>
      <w:r w:rsidRPr="00725197">
        <w:rPr>
          <w:rFonts w:eastAsia="MS Mincho"/>
          <w:sz w:val="24"/>
          <w:szCs w:val="24"/>
          <w:vertAlign w:val="subscript"/>
        </w:rPr>
        <w:t>2</w:t>
      </w:r>
      <w:r w:rsidRPr="00725197">
        <w:rPr>
          <w:rFonts w:eastAsia="MS Mincho"/>
          <w:sz w:val="24"/>
          <w:szCs w:val="24"/>
        </w:rPr>
        <w:t xml:space="preserve">) MW. In the simulation, 10 different dispatch scenarios are considered where the output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increases from 20 MW to 200 MW. All the loads and generations are increased proportionally up until the voltage collapsing point.</w:t>
      </w:r>
    </w:p>
    <w:p w14:paraId="0726F954" w14:textId="77777777" w:rsidR="00725197" w:rsidRPr="00725197" w:rsidRDefault="00725197" w:rsidP="009D3286">
      <w:pPr>
        <w:pStyle w:val="BodyText"/>
        <w:spacing w:after="120"/>
        <w:rPr>
          <w:rFonts w:eastAsia="MS Mincho"/>
          <w:sz w:val="24"/>
          <w:szCs w:val="24"/>
        </w:rPr>
      </w:pPr>
      <w:r w:rsidRPr="00725197">
        <w:rPr>
          <w:rFonts w:eastAsia="MS Mincho"/>
          <w:sz w:val="24"/>
          <w:szCs w:val="24"/>
        </w:rPr>
        <w:t>The results are shown in</w:t>
      </w:r>
      <w:r>
        <w:rPr>
          <w:rFonts w:eastAsia="MS Mincho"/>
          <w:sz w:val="24"/>
          <w:szCs w:val="24"/>
        </w:rPr>
        <w:t xml:space="preserve"> </w:t>
      </w:r>
      <w:r w:rsidRPr="00725197">
        <w:rPr>
          <w:rFonts w:eastAsia="MS Mincho"/>
          <w:sz w:val="24"/>
          <w:szCs w:val="24"/>
        </w:rPr>
        <w:fldChar w:fldCharType="begin"/>
      </w:r>
      <w:r w:rsidRPr="00725197">
        <w:rPr>
          <w:rFonts w:eastAsia="MS Mincho"/>
          <w:sz w:val="24"/>
          <w:szCs w:val="24"/>
        </w:rPr>
        <w:instrText xml:space="preserve"> REF _Ref453065036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36</w:t>
      </w:r>
      <w:r w:rsidRPr="00725197">
        <w:rPr>
          <w:rFonts w:eastAsia="MS Mincho"/>
          <w:sz w:val="24"/>
          <w:szCs w:val="24"/>
        </w:rPr>
        <w:fldChar w:fldCharType="end"/>
      </w:r>
      <w:r w:rsidRPr="00725197">
        <w:rPr>
          <w:rFonts w:eastAsia="MS Mincho"/>
          <w:sz w:val="24"/>
          <w:szCs w:val="24"/>
        </w:rPr>
        <w:t xml:space="preserve">. The loading margins (LM) of load bus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L</w:t>
      </w:r>
      <w:r w:rsidRPr="00725197">
        <w:rPr>
          <w:rFonts w:eastAsia="MS Mincho"/>
          <w:sz w:val="24"/>
          <w:szCs w:val="24"/>
          <w:vertAlign w:val="subscript"/>
        </w:rPr>
        <w:t>2</w:t>
      </w:r>
      <w:r w:rsidRPr="00725197">
        <w:rPr>
          <w:rFonts w:eastAsia="MS Mincho"/>
          <w:i/>
          <w:sz w:val="24"/>
          <w:szCs w:val="24"/>
        </w:rPr>
        <w:t xml:space="preserve"> </w:t>
      </w:r>
      <w:r w:rsidRPr="00725197">
        <w:rPr>
          <w:rFonts w:eastAsia="MS Mincho"/>
          <w:sz w:val="24"/>
          <w:szCs w:val="24"/>
        </w:rPr>
        <w:t xml:space="preserve">calculated by the CSPC method are represented by the blue and green bars respectively. The red bars represent the LMs calculated with CPF. </w:t>
      </w:r>
    </w:p>
    <w:p w14:paraId="7D37B47F" w14:textId="77777777" w:rsidR="00725197" w:rsidRPr="00725197" w:rsidRDefault="00725197" w:rsidP="00901C07">
      <w:pPr>
        <w:pStyle w:val="BodyText"/>
        <w:spacing w:line="240" w:lineRule="auto"/>
        <w:ind w:firstLine="0"/>
        <w:jc w:val="center"/>
        <w:rPr>
          <w:rFonts w:eastAsia="MS Mincho"/>
          <w:sz w:val="24"/>
          <w:szCs w:val="24"/>
        </w:rPr>
      </w:pPr>
      <w:r w:rsidRPr="00725197">
        <w:rPr>
          <w:rFonts w:eastAsia="MS Mincho"/>
          <w:noProof/>
          <w:sz w:val="24"/>
          <w:szCs w:val="24"/>
          <w:lang w:eastAsia="zh-CN"/>
        </w:rPr>
        <w:drawing>
          <wp:inline distT="0" distB="0" distL="0" distR="0" wp14:anchorId="255A1B7A" wp14:editId="0CDCD55D">
            <wp:extent cx="3726391" cy="184265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343">
                      <a:extLst>
                        <a:ext uri="{28A0092B-C50C-407E-A947-70E740481C1C}">
                          <a14:useLocalDpi xmlns:a14="http://schemas.microsoft.com/office/drawing/2010/main" val="0"/>
                        </a:ext>
                      </a:extLst>
                    </a:blip>
                    <a:srcRect l="2414" r="6036"/>
                    <a:stretch>
                      <a:fillRect/>
                    </a:stretch>
                  </pic:blipFill>
                  <pic:spPr bwMode="auto">
                    <a:xfrm>
                      <a:off x="0" y="0"/>
                      <a:ext cx="3738524" cy="1848654"/>
                    </a:xfrm>
                    <a:prstGeom prst="rect">
                      <a:avLst/>
                    </a:prstGeom>
                    <a:noFill/>
                    <a:ln>
                      <a:noFill/>
                    </a:ln>
                  </pic:spPr>
                </pic:pic>
              </a:graphicData>
            </a:graphic>
          </wp:inline>
        </w:drawing>
      </w:r>
    </w:p>
    <w:p w14:paraId="5D147A0D" w14:textId="77777777" w:rsidR="00725197" w:rsidRPr="00725197" w:rsidRDefault="00725197" w:rsidP="009D0201">
      <w:pPr>
        <w:pStyle w:val="Caption"/>
      </w:pPr>
      <w:bookmarkStart w:id="158" w:name="_Ref453065036"/>
      <w:bookmarkStart w:id="159" w:name="_Toc459076487"/>
      <w:r>
        <w:t xml:space="preserve">Figure </w:t>
      </w:r>
      <w:fldSimple w:instr=" SEQ Figure \* ARABIC ">
        <w:r w:rsidR="00B0208A">
          <w:rPr>
            <w:noProof/>
          </w:rPr>
          <w:t>36</w:t>
        </w:r>
      </w:fldSimple>
      <w:bookmarkEnd w:id="158"/>
      <w:r>
        <w:t xml:space="preserve">. </w:t>
      </w:r>
      <w:r w:rsidRPr="00725197">
        <w:t>Loading margin of sample 4-bus system.</w:t>
      </w:r>
      <w:bookmarkEnd w:id="159"/>
    </w:p>
    <w:p w14:paraId="759B1FC2" w14:textId="77777777" w:rsidR="00725197" w:rsidRPr="00725197" w:rsidRDefault="00725197" w:rsidP="009D3286">
      <w:pPr>
        <w:pStyle w:val="BodyText"/>
        <w:spacing w:before="480"/>
        <w:rPr>
          <w:rFonts w:eastAsia="MS Mincho"/>
          <w:sz w:val="24"/>
          <w:szCs w:val="24"/>
        </w:rPr>
      </w:pPr>
      <w:r w:rsidRPr="00725197">
        <w:rPr>
          <w:rFonts w:eastAsia="MS Mincho"/>
          <w:sz w:val="24"/>
          <w:szCs w:val="24"/>
        </w:rPr>
        <w:t xml:space="preserve"> It is observed that, in the 10 scenarios, according to the CSPC method the critical bus is always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(green bar). When the dispatched real power generation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at the base </w:t>
      </w:r>
      <w:r w:rsidRPr="00725197">
        <w:rPr>
          <w:rFonts w:eastAsia="MS Mincho"/>
          <w:sz w:val="24"/>
          <w:szCs w:val="24"/>
        </w:rPr>
        <w:lastRenderedPageBreak/>
        <w:t xml:space="preserve">case is larger than 60 MW, the results of the CSPC method are consistent with CPF. However, when the output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at the base case is less than 60 MW, the overestimation is observed where the estimated LMs of both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using CSPC are larger than the results from CPF.</w:t>
      </w:r>
    </w:p>
    <w:p w14:paraId="5B1E49EA" w14:textId="77777777" w:rsidR="00725197" w:rsidRPr="00725197" w:rsidRDefault="00725197" w:rsidP="009D3286">
      <w:pPr>
        <w:pStyle w:val="BodyText"/>
        <w:spacing w:after="120"/>
        <w:rPr>
          <w:rFonts w:eastAsia="MS Mincho"/>
          <w:sz w:val="24"/>
          <w:szCs w:val="24"/>
        </w:rPr>
      </w:pPr>
      <w:r w:rsidRPr="00725197">
        <w:rPr>
          <w:rFonts w:eastAsia="MS Mincho"/>
          <w:sz w:val="24"/>
          <w:szCs w:val="24"/>
        </w:rPr>
        <w:t xml:space="preserve">Furthermore, for the scenario where the output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is 20 MW, the load impedances and the estimated Thevenin equivalent (TE) impedances of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and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using CSPC as load increases to up until the voltage collapsing point is plotted in </w:t>
      </w:r>
      <w:r w:rsidRPr="00725197">
        <w:rPr>
          <w:rFonts w:eastAsia="MS Mincho"/>
          <w:sz w:val="24"/>
          <w:szCs w:val="24"/>
        </w:rPr>
        <w:fldChar w:fldCharType="begin"/>
      </w:r>
      <w:r w:rsidRPr="00725197">
        <w:rPr>
          <w:rFonts w:eastAsia="MS Mincho"/>
          <w:sz w:val="24"/>
          <w:szCs w:val="24"/>
        </w:rPr>
        <w:instrText xml:space="preserve"> REF _Ref453065130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37</w:t>
      </w:r>
      <w:r w:rsidRPr="00725197">
        <w:rPr>
          <w:rFonts w:eastAsia="MS Mincho"/>
          <w:sz w:val="24"/>
          <w:szCs w:val="24"/>
        </w:rPr>
        <w:fldChar w:fldCharType="end"/>
      </w:r>
      <w:r w:rsidRPr="00725197">
        <w:rPr>
          <w:rFonts w:eastAsia="MS Mincho"/>
          <w:sz w:val="24"/>
          <w:szCs w:val="24"/>
        </w:rPr>
        <w:t xml:space="preserve">. As load increases, the load impedances (dashed curves) are decreasing while the TE impedances keep constant. Theoretically, at the collapsing point, the TE impedance should equal to the load impedance. However, in </w:t>
      </w:r>
      <w:r w:rsidRPr="00725197">
        <w:rPr>
          <w:rFonts w:eastAsia="MS Mincho"/>
          <w:sz w:val="24"/>
          <w:szCs w:val="24"/>
        </w:rPr>
        <w:fldChar w:fldCharType="begin"/>
      </w:r>
      <w:r w:rsidRPr="00725197">
        <w:rPr>
          <w:rFonts w:eastAsia="MS Mincho"/>
          <w:sz w:val="24"/>
          <w:szCs w:val="24"/>
        </w:rPr>
        <w:instrText xml:space="preserve"> REF _Ref453065130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37</w:t>
      </w:r>
      <w:r w:rsidRPr="00725197">
        <w:rPr>
          <w:rFonts w:eastAsia="MS Mincho"/>
          <w:sz w:val="24"/>
          <w:szCs w:val="24"/>
        </w:rPr>
        <w:fldChar w:fldCharType="end"/>
      </w:r>
      <w:r w:rsidRPr="00725197">
        <w:rPr>
          <w:rFonts w:eastAsia="MS Mincho"/>
          <w:sz w:val="24"/>
          <w:szCs w:val="24"/>
        </w:rPr>
        <w:t xml:space="preserve">, it is clearly that the two impedances of each load bus (same color) do not match at the end. Since the load impedances are the actual values from measurements, it is reasonable to state that the TE impedances are underestimated which eventually causes the overestimation of the voltage stability margin. </w:t>
      </w:r>
    </w:p>
    <w:p w14:paraId="34067A56" w14:textId="77777777" w:rsidR="00725197" w:rsidRPr="00725197" w:rsidRDefault="00725197" w:rsidP="00901C07">
      <w:pPr>
        <w:pStyle w:val="BodyText"/>
        <w:spacing w:line="240" w:lineRule="auto"/>
        <w:ind w:firstLine="0"/>
        <w:jc w:val="center"/>
        <w:rPr>
          <w:rFonts w:eastAsia="MS Mincho"/>
          <w:sz w:val="24"/>
          <w:szCs w:val="24"/>
        </w:rPr>
      </w:pPr>
      <w:r w:rsidRPr="00725197">
        <w:rPr>
          <w:rFonts w:eastAsia="MS Mincho"/>
          <w:noProof/>
          <w:sz w:val="24"/>
          <w:szCs w:val="24"/>
          <w:lang w:eastAsia="zh-CN"/>
        </w:rPr>
        <w:drawing>
          <wp:inline distT="0" distB="0" distL="0" distR="0" wp14:anchorId="0EF2138D" wp14:editId="77E4B5A0">
            <wp:extent cx="3367592" cy="164176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344">
                      <a:extLst>
                        <a:ext uri="{28A0092B-C50C-407E-A947-70E740481C1C}">
                          <a14:useLocalDpi xmlns:a14="http://schemas.microsoft.com/office/drawing/2010/main" val="0"/>
                        </a:ext>
                      </a:extLst>
                    </a:blip>
                    <a:srcRect l="3220" t="4054" r="6036"/>
                    <a:stretch>
                      <a:fillRect/>
                    </a:stretch>
                  </pic:blipFill>
                  <pic:spPr bwMode="auto">
                    <a:xfrm>
                      <a:off x="0" y="0"/>
                      <a:ext cx="3374551" cy="1645156"/>
                    </a:xfrm>
                    <a:prstGeom prst="rect">
                      <a:avLst/>
                    </a:prstGeom>
                    <a:noFill/>
                    <a:ln>
                      <a:noFill/>
                    </a:ln>
                  </pic:spPr>
                </pic:pic>
              </a:graphicData>
            </a:graphic>
          </wp:inline>
        </w:drawing>
      </w:r>
    </w:p>
    <w:p w14:paraId="77901765" w14:textId="77777777" w:rsidR="00725197" w:rsidRPr="00725197" w:rsidRDefault="00725197" w:rsidP="009D0201">
      <w:pPr>
        <w:pStyle w:val="Caption"/>
      </w:pPr>
      <w:bookmarkStart w:id="160" w:name="_Ref453065130"/>
      <w:bookmarkStart w:id="161" w:name="_Toc459076488"/>
      <w:r>
        <w:t xml:space="preserve">Figure </w:t>
      </w:r>
      <w:fldSimple w:instr=" SEQ Figure \* ARABIC ">
        <w:r w:rsidR="00B0208A">
          <w:rPr>
            <w:noProof/>
          </w:rPr>
          <w:t>37</w:t>
        </w:r>
      </w:fldSimple>
      <w:bookmarkEnd w:id="160"/>
      <w:r>
        <w:t xml:space="preserve">. </w:t>
      </w:r>
      <w:r w:rsidRPr="00725197">
        <w:t>Load impedances v.s. TE impedance as load increases.</w:t>
      </w:r>
      <w:bookmarkEnd w:id="161"/>
      <w:r w:rsidRPr="00725197">
        <w:t xml:space="preserve"> </w:t>
      </w:r>
    </w:p>
    <w:p w14:paraId="6DDE7BF1" w14:textId="77777777" w:rsidR="00725197" w:rsidRPr="00725197" w:rsidRDefault="00725197" w:rsidP="009D3286">
      <w:pPr>
        <w:pStyle w:val="BodyText"/>
        <w:spacing w:before="480"/>
        <w:rPr>
          <w:rFonts w:eastAsia="MS Mincho"/>
          <w:sz w:val="24"/>
          <w:szCs w:val="24"/>
        </w:rPr>
      </w:pPr>
      <w:r w:rsidRPr="00725197">
        <w:rPr>
          <w:rFonts w:eastAsia="MS Mincho"/>
          <w:sz w:val="24"/>
          <w:szCs w:val="24"/>
        </w:rPr>
        <w:t xml:space="preserve">The isolation of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to </w:t>
      </w:r>
      <w:r w:rsidRPr="00725197">
        <w:rPr>
          <w:rFonts w:eastAsia="MS Mincho"/>
          <w:i/>
          <w:sz w:val="24"/>
          <w:szCs w:val="24"/>
        </w:rPr>
        <w:t>L</w:t>
      </w:r>
      <w:r w:rsidRPr="00725197">
        <w:rPr>
          <w:rFonts w:eastAsia="MS Mincho"/>
          <w:sz w:val="24"/>
          <w:szCs w:val="24"/>
          <w:vertAlign w:val="subscript"/>
        </w:rPr>
        <w:t xml:space="preserve">2 </w:t>
      </w:r>
      <w:r w:rsidRPr="00725197">
        <w:rPr>
          <w:rFonts w:eastAsia="MS Mincho"/>
          <w:sz w:val="24"/>
          <w:szCs w:val="24"/>
        </w:rPr>
        <w:t xml:space="preserve">is just the reason to the underestimation of TE impedance depicted in </w:t>
      </w:r>
      <w:r w:rsidRPr="00725197">
        <w:rPr>
          <w:rFonts w:eastAsia="MS Mincho"/>
          <w:sz w:val="24"/>
          <w:szCs w:val="24"/>
        </w:rPr>
        <w:fldChar w:fldCharType="begin"/>
      </w:r>
      <w:r w:rsidRPr="00725197">
        <w:rPr>
          <w:rFonts w:eastAsia="MS Mincho"/>
          <w:sz w:val="24"/>
          <w:szCs w:val="24"/>
        </w:rPr>
        <w:instrText xml:space="preserve"> REF _Ref453065130 \h </w:instrText>
      </w:r>
      <w:r>
        <w:rPr>
          <w:rFonts w:eastAsia="MS Mincho"/>
          <w:sz w:val="24"/>
          <w:szCs w:val="24"/>
        </w:rPr>
        <w:instrText xml:space="preserve">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37</w:t>
      </w:r>
      <w:r w:rsidRPr="00725197">
        <w:rPr>
          <w:rFonts w:eastAsia="MS Mincho"/>
          <w:sz w:val="24"/>
          <w:szCs w:val="24"/>
        </w:rPr>
        <w:fldChar w:fldCharType="end"/>
      </w:r>
      <w:r w:rsidRPr="00725197">
        <w:rPr>
          <w:rFonts w:eastAsia="MS Mincho"/>
          <w:sz w:val="24"/>
          <w:szCs w:val="24"/>
        </w:rPr>
        <w:t xml:space="preserve">. According to (4), the coupling impedance of other load buses is </w:t>
      </w:r>
      <w:r w:rsidRPr="00725197">
        <w:rPr>
          <w:rFonts w:eastAsia="MS Mincho"/>
          <w:sz w:val="24"/>
          <w:szCs w:val="24"/>
        </w:rPr>
        <w:lastRenderedPageBreak/>
        <w:t xml:space="preserve">related to the corresponding element in </w:t>
      </w:r>
      <w:r w:rsidRPr="00725197">
        <w:rPr>
          <w:rFonts w:eastAsia="MS Mincho"/>
          <w:b/>
          <w:i/>
          <w:sz w:val="24"/>
          <w:szCs w:val="24"/>
        </w:rPr>
        <w:t>Z</w:t>
      </w:r>
      <w:r w:rsidRPr="00725197">
        <w:rPr>
          <w:rFonts w:eastAsia="MS Mincho"/>
          <w:i/>
          <w:sz w:val="24"/>
          <w:szCs w:val="24"/>
          <w:vertAlign w:val="subscript"/>
        </w:rPr>
        <w:t>LL</w:t>
      </w:r>
      <w:r w:rsidRPr="00725197">
        <w:rPr>
          <w:rFonts w:eastAsia="MS Mincho"/>
          <w:sz w:val="24"/>
          <w:szCs w:val="24"/>
        </w:rPr>
        <w:t xml:space="preserve">. In this system, because of such isolation, the off-diagonal elements of </w:t>
      </w:r>
      <w:r w:rsidRPr="00725197">
        <w:rPr>
          <w:rFonts w:eastAsia="MS Mincho"/>
          <w:b/>
          <w:i/>
          <w:sz w:val="24"/>
          <w:szCs w:val="24"/>
        </w:rPr>
        <w:t>Z</w:t>
      </w:r>
      <w:r w:rsidRPr="00725197">
        <w:rPr>
          <w:rFonts w:eastAsia="MS Mincho"/>
          <w:i/>
          <w:sz w:val="24"/>
          <w:szCs w:val="24"/>
          <w:vertAlign w:val="subscript"/>
        </w:rPr>
        <w:t>LL</w:t>
      </w:r>
      <w:r w:rsidRPr="00725197">
        <w:rPr>
          <w:rFonts w:eastAsia="MS Mincho"/>
          <w:sz w:val="24"/>
          <w:szCs w:val="24"/>
        </w:rPr>
        <w:t xml:space="preserve"> calculated through (2) are 0 and the TE impedance is just the self-impedance. However, the coupling effects of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to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shall not be completely ignored. </w:t>
      </w:r>
    </w:p>
    <w:p w14:paraId="0B45CF4E" w14:textId="77777777" w:rsidR="00725197" w:rsidRPr="00725197" w:rsidRDefault="00725197" w:rsidP="00725197">
      <w:pPr>
        <w:pStyle w:val="BodyText"/>
        <w:rPr>
          <w:rFonts w:eastAsia="MS Mincho"/>
          <w:sz w:val="24"/>
          <w:szCs w:val="24"/>
        </w:rPr>
      </w:pPr>
      <w:r w:rsidRPr="00725197">
        <w:rPr>
          <w:rFonts w:eastAsia="MS Mincho"/>
          <w:sz w:val="24"/>
          <w:szCs w:val="24"/>
        </w:rPr>
        <w:t xml:space="preserve">When the output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is much smaller than the load of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the increase of load at </w:t>
      </w:r>
      <w:r w:rsidRPr="00725197">
        <w:rPr>
          <w:rFonts w:eastAsia="MS Mincho"/>
          <w:i/>
          <w:sz w:val="24"/>
          <w:szCs w:val="24"/>
        </w:rPr>
        <w:t>L</w:t>
      </w:r>
      <w:r w:rsidRPr="00725197">
        <w:rPr>
          <w:rFonts w:eastAsia="MS Mincho"/>
          <w:sz w:val="24"/>
          <w:szCs w:val="24"/>
          <w:vertAlign w:val="subscript"/>
        </w:rPr>
        <w:t xml:space="preserve">2 </w:t>
      </w:r>
      <w:r w:rsidRPr="00725197">
        <w:rPr>
          <w:rFonts w:eastAsia="MS Mincho"/>
          <w:sz w:val="24"/>
          <w:szCs w:val="24"/>
        </w:rPr>
        <w:t xml:space="preserve">will not be met by the increase of generation at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Consequently, </w:t>
      </w:r>
      <w:r w:rsidRPr="00725197">
        <w:rPr>
          <w:rFonts w:eastAsia="MS Mincho"/>
          <w:i/>
          <w:sz w:val="24"/>
          <w:szCs w:val="24"/>
        </w:rPr>
        <w:t>G</w:t>
      </w:r>
      <w:r w:rsidRPr="00725197">
        <w:rPr>
          <w:rFonts w:eastAsia="MS Mincho"/>
          <w:sz w:val="24"/>
          <w:szCs w:val="24"/>
          <w:vertAlign w:val="subscript"/>
        </w:rPr>
        <w:t>1</w:t>
      </w:r>
      <w:r w:rsidRPr="00725197">
        <w:rPr>
          <w:rFonts w:eastAsia="MS Mincho"/>
          <w:sz w:val="24"/>
          <w:szCs w:val="24"/>
        </w:rPr>
        <w:t xml:space="preserve"> will support part of the increased load through Line 1-3 and Line 3-2. This increased flow will take some capacity of the transfer path from </w:t>
      </w:r>
      <w:r w:rsidRPr="00725197">
        <w:rPr>
          <w:rFonts w:eastAsia="MS Mincho"/>
          <w:i/>
          <w:sz w:val="24"/>
          <w:szCs w:val="24"/>
        </w:rPr>
        <w:t>G</w:t>
      </w:r>
      <w:r w:rsidRPr="00725197">
        <w:rPr>
          <w:rFonts w:eastAsia="MS Mincho"/>
          <w:sz w:val="24"/>
          <w:szCs w:val="24"/>
          <w:vertAlign w:val="subscript"/>
        </w:rPr>
        <w:t xml:space="preserve">1 </w:t>
      </w:r>
      <w:r w:rsidRPr="00725197">
        <w:rPr>
          <w:rFonts w:eastAsia="MS Mincho"/>
          <w:sz w:val="24"/>
          <w:szCs w:val="24"/>
        </w:rPr>
        <w:t xml:space="preserve">to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and will reduce the voltage stability margin of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By ignoring the coupling effects, the transfer capacity taken by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will not be considered when calculate the voltage stability margin of </w:t>
      </w:r>
      <w:r w:rsidRPr="00725197">
        <w:rPr>
          <w:rFonts w:eastAsia="MS Mincho"/>
          <w:i/>
          <w:sz w:val="24"/>
          <w:szCs w:val="24"/>
        </w:rPr>
        <w:t>L</w:t>
      </w:r>
      <w:r w:rsidRPr="00725197">
        <w:rPr>
          <w:rFonts w:eastAsia="MS Mincho"/>
          <w:sz w:val="24"/>
          <w:szCs w:val="24"/>
          <w:vertAlign w:val="subscript"/>
        </w:rPr>
        <w:t>1</w:t>
      </w:r>
      <w:r w:rsidRPr="00725197">
        <w:rPr>
          <w:rFonts w:eastAsia="MS Mincho"/>
          <w:sz w:val="24"/>
          <w:szCs w:val="24"/>
        </w:rPr>
        <w:t xml:space="preserve"> which eventually results the illustrated overestimation of stability margin. This is</w:t>
      </w:r>
      <w:r w:rsidRPr="00725197">
        <w:rPr>
          <w:rFonts w:eastAsia="MS Mincho" w:hint="eastAsia"/>
          <w:sz w:val="24"/>
          <w:szCs w:val="24"/>
        </w:rPr>
        <w:t xml:space="preserve"> the</w:t>
      </w:r>
      <w:r w:rsidRPr="00725197">
        <w:rPr>
          <w:rFonts w:eastAsia="MS Mincho"/>
          <w:sz w:val="24"/>
          <w:szCs w:val="24"/>
        </w:rPr>
        <w:t xml:space="preserve"> situation when the real power output of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is 20 and 40 MW.  </w:t>
      </w:r>
    </w:p>
    <w:p w14:paraId="102E9577" w14:textId="77777777" w:rsidR="00725197" w:rsidRPr="00725197" w:rsidRDefault="00725197" w:rsidP="00725197">
      <w:pPr>
        <w:pStyle w:val="BodyText"/>
        <w:rPr>
          <w:rFonts w:eastAsia="MS Mincho"/>
          <w:sz w:val="24"/>
          <w:szCs w:val="24"/>
        </w:rPr>
      </w:pPr>
      <w:r w:rsidRPr="00725197">
        <w:rPr>
          <w:rFonts w:eastAsia="MS Mincho"/>
          <w:sz w:val="24"/>
          <w:szCs w:val="24"/>
        </w:rPr>
        <w:t xml:space="preserve">On the other hand, when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has enough capacity to support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this coupling efforts could be totally ignored since the increase of </w:t>
      </w:r>
      <w:r w:rsidRPr="00725197">
        <w:rPr>
          <w:rFonts w:eastAsia="MS Mincho"/>
          <w:i/>
          <w:sz w:val="24"/>
          <w:szCs w:val="24"/>
        </w:rPr>
        <w:t>L</w:t>
      </w:r>
      <w:r w:rsidRPr="00725197">
        <w:rPr>
          <w:rFonts w:eastAsia="MS Mincho"/>
          <w:sz w:val="24"/>
          <w:szCs w:val="24"/>
          <w:vertAlign w:val="subscript"/>
        </w:rPr>
        <w:t>2</w:t>
      </w:r>
      <w:r w:rsidRPr="00725197">
        <w:rPr>
          <w:rFonts w:eastAsia="MS Mincho"/>
          <w:sz w:val="24"/>
          <w:szCs w:val="24"/>
        </w:rPr>
        <w:t xml:space="preserve"> will not affect the flow of Line 1-3 or Line 3-2. This explains why as </w:t>
      </w:r>
      <w:r w:rsidRPr="00725197">
        <w:rPr>
          <w:rFonts w:eastAsia="MS Mincho"/>
          <w:i/>
          <w:sz w:val="24"/>
          <w:szCs w:val="24"/>
        </w:rPr>
        <w:t>G</w:t>
      </w:r>
      <w:r w:rsidRPr="00725197">
        <w:rPr>
          <w:rFonts w:eastAsia="MS Mincho"/>
          <w:sz w:val="24"/>
          <w:szCs w:val="24"/>
          <w:vertAlign w:val="subscript"/>
        </w:rPr>
        <w:t xml:space="preserve">2 </w:t>
      </w:r>
      <w:r w:rsidRPr="00725197">
        <w:rPr>
          <w:rFonts w:eastAsia="MS Mincho"/>
          <w:sz w:val="24"/>
          <w:szCs w:val="24"/>
        </w:rPr>
        <w:t>increases the overestimation disappears.</w:t>
      </w:r>
    </w:p>
    <w:p w14:paraId="6628BD8F" w14:textId="77777777" w:rsidR="00725197" w:rsidRPr="00725197" w:rsidRDefault="00725197" w:rsidP="00725197">
      <w:pPr>
        <w:pStyle w:val="BodyText"/>
        <w:rPr>
          <w:rFonts w:eastAsia="MS Mincho"/>
          <w:sz w:val="24"/>
          <w:szCs w:val="24"/>
        </w:rPr>
      </w:pPr>
      <w:r w:rsidRPr="00725197">
        <w:rPr>
          <w:rFonts w:eastAsia="MS Mincho"/>
          <w:sz w:val="24"/>
          <w:szCs w:val="24"/>
        </w:rPr>
        <w:t>Moreover, in the critical load pocket of the IEEE 118-bus system depicted in Fig. 2, the generator bus, Bus 34, that isolate</w:t>
      </w:r>
      <w:r w:rsidRPr="00725197">
        <w:rPr>
          <w:rFonts w:eastAsia="MS Mincho" w:hint="eastAsia"/>
          <w:sz w:val="24"/>
          <w:szCs w:val="24"/>
        </w:rPr>
        <w:t>s</w:t>
      </w:r>
      <w:r w:rsidRPr="00725197">
        <w:rPr>
          <w:rFonts w:eastAsia="MS Mincho"/>
          <w:sz w:val="24"/>
          <w:szCs w:val="24"/>
        </w:rPr>
        <w:t xml:space="preserve"> the load pocket from the rest of the system has a scheduled real power output of 0. That is to say the adjacent load buses to Bus 34 will easily cast their impacts on the stability margins of Bus 44 bypass Bus 34. </w:t>
      </w:r>
    </w:p>
    <w:p w14:paraId="43FD1428" w14:textId="77777777" w:rsidR="00725197" w:rsidRPr="00725197" w:rsidRDefault="00725197" w:rsidP="00725197">
      <w:pPr>
        <w:pStyle w:val="Heading3"/>
      </w:pPr>
      <w:bookmarkStart w:id="162" w:name="_Toc459076584"/>
      <w:r>
        <w:t xml:space="preserve">6.1.3 </w:t>
      </w:r>
      <w:r w:rsidRPr="00725197">
        <w:t>General Comments</w:t>
      </w:r>
      <w:bookmarkEnd w:id="162"/>
    </w:p>
    <w:p w14:paraId="03BBD225" w14:textId="77777777" w:rsidR="009D3286" w:rsidRDefault="00725197" w:rsidP="009D3286">
      <w:pPr>
        <w:pStyle w:val="BodyText"/>
        <w:jc w:val="distribute"/>
        <w:rPr>
          <w:rFonts w:eastAsia="MS Mincho"/>
          <w:sz w:val="24"/>
          <w:szCs w:val="24"/>
        </w:rPr>
      </w:pPr>
      <w:r w:rsidRPr="00725197">
        <w:rPr>
          <w:rFonts w:eastAsia="MS Mincho"/>
          <w:sz w:val="24"/>
          <w:szCs w:val="24"/>
        </w:rPr>
        <w:t xml:space="preserve">Through the analysis on the 4-bus system and the 118-bus system, it can be concluded that the overestimation tends to happen when the following two conditions are </w:t>
      </w:r>
    </w:p>
    <w:p w14:paraId="5EFB0A03" w14:textId="5779907C" w:rsidR="00725197" w:rsidRPr="00725197" w:rsidRDefault="00725197" w:rsidP="009D3286">
      <w:pPr>
        <w:pStyle w:val="BodyText"/>
        <w:ind w:firstLine="0"/>
        <w:rPr>
          <w:rFonts w:eastAsia="MS Mincho"/>
          <w:sz w:val="24"/>
          <w:szCs w:val="24"/>
        </w:rPr>
      </w:pPr>
      <w:r w:rsidRPr="00725197">
        <w:rPr>
          <w:rFonts w:eastAsia="MS Mincho"/>
          <w:sz w:val="24"/>
          <w:szCs w:val="24"/>
        </w:rPr>
        <w:lastRenderedPageBreak/>
        <w:t>met:</w:t>
      </w:r>
    </w:p>
    <w:p w14:paraId="5FBBF9DE" w14:textId="77777777" w:rsidR="00725197" w:rsidRPr="00725197" w:rsidRDefault="00725197" w:rsidP="00725197">
      <w:pPr>
        <w:pStyle w:val="BodyText"/>
        <w:rPr>
          <w:rFonts w:eastAsia="MS Mincho"/>
          <w:sz w:val="24"/>
          <w:szCs w:val="24"/>
        </w:rPr>
      </w:pPr>
      <w:r w:rsidRPr="00725197">
        <w:rPr>
          <w:rFonts w:eastAsia="MS Mincho"/>
          <w:sz w:val="24"/>
          <w:szCs w:val="24"/>
        </w:rPr>
        <w:t xml:space="preserve">1) The critical load bus or buses are isolated from the rest of load buses by several generator buses as depicted in </w:t>
      </w:r>
      <w:r w:rsidRPr="00725197">
        <w:rPr>
          <w:rFonts w:eastAsia="MS Mincho"/>
          <w:sz w:val="24"/>
          <w:szCs w:val="24"/>
        </w:rPr>
        <w:fldChar w:fldCharType="begin"/>
      </w:r>
      <w:r w:rsidRPr="00725197">
        <w:rPr>
          <w:rFonts w:eastAsia="MS Mincho"/>
          <w:sz w:val="24"/>
          <w:szCs w:val="24"/>
        </w:rPr>
        <w:instrText xml:space="preserve"> REF _Ref453064560 \h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34</w:t>
      </w:r>
      <w:r w:rsidRPr="00725197">
        <w:rPr>
          <w:rFonts w:eastAsia="MS Mincho"/>
          <w:sz w:val="24"/>
          <w:szCs w:val="24"/>
        </w:rPr>
        <w:fldChar w:fldCharType="end"/>
      </w:r>
      <w:r w:rsidRPr="00725197">
        <w:rPr>
          <w:rFonts w:eastAsia="MS Mincho"/>
          <w:sz w:val="24"/>
          <w:szCs w:val="24"/>
        </w:rPr>
        <w:t xml:space="preserve"> or </w:t>
      </w:r>
      <w:r w:rsidRPr="00725197">
        <w:rPr>
          <w:rFonts w:eastAsia="MS Mincho"/>
          <w:sz w:val="24"/>
          <w:szCs w:val="24"/>
        </w:rPr>
        <w:fldChar w:fldCharType="begin"/>
      </w:r>
      <w:r w:rsidRPr="00725197">
        <w:rPr>
          <w:rFonts w:eastAsia="MS Mincho"/>
          <w:sz w:val="24"/>
          <w:szCs w:val="24"/>
        </w:rPr>
        <w:instrText xml:space="preserve"> REF _Ref453064743 \h  \* MERGEFORMAT </w:instrText>
      </w:r>
      <w:r w:rsidRPr="00725197">
        <w:rPr>
          <w:rFonts w:eastAsia="MS Mincho"/>
          <w:sz w:val="24"/>
          <w:szCs w:val="24"/>
        </w:rPr>
      </w:r>
      <w:r w:rsidRPr="00725197">
        <w:rPr>
          <w:rFonts w:eastAsia="MS Mincho"/>
          <w:sz w:val="24"/>
          <w:szCs w:val="24"/>
        </w:rPr>
        <w:fldChar w:fldCharType="separate"/>
      </w:r>
      <w:r w:rsidRPr="00725197">
        <w:rPr>
          <w:sz w:val="24"/>
          <w:szCs w:val="24"/>
        </w:rPr>
        <w:t xml:space="preserve">Figure </w:t>
      </w:r>
      <w:r w:rsidRPr="00725197">
        <w:rPr>
          <w:noProof/>
          <w:sz w:val="24"/>
          <w:szCs w:val="24"/>
        </w:rPr>
        <w:t>35</w:t>
      </w:r>
      <w:r w:rsidRPr="00725197">
        <w:rPr>
          <w:rFonts w:eastAsia="MS Mincho"/>
          <w:sz w:val="24"/>
          <w:szCs w:val="24"/>
        </w:rPr>
        <w:fldChar w:fldCharType="end"/>
      </w:r>
      <w:r w:rsidRPr="00725197">
        <w:rPr>
          <w:rFonts w:eastAsia="MS Mincho"/>
          <w:sz w:val="24"/>
          <w:szCs w:val="24"/>
        </w:rPr>
        <w:t>.</w:t>
      </w:r>
    </w:p>
    <w:p w14:paraId="496D9F40" w14:textId="77777777" w:rsidR="00725197" w:rsidRPr="00725197" w:rsidRDefault="00725197" w:rsidP="00725197">
      <w:pPr>
        <w:pStyle w:val="BodyText"/>
        <w:rPr>
          <w:rFonts w:eastAsia="MS Mincho"/>
          <w:sz w:val="24"/>
          <w:szCs w:val="24"/>
        </w:rPr>
      </w:pPr>
      <w:r w:rsidRPr="00725197">
        <w:rPr>
          <w:rFonts w:eastAsia="MS Mincho"/>
          <w:sz w:val="24"/>
          <w:szCs w:val="24"/>
        </w:rPr>
        <w:t>2) Among the generator buses that separate the critical load bus or buses, at least one of them is a ‘weak’ generator bus whose real power output is so small that adjacent load buses will cast their impact bypass this generator bus. In the sample 4</w:t>
      </w:r>
      <w:r w:rsidRPr="00725197">
        <w:rPr>
          <w:rFonts w:eastAsia="MS Mincho" w:hint="eastAsia"/>
          <w:sz w:val="24"/>
          <w:szCs w:val="24"/>
        </w:rPr>
        <w:t>-</w:t>
      </w:r>
      <w:r w:rsidRPr="00725197">
        <w:rPr>
          <w:rFonts w:eastAsia="MS Mincho"/>
          <w:sz w:val="24"/>
          <w:szCs w:val="24"/>
        </w:rPr>
        <w:t xml:space="preserve">bus system, the weak bus is </w:t>
      </w:r>
      <w:r w:rsidRPr="00725197">
        <w:rPr>
          <w:rFonts w:eastAsia="MS Mincho"/>
          <w:i/>
          <w:sz w:val="24"/>
          <w:szCs w:val="24"/>
        </w:rPr>
        <w:t>G</w:t>
      </w:r>
      <w:r w:rsidRPr="00725197">
        <w:rPr>
          <w:rFonts w:eastAsia="MS Mincho"/>
          <w:sz w:val="24"/>
          <w:szCs w:val="24"/>
          <w:vertAlign w:val="subscript"/>
        </w:rPr>
        <w:t>2</w:t>
      </w:r>
      <w:r w:rsidRPr="00725197">
        <w:rPr>
          <w:rFonts w:eastAsia="MS Mincho"/>
          <w:sz w:val="24"/>
          <w:szCs w:val="24"/>
        </w:rPr>
        <w:t xml:space="preserve"> and in the IEEE 118-bus system, the weak bus is Bus 34.</w:t>
      </w:r>
    </w:p>
    <w:p w14:paraId="0D833FC8" w14:textId="77777777" w:rsidR="00725197" w:rsidRPr="00725197" w:rsidRDefault="00725197" w:rsidP="00725197">
      <w:pPr>
        <w:pStyle w:val="BodyText"/>
        <w:rPr>
          <w:rFonts w:eastAsia="MS Mincho"/>
          <w:sz w:val="24"/>
          <w:szCs w:val="24"/>
        </w:rPr>
      </w:pPr>
      <w:r w:rsidRPr="00725197">
        <w:rPr>
          <w:rFonts w:eastAsia="MS Mincho"/>
          <w:sz w:val="24"/>
          <w:szCs w:val="24"/>
        </w:rPr>
        <w:t>When the critical load bus or buses of a system meets the above mentioned two conditions, it is suggested to compare the results of CSPC method with other standard method in order to identify possible overestimation situations.</w:t>
      </w:r>
    </w:p>
    <w:p w14:paraId="7F3293D9" w14:textId="77777777" w:rsidR="00565946" w:rsidRPr="00565946" w:rsidRDefault="00565946" w:rsidP="004B5C30">
      <w:pPr>
        <w:pStyle w:val="Heading2"/>
      </w:pPr>
      <w:bookmarkStart w:id="163" w:name="_Toc459076585"/>
      <w:r>
        <w:t xml:space="preserve">6.2 </w:t>
      </w:r>
      <w:r w:rsidRPr="00565946">
        <w:t>Methods to Mitigate the Overestimations</w:t>
      </w:r>
      <w:bookmarkEnd w:id="163"/>
    </w:p>
    <w:p w14:paraId="525EF4E0" w14:textId="77777777" w:rsidR="00565946" w:rsidRPr="00565946" w:rsidRDefault="00565946" w:rsidP="00565946">
      <w:pPr>
        <w:pStyle w:val="BodyText"/>
        <w:rPr>
          <w:rFonts w:eastAsia="MS Mincho"/>
          <w:sz w:val="24"/>
          <w:szCs w:val="24"/>
        </w:rPr>
      </w:pPr>
      <w:r w:rsidRPr="00565946">
        <w:rPr>
          <w:rFonts w:eastAsia="MS Mincho"/>
          <w:sz w:val="24"/>
          <w:szCs w:val="24"/>
        </w:rPr>
        <w:t>If the aforementioned overestimation is observed, it is crucial that an effective mitigation approach is applied. Otherwise, the overestimation will give the system operators optimistic results and may delay the identification of critical system operating conditions. In this section, two possible approaches to mitigate the overestimations are presented.</w:t>
      </w:r>
    </w:p>
    <w:p w14:paraId="1FE517C2" w14:textId="77777777" w:rsidR="00565946" w:rsidRPr="00565946" w:rsidRDefault="00565946" w:rsidP="00565946">
      <w:pPr>
        <w:pStyle w:val="Heading3"/>
      </w:pPr>
      <w:bookmarkStart w:id="164" w:name="_Toc459076586"/>
      <w:r>
        <w:t xml:space="preserve">6.2.1 </w:t>
      </w:r>
      <w:r w:rsidRPr="00565946">
        <w:t>Modified Coupled Single-Port Model (MD)</w:t>
      </w:r>
      <w:bookmarkEnd w:id="164"/>
    </w:p>
    <w:p w14:paraId="32CD33E9" w14:textId="77777777" w:rsidR="00565946" w:rsidRDefault="00565946" w:rsidP="00565946">
      <w:pPr>
        <w:pStyle w:val="BodyText"/>
        <w:rPr>
          <w:rFonts w:eastAsia="MS Mincho"/>
          <w:sz w:val="24"/>
          <w:szCs w:val="24"/>
        </w:rPr>
      </w:pPr>
      <w:r w:rsidRPr="00565946">
        <w:rPr>
          <w:rFonts w:eastAsia="MS Mincho"/>
          <w:sz w:val="24"/>
          <w:szCs w:val="24"/>
        </w:rPr>
        <w:t xml:space="preserve">This approach was originally proposed by Liu and Chu in </w:t>
      </w:r>
      <w:r>
        <w:rPr>
          <w:rFonts w:eastAsia="MS Mincho"/>
          <w:sz w:val="24"/>
          <w:szCs w:val="24"/>
        </w:rPr>
        <w:fldChar w:fldCharType="begin" w:fldLock="1"/>
      </w:r>
      <w:r w:rsidR="00351740">
        <w:rPr>
          <w:rFonts w:eastAsia="MS Mincho"/>
          <w:sz w:val="24"/>
          <w:szCs w:val="24"/>
        </w:rPr>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Pr>
          <w:rFonts w:eastAsia="MS Mincho"/>
          <w:sz w:val="24"/>
          <w:szCs w:val="24"/>
        </w:rPr>
        <w:fldChar w:fldCharType="separate"/>
      </w:r>
      <w:r w:rsidR="00DD7036" w:rsidRPr="00DD7036">
        <w:rPr>
          <w:rFonts w:eastAsia="MS Mincho"/>
          <w:noProof/>
          <w:sz w:val="24"/>
          <w:szCs w:val="24"/>
        </w:rPr>
        <w:t>[36]</w:t>
      </w:r>
      <w:r>
        <w:rPr>
          <w:rFonts w:eastAsia="MS Mincho"/>
          <w:sz w:val="24"/>
          <w:szCs w:val="24"/>
        </w:rPr>
        <w:fldChar w:fldCharType="end"/>
      </w:r>
      <w:r w:rsidRPr="00565946">
        <w:rPr>
          <w:rFonts w:eastAsia="MS Mincho"/>
          <w:sz w:val="24"/>
          <w:szCs w:val="24"/>
        </w:rPr>
        <w:t xml:space="preserve"> for compensating underestimation of voltage stability margin using coupled single-port circuit under non-proportional increased load.</w:t>
      </w:r>
    </w:p>
    <w:p w14:paraId="473880C7" w14:textId="77777777" w:rsidR="009D3286" w:rsidRDefault="00565946" w:rsidP="009D3286">
      <w:pPr>
        <w:pStyle w:val="BodyText"/>
        <w:jc w:val="distribute"/>
        <w:rPr>
          <w:rFonts w:eastAsia="MS Mincho"/>
          <w:sz w:val="24"/>
          <w:szCs w:val="24"/>
        </w:rPr>
      </w:pPr>
      <w:r w:rsidRPr="00565946">
        <w:rPr>
          <w:rFonts w:eastAsia="MS Mincho"/>
          <w:sz w:val="24"/>
          <w:szCs w:val="24"/>
        </w:rPr>
        <w:t xml:space="preserve">In order to compensate the underestimation, a shunt admittance </w:t>
      </w:r>
      <w:r w:rsidRPr="00565946">
        <w:rPr>
          <w:rFonts w:eastAsia="MS Mincho"/>
          <w:i/>
          <w:sz w:val="24"/>
          <w:szCs w:val="24"/>
        </w:rPr>
        <w:t>Y</w:t>
      </w:r>
      <w:r w:rsidRPr="00565946">
        <w:rPr>
          <w:rFonts w:eastAsia="MS Mincho"/>
          <w:i/>
          <w:sz w:val="24"/>
          <w:szCs w:val="24"/>
          <w:vertAlign w:val="subscript"/>
        </w:rPr>
        <w:t>Ci</w:t>
      </w:r>
      <w:r w:rsidRPr="00565946">
        <w:rPr>
          <w:rFonts w:eastAsia="MS Mincho"/>
          <w:sz w:val="24"/>
          <w:szCs w:val="24"/>
        </w:rPr>
        <w:t xml:space="preserve"> is added to the </w:t>
      </w:r>
    </w:p>
    <w:p w14:paraId="7174C3AA" w14:textId="5DB12E61" w:rsidR="00565946" w:rsidRDefault="00565946" w:rsidP="009D3286">
      <w:pPr>
        <w:pStyle w:val="BodyText"/>
        <w:ind w:firstLine="0"/>
        <w:rPr>
          <w:rFonts w:eastAsia="MS Mincho"/>
          <w:sz w:val="24"/>
          <w:szCs w:val="24"/>
        </w:rPr>
      </w:pPr>
      <w:r w:rsidRPr="00565946">
        <w:rPr>
          <w:rFonts w:eastAsia="MS Mincho"/>
          <w:i/>
          <w:sz w:val="24"/>
          <w:szCs w:val="24"/>
        </w:rPr>
        <w:lastRenderedPageBreak/>
        <w:t>i</w:t>
      </w:r>
      <w:r w:rsidRPr="00565946">
        <w:rPr>
          <w:rFonts w:eastAsia="MS Mincho"/>
          <w:sz w:val="24"/>
          <w:szCs w:val="24"/>
        </w:rPr>
        <w:t xml:space="preserve">th equivalent branch as shown in </w:t>
      </w:r>
      <w:r w:rsidRPr="00565946">
        <w:rPr>
          <w:rFonts w:eastAsia="MS Mincho"/>
          <w:sz w:val="24"/>
          <w:szCs w:val="24"/>
        </w:rPr>
        <w:fldChar w:fldCharType="begin"/>
      </w:r>
      <w:r w:rsidRPr="00565946">
        <w:rPr>
          <w:rFonts w:eastAsia="MS Mincho"/>
          <w:sz w:val="24"/>
          <w:szCs w:val="24"/>
        </w:rPr>
        <w:instrText xml:space="preserve"> REF _Ref453065470 \h </w:instrText>
      </w:r>
      <w:r>
        <w:rPr>
          <w:rFonts w:eastAsia="MS Mincho"/>
          <w:sz w:val="24"/>
          <w:szCs w:val="24"/>
        </w:rPr>
        <w:instrText xml:space="preserve"> \* MERGEFORMAT </w:instrText>
      </w:r>
      <w:r w:rsidRPr="00565946">
        <w:rPr>
          <w:rFonts w:eastAsia="MS Mincho"/>
          <w:sz w:val="24"/>
          <w:szCs w:val="24"/>
        </w:rPr>
      </w:r>
      <w:r w:rsidRPr="00565946">
        <w:rPr>
          <w:rFonts w:eastAsia="MS Mincho"/>
          <w:sz w:val="24"/>
          <w:szCs w:val="24"/>
        </w:rPr>
        <w:fldChar w:fldCharType="separate"/>
      </w:r>
      <w:r w:rsidRPr="00565946">
        <w:rPr>
          <w:sz w:val="24"/>
          <w:szCs w:val="24"/>
        </w:rPr>
        <w:t xml:space="preserve">Figure </w:t>
      </w:r>
      <w:r w:rsidRPr="00565946">
        <w:rPr>
          <w:noProof/>
          <w:sz w:val="24"/>
          <w:szCs w:val="24"/>
        </w:rPr>
        <w:t>38</w:t>
      </w:r>
      <w:r w:rsidRPr="00565946">
        <w:rPr>
          <w:rFonts w:eastAsia="MS Mincho"/>
          <w:sz w:val="24"/>
          <w:szCs w:val="24"/>
        </w:rPr>
        <w:fldChar w:fldCharType="end"/>
      </w:r>
      <w:r w:rsidRPr="00565946">
        <w:rPr>
          <w:rFonts w:eastAsia="MS Mincho"/>
          <w:sz w:val="24"/>
          <w:szCs w:val="24"/>
        </w:rPr>
        <w:t xml:space="preserve">. Essentially, a mitigation factor </w:t>
      </w:r>
      <w:r w:rsidRPr="00565946">
        <w:rPr>
          <w:rFonts w:eastAsia="MS Mincho"/>
          <w:i/>
          <w:sz w:val="24"/>
          <w:szCs w:val="24"/>
        </w:rPr>
        <w:t>α</w:t>
      </w:r>
      <w:r w:rsidRPr="00565946">
        <w:rPr>
          <w:rFonts w:eastAsia="MS Mincho"/>
          <w:i/>
          <w:sz w:val="24"/>
          <w:szCs w:val="24"/>
          <w:vertAlign w:val="subscript"/>
        </w:rPr>
        <w:t>i</w:t>
      </w:r>
      <w:r w:rsidRPr="00565946">
        <w:rPr>
          <w:rFonts w:eastAsia="MS Mincho"/>
          <w:sz w:val="24"/>
          <w:szCs w:val="24"/>
        </w:rPr>
        <w:t xml:space="preserve"> is multiplied to the TE impedance. </w:t>
      </w:r>
      <w:r w:rsidRPr="00565946">
        <w:rPr>
          <w:rFonts w:eastAsia="MS Mincho"/>
          <w:i/>
          <w:sz w:val="24"/>
          <w:szCs w:val="24"/>
        </w:rPr>
        <w:t>α</w:t>
      </w:r>
      <w:r w:rsidRPr="00565946">
        <w:rPr>
          <w:rFonts w:eastAsia="MS Mincho"/>
          <w:i/>
          <w:sz w:val="24"/>
          <w:szCs w:val="24"/>
          <w:vertAlign w:val="subscript"/>
        </w:rPr>
        <w:t xml:space="preserve">i </w:t>
      </w:r>
      <w:r w:rsidRPr="00565946">
        <w:rPr>
          <w:rFonts w:eastAsia="MS Mincho"/>
          <w:sz w:val="24"/>
          <w:szCs w:val="24"/>
        </w:rPr>
        <w:t xml:space="preserve">can be solved by letting the system reactive power response equal to reactive power response of the equivalent system as shown in </w:t>
      </w:r>
      <w:r w:rsidRPr="00565946">
        <w:rPr>
          <w:rFonts w:eastAsia="MS Mincho"/>
          <w:sz w:val="24"/>
          <w:szCs w:val="24"/>
        </w:rPr>
        <w:fldChar w:fldCharType="begin"/>
      </w:r>
      <w:r w:rsidRPr="00565946">
        <w:rPr>
          <w:rFonts w:eastAsia="MS Mincho"/>
          <w:sz w:val="24"/>
          <w:szCs w:val="24"/>
        </w:rPr>
        <w:instrText xml:space="preserve"> REF _Ref453065470 \h </w:instrText>
      </w:r>
      <w:r>
        <w:rPr>
          <w:rFonts w:eastAsia="MS Mincho"/>
          <w:sz w:val="24"/>
          <w:szCs w:val="24"/>
        </w:rPr>
        <w:instrText xml:space="preserve"> \* MERGEFORMAT </w:instrText>
      </w:r>
      <w:r w:rsidRPr="00565946">
        <w:rPr>
          <w:rFonts w:eastAsia="MS Mincho"/>
          <w:sz w:val="24"/>
          <w:szCs w:val="24"/>
        </w:rPr>
      </w:r>
      <w:r w:rsidRPr="00565946">
        <w:rPr>
          <w:rFonts w:eastAsia="MS Mincho"/>
          <w:sz w:val="24"/>
          <w:szCs w:val="24"/>
        </w:rPr>
        <w:fldChar w:fldCharType="separate"/>
      </w:r>
      <w:r w:rsidRPr="00565946">
        <w:rPr>
          <w:sz w:val="24"/>
          <w:szCs w:val="24"/>
        </w:rPr>
        <w:t xml:space="preserve">Figure </w:t>
      </w:r>
      <w:r w:rsidRPr="00565946">
        <w:rPr>
          <w:noProof/>
          <w:sz w:val="24"/>
          <w:szCs w:val="24"/>
        </w:rPr>
        <w:t>38</w:t>
      </w:r>
      <w:r w:rsidRPr="00565946">
        <w:rPr>
          <w:rFonts w:eastAsia="MS Mincho"/>
          <w:sz w:val="24"/>
          <w:szCs w:val="24"/>
        </w:rPr>
        <w:fldChar w:fldCharType="end"/>
      </w:r>
      <w:r w:rsidRPr="00565946">
        <w:rPr>
          <w:rFonts w:eastAsia="MS Mincho"/>
          <w:sz w:val="24"/>
          <w:szCs w:val="24"/>
        </w:rPr>
        <w:t>.</w:t>
      </w:r>
    </w:p>
    <w:p w14:paraId="60163117" w14:textId="77777777" w:rsidR="009D3286" w:rsidRPr="00565946" w:rsidRDefault="009D3286" w:rsidP="009D3286">
      <w:pPr>
        <w:pStyle w:val="BodyText"/>
        <w:ind w:firstLine="0"/>
        <w:jc w:val="center"/>
        <w:rPr>
          <w:rFonts w:eastAsia="MS Mincho"/>
          <w:sz w:val="24"/>
          <w:szCs w:val="24"/>
        </w:rPr>
      </w:pPr>
      <w:r w:rsidRPr="00565946">
        <w:rPr>
          <w:rFonts w:eastAsia="MS Mincho"/>
          <w:sz w:val="24"/>
          <w:szCs w:val="24"/>
        </w:rPr>
        <w:object w:dxaOrig="4635" w:dyaOrig="3420" w14:anchorId="410E63C4">
          <v:shape id="_x0000_i1205" type="#_x0000_t75" style="width:194.75pt;height:142.35pt" o:ole="">
            <v:imagedata r:id="rId345" o:title=""/>
          </v:shape>
          <o:OLEObject Type="Embed" ProgID="Visio.Drawing.15" ShapeID="_x0000_i1205" DrawAspect="Content" ObjectID="_1532825751" r:id="rId346"/>
        </w:object>
      </w:r>
    </w:p>
    <w:p w14:paraId="4E6625DB" w14:textId="77777777" w:rsidR="009D3286" w:rsidRPr="00565946" w:rsidRDefault="009D3286" w:rsidP="009D3286">
      <w:pPr>
        <w:pStyle w:val="Caption"/>
      </w:pPr>
      <w:bookmarkStart w:id="165" w:name="_Ref453065470"/>
      <w:bookmarkStart w:id="166" w:name="_Toc459076489"/>
      <w:r>
        <w:t xml:space="preserve">Figure </w:t>
      </w:r>
      <w:fldSimple w:instr=" SEQ Figure \* ARABIC ">
        <w:r>
          <w:rPr>
            <w:noProof/>
          </w:rPr>
          <w:t>38</w:t>
        </w:r>
      </w:fldSimple>
      <w:bookmarkEnd w:id="165"/>
      <w:r>
        <w:t xml:space="preserve">. </w:t>
      </w:r>
      <w:r w:rsidRPr="00565946">
        <w:t xml:space="preserve">Equivalent series compensation for </w:t>
      </w:r>
      <w:r w:rsidRPr="00565946">
        <w:rPr>
          <w:i/>
        </w:rPr>
        <w:t>i</w:t>
      </w:r>
      <w:r w:rsidRPr="00565946">
        <w:t>th equivalent branch.</w:t>
      </w:r>
      <w:bookmarkEnd w:id="166"/>
    </w:p>
    <w:p w14:paraId="27833A55" w14:textId="77777777" w:rsidR="00565946" w:rsidRPr="00565946" w:rsidRDefault="00565946" w:rsidP="009D3286">
      <w:pPr>
        <w:pStyle w:val="BodyText"/>
        <w:spacing w:before="480"/>
        <w:rPr>
          <w:rFonts w:eastAsia="MS Mincho"/>
          <w:sz w:val="24"/>
          <w:szCs w:val="24"/>
        </w:rPr>
      </w:pPr>
      <w:r w:rsidRPr="00565946">
        <w:rPr>
          <w:rFonts w:eastAsia="MS Mincho"/>
          <w:sz w:val="24"/>
          <w:szCs w:val="24"/>
        </w:rPr>
        <w:t xml:space="preserve">The detailed steps for solving </w:t>
      </w:r>
      <w:r w:rsidRPr="00565946">
        <w:rPr>
          <w:rFonts w:eastAsia="MS Mincho"/>
          <w:i/>
          <w:sz w:val="24"/>
          <w:szCs w:val="24"/>
        </w:rPr>
        <w:t>α</w:t>
      </w:r>
      <w:r w:rsidRPr="00565946">
        <w:rPr>
          <w:rFonts w:eastAsia="MS Mincho"/>
          <w:i/>
          <w:sz w:val="24"/>
          <w:szCs w:val="24"/>
          <w:vertAlign w:val="subscript"/>
        </w:rPr>
        <w:t>i</w:t>
      </w:r>
      <w:r w:rsidRPr="00565946">
        <w:rPr>
          <w:rFonts w:eastAsia="MS Mincho"/>
          <w:sz w:val="24"/>
          <w:szCs w:val="24"/>
        </w:rPr>
        <w:t xml:space="preserve"> used in this work is the same as in </w:t>
      </w:r>
      <w:r w:rsidRPr="00565946">
        <w:rPr>
          <w:rFonts w:eastAsia="MS Mincho"/>
          <w:sz w:val="24"/>
          <w:szCs w:val="24"/>
        </w:rPr>
        <w:fldChar w:fldCharType="begin" w:fldLock="1"/>
      </w:r>
      <w:r w:rsidR="00351740">
        <w:rPr>
          <w:rFonts w:eastAsia="MS Mincho"/>
          <w:sz w:val="24"/>
          <w:szCs w:val="24"/>
        </w:rPr>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Pr="00565946">
        <w:rPr>
          <w:rFonts w:eastAsia="MS Mincho"/>
          <w:sz w:val="24"/>
          <w:szCs w:val="24"/>
        </w:rPr>
        <w:fldChar w:fldCharType="separate"/>
      </w:r>
      <w:r w:rsidR="00DD7036" w:rsidRPr="00DD7036">
        <w:rPr>
          <w:rFonts w:eastAsia="MS Mincho"/>
          <w:noProof/>
          <w:sz w:val="24"/>
          <w:szCs w:val="24"/>
        </w:rPr>
        <w:t>[36]</w:t>
      </w:r>
      <w:r w:rsidRPr="00565946">
        <w:rPr>
          <w:rFonts w:eastAsia="MS Mincho"/>
          <w:sz w:val="24"/>
          <w:szCs w:val="24"/>
        </w:rPr>
        <w:fldChar w:fldCharType="end"/>
      </w:r>
      <w:r w:rsidRPr="00565946">
        <w:rPr>
          <w:rFonts w:eastAsia="MS Mincho"/>
          <w:sz w:val="24"/>
          <w:szCs w:val="24"/>
        </w:rPr>
        <w:t xml:space="preserve"> and is not elaborated here due to the page limit. Basically, it is to solve a quadratic equation. </w:t>
      </w:r>
    </w:p>
    <w:p w14:paraId="7061A62B" w14:textId="77777777" w:rsidR="00565946" w:rsidRPr="00565946" w:rsidRDefault="00565946" w:rsidP="00565946">
      <w:pPr>
        <w:pStyle w:val="BodyText"/>
        <w:rPr>
          <w:rFonts w:eastAsia="MS Mincho"/>
          <w:sz w:val="24"/>
          <w:szCs w:val="24"/>
        </w:rPr>
      </w:pPr>
      <w:r w:rsidRPr="00565946">
        <w:rPr>
          <w:rFonts w:eastAsia="MS Mincho"/>
          <w:sz w:val="24"/>
          <w:szCs w:val="24"/>
        </w:rPr>
        <w:t xml:space="preserve">A slight modification is made to let the mitigation factor work for the overestimation in this study. In </w:t>
      </w:r>
      <w:r w:rsidRPr="00565946">
        <w:rPr>
          <w:rFonts w:eastAsia="MS Mincho"/>
          <w:sz w:val="24"/>
          <w:szCs w:val="24"/>
        </w:rPr>
        <w:fldChar w:fldCharType="begin" w:fldLock="1"/>
      </w:r>
      <w:r w:rsidR="00351740">
        <w:rPr>
          <w:rFonts w:eastAsia="MS Mincho"/>
          <w:sz w:val="24"/>
          <w:szCs w:val="24"/>
        </w:rPr>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Pr="00565946">
        <w:rPr>
          <w:rFonts w:eastAsia="MS Mincho"/>
          <w:sz w:val="24"/>
          <w:szCs w:val="24"/>
        </w:rPr>
        <w:fldChar w:fldCharType="separate"/>
      </w:r>
      <w:r w:rsidR="00DD7036" w:rsidRPr="00DD7036">
        <w:rPr>
          <w:rFonts w:eastAsia="MS Mincho"/>
          <w:noProof/>
          <w:sz w:val="24"/>
          <w:szCs w:val="24"/>
        </w:rPr>
        <w:t>[36]</w:t>
      </w:r>
      <w:r w:rsidRPr="00565946">
        <w:rPr>
          <w:rFonts w:eastAsia="MS Mincho"/>
          <w:sz w:val="24"/>
          <w:szCs w:val="24"/>
        </w:rPr>
        <w:fldChar w:fldCharType="end"/>
      </w:r>
      <w:r w:rsidRPr="00565946">
        <w:rPr>
          <w:rFonts w:eastAsia="MS Mincho"/>
          <w:sz w:val="24"/>
          <w:szCs w:val="24"/>
        </w:rPr>
        <w:t xml:space="preserve">, the voltage stability is underestimated which means the TE impedance is overestimated. Therefore, the authors set a feasible range of </w:t>
      </w:r>
      <w:r w:rsidRPr="00565946">
        <w:rPr>
          <w:rFonts w:eastAsia="MS Mincho"/>
          <w:i/>
          <w:sz w:val="24"/>
          <w:szCs w:val="24"/>
        </w:rPr>
        <w:t>α</w:t>
      </w:r>
      <w:r w:rsidRPr="00565946">
        <w:rPr>
          <w:rFonts w:eastAsia="MS Mincho"/>
          <w:i/>
          <w:sz w:val="24"/>
          <w:szCs w:val="24"/>
          <w:vertAlign w:val="subscript"/>
        </w:rPr>
        <w:t>i</w:t>
      </w:r>
      <w:r w:rsidRPr="00565946">
        <w:rPr>
          <w:rFonts w:eastAsia="MS Mincho"/>
          <w:sz w:val="24"/>
          <w:szCs w:val="24"/>
        </w:rPr>
        <w:t xml:space="preserve"> to (0, 1] which forces the modified TE impedance less than the initial value. While, in order to mitigate the overestimation of voltage stability margin, or the underestimation of TE impedance in this study, the feasible range of </w:t>
      </w:r>
      <w:r w:rsidRPr="00565946">
        <w:rPr>
          <w:rFonts w:eastAsia="MS Mincho"/>
          <w:i/>
          <w:sz w:val="24"/>
          <w:szCs w:val="24"/>
        </w:rPr>
        <w:t>α</w:t>
      </w:r>
      <w:r w:rsidRPr="00565946">
        <w:rPr>
          <w:rFonts w:eastAsia="MS Mincho"/>
          <w:i/>
          <w:sz w:val="24"/>
          <w:szCs w:val="24"/>
          <w:vertAlign w:val="subscript"/>
        </w:rPr>
        <w:t>i</w:t>
      </w:r>
      <w:r w:rsidRPr="00565946">
        <w:rPr>
          <w:rFonts w:eastAsia="MS Mincho"/>
          <w:sz w:val="24"/>
          <w:szCs w:val="24"/>
        </w:rPr>
        <w:t xml:space="preserve"> should be extended to (0, ∞). When </w:t>
      </w:r>
      <w:r w:rsidRPr="00565946">
        <w:rPr>
          <w:rFonts w:eastAsia="MS Mincho"/>
          <w:i/>
          <w:sz w:val="24"/>
          <w:szCs w:val="24"/>
        </w:rPr>
        <w:t>α</w:t>
      </w:r>
      <w:r w:rsidRPr="00565946">
        <w:rPr>
          <w:rFonts w:eastAsia="MS Mincho"/>
          <w:i/>
          <w:sz w:val="24"/>
          <w:szCs w:val="24"/>
          <w:vertAlign w:val="subscript"/>
        </w:rPr>
        <w:t>i</w:t>
      </w:r>
      <w:r w:rsidRPr="00565946">
        <w:rPr>
          <w:rFonts w:eastAsia="MS Mincho"/>
          <w:sz w:val="24"/>
          <w:szCs w:val="24"/>
        </w:rPr>
        <w:t xml:space="preserve"> is larger than 1, the mitigation factor mitigates the overestimation introduced in this study, when it is smaller than 1, the mitigation factor compensates the underestimation reported in </w:t>
      </w:r>
      <w:r w:rsidRPr="00565946">
        <w:rPr>
          <w:rFonts w:eastAsia="MS Mincho"/>
          <w:sz w:val="24"/>
          <w:szCs w:val="24"/>
        </w:rPr>
        <w:fldChar w:fldCharType="begin" w:fldLock="1"/>
      </w:r>
      <w:r w:rsidR="00351740">
        <w:rPr>
          <w:rFonts w:eastAsia="MS Mincho"/>
          <w:sz w:val="24"/>
          <w:szCs w:val="24"/>
        </w:rPr>
        <w:instrText>ADDIN CSL_CITATION { "citationItems" : [ { "id" : "ITEM-1", "itemData" : { "author" : [ { "dropping-particle" : "", "family" : "Liu", "given" : "Jian-hong", "non-dropping-particle" : "", "parse-names" : false, "suffix" : "" }, { "dropping-particle" : "", "family" : "Member", "given" : "Student", "non-dropping-particle" : "", "parse-names" : false, "suffix" : "" }, { "dropping-particle" : "", "family" : "Chu", "given" : "Chia-chi", "non-dropping-particle" : "", "parse-names" : false, "suffix" : "" } ], "container-title" : "IEEE Transactions on Power Systems", "id" : "ITEM-1", "issue" : "2", "issued" : { "date-parts" : [ [ "2014" ] ] }, "page" : "756-764", "title" : "Wide-Area Measurement-Based Voltage Stability Indicators by Modified Coupled Single-Port Models", "type" : "article-journal", "volume" : "29" }, "uris" : [ "http://www.mendeley.com/documents/?uuid=813102cc-c222-42f3-bd7c-b45a659f2d6a" ] } ], "mendeley" : { "formattedCitation" : "[36]", "plainTextFormattedCitation" : "[36]", "previouslyFormattedCitation" : "[36]" }, "properties" : { "noteIndex" : 0 }, "schema" : "https://github.com/citation-style-language/schema/raw/master/csl-citation.json" }</w:instrText>
      </w:r>
      <w:r w:rsidRPr="00565946">
        <w:rPr>
          <w:rFonts w:eastAsia="MS Mincho"/>
          <w:sz w:val="24"/>
          <w:szCs w:val="24"/>
        </w:rPr>
        <w:fldChar w:fldCharType="separate"/>
      </w:r>
      <w:r w:rsidR="00DD7036" w:rsidRPr="00DD7036">
        <w:rPr>
          <w:rFonts w:eastAsia="MS Mincho"/>
          <w:noProof/>
          <w:sz w:val="24"/>
          <w:szCs w:val="24"/>
        </w:rPr>
        <w:t>[36]</w:t>
      </w:r>
      <w:r w:rsidRPr="00565946">
        <w:rPr>
          <w:rFonts w:eastAsia="MS Mincho"/>
          <w:sz w:val="24"/>
          <w:szCs w:val="24"/>
        </w:rPr>
        <w:fldChar w:fldCharType="end"/>
      </w:r>
      <w:r w:rsidRPr="00565946">
        <w:rPr>
          <w:rFonts w:eastAsia="MS Mincho"/>
          <w:sz w:val="24"/>
          <w:szCs w:val="24"/>
        </w:rPr>
        <w:t>.</w:t>
      </w:r>
    </w:p>
    <w:p w14:paraId="6D30B0E9" w14:textId="77777777" w:rsidR="00565946" w:rsidRPr="00565946" w:rsidRDefault="00565946" w:rsidP="00565946">
      <w:pPr>
        <w:pStyle w:val="Heading3"/>
      </w:pPr>
      <w:bookmarkStart w:id="167" w:name="_Toc459076587"/>
      <w:r>
        <w:lastRenderedPageBreak/>
        <w:t xml:space="preserve">6.2.2 </w:t>
      </w:r>
      <w:r w:rsidRPr="00565946">
        <w:t>Negative Load Model</w:t>
      </w:r>
      <w:r w:rsidR="00253FA7">
        <w:t xml:space="preserve"> </w:t>
      </w:r>
      <w:r w:rsidRPr="00565946">
        <w:t>(NL)</w:t>
      </w:r>
      <w:bookmarkEnd w:id="167"/>
    </w:p>
    <w:p w14:paraId="7FFFCD0E" w14:textId="77777777" w:rsidR="00565946" w:rsidRPr="00565946" w:rsidRDefault="00565946" w:rsidP="00565946">
      <w:pPr>
        <w:pStyle w:val="BodyText"/>
        <w:rPr>
          <w:rFonts w:eastAsia="MS Mincho"/>
          <w:sz w:val="24"/>
          <w:szCs w:val="24"/>
        </w:rPr>
      </w:pPr>
      <w:r w:rsidRPr="00565946">
        <w:rPr>
          <w:rFonts w:eastAsia="MS Mincho"/>
          <w:sz w:val="24"/>
          <w:szCs w:val="24"/>
        </w:rPr>
        <w:t xml:space="preserve">As explained in </w:t>
      </w:r>
      <w:r>
        <w:rPr>
          <w:rFonts w:eastAsia="MS Mincho"/>
          <w:sz w:val="24"/>
          <w:szCs w:val="24"/>
        </w:rPr>
        <w:t>Chapter 6.1</w:t>
      </w:r>
      <w:r w:rsidRPr="00565946">
        <w:rPr>
          <w:rFonts w:eastAsia="MS Mincho"/>
          <w:sz w:val="24"/>
          <w:szCs w:val="24"/>
        </w:rPr>
        <w:t xml:space="preserve">, the overestimation of stability margin is caused by isolation of critical load buses by weak generator buses. One straightforward solution is to change type of the weak generator buses to load buses and treat them as negative loads. This way, the isolation of the critical bus or buses is broken and the coupling of outside loads can be modeled into the TE impedance of the critical load since the corresponding elements in </w:t>
      </w:r>
      <w:r w:rsidRPr="00565946">
        <w:rPr>
          <w:rFonts w:eastAsia="MS Mincho"/>
          <w:b/>
          <w:i/>
          <w:sz w:val="24"/>
          <w:szCs w:val="24"/>
        </w:rPr>
        <w:t>Z</w:t>
      </w:r>
      <w:r w:rsidRPr="00565946">
        <w:rPr>
          <w:rFonts w:eastAsia="MS Mincho"/>
          <w:b/>
          <w:i/>
          <w:sz w:val="24"/>
          <w:szCs w:val="24"/>
          <w:vertAlign w:val="subscript"/>
        </w:rPr>
        <w:t>LL</w:t>
      </w:r>
      <w:r w:rsidRPr="00565946">
        <w:rPr>
          <w:rFonts w:eastAsia="MS Mincho"/>
          <w:sz w:val="24"/>
          <w:szCs w:val="24"/>
        </w:rPr>
        <w:t xml:space="preserve"> calculated through (</w:t>
      </w:r>
      <w:r>
        <w:rPr>
          <w:rFonts w:eastAsia="MS Mincho"/>
          <w:sz w:val="24"/>
          <w:szCs w:val="24"/>
        </w:rPr>
        <w:t>5-</w:t>
      </w:r>
      <w:r w:rsidRPr="00565946">
        <w:rPr>
          <w:rFonts w:eastAsia="MS Mincho"/>
          <w:sz w:val="24"/>
          <w:szCs w:val="24"/>
        </w:rPr>
        <w:t>2) will be filled by non-zero elements.</w:t>
      </w:r>
    </w:p>
    <w:p w14:paraId="136AA061" w14:textId="77777777" w:rsidR="00565946" w:rsidRPr="00565946" w:rsidRDefault="00565946" w:rsidP="00565946">
      <w:pPr>
        <w:pStyle w:val="BodyText"/>
        <w:rPr>
          <w:rFonts w:eastAsia="MS Mincho"/>
          <w:sz w:val="24"/>
          <w:szCs w:val="24"/>
        </w:rPr>
      </w:pPr>
      <w:r w:rsidRPr="00565946">
        <w:rPr>
          <w:rFonts w:eastAsia="MS Mincho"/>
          <w:sz w:val="24"/>
          <w:szCs w:val="24"/>
        </w:rPr>
        <w:t>Although to change the type of the weak generator buses is very simple, to identify the isolation and the weak generator buses is not an easy task. In this study, we assume this information is known. In the future work, an algorithm to identify the potential isolation and spot the weak generator buses will be explored.</w:t>
      </w:r>
    </w:p>
    <w:p w14:paraId="7C975A50" w14:textId="77777777" w:rsidR="00565946" w:rsidRPr="00565946" w:rsidRDefault="00565946" w:rsidP="004B5C30">
      <w:pPr>
        <w:pStyle w:val="Heading2"/>
      </w:pPr>
      <w:bookmarkStart w:id="168" w:name="_Toc459076588"/>
      <w:r>
        <w:t xml:space="preserve">6.3 </w:t>
      </w:r>
      <w:r w:rsidRPr="00565946">
        <w:t>Simulation Results</w:t>
      </w:r>
      <w:bookmarkEnd w:id="168"/>
    </w:p>
    <w:p w14:paraId="5570AE4A" w14:textId="77777777" w:rsidR="00565946" w:rsidRPr="00565946" w:rsidRDefault="00565946" w:rsidP="00565946">
      <w:pPr>
        <w:pStyle w:val="BodyText"/>
        <w:rPr>
          <w:rFonts w:eastAsia="MS Mincho"/>
          <w:sz w:val="24"/>
          <w:szCs w:val="24"/>
        </w:rPr>
      </w:pPr>
      <w:r w:rsidRPr="00565946">
        <w:rPr>
          <w:rFonts w:eastAsia="MS Mincho"/>
          <w:sz w:val="24"/>
          <w:szCs w:val="24"/>
        </w:rPr>
        <w:t xml:space="preserve">In this section, the two methods introduced in </w:t>
      </w:r>
      <w:r>
        <w:rPr>
          <w:rFonts w:eastAsia="MS Mincho"/>
          <w:sz w:val="24"/>
          <w:szCs w:val="24"/>
        </w:rPr>
        <w:t>Chapter 6.2</w:t>
      </w:r>
      <w:r w:rsidRPr="00565946">
        <w:rPr>
          <w:rFonts w:eastAsia="MS Mincho"/>
          <w:sz w:val="24"/>
          <w:szCs w:val="24"/>
        </w:rPr>
        <w:t xml:space="preserve"> are applied to the sample 4-bus system and the IEEE 118-bus system in order to mitigate the observed overestimations.</w:t>
      </w:r>
    </w:p>
    <w:p w14:paraId="5EDB3734" w14:textId="77777777" w:rsidR="00565946" w:rsidRPr="00565946" w:rsidRDefault="00565946" w:rsidP="00565946">
      <w:pPr>
        <w:pStyle w:val="Heading3"/>
      </w:pPr>
      <w:bookmarkStart w:id="169" w:name="_Toc459076589"/>
      <w:r>
        <w:t xml:space="preserve">6.3.1 </w:t>
      </w:r>
      <w:r w:rsidRPr="00565946">
        <w:t>Application to the Sample 4-</w:t>
      </w:r>
      <w:r w:rsidR="00253FA7">
        <w:t>B</w:t>
      </w:r>
      <w:r w:rsidR="00253FA7" w:rsidRPr="00565946">
        <w:t xml:space="preserve">us </w:t>
      </w:r>
      <w:r w:rsidRPr="00565946">
        <w:t>System</w:t>
      </w:r>
      <w:bookmarkEnd w:id="169"/>
    </w:p>
    <w:p w14:paraId="1AE1BC6E" w14:textId="77777777" w:rsidR="00565946" w:rsidRDefault="00565946" w:rsidP="00565946">
      <w:pPr>
        <w:pStyle w:val="BodyText"/>
        <w:rPr>
          <w:rFonts w:eastAsia="MS Mincho"/>
          <w:sz w:val="24"/>
          <w:szCs w:val="24"/>
        </w:rPr>
      </w:pPr>
      <w:r w:rsidRPr="00565946">
        <w:rPr>
          <w:rFonts w:eastAsia="MS Mincho"/>
          <w:sz w:val="24"/>
          <w:szCs w:val="24"/>
        </w:rPr>
        <w:t xml:space="preserve">The scenario where the output of </w:t>
      </w:r>
      <w:r w:rsidRPr="00565946">
        <w:rPr>
          <w:rFonts w:eastAsia="MS Mincho"/>
          <w:i/>
          <w:sz w:val="24"/>
          <w:szCs w:val="24"/>
        </w:rPr>
        <w:t>G</w:t>
      </w:r>
      <w:r w:rsidRPr="00565946">
        <w:rPr>
          <w:rFonts w:eastAsia="MS Mincho"/>
          <w:sz w:val="24"/>
          <w:szCs w:val="24"/>
          <w:vertAlign w:val="subscript"/>
        </w:rPr>
        <w:t>2</w:t>
      </w:r>
      <w:r w:rsidRPr="00565946">
        <w:rPr>
          <w:rFonts w:eastAsia="MS Mincho"/>
          <w:sz w:val="24"/>
          <w:szCs w:val="24"/>
        </w:rPr>
        <w:t xml:space="preserve"> is 20 MW in the base case is considered. As reported in </w:t>
      </w:r>
      <w:r>
        <w:rPr>
          <w:rFonts w:eastAsia="MS Mincho"/>
          <w:sz w:val="24"/>
          <w:szCs w:val="24"/>
        </w:rPr>
        <w:t>Chapter 6.1.2</w:t>
      </w:r>
      <w:r w:rsidRPr="00565946">
        <w:rPr>
          <w:rFonts w:eastAsia="MS Mincho"/>
          <w:sz w:val="24"/>
          <w:szCs w:val="24"/>
        </w:rPr>
        <w:t>, overestimation of voltage stability margin is observed under this scenario. The simulation is conducted from base case to voltage collapsing point using CPF as load proportionally increases.</w:t>
      </w:r>
    </w:p>
    <w:p w14:paraId="7BAC6FE9" w14:textId="77777777" w:rsidR="00565946" w:rsidRDefault="00565946" w:rsidP="009D3286">
      <w:pPr>
        <w:pStyle w:val="BodyText"/>
        <w:spacing w:after="120"/>
        <w:rPr>
          <w:rFonts w:eastAsia="MS Mincho"/>
          <w:sz w:val="24"/>
          <w:szCs w:val="24"/>
        </w:rPr>
      </w:pPr>
      <w:r w:rsidRPr="00565946">
        <w:rPr>
          <w:rFonts w:eastAsia="MS Mincho"/>
          <w:sz w:val="24"/>
          <w:szCs w:val="24"/>
        </w:rPr>
        <w:lastRenderedPageBreak/>
        <w:t xml:space="preserve">The impedances of the equivalent circuit for </w:t>
      </w:r>
      <w:r w:rsidRPr="00565946">
        <w:rPr>
          <w:rFonts w:eastAsia="MS Mincho"/>
          <w:i/>
          <w:sz w:val="24"/>
          <w:szCs w:val="24"/>
        </w:rPr>
        <w:t>L</w:t>
      </w:r>
      <w:r w:rsidRPr="00565946">
        <w:rPr>
          <w:rFonts w:eastAsia="MS Mincho"/>
          <w:sz w:val="24"/>
          <w:szCs w:val="24"/>
          <w:vertAlign w:val="subscript"/>
        </w:rPr>
        <w:t>1</w:t>
      </w:r>
      <w:r w:rsidRPr="00565946">
        <w:rPr>
          <w:rFonts w:eastAsia="MS Mincho"/>
          <w:sz w:val="24"/>
          <w:szCs w:val="24"/>
        </w:rPr>
        <w:t xml:space="preserve"> as load increases are depicted in</w:t>
      </w:r>
      <w:r w:rsidR="003F4BEF">
        <w:rPr>
          <w:rFonts w:eastAsia="MS Mincho"/>
          <w:sz w:val="24"/>
          <w:szCs w:val="24"/>
        </w:rPr>
        <w:t xml:space="preserve"> </w:t>
      </w:r>
      <w:r w:rsidR="003F4BEF" w:rsidRPr="003F4BEF">
        <w:rPr>
          <w:rFonts w:eastAsia="MS Mincho"/>
          <w:sz w:val="24"/>
          <w:szCs w:val="24"/>
        </w:rPr>
        <w:fldChar w:fldCharType="begin"/>
      </w:r>
      <w:r w:rsidR="003F4BEF" w:rsidRPr="003F4BEF">
        <w:rPr>
          <w:rFonts w:eastAsia="MS Mincho"/>
          <w:sz w:val="24"/>
          <w:szCs w:val="24"/>
        </w:rPr>
        <w:instrText xml:space="preserve"> REF _Ref453066028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39</w:t>
      </w:r>
      <w:r w:rsidR="003F4BEF" w:rsidRPr="003F4BEF">
        <w:rPr>
          <w:rFonts w:eastAsia="MS Mincho"/>
          <w:sz w:val="24"/>
          <w:szCs w:val="24"/>
        </w:rPr>
        <w:fldChar w:fldCharType="end"/>
      </w:r>
      <w:r w:rsidRPr="00565946">
        <w:rPr>
          <w:rFonts w:eastAsia="MS Mincho"/>
          <w:sz w:val="24"/>
          <w:szCs w:val="24"/>
        </w:rPr>
        <w:t>. The blue dashed curve is the impedance of the load which decreases as load increases. The solid blue curve is the TE impedance solved using original CSPC method. The red curve is the TE impedance solved by Modified Coupled Single-Port Model (MD). The green curve is the TE impedance solved by Negative Load Model (NL).</w:t>
      </w:r>
    </w:p>
    <w:p w14:paraId="73E42311" w14:textId="77777777" w:rsidR="009D3286" w:rsidRPr="00565946" w:rsidRDefault="009D3286" w:rsidP="009D3286">
      <w:pPr>
        <w:pStyle w:val="BodyText"/>
        <w:spacing w:line="240" w:lineRule="auto"/>
        <w:ind w:firstLine="0"/>
        <w:jc w:val="center"/>
        <w:rPr>
          <w:rFonts w:eastAsia="MS Mincho"/>
          <w:sz w:val="24"/>
          <w:szCs w:val="24"/>
        </w:rPr>
      </w:pPr>
      <w:r w:rsidRPr="00565946">
        <w:rPr>
          <w:rFonts w:eastAsia="MS Mincho"/>
          <w:noProof/>
          <w:sz w:val="24"/>
          <w:szCs w:val="24"/>
          <w:lang w:eastAsia="zh-CN"/>
        </w:rPr>
        <w:drawing>
          <wp:inline distT="0" distB="0" distL="0" distR="0" wp14:anchorId="489F250D" wp14:editId="151F3E94">
            <wp:extent cx="2628900" cy="112474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347">
                      <a:extLst>
                        <a:ext uri="{28A0092B-C50C-407E-A947-70E740481C1C}">
                          <a14:useLocalDpi xmlns:a14="http://schemas.microsoft.com/office/drawing/2010/main" val="0"/>
                        </a:ext>
                      </a:extLst>
                    </a:blip>
                    <a:srcRect l="4573" t="4411" r="4782"/>
                    <a:stretch>
                      <a:fillRect/>
                    </a:stretch>
                  </pic:blipFill>
                  <pic:spPr bwMode="auto">
                    <a:xfrm>
                      <a:off x="0" y="0"/>
                      <a:ext cx="2649911" cy="1133738"/>
                    </a:xfrm>
                    <a:prstGeom prst="rect">
                      <a:avLst/>
                    </a:prstGeom>
                    <a:noFill/>
                    <a:ln>
                      <a:noFill/>
                    </a:ln>
                  </pic:spPr>
                </pic:pic>
              </a:graphicData>
            </a:graphic>
          </wp:inline>
        </w:drawing>
      </w:r>
    </w:p>
    <w:p w14:paraId="12224AE0" w14:textId="77777777" w:rsidR="009D3286" w:rsidRPr="00565946" w:rsidRDefault="009D3286" w:rsidP="009D3286">
      <w:pPr>
        <w:pStyle w:val="Caption"/>
      </w:pPr>
      <w:bookmarkStart w:id="170" w:name="_Ref453066028"/>
      <w:bookmarkStart w:id="171" w:name="_Toc459076490"/>
      <w:r>
        <w:t xml:space="preserve">Figure </w:t>
      </w:r>
      <w:fldSimple w:instr=" SEQ Figure \* ARABIC ">
        <w:r>
          <w:rPr>
            <w:noProof/>
          </w:rPr>
          <w:t>39</w:t>
        </w:r>
      </w:fldSimple>
      <w:bookmarkEnd w:id="170"/>
      <w:r>
        <w:t xml:space="preserve">. </w:t>
      </w:r>
      <w:r w:rsidRPr="00565946">
        <w:t xml:space="preserve">Impedances of equivalent circuit for </w:t>
      </w:r>
      <w:r w:rsidRPr="003F4BEF">
        <w:rPr>
          <w:i/>
        </w:rPr>
        <w:t>L</w:t>
      </w:r>
      <w:r w:rsidRPr="003F4BEF">
        <w:rPr>
          <w:vertAlign w:val="subscript"/>
        </w:rPr>
        <w:t>1</w:t>
      </w:r>
      <w:r w:rsidRPr="00565946">
        <w:t xml:space="preserve"> as load increases.</w:t>
      </w:r>
      <w:bookmarkEnd w:id="171"/>
      <w:r w:rsidRPr="00565946">
        <w:t xml:space="preserve"> </w:t>
      </w:r>
    </w:p>
    <w:p w14:paraId="214E29B1" w14:textId="77777777" w:rsidR="00565946" w:rsidRPr="00565946" w:rsidRDefault="00565946" w:rsidP="009D3286">
      <w:pPr>
        <w:pStyle w:val="BodyText"/>
        <w:spacing w:before="480" w:after="120"/>
        <w:rPr>
          <w:rFonts w:eastAsia="MS Mincho"/>
          <w:sz w:val="24"/>
          <w:szCs w:val="24"/>
        </w:rPr>
      </w:pPr>
      <w:r w:rsidRPr="00565946">
        <w:rPr>
          <w:rFonts w:eastAsia="MS Mincho"/>
          <w:sz w:val="24"/>
          <w:szCs w:val="24"/>
        </w:rPr>
        <w:t xml:space="preserve">The TE impedance of the MD method increases as load increases. The mitigation factors </w:t>
      </w:r>
      <w:r w:rsidRPr="00565946">
        <w:rPr>
          <w:rFonts w:eastAsia="MS Mincho"/>
          <w:i/>
          <w:sz w:val="24"/>
          <w:szCs w:val="24"/>
        </w:rPr>
        <w:t>α</w:t>
      </w:r>
      <w:r w:rsidRPr="00565946">
        <w:rPr>
          <w:rFonts w:eastAsia="MS Mincho"/>
          <w:sz w:val="24"/>
          <w:szCs w:val="24"/>
        </w:rPr>
        <w:t xml:space="preserve"> for </w:t>
      </w:r>
      <w:r w:rsidRPr="00565946">
        <w:rPr>
          <w:rFonts w:eastAsia="MS Mincho"/>
          <w:i/>
          <w:sz w:val="24"/>
          <w:szCs w:val="24"/>
        </w:rPr>
        <w:t>L</w:t>
      </w:r>
      <w:r w:rsidRPr="00565946">
        <w:rPr>
          <w:rFonts w:eastAsia="MS Mincho"/>
          <w:sz w:val="24"/>
          <w:szCs w:val="24"/>
          <w:vertAlign w:val="subscript"/>
        </w:rPr>
        <w:t>1</w:t>
      </w:r>
      <w:r w:rsidRPr="00565946">
        <w:rPr>
          <w:rFonts w:eastAsia="MS Mincho"/>
          <w:sz w:val="24"/>
          <w:szCs w:val="24"/>
        </w:rPr>
        <w:t xml:space="preserve"> is illustrated </w:t>
      </w:r>
      <w:r w:rsidR="003F4BEF" w:rsidRPr="003F4BEF">
        <w:rPr>
          <w:rFonts w:eastAsia="MS Mincho"/>
          <w:sz w:val="24"/>
          <w:szCs w:val="24"/>
        </w:rPr>
        <w:fldChar w:fldCharType="begin"/>
      </w:r>
      <w:r w:rsidR="003F4BEF" w:rsidRPr="003F4BEF">
        <w:rPr>
          <w:rFonts w:eastAsia="MS Mincho"/>
          <w:sz w:val="24"/>
          <w:szCs w:val="24"/>
        </w:rPr>
        <w:instrText xml:space="preserve"> REF _Ref453066093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40</w:t>
      </w:r>
      <w:r w:rsidR="003F4BEF" w:rsidRPr="003F4BEF">
        <w:rPr>
          <w:rFonts w:eastAsia="MS Mincho"/>
          <w:sz w:val="24"/>
          <w:szCs w:val="24"/>
        </w:rPr>
        <w:fldChar w:fldCharType="end"/>
      </w:r>
      <w:r w:rsidRPr="00565946">
        <w:rPr>
          <w:rFonts w:eastAsia="MS Mincho"/>
          <w:sz w:val="24"/>
          <w:szCs w:val="24"/>
        </w:rPr>
        <w:t xml:space="preserve">. The positive solutions are chosen while the negative ones are discarded. As can be seen in </w:t>
      </w:r>
      <w:r w:rsidR="003F4BEF" w:rsidRPr="003F4BEF">
        <w:rPr>
          <w:rFonts w:eastAsia="MS Mincho"/>
          <w:sz w:val="24"/>
          <w:szCs w:val="24"/>
        </w:rPr>
        <w:fldChar w:fldCharType="begin"/>
      </w:r>
      <w:r w:rsidR="003F4BEF" w:rsidRPr="003F4BEF">
        <w:rPr>
          <w:rFonts w:eastAsia="MS Mincho"/>
          <w:sz w:val="24"/>
          <w:szCs w:val="24"/>
        </w:rPr>
        <w:instrText xml:space="preserve"> REF _Ref453066093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40</w:t>
      </w:r>
      <w:r w:rsidR="003F4BEF" w:rsidRPr="003F4BEF">
        <w:rPr>
          <w:rFonts w:eastAsia="MS Mincho"/>
          <w:sz w:val="24"/>
          <w:szCs w:val="24"/>
        </w:rPr>
        <w:fldChar w:fldCharType="end"/>
      </w:r>
      <w:r w:rsidRPr="00565946">
        <w:rPr>
          <w:rFonts w:eastAsia="MS Mincho"/>
          <w:sz w:val="24"/>
          <w:szCs w:val="24"/>
        </w:rPr>
        <w:t xml:space="preserve">, the kept mitigation factors are larger than 2.0 which justifies the necessity of extending the feasible range to (0, ∞). In this case, based on the actual system reactive power response, the MD method successfully identifies the overestimation problem and adjusts the TE impedance in the correct positions. The TE impedance at the final moment meets the load impedance. </w:t>
      </w:r>
    </w:p>
    <w:p w14:paraId="4EA24271" w14:textId="77777777" w:rsidR="00565946" w:rsidRPr="00565946" w:rsidRDefault="00565946" w:rsidP="00901C07">
      <w:pPr>
        <w:pStyle w:val="BodyText"/>
        <w:spacing w:line="240" w:lineRule="auto"/>
        <w:ind w:firstLine="0"/>
        <w:jc w:val="center"/>
        <w:rPr>
          <w:rFonts w:eastAsia="MS Mincho"/>
          <w:sz w:val="24"/>
          <w:szCs w:val="24"/>
        </w:rPr>
      </w:pPr>
      <w:r w:rsidRPr="00565946">
        <w:rPr>
          <w:rFonts w:eastAsia="MS Mincho"/>
          <w:noProof/>
          <w:sz w:val="24"/>
          <w:szCs w:val="24"/>
          <w:lang w:eastAsia="zh-CN"/>
        </w:rPr>
        <w:drawing>
          <wp:inline distT="0" distB="0" distL="0" distR="0" wp14:anchorId="76D8D5D5" wp14:editId="77905293">
            <wp:extent cx="3061970" cy="10318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348">
                      <a:extLst>
                        <a:ext uri="{28A0092B-C50C-407E-A947-70E740481C1C}">
                          <a14:useLocalDpi xmlns:a14="http://schemas.microsoft.com/office/drawing/2010/main" val="0"/>
                        </a:ext>
                      </a:extLst>
                    </a:blip>
                    <a:srcRect l="4024" r="4427"/>
                    <a:stretch>
                      <a:fillRect/>
                    </a:stretch>
                  </pic:blipFill>
                  <pic:spPr bwMode="auto">
                    <a:xfrm>
                      <a:off x="0" y="0"/>
                      <a:ext cx="3061970" cy="1031875"/>
                    </a:xfrm>
                    <a:prstGeom prst="rect">
                      <a:avLst/>
                    </a:prstGeom>
                    <a:noFill/>
                    <a:ln>
                      <a:noFill/>
                    </a:ln>
                  </pic:spPr>
                </pic:pic>
              </a:graphicData>
            </a:graphic>
          </wp:inline>
        </w:drawing>
      </w:r>
    </w:p>
    <w:p w14:paraId="41DBCC68" w14:textId="77777777" w:rsidR="00565946" w:rsidRDefault="003F4BEF" w:rsidP="009D0201">
      <w:pPr>
        <w:pStyle w:val="Caption"/>
      </w:pPr>
      <w:bookmarkStart w:id="172" w:name="_Ref453066093"/>
      <w:bookmarkStart w:id="173" w:name="_Toc459076491"/>
      <w:r>
        <w:t xml:space="preserve">Figure </w:t>
      </w:r>
      <w:fldSimple w:instr=" SEQ Figure \* ARABIC ">
        <w:r w:rsidR="00B0208A">
          <w:rPr>
            <w:noProof/>
          </w:rPr>
          <w:t>40</w:t>
        </w:r>
      </w:fldSimple>
      <w:bookmarkEnd w:id="172"/>
      <w:r>
        <w:t xml:space="preserve">. </w:t>
      </w:r>
      <w:r w:rsidR="00565946" w:rsidRPr="00565946">
        <w:t xml:space="preserve">Mitigation factors of </w:t>
      </w:r>
      <w:r w:rsidR="00565946" w:rsidRPr="00565946">
        <w:rPr>
          <w:i/>
        </w:rPr>
        <w:t>L</w:t>
      </w:r>
      <w:r w:rsidR="00565946" w:rsidRPr="00565946">
        <w:rPr>
          <w:vertAlign w:val="subscript"/>
        </w:rPr>
        <w:t>1</w:t>
      </w:r>
      <w:r w:rsidR="00565946" w:rsidRPr="00565946">
        <w:t xml:space="preserve"> as load increases.</w:t>
      </w:r>
      <w:bookmarkEnd w:id="173"/>
      <w:r w:rsidR="00565946" w:rsidRPr="00565946">
        <w:t xml:space="preserve"> </w:t>
      </w:r>
    </w:p>
    <w:p w14:paraId="74A9EF10" w14:textId="77777777" w:rsidR="009D3286" w:rsidRDefault="00565946" w:rsidP="009D3286">
      <w:pPr>
        <w:pStyle w:val="BodyText"/>
        <w:spacing w:before="480"/>
        <w:jc w:val="distribute"/>
        <w:rPr>
          <w:rFonts w:eastAsia="MS Mincho"/>
          <w:sz w:val="24"/>
          <w:szCs w:val="24"/>
        </w:rPr>
      </w:pPr>
      <w:r w:rsidRPr="00565946">
        <w:rPr>
          <w:rFonts w:eastAsia="MS Mincho"/>
          <w:sz w:val="24"/>
          <w:szCs w:val="24"/>
        </w:rPr>
        <w:t xml:space="preserve">The TE impedance of NL method keeps mostly constant as load increases. This is </w:t>
      </w:r>
    </w:p>
    <w:p w14:paraId="283D8614" w14:textId="364535F2" w:rsidR="00565946" w:rsidRPr="00565946" w:rsidRDefault="00565946" w:rsidP="009D3286">
      <w:pPr>
        <w:pStyle w:val="BodyText"/>
        <w:spacing w:before="360"/>
        <w:ind w:firstLine="0"/>
        <w:rPr>
          <w:rFonts w:eastAsia="MS Mincho"/>
          <w:sz w:val="24"/>
          <w:szCs w:val="24"/>
        </w:rPr>
      </w:pPr>
      <w:r w:rsidRPr="00565946">
        <w:rPr>
          <w:rFonts w:eastAsia="MS Mincho"/>
          <w:sz w:val="24"/>
          <w:szCs w:val="24"/>
        </w:rPr>
        <w:lastRenderedPageBreak/>
        <w:t xml:space="preserve">a more desired feature than MD method in terms of projecting the final collapsing point. However, the estimated TE impedance is slightly larger than the load impedance in the final moment. The impedance matching point actually comes earlier than the actual collapsing point. This means a slightly underestimation of loading margin is brought by NL method. </w:t>
      </w:r>
    </w:p>
    <w:p w14:paraId="5B4D6E01" w14:textId="77777777" w:rsidR="00565946" w:rsidRPr="00565946" w:rsidRDefault="00565946" w:rsidP="009D3286">
      <w:pPr>
        <w:pStyle w:val="BodyText"/>
        <w:spacing w:after="120"/>
        <w:rPr>
          <w:rFonts w:eastAsia="MS Mincho"/>
          <w:sz w:val="24"/>
          <w:szCs w:val="24"/>
        </w:rPr>
      </w:pPr>
      <w:r w:rsidRPr="00565946">
        <w:rPr>
          <w:rFonts w:eastAsia="MS Mincho"/>
          <w:sz w:val="24"/>
          <w:szCs w:val="24"/>
        </w:rPr>
        <w:t xml:space="preserve">However, both MD and NL methods improve the performance of the original CSPC method significantly. The loading margins estimated using different methods are demonstrated in </w:t>
      </w:r>
      <w:r w:rsidR="003F4BEF" w:rsidRPr="003F4BEF">
        <w:rPr>
          <w:rFonts w:eastAsia="MS Mincho"/>
          <w:sz w:val="24"/>
          <w:szCs w:val="24"/>
        </w:rPr>
        <w:fldChar w:fldCharType="begin"/>
      </w:r>
      <w:r w:rsidR="003F4BEF" w:rsidRPr="003F4BEF">
        <w:rPr>
          <w:rFonts w:eastAsia="MS Mincho"/>
          <w:sz w:val="24"/>
          <w:szCs w:val="24"/>
        </w:rPr>
        <w:instrText xml:space="preserve"> REF _Ref453066184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41</w:t>
      </w:r>
      <w:r w:rsidR="003F4BEF" w:rsidRPr="003F4BEF">
        <w:rPr>
          <w:rFonts w:eastAsia="MS Mincho"/>
          <w:sz w:val="24"/>
          <w:szCs w:val="24"/>
        </w:rPr>
        <w:fldChar w:fldCharType="end"/>
      </w:r>
      <w:r w:rsidRPr="00565946">
        <w:rPr>
          <w:rFonts w:eastAsia="MS Mincho"/>
          <w:sz w:val="24"/>
          <w:szCs w:val="24"/>
        </w:rPr>
        <w:t xml:space="preserve">. The blue dashed curve is the LM from CPF and serves as the benchmark. The blue solid curve represents the results from original CSPC which is much higher than the correct values. The red curve represents the result from MD and the green curve represents the results from NL. According to </w:t>
      </w:r>
      <w:r w:rsidR="003F4BEF" w:rsidRPr="003F4BEF">
        <w:rPr>
          <w:rFonts w:eastAsia="MS Mincho"/>
          <w:sz w:val="24"/>
          <w:szCs w:val="24"/>
        </w:rPr>
        <w:fldChar w:fldCharType="begin"/>
      </w:r>
      <w:r w:rsidR="003F4BEF" w:rsidRPr="003F4BEF">
        <w:rPr>
          <w:rFonts w:eastAsia="MS Mincho"/>
          <w:sz w:val="24"/>
          <w:szCs w:val="24"/>
        </w:rPr>
        <w:instrText xml:space="preserve"> REF _Ref453066184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41</w:t>
      </w:r>
      <w:r w:rsidR="003F4BEF" w:rsidRPr="003F4BEF">
        <w:rPr>
          <w:rFonts w:eastAsia="MS Mincho"/>
          <w:sz w:val="24"/>
          <w:szCs w:val="24"/>
        </w:rPr>
        <w:fldChar w:fldCharType="end"/>
      </w:r>
      <w:r w:rsidRPr="00565946">
        <w:rPr>
          <w:rFonts w:eastAsia="MS Mincho"/>
          <w:sz w:val="24"/>
          <w:szCs w:val="24"/>
        </w:rPr>
        <w:t xml:space="preserve"> both MD and NL achieve significant improvement in estimating the LM of </w:t>
      </w:r>
      <w:r w:rsidRPr="00565946">
        <w:rPr>
          <w:rFonts w:eastAsia="MS Mincho"/>
          <w:i/>
          <w:sz w:val="24"/>
          <w:szCs w:val="24"/>
        </w:rPr>
        <w:t>L</w:t>
      </w:r>
      <w:r w:rsidRPr="00565946">
        <w:rPr>
          <w:rFonts w:eastAsia="MS Mincho"/>
          <w:sz w:val="24"/>
          <w:szCs w:val="24"/>
          <w:vertAlign w:val="subscript"/>
        </w:rPr>
        <w:t>1</w:t>
      </w:r>
      <w:r w:rsidRPr="00565946">
        <w:rPr>
          <w:rFonts w:eastAsia="MS Mincho"/>
          <w:sz w:val="24"/>
          <w:szCs w:val="24"/>
        </w:rPr>
        <w:t>. MD introduces slightly overestimation while NL introduces slightly underestimation. Moreover, as load increa</w:t>
      </w:r>
      <w:r w:rsidR="003F4BEF">
        <w:rPr>
          <w:rFonts w:eastAsia="MS Mincho"/>
          <w:sz w:val="24"/>
          <w:szCs w:val="24"/>
        </w:rPr>
        <w:t>ses, the errors tend to reduce.</w:t>
      </w:r>
    </w:p>
    <w:p w14:paraId="4481F3CE" w14:textId="77777777" w:rsidR="00565946" w:rsidRPr="00565946" w:rsidRDefault="00565946" w:rsidP="00901C07">
      <w:pPr>
        <w:pStyle w:val="BodyText"/>
        <w:spacing w:line="240" w:lineRule="auto"/>
        <w:ind w:firstLine="0"/>
        <w:jc w:val="center"/>
        <w:rPr>
          <w:rFonts w:eastAsia="MS Mincho"/>
          <w:sz w:val="24"/>
          <w:szCs w:val="24"/>
        </w:rPr>
      </w:pPr>
      <w:r w:rsidRPr="00565946">
        <w:rPr>
          <w:rFonts w:eastAsia="MS Mincho"/>
          <w:noProof/>
          <w:sz w:val="24"/>
          <w:szCs w:val="24"/>
          <w:lang w:eastAsia="zh-CN"/>
        </w:rPr>
        <w:drawing>
          <wp:inline distT="0" distB="0" distL="0" distR="0" wp14:anchorId="76BCB787" wp14:editId="40D9A610">
            <wp:extent cx="2867660" cy="136461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349">
                      <a:extLst>
                        <a:ext uri="{28A0092B-C50C-407E-A947-70E740481C1C}">
                          <a14:useLocalDpi xmlns:a14="http://schemas.microsoft.com/office/drawing/2010/main" val="0"/>
                        </a:ext>
                      </a:extLst>
                    </a:blip>
                    <a:srcRect l="4041" t="2803" r="5656"/>
                    <a:stretch>
                      <a:fillRect/>
                    </a:stretch>
                  </pic:blipFill>
                  <pic:spPr bwMode="auto">
                    <a:xfrm>
                      <a:off x="0" y="0"/>
                      <a:ext cx="2867660" cy="1364615"/>
                    </a:xfrm>
                    <a:prstGeom prst="rect">
                      <a:avLst/>
                    </a:prstGeom>
                    <a:noFill/>
                    <a:ln>
                      <a:noFill/>
                    </a:ln>
                  </pic:spPr>
                </pic:pic>
              </a:graphicData>
            </a:graphic>
          </wp:inline>
        </w:drawing>
      </w:r>
    </w:p>
    <w:p w14:paraId="4872FEB3" w14:textId="77777777" w:rsidR="00565946" w:rsidRDefault="003F4BEF" w:rsidP="009D0201">
      <w:pPr>
        <w:pStyle w:val="Caption"/>
      </w:pPr>
      <w:bookmarkStart w:id="174" w:name="_Ref453066184"/>
      <w:bookmarkStart w:id="175" w:name="_Toc459076492"/>
      <w:r>
        <w:t xml:space="preserve">Figure </w:t>
      </w:r>
      <w:fldSimple w:instr=" SEQ Figure \* ARABIC ">
        <w:r w:rsidR="00B0208A">
          <w:rPr>
            <w:noProof/>
          </w:rPr>
          <w:t>41</w:t>
        </w:r>
      </w:fldSimple>
      <w:bookmarkEnd w:id="174"/>
      <w:r w:rsidR="00565946" w:rsidRPr="00565946">
        <w:t xml:space="preserve">. LMs of </w:t>
      </w:r>
      <w:r w:rsidR="00565946" w:rsidRPr="00565946">
        <w:rPr>
          <w:i/>
        </w:rPr>
        <w:t>L</w:t>
      </w:r>
      <w:r w:rsidR="00565946" w:rsidRPr="00565946">
        <w:rPr>
          <w:vertAlign w:val="subscript"/>
        </w:rPr>
        <w:t>1</w:t>
      </w:r>
      <w:r w:rsidR="00565946" w:rsidRPr="00565946">
        <w:t xml:space="preserve"> by different methods from base case to collapsing point.</w:t>
      </w:r>
      <w:bookmarkEnd w:id="175"/>
    </w:p>
    <w:p w14:paraId="75155210" w14:textId="77777777" w:rsidR="009D3286" w:rsidRPr="009D3286" w:rsidRDefault="009D3286" w:rsidP="009D3286">
      <w:pPr>
        <w:rPr>
          <w:sz w:val="10"/>
        </w:rPr>
      </w:pPr>
    </w:p>
    <w:p w14:paraId="2861A421" w14:textId="77777777" w:rsidR="00565946" w:rsidRPr="00565946" w:rsidRDefault="003F4BEF" w:rsidP="003F4BEF">
      <w:pPr>
        <w:pStyle w:val="Heading3"/>
      </w:pPr>
      <w:bookmarkStart w:id="176" w:name="_Toc459076590"/>
      <w:r>
        <w:t xml:space="preserve">6.3.2 </w:t>
      </w:r>
      <w:r w:rsidR="00565946" w:rsidRPr="00565946">
        <w:t>Application to IEEE 118-</w:t>
      </w:r>
      <w:r w:rsidR="00253FA7">
        <w:t>B</w:t>
      </w:r>
      <w:r w:rsidR="00253FA7" w:rsidRPr="00565946">
        <w:t xml:space="preserve">us </w:t>
      </w:r>
      <w:r w:rsidR="00565946" w:rsidRPr="00565946">
        <w:t>System</w:t>
      </w:r>
      <w:bookmarkEnd w:id="176"/>
    </w:p>
    <w:p w14:paraId="0C19ABE3" w14:textId="77777777" w:rsidR="009D3286" w:rsidRDefault="00565946" w:rsidP="009D3286">
      <w:pPr>
        <w:pStyle w:val="BodyText"/>
        <w:jc w:val="distribute"/>
        <w:rPr>
          <w:rFonts w:eastAsia="MS Mincho"/>
          <w:sz w:val="24"/>
          <w:szCs w:val="24"/>
        </w:rPr>
      </w:pPr>
      <w:r w:rsidRPr="00565946">
        <w:rPr>
          <w:rFonts w:eastAsia="MS Mincho"/>
          <w:sz w:val="24"/>
          <w:szCs w:val="24"/>
        </w:rPr>
        <w:t>Both methods are then applied to the IEEE 118-bus system. When applying</w:t>
      </w:r>
      <w:r w:rsidRPr="00565946">
        <w:rPr>
          <w:rFonts w:eastAsia="MS Mincho" w:hint="eastAsia"/>
          <w:sz w:val="24"/>
          <w:szCs w:val="24"/>
        </w:rPr>
        <w:t xml:space="preserve"> </w:t>
      </w:r>
      <w:r w:rsidRPr="00565946">
        <w:rPr>
          <w:rFonts w:eastAsia="MS Mincho"/>
          <w:sz w:val="24"/>
          <w:szCs w:val="24"/>
        </w:rPr>
        <w:t xml:space="preserve">NL method, generator buses 34, 36, 41, and 42 are changed to load buses. These 4 generator </w:t>
      </w:r>
    </w:p>
    <w:p w14:paraId="44E24F58" w14:textId="4FE3E6AD" w:rsidR="00565946" w:rsidRPr="00565946" w:rsidRDefault="00565946" w:rsidP="009D3286">
      <w:pPr>
        <w:pStyle w:val="BodyText"/>
        <w:ind w:firstLine="0"/>
        <w:rPr>
          <w:rFonts w:eastAsia="MS Mincho"/>
          <w:sz w:val="24"/>
          <w:szCs w:val="24"/>
        </w:rPr>
      </w:pPr>
      <w:r w:rsidRPr="00565946">
        <w:rPr>
          <w:rFonts w:eastAsia="MS Mincho"/>
          <w:sz w:val="24"/>
          <w:szCs w:val="24"/>
        </w:rPr>
        <w:lastRenderedPageBreak/>
        <w:t>buses are all generator buses with 0 real power output near critical load buses.</w:t>
      </w:r>
    </w:p>
    <w:p w14:paraId="390AB624" w14:textId="77777777" w:rsidR="00565946" w:rsidRDefault="00565946" w:rsidP="009D3286">
      <w:pPr>
        <w:pStyle w:val="BodyText"/>
        <w:spacing w:after="120"/>
        <w:rPr>
          <w:rFonts w:eastAsia="MS Mincho"/>
          <w:sz w:val="24"/>
          <w:szCs w:val="24"/>
        </w:rPr>
      </w:pPr>
      <w:r w:rsidRPr="00565946">
        <w:rPr>
          <w:rFonts w:eastAsia="MS Mincho"/>
          <w:sz w:val="24"/>
          <w:szCs w:val="24"/>
        </w:rPr>
        <w:t xml:space="preserve">The impedances of the equivalent circuit of Bus 44 are shown in </w:t>
      </w:r>
      <w:r w:rsidR="003F4BEF" w:rsidRPr="003F4BEF">
        <w:rPr>
          <w:rFonts w:eastAsia="MS Mincho"/>
          <w:sz w:val="24"/>
          <w:szCs w:val="24"/>
        </w:rPr>
        <w:fldChar w:fldCharType="begin"/>
      </w:r>
      <w:r w:rsidR="003F4BEF" w:rsidRPr="003F4BEF">
        <w:rPr>
          <w:rFonts w:eastAsia="MS Mincho"/>
          <w:sz w:val="24"/>
          <w:szCs w:val="24"/>
        </w:rPr>
        <w:instrText xml:space="preserve"> REF _Ref453066272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42</w:t>
      </w:r>
      <w:r w:rsidR="003F4BEF" w:rsidRPr="003F4BEF">
        <w:rPr>
          <w:rFonts w:eastAsia="MS Mincho"/>
          <w:sz w:val="24"/>
          <w:szCs w:val="24"/>
        </w:rPr>
        <w:fldChar w:fldCharType="end"/>
      </w:r>
      <w:r w:rsidRPr="00565946">
        <w:rPr>
          <w:rFonts w:eastAsia="MS Mincho"/>
          <w:sz w:val="24"/>
          <w:szCs w:val="24"/>
        </w:rPr>
        <w:t xml:space="preserve">. The loading margins using different methods are depicted in </w:t>
      </w:r>
      <w:r w:rsidR="003F4BEF" w:rsidRPr="003F4BEF">
        <w:rPr>
          <w:rFonts w:eastAsia="MS Mincho"/>
          <w:sz w:val="24"/>
          <w:szCs w:val="24"/>
        </w:rPr>
        <w:fldChar w:fldCharType="begin"/>
      </w:r>
      <w:r w:rsidR="003F4BEF" w:rsidRPr="003F4BEF">
        <w:rPr>
          <w:rFonts w:eastAsia="MS Mincho"/>
          <w:sz w:val="24"/>
          <w:szCs w:val="24"/>
        </w:rPr>
        <w:instrText xml:space="preserve"> REF _Ref453066301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43</w:t>
      </w:r>
      <w:r w:rsidR="003F4BEF" w:rsidRPr="003F4BEF">
        <w:rPr>
          <w:rFonts w:eastAsia="MS Mincho"/>
          <w:sz w:val="24"/>
          <w:szCs w:val="24"/>
        </w:rPr>
        <w:fldChar w:fldCharType="end"/>
      </w:r>
      <w:r w:rsidRPr="00565946">
        <w:rPr>
          <w:rFonts w:eastAsia="MS Mincho"/>
          <w:sz w:val="24"/>
          <w:szCs w:val="24"/>
        </w:rPr>
        <w:t xml:space="preserve">. As seen in </w:t>
      </w:r>
      <w:r w:rsidR="003F4BEF" w:rsidRPr="003F4BEF">
        <w:rPr>
          <w:rFonts w:eastAsia="MS Mincho"/>
          <w:sz w:val="24"/>
          <w:szCs w:val="24"/>
        </w:rPr>
        <w:fldChar w:fldCharType="begin"/>
      </w:r>
      <w:r w:rsidR="003F4BEF" w:rsidRPr="003F4BEF">
        <w:rPr>
          <w:rFonts w:eastAsia="MS Mincho"/>
          <w:sz w:val="24"/>
          <w:szCs w:val="24"/>
        </w:rPr>
        <w:instrText xml:space="preserve"> REF _Ref453066272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42</w:t>
      </w:r>
      <w:r w:rsidR="003F4BEF" w:rsidRPr="003F4BEF">
        <w:rPr>
          <w:rFonts w:eastAsia="MS Mincho"/>
          <w:sz w:val="24"/>
          <w:szCs w:val="24"/>
        </w:rPr>
        <w:fldChar w:fldCharType="end"/>
      </w:r>
      <w:r w:rsidR="003F4BEF" w:rsidRPr="00565946">
        <w:rPr>
          <w:rFonts w:eastAsia="MS Mincho"/>
          <w:sz w:val="24"/>
          <w:szCs w:val="24"/>
        </w:rPr>
        <w:t>.</w:t>
      </w:r>
      <w:r w:rsidRPr="00565946">
        <w:rPr>
          <w:rFonts w:eastAsia="MS Mincho"/>
          <w:sz w:val="24"/>
          <w:szCs w:val="24"/>
        </w:rPr>
        <w:t xml:space="preserve"> the TE impedances are close to the load impedance at the final collapsing moment. According to </w:t>
      </w:r>
      <w:r w:rsidR="003F4BEF" w:rsidRPr="003F4BEF">
        <w:rPr>
          <w:rFonts w:eastAsia="MS Mincho"/>
          <w:sz w:val="24"/>
          <w:szCs w:val="24"/>
        </w:rPr>
        <w:fldChar w:fldCharType="begin"/>
      </w:r>
      <w:r w:rsidR="003F4BEF" w:rsidRPr="003F4BEF">
        <w:rPr>
          <w:rFonts w:eastAsia="MS Mincho"/>
          <w:sz w:val="24"/>
          <w:szCs w:val="24"/>
        </w:rPr>
        <w:instrText xml:space="preserve"> REF _Ref453066301 \h </w:instrText>
      </w:r>
      <w:r w:rsidR="003F4BEF">
        <w:rPr>
          <w:rFonts w:eastAsia="MS Mincho"/>
          <w:sz w:val="24"/>
          <w:szCs w:val="24"/>
        </w:rPr>
        <w:instrText xml:space="preserve"> \* MERGEFORMAT </w:instrText>
      </w:r>
      <w:r w:rsidR="003F4BEF" w:rsidRPr="003F4BEF">
        <w:rPr>
          <w:rFonts w:eastAsia="MS Mincho"/>
          <w:sz w:val="24"/>
          <w:szCs w:val="24"/>
        </w:rPr>
      </w:r>
      <w:r w:rsidR="003F4BEF" w:rsidRPr="003F4BEF">
        <w:rPr>
          <w:rFonts w:eastAsia="MS Mincho"/>
          <w:sz w:val="24"/>
          <w:szCs w:val="24"/>
        </w:rPr>
        <w:fldChar w:fldCharType="separate"/>
      </w:r>
      <w:r w:rsidR="003F4BEF" w:rsidRPr="003F4BEF">
        <w:rPr>
          <w:sz w:val="24"/>
          <w:szCs w:val="24"/>
        </w:rPr>
        <w:t xml:space="preserve">Figure </w:t>
      </w:r>
      <w:r w:rsidR="003F4BEF" w:rsidRPr="003F4BEF">
        <w:rPr>
          <w:noProof/>
          <w:sz w:val="24"/>
          <w:szCs w:val="24"/>
        </w:rPr>
        <w:t>43</w:t>
      </w:r>
      <w:r w:rsidR="003F4BEF" w:rsidRPr="003F4BEF">
        <w:rPr>
          <w:rFonts w:eastAsia="MS Mincho"/>
          <w:sz w:val="24"/>
          <w:szCs w:val="24"/>
        </w:rPr>
        <w:fldChar w:fldCharType="end"/>
      </w:r>
      <w:r w:rsidRPr="00565946">
        <w:rPr>
          <w:rFonts w:eastAsia="MS Mincho"/>
          <w:sz w:val="24"/>
          <w:szCs w:val="24"/>
        </w:rPr>
        <w:t>, NL method estimates the LM more accurately around base case. MD method, though less accurate around base case, is closer to the actual value when approaching the collapsing point. This is because the TE impedance estimated from MD method keeps being updated according to the actual system reactive response. As the operating point approaches closer to the collapsing point, MD approach shall be more accurate. On the other hand, the impedance of NL method keeps almost constant during the whole process. It gives a better estimation around base case</w:t>
      </w:r>
      <w:r w:rsidRPr="00565946">
        <w:rPr>
          <w:rFonts w:eastAsia="MS Mincho" w:hint="eastAsia"/>
          <w:sz w:val="24"/>
          <w:szCs w:val="24"/>
        </w:rPr>
        <w:t>,</w:t>
      </w:r>
      <w:r w:rsidRPr="00565946">
        <w:rPr>
          <w:rFonts w:eastAsia="MS Mincho"/>
          <w:sz w:val="24"/>
          <w:szCs w:val="24"/>
        </w:rPr>
        <w:t xml:space="preserve"> since along the projection, the TE impedance does not change much. However, at the final moment, the impedance of NL method does not exactly match the load impedance. </w:t>
      </w:r>
    </w:p>
    <w:p w14:paraId="6AFA4E61" w14:textId="77777777" w:rsidR="00901C07" w:rsidRDefault="00901C07" w:rsidP="00901C07">
      <w:pPr>
        <w:pStyle w:val="BodyText"/>
        <w:spacing w:line="240" w:lineRule="auto"/>
        <w:ind w:firstLine="0"/>
        <w:jc w:val="center"/>
      </w:pPr>
      <w:r w:rsidRPr="00565946">
        <w:rPr>
          <w:rFonts w:eastAsia="MS Mincho"/>
          <w:noProof/>
          <w:sz w:val="24"/>
          <w:szCs w:val="24"/>
          <w:lang w:eastAsia="zh-CN"/>
        </w:rPr>
        <w:drawing>
          <wp:inline distT="0" distB="0" distL="0" distR="0" wp14:anchorId="78C47C91" wp14:editId="7C4A8AC7">
            <wp:extent cx="2452570" cy="1238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350">
                      <a:extLst>
                        <a:ext uri="{28A0092B-C50C-407E-A947-70E740481C1C}">
                          <a14:useLocalDpi xmlns:a14="http://schemas.microsoft.com/office/drawing/2010/main" val="0"/>
                        </a:ext>
                      </a:extLst>
                    </a:blip>
                    <a:srcRect l="4990" t="3111" r="5405"/>
                    <a:stretch>
                      <a:fillRect/>
                    </a:stretch>
                  </pic:blipFill>
                  <pic:spPr bwMode="auto">
                    <a:xfrm>
                      <a:off x="0" y="0"/>
                      <a:ext cx="2467886" cy="1245983"/>
                    </a:xfrm>
                    <a:prstGeom prst="rect">
                      <a:avLst/>
                    </a:prstGeom>
                    <a:noFill/>
                    <a:ln>
                      <a:noFill/>
                    </a:ln>
                  </pic:spPr>
                </pic:pic>
              </a:graphicData>
            </a:graphic>
          </wp:inline>
        </w:drawing>
      </w:r>
      <w:bookmarkStart w:id="177" w:name="_Ref453066272"/>
    </w:p>
    <w:p w14:paraId="1F9DCE22" w14:textId="77777777" w:rsidR="00901C07" w:rsidRPr="00565946" w:rsidRDefault="00901C07" w:rsidP="009D0201">
      <w:pPr>
        <w:pStyle w:val="Caption"/>
      </w:pPr>
      <w:bookmarkStart w:id="178" w:name="_Toc459076493"/>
      <w:r>
        <w:t xml:space="preserve">Figure </w:t>
      </w:r>
      <w:fldSimple w:instr=" SEQ Figure \* ARABIC ">
        <w:r w:rsidR="00B0208A">
          <w:rPr>
            <w:noProof/>
          </w:rPr>
          <w:t>42</w:t>
        </w:r>
      </w:fldSimple>
      <w:bookmarkEnd w:id="177"/>
      <w:r>
        <w:t xml:space="preserve">. </w:t>
      </w:r>
      <w:r w:rsidRPr="00565946">
        <w:t>Impedances of equivalent circuit of Bus 44 in 118-bus system</w:t>
      </w:r>
      <w:bookmarkEnd w:id="178"/>
    </w:p>
    <w:p w14:paraId="03F9C19A" w14:textId="77777777" w:rsidR="00901C07" w:rsidRPr="00565946" w:rsidRDefault="00901C07" w:rsidP="00901C07">
      <w:pPr>
        <w:pStyle w:val="BodyText"/>
        <w:spacing w:line="240" w:lineRule="auto"/>
        <w:ind w:firstLine="0"/>
        <w:jc w:val="center"/>
        <w:rPr>
          <w:rFonts w:eastAsia="MS Mincho"/>
          <w:sz w:val="24"/>
          <w:szCs w:val="24"/>
        </w:rPr>
      </w:pPr>
      <w:r w:rsidRPr="00565946">
        <w:rPr>
          <w:rFonts w:eastAsia="MS Mincho"/>
          <w:noProof/>
          <w:sz w:val="24"/>
          <w:szCs w:val="24"/>
          <w:lang w:eastAsia="zh-CN"/>
        </w:rPr>
        <w:drawing>
          <wp:inline distT="0" distB="0" distL="0" distR="0" wp14:anchorId="009EC114" wp14:editId="725DF6AC">
            <wp:extent cx="2547020" cy="1276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351">
                      <a:extLst>
                        <a:ext uri="{28A0092B-C50C-407E-A947-70E740481C1C}">
                          <a14:useLocalDpi xmlns:a14="http://schemas.microsoft.com/office/drawing/2010/main" val="0"/>
                        </a:ext>
                      </a:extLst>
                    </a:blip>
                    <a:srcRect l="3580" t="3587" r="6105"/>
                    <a:stretch>
                      <a:fillRect/>
                    </a:stretch>
                  </pic:blipFill>
                  <pic:spPr bwMode="auto">
                    <a:xfrm>
                      <a:off x="0" y="0"/>
                      <a:ext cx="2552627" cy="1279160"/>
                    </a:xfrm>
                    <a:prstGeom prst="rect">
                      <a:avLst/>
                    </a:prstGeom>
                    <a:noFill/>
                    <a:ln>
                      <a:noFill/>
                    </a:ln>
                  </pic:spPr>
                </pic:pic>
              </a:graphicData>
            </a:graphic>
          </wp:inline>
        </w:drawing>
      </w:r>
    </w:p>
    <w:p w14:paraId="1F84DCDB" w14:textId="77777777" w:rsidR="00901C07" w:rsidRDefault="00901C07" w:rsidP="009D0201">
      <w:pPr>
        <w:pStyle w:val="Caption"/>
      </w:pPr>
      <w:bookmarkStart w:id="179" w:name="_Ref453066301"/>
      <w:bookmarkStart w:id="180" w:name="_Toc459076494"/>
      <w:r>
        <w:t xml:space="preserve">Figure </w:t>
      </w:r>
      <w:fldSimple w:instr=" SEQ Figure \* ARABIC ">
        <w:r w:rsidR="00B0208A">
          <w:rPr>
            <w:noProof/>
          </w:rPr>
          <w:t>43</w:t>
        </w:r>
      </w:fldSimple>
      <w:bookmarkEnd w:id="179"/>
      <w:r w:rsidRPr="00565946">
        <w:t>. Loading margin of Bus 44 in 118-bus system</w:t>
      </w:r>
      <w:bookmarkEnd w:id="180"/>
      <w:r w:rsidRPr="00565946">
        <w:t xml:space="preserve"> </w:t>
      </w:r>
    </w:p>
    <w:p w14:paraId="26056AD7" w14:textId="77777777" w:rsidR="009D3286" w:rsidRPr="009D3286" w:rsidRDefault="009D3286" w:rsidP="009D3286">
      <w:pPr>
        <w:rPr>
          <w:sz w:val="4"/>
        </w:rPr>
      </w:pPr>
    </w:p>
    <w:p w14:paraId="389BDAB7" w14:textId="77777777" w:rsidR="00565946" w:rsidRPr="00565946" w:rsidRDefault="003F4BEF" w:rsidP="004B5C30">
      <w:pPr>
        <w:pStyle w:val="Heading2"/>
      </w:pPr>
      <w:bookmarkStart w:id="181" w:name="_Toc459076591"/>
      <w:r>
        <w:lastRenderedPageBreak/>
        <w:t xml:space="preserve">6.4 </w:t>
      </w:r>
      <w:r w:rsidR="00565946" w:rsidRPr="00565946">
        <w:t>Conclusion</w:t>
      </w:r>
      <w:bookmarkEnd w:id="181"/>
    </w:p>
    <w:p w14:paraId="4E226D3B" w14:textId="77777777" w:rsidR="00565946" w:rsidRPr="00565946" w:rsidRDefault="00565946" w:rsidP="00565946">
      <w:pPr>
        <w:pStyle w:val="BodyText"/>
        <w:rPr>
          <w:rFonts w:eastAsia="MS Mincho"/>
          <w:sz w:val="24"/>
          <w:szCs w:val="24"/>
        </w:rPr>
      </w:pPr>
      <w:r w:rsidRPr="00565946">
        <w:rPr>
          <w:rFonts w:eastAsia="MS Mincho"/>
          <w:sz w:val="24"/>
          <w:szCs w:val="24"/>
        </w:rPr>
        <w:t xml:space="preserve">This work reports overestimation of voltage stability margin using coupled single-port circuit (CSPC) method. Through detailed analysis on a sample 4-bus system as well as the IEEE 118-bus system, it can be concluded that the observed overestimation occurs when the critical load bus or buses are isolated from rest of the system by weak generator buses. To mitigate such overestimation, two methods are raised, namely modified coupled single-port model (MD) method and negative load (NL) method. Both methods are applied to the 4-bus and 118-bus systems. Simulation results demonstrate that both methods mitigate the overestimation by original CSPC method. MD method will track the stability margin more accurately near the collapsing point while NL method can give a relative accurate prediction when the operating point is far from collapsing point. The authors suggest that when using CSPC method, it is necessary to check the two conditions summarized in </w:t>
      </w:r>
      <w:r w:rsidR="003F4BEF">
        <w:rPr>
          <w:rFonts w:eastAsia="MS Mincho"/>
          <w:sz w:val="24"/>
          <w:szCs w:val="24"/>
        </w:rPr>
        <w:t>Chapter 6.1.3</w:t>
      </w:r>
      <w:r w:rsidRPr="00565946">
        <w:rPr>
          <w:rFonts w:eastAsia="MS Mincho"/>
          <w:sz w:val="24"/>
          <w:szCs w:val="24"/>
        </w:rPr>
        <w:t xml:space="preserve"> to identify potential overestimation problem. If the two conditions are met, the proposed methods should be taken to mitigate the overestimation. </w:t>
      </w:r>
    </w:p>
    <w:p w14:paraId="19C5469B" w14:textId="77777777" w:rsidR="00A97B14" w:rsidRDefault="00A97B14" w:rsidP="000E06C6">
      <w:pPr>
        <w:ind w:firstLine="0"/>
        <w:rPr>
          <w:bCs/>
          <w:lang w:eastAsia="zh-CN"/>
        </w:rPr>
      </w:pPr>
      <w:r>
        <w:rPr>
          <w:bCs/>
          <w:lang w:eastAsia="zh-CN"/>
        </w:rPr>
        <w:br w:type="page"/>
      </w:r>
    </w:p>
    <w:p w14:paraId="40325770" w14:textId="77777777" w:rsidR="00357744" w:rsidRDefault="00357744" w:rsidP="00CC759C">
      <w:pPr>
        <w:pStyle w:val="Heading1"/>
        <w:rPr>
          <w:lang w:eastAsia="zh-CN"/>
        </w:rPr>
      </w:pPr>
      <w:bookmarkStart w:id="182" w:name="_Toc459076592"/>
      <w:r w:rsidRPr="00F920F6">
        <w:lastRenderedPageBreak/>
        <w:t>C</w:t>
      </w:r>
      <w:r>
        <w:t>HAPTER</w:t>
      </w:r>
      <w:r w:rsidRPr="00F920F6">
        <w:t xml:space="preserve"> </w:t>
      </w:r>
      <w:r>
        <w:rPr>
          <w:rFonts w:hint="eastAsia"/>
          <w:lang w:eastAsia="zh-CN"/>
        </w:rPr>
        <w:t>7</w:t>
      </w:r>
      <w:r w:rsidRPr="004D734D">
        <w:br/>
      </w:r>
      <w:r w:rsidR="000E14A5">
        <w:rPr>
          <w:lang w:eastAsia="zh-CN"/>
        </w:rPr>
        <w:t>MEASUREMENT-BASED VOLTAGE STABILITY INDICATOR FOR VOLTAGE DEPENDENT LOAD</w:t>
      </w:r>
      <w:bookmarkEnd w:id="182"/>
    </w:p>
    <w:p w14:paraId="66514731" w14:textId="5F7367A6" w:rsidR="00802F0C" w:rsidRPr="00802F0C" w:rsidRDefault="00802F0C" w:rsidP="00802F0C">
      <w:pPr>
        <w:rPr>
          <w:lang w:eastAsia="zh-CN"/>
        </w:rPr>
      </w:pPr>
      <w:r w:rsidRPr="00802F0C">
        <w:rPr>
          <w:lang w:eastAsia="zh-CN"/>
        </w:rPr>
        <w:t>In most voltage stability analysis (VSA)</w:t>
      </w:r>
      <w:r w:rsidR="000A0C53">
        <w:rPr>
          <w:lang w:eastAsia="zh-CN"/>
        </w:rPr>
        <w:t xml:space="preserve"> literature</w:t>
      </w:r>
      <w:r w:rsidRPr="00802F0C">
        <w:rPr>
          <w:lang w:eastAsia="zh-CN"/>
        </w:rPr>
        <w:t xml:space="preserve"> including the recent</w:t>
      </w:r>
      <w:r w:rsidR="000A0C53">
        <w:rPr>
          <w:lang w:eastAsia="zh-CN"/>
        </w:rPr>
        <w:t>ly</w:t>
      </w:r>
      <w:r w:rsidR="000E27CD">
        <w:rPr>
          <w:lang w:eastAsia="zh-CN"/>
        </w:rPr>
        <w:t xml:space="preserve"> developed</w:t>
      </w:r>
      <w:r w:rsidRPr="00802F0C">
        <w:rPr>
          <w:lang w:eastAsia="zh-CN"/>
        </w:rPr>
        <w:t xml:space="preserve"> measurement-based approaches, load model is considered as constant P and constant Q model, which is voltage independent. The constant PQ load model works fine under the assumption that the voltage of the load bus is close to nominal (1 p.u.). However, when the system is operating close to its limit, such assumption does not hold well. If the voltage is below the nominal level, the consumption of the real and reactive power should accordingly reduce. Constant PQ load is not able to model such voltage dependence characteristics and will eventually lead to a more conservative operating margin </w:t>
      </w:r>
      <w:r w:rsidRPr="00802F0C">
        <w:rPr>
          <w:lang w:eastAsia="zh-CN"/>
        </w:rPr>
        <w:fldChar w:fldCharType="begin" w:fldLock="1"/>
      </w:r>
      <w:r w:rsidR="00351740">
        <w:rPr>
          <w:lang w:eastAsia="zh-CN"/>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"id" : "ITEM-2", "itemData" : { "ISBN" : "1424401119", "abstract" : "While it has been widely accepted that the constant P-Q leads to conservative load margin calculation of voltage stability, lately the studies show that induction motor loads can lead to an even more conservative load margin calculation. This paper analyzes the impacts of the composite load model (the composite of ZIP and induction motor load models) on the load margin of voltage stability. In order to take into consideration the composite load model, a new set of parameterized power flow equations is derived. A procedure of integrating the composite load model is integrated into CPFLOW to model the load increase. Numerical studies on test system are conducted and numerical results indicate that the load margin with the composite load model can be significantly less than that with the constant P-Q load model. These numerical results are contradicted to the belief that the constant P-Q leads to conservative load margin calculation of voltage stability.", "author" : [ { "dropping-particle" : "", "family" : "Li", "given" : "Shao Hua", "non-dropping-particle" : "", "parse-names" : false, "suffix" : "" }, { "dropping-particle" : "", "family" : "Chiang", "given" : "Hsiao Dong", "non-dropping-particle" : "", "parse-names" : false, "suffix" : "" }, { "dropping-particle" : "", "family" : "Liu", "given" : "Sheng", "non-dropping-particle" : "", "parse-names" : false, "suffix" : "" } ], "container-title" : "International Conference on Power System Technology,", "id" : "ITEM-2", "issued" : { "date-parts" : [ [ "2006" ] ] }, "page" : "1-7", "title" : "Analysis of composite load models on load margin of voltage stability", "type" : "paper-conference" }, "uris" : [ "http://www.mendeley.com/documents/?uuid=2589f6fb-4701-40e8-9fbf-77bf06a34ea6" ] }, { "id" : "ITEM-3", "itemData" : { "DOI" : "10.1109/PESGM.2015.7285681", "ISBN" : "1932-5517 VO  -", "author" : [ { "dropping-particle" : "", "family" : "Baone", "given" : "Chaitanya A", "non-dropping-particle" : "", "parse-names" : false, "suffix" : "" }, { "dropping-particle" : "", "family" : "Veda", "given" : "Santosh", "non-dropping-particle" : "", "parse-names" : false, "suffix" : "" }, { "dropping-particle" : "", "family" : "Pan", "given" : "Yan", "non-dropping-particle" : "", "parse-names" : false, "suffix" : "" }, { "dropping-particle" : "", "family" : "Premerlani", "given" : "William", "non-dropping-particle" : "", "parse-names" : false, "suffix" : "" }, { "dropping-particle" : "", "family" : "Dai", "given" : "Jing", "non-dropping-particle" : "", "parse-names" : false, "suffix" : "" }, { "dropping-particle" : "", "family" : "Johnson", "given" : "Anthony", "non-dropping-particle" : "", "parse-names" : false, "suffix" : "" }, { "dropping-particle" : "", "family" : "Member", "given" : "Senior", "non-dropping-particle" : "", "parse-names" : false, "suffix" : "" } ], "container-title" : "2015 IEEE Power &amp; Energy Society General Meeting", "id" : "ITEM-3", "issued" : { "date-parts" : [ [ "2015" ] ] }, "page" : "1-5", "title" : "Measurement based static load model identification", "type" : "paper-conference" }, "uris" : [ "http://www.mendeley.com/documents/?uuid=1aa97b96-cb5d-4fe7-b843-01b8ac02f6cb" ] } ], "mendeley" : { "formattedCitation" : "[13], [45], [67]", "plainTextFormattedCitation" : "[13], [45], [67]", "previouslyFormattedCitation" : "[13], [45], [67]" }, "properties" : { "noteIndex" : 0 }, "schema" : "https://github.com/citation-style-language/schema/raw/master/csl-citation.json" }</w:instrText>
      </w:r>
      <w:r w:rsidRPr="00802F0C">
        <w:rPr>
          <w:lang w:eastAsia="zh-CN"/>
        </w:rPr>
        <w:fldChar w:fldCharType="separate"/>
      </w:r>
      <w:r w:rsidR="00DD7036" w:rsidRPr="00DD7036">
        <w:rPr>
          <w:noProof/>
          <w:lang w:eastAsia="zh-CN"/>
        </w:rPr>
        <w:t>[13], [45], [67]</w:t>
      </w:r>
      <w:r w:rsidRPr="00802F0C">
        <w:rPr>
          <w:lang w:eastAsia="zh-CN"/>
        </w:rPr>
        <w:fldChar w:fldCharType="end"/>
      </w:r>
      <w:r w:rsidRPr="00802F0C">
        <w:rPr>
          <w:lang w:eastAsia="zh-CN"/>
        </w:rPr>
        <w:t>.</w:t>
      </w:r>
    </w:p>
    <w:p w14:paraId="57250508" w14:textId="32BB9056" w:rsidR="00D41B71" w:rsidRPr="00802F0C" w:rsidRDefault="00802F0C" w:rsidP="00802F0C">
      <w:pPr>
        <w:rPr>
          <w:lang w:eastAsia="zh-CN"/>
        </w:rPr>
      </w:pPr>
      <w:r w:rsidRPr="00802F0C">
        <w:rPr>
          <w:lang w:eastAsia="zh-CN"/>
        </w:rPr>
        <w:t xml:space="preserve">A widely-used load model that incorporates voltage dependence is the ZIP load model </w:t>
      </w:r>
      <w:r w:rsidRPr="00802F0C">
        <w:rPr>
          <w:lang w:eastAsia="zh-CN"/>
        </w:rPr>
        <w:fldChar w:fldCharType="begin" w:fldLock="1"/>
      </w:r>
      <w:r w:rsidR="00351740">
        <w:rPr>
          <w:lang w:eastAsia="zh-CN"/>
        </w:rPr>
        <w:instrText>ADDIN CSL_CITATION { "citationItems" : [ { "id" : "ITEM-1", "itemData" : { "DOI" : "10.1109/TSG.2015.2405920", "ISSN" : "19493053", "abstract" : "The objective of this paper is to present a new \u201cevent-oriented\u201d method of online load modeling for the Illinois Institute of Technology (IIT) microgrid based on synchrophasor data produced by phasor measurement units. Several load models and their parameter estimation methods are proposed. The online load modeling process is based on an adjustable sliding window applied to two different types of load step changes. The load modeling tests and related analysis of the synchrophasor data from the IIT microgrid are demonstrated.", "author" : [ { "dropping-particle" : "", "family" : "Ge", "given" : "Yinyin", "non-dropping-particle" : "", "parse-names" : false, "suffix" : "" }, { "dropping-particle" : "", "family" : "Flueck", "given" : "Alexander J.", "non-dropping-particle" : "", "parse-names" : false, "suffix" : "" }, { "dropping-particle" : "", "family" : "Kim", "given" : "Dae Kyeong", "non-dropping-particle" : "", "parse-names" : false, "suffix" : "" }, { "dropping-particle" : "", "family" : "Ahn", "given" : "Jong Bo", "non-dropping-particle" : "", "parse-names" : false, "suffix" : "" }, { "dropping-particle" : "", "family" : "Lee", "given" : "Jae Duck", "non-dropping-particle" : "", "parse-names" : false, "suffix" : "" }, { "dropping-particle" : "", "family" : "Kwon", "given" : "Dae Yun", "non-dropping-particle" : "", "parse-names" : false, "suffix" : "" } ], "container-title" : "IEEE Transactions on Smart Grid", "id" : "ITEM-1", "issue" : "4", "issued" : { "date-parts" : [ [ "2015" ] ] }, "page" : "2060-2068", "title" : "An Event-Oriented Method for Online Load Modeling Based on Synchrophasor Data", "type" : "article-journal", "volume" : "6" }, "uris" : [ "http://www.mendeley.com/documents/?uuid=513aea97-e67e-4035-8455-a6e697a89dd9" ] } ], "mendeley" : { "formattedCitation" : "[68]", "plainTextFormattedCitation" : "[68]", "previouslyFormattedCitation" : "[68]" }, "properties" : { "noteIndex" : 0 }, "schema" : "https://github.com/citation-style-language/schema/raw/master/csl-citation.json" }</w:instrText>
      </w:r>
      <w:r w:rsidRPr="00802F0C">
        <w:rPr>
          <w:lang w:eastAsia="zh-CN"/>
        </w:rPr>
        <w:fldChar w:fldCharType="separate"/>
      </w:r>
      <w:r w:rsidR="00DD7036" w:rsidRPr="00DD7036">
        <w:rPr>
          <w:noProof/>
          <w:lang w:eastAsia="zh-CN"/>
        </w:rPr>
        <w:t>[68]</w:t>
      </w:r>
      <w:r w:rsidRPr="00802F0C">
        <w:rPr>
          <w:lang w:eastAsia="zh-CN"/>
        </w:rPr>
        <w:fldChar w:fldCharType="end"/>
      </w:r>
      <w:r w:rsidRPr="00802F0C">
        <w:rPr>
          <w:lang w:eastAsia="zh-CN"/>
        </w:rPr>
        <w:t>. Under this load model, 100% of the real power is partitioned into constant impedance (Z) load, constant current (I) load, and constant power (P) load. The reactive power is also divided into Z, I, and P load models and the distribution may be different than the real power.</w:t>
      </w:r>
      <w:r w:rsidR="00D41B71">
        <w:rPr>
          <w:lang w:eastAsia="zh-CN"/>
        </w:rPr>
        <w:t xml:space="preserve"> Another voltage dependent load model is exponential load model </w:t>
      </w:r>
      <w:r w:rsidR="00D41B71">
        <w:rPr>
          <w:lang w:eastAsia="zh-CN"/>
        </w:rPr>
        <w:fldChar w:fldCharType="begin" w:fldLock="1"/>
      </w:r>
      <w:r w:rsidR="00A0417B">
        <w:rPr>
          <w:lang w:eastAsia="zh-CN"/>
        </w:rPr>
        <w:instrText>ADDIN CSL_CITATION { "citationItems" : [ { "id" : "ITEM-1", "itemData" : { "DOI" : "10.1016/j.ijepes.2005.08.012", "ISSN" : "01420615", "abstract" : "After some damaging blackouts, voltage stability and collapse have become worldwide concerned problems. In this paper, we focus on the aspect of voltage stability. An improved voltage stability index named LI is presented, which can give an accurate indication to power system voltage instability with considering the influence of the load model. Its calculating speed is very fast, so it can be used in the on-line monitoring and control of power system voltage stability. An appropriate external equivalent method is also presented to speed-up the calculation. So index-LI can be used in regional operating centers of the interconnection power systems. As an application of index-LI, approaches to identify voltage stability weak buses, coherent generator set and coherent load set of a weak bus are given in the end. New-England system and IEEE 50-generator-145-bus system are used to illustrate the accurateness and effectiveness of our methods.", "author" : [ { "dropping-particle" : "", "family" : "Hongjie", "given" : "Jia", "non-dropping-particle" : "", "parse-names" : false, "suffix" : "" }, { "dropping-particle" : "", "family" : "Xiaodan", "given" : "Yu", "non-dropping-particle" : "", "parse-names" : false, "suffix" : "" }, { "dropping-particle" : "", "family" : "Yixin", "given" : "Yu", "non-dropping-particle" : "", "parse-names" : false, "suffix" : "" } ], "container-title" : "International Journal of Electrical Power &amp; Energy Systems", "id" : "ITEM-1", "issue" : "8", "issued" : { "date-parts" : [ [ "2005", "10" ] ] }, "page" : "567-574", "title" : "An improved voltage stability index and its application", "type" : "article-journal", "volume" : "27" }, "uris" : [ "http://www.mendeley.com/documents/?uuid=c264c48d-cdc7-4e7c-8458-db42aeff6985" ] } ], "mendeley" : { "formattedCitation" : "[69]", "plainTextFormattedCitation" : "[69]", "previouslyFormattedCitation" : "[69]" }, "properties" : { "noteIndex" : 0 }, "schema" : "https://github.com/citation-style-language/schema/raw/master/csl-citation.json" }</w:instrText>
      </w:r>
      <w:r w:rsidR="00D41B71">
        <w:rPr>
          <w:lang w:eastAsia="zh-CN"/>
        </w:rPr>
        <w:fldChar w:fldCharType="separate"/>
      </w:r>
      <w:r w:rsidR="00D41B71" w:rsidRPr="00D41B71">
        <w:rPr>
          <w:noProof/>
          <w:lang w:eastAsia="zh-CN"/>
        </w:rPr>
        <w:t>[69]</w:t>
      </w:r>
      <w:r w:rsidR="00D41B71">
        <w:rPr>
          <w:lang w:eastAsia="zh-CN"/>
        </w:rPr>
        <w:fldChar w:fldCharType="end"/>
      </w:r>
      <w:r w:rsidR="00D41B71">
        <w:rPr>
          <w:lang w:eastAsia="zh-CN"/>
        </w:rPr>
        <w:t>. Instead of representing ZIP component separately using a polynomial functio</w:t>
      </w:r>
      <w:r w:rsidR="000E27CD">
        <w:rPr>
          <w:lang w:eastAsia="zh-CN"/>
        </w:rPr>
        <w:t>n, exponential load model uses relatively simple</w:t>
      </w:r>
      <w:r w:rsidR="00D41B71">
        <w:rPr>
          <w:lang w:eastAsia="zh-CN"/>
        </w:rPr>
        <w:t xml:space="preserve"> </w:t>
      </w:r>
      <w:r w:rsidR="0018574F">
        <w:rPr>
          <w:lang w:eastAsia="zh-CN"/>
        </w:rPr>
        <w:t>power</w:t>
      </w:r>
      <w:r w:rsidR="00D41B71">
        <w:rPr>
          <w:lang w:eastAsia="zh-CN"/>
        </w:rPr>
        <w:t xml:space="preserve"> function to represent the load characteristics. </w:t>
      </w:r>
    </w:p>
    <w:p w14:paraId="423EE2C4" w14:textId="1C914089" w:rsidR="00802F0C" w:rsidRPr="00802F0C" w:rsidRDefault="00802F0C" w:rsidP="00802F0C">
      <w:pPr>
        <w:rPr>
          <w:lang w:eastAsia="zh-CN"/>
        </w:rPr>
      </w:pPr>
      <w:r w:rsidRPr="00802F0C">
        <w:rPr>
          <w:lang w:eastAsia="zh-CN"/>
        </w:rPr>
        <w:t xml:space="preserve">With the phasor measurement units (PMUs) installed and the synchronized voltage and power consumption data captured, parameters of ZIP load models can be </w:t>
      </w:r>
      <w:r w:rsidRPr="00802F0C">
        <w:rPr>
          <w:lang w:eastAsia="zh-CN"/>
        </w:rPr>
        <w:lastRenderedPageBreak/>
        <w:t>easily identified</w:t>
      </w:r>
      <w:r w:rsidR="000E27CD">
        <w:rPr>
          <w:lang w:eastAsia="zh-CN"/>
        </w:rPr>
        <w:t xml:space="preserve"> </w:t>
      </w:r>
      <w:r w:rsidR="000E27CD">
        <w:rPr>
          <w:lang w:eastAsia="zh-CN"/>
        </w:rPr>
        <w:fldChar w:fldCharType="begin" w:fldLock="1"/>
      </w:r>
      <w:r w:rsidR="00726E30">
        <w:rPr>
          <w:lang w:eastAsia="zh-CN"/>
        </w:rPr>
        <w:instrText>ADDIN CSL_CITATION { "citationItems" : [ { "id" : "ITEM-1", "itemData" : { "DOI" : "10.1109/PESGM.2015.7285681", "ISBN" : "1932-5517 VO  -", "author" : [ { "dropping-particle" : "", "family" : "Baone", "given" : "Chaitanya A", "non-dropping-particle" : "", "parse-names" : false, "suffix" : "" }, { "dropping-particle" : "", "family" : "Veda", "given" : "Santosh", "non-dropping-particle" : "", "parse-names" : false, "suffix" : "" }, { "dropping-particle" : "", "family" : "Pan", "given" : "Yan", "non-dropping-particle" : "", "parse-names" : false, "suffix" : "" }, { "dropping-particle" : "", "family" : "Premerlani", "given" : "William", "non-dropping-particle" : "", "parse-names" : false, "suffix" : "" }, { "dropping-particle" : "", "family" : "Dai", "given" : "Jing", "non-dropping-particle" : "", "parse-names" : false, "suffix" : "" }, { "dropping-particle" : "", "family" : "Johnson", "given" : "Anthony", "non-dropping-particle" : "", "parse-names" : false, "suffix" : "" }, { "dropping-particle" : "", "family" : "Member", "given" : "Senior", "non-dropping-particle" : "", "parse-names" : false, "suffix" : "" } ], "container-title" : "2015 IEEE Power &amp; Energy Society General Meeting", "id" : "ITEM-1", "issued" : { "date-parts" : [ [ "2015" ] ] }, "page" : "1-5", "title" : "Measurement based static load model identification", "type" : "paper-conference" }, "uris" : [ "http://www.mendeley.com/documents/?uuid=1aa97b96-cb5d-4fe7-b843-01b8ac02f6cb" ] }, { "id" : "ITEM-2", "itemData" : { "abstract" : "Summary form only given. The accuracy of the load model has great effects on power system stability analysis and control. Based on our practice in China on modeling load from field measurements, this paper systematically develops a measurement-based composite load model. Principles guiding the load modeling practice are discussed based on detailed analysis on stochastic characteristics of modeling procedure. The structure of the measurement-based composite load model is presented. A multi-curve identification technique is described to derive parameters. The generalization capability of thus built load model is also investigated in the paper. Two cases are studied to illustrate the accuracy of the developed load model on describing the load dynamic characteristics in the actual power system", "author" : [ { "dropping-particle" : "", "family" : "Renmu", "given" : "He", "non-dropping-particle" : "", "parse-names" : false, "suffix" : "" }, { "dropping-particle" : "", "family" : "Jin", "given" : "Ma", "non-dropping-particle" : "", "parse-names" : false, "suffix" : "" }, { "dropping-particle" : "", "family" : "Hill", "given" : "David J.", "non-dropping-particle" : "", "parse-names" : false, "suffix" : "" } ], "container-title" : "IEEE Transactions on Power Systems", "id" : "ITEM-2", "issue" : "2", "issued" : { "date-parts" : [ [ "2006" ] ] }, "page" : "663-672", "title" : "Composite load modeling via measurement approach", "type" : "article-journal", "volume" : "21" }, "uris" : [ "http://www.mendeley.com/documents/?uuid=2ab3291d-8baa-409c-95e6-24999b8aa397" ] } ], "mendeley" : { "formattedCitation" : "[67], [70]", "plainTextFormattedCitation" : "[67], [70]", "previouslyFormattedCitation" : "[67], [70]" }, "properties" : { "noteIndex" : 0 }, "schema" : "https://github.com/citation-style-language/schema/raw/master/csl-citation.json" }</w:instrText>
      </w:r>
      <w:r w:rsidR="000E27CD">
        <w:rPr>
          <w:lang w:eastAsia="zh-CN"/>
        </w:rPr>
        <w:fldChar w:fldCharType="separate"/>
      </w:r>
      <w:r w:rsidR="000E27CD" w:rsidRPr="000E27CD">
        <w:rPr>
          <w:noProof/>
          <w:lang w:eastAsia="zh-CN"/>
        </w:rPr>
        <w:t>[67], [70]</w:t>
      </w:r>
      <w:r w:rsidR="000E27CD">
        <w:rPr>
          <w:lang w:eastAsia="zh-CN"/>
        </w:rPr>
        <w:fldChar w:fldCharType="end"/>
      </w:r>
      <w:r w:rsidRPr="00802F0C">
        <w:rPr>
          <w:lang w:eastAsia="zh-CN"/>
        </w:rPr>
        <w:t xml:space="preserve">. However, very few measurement-based VSA approaches incorporate the ZIP load models </w:t>
      </w:r>
      <w:r w:rsidRPr="00802F0C">
        <w:rPr>
          <w:lang w:eastAsia="zh-CN"/>
        </w:rPr>
        <w:fldChar w:fldCharType="begin" w:fldLock="1"/>
      </w:r>
      <w:r w:rsidR="00726E30">
        <w:rPr>
          <w:lang w:eastAsia="zh-CN"/>
        </w:rPr>
        <w:instrText>ADDIN CSL_CITATION { "citationItems" : [ { "id" : "ITEM-1", "itemData" : { "DOI" : "10.1109/IHMSC.2013.16", "ISBN" : "978-0-7695-5011-4", "author" : [ { "dropping-particle" : "", "family" : "Wang", "given" : "Kankan", "non-dropping-particle" : "", "parse-names" : false, "suffix" : "" }, { "dropping-particle" : "", "family" : "Huang", "given" : "Haixin", "non-dropping-particle" : "", "parse-names" : false, "suffix" : "" }, { "dropping-particle" : "", "family" : "Zang", "given" : "Chuanzhi", "non-dropping-particle" : "", "parse-names" : false, "suffix" : "" } ], "container-title" : "5th International Conference on Intelligent Human-Machine Systems and Cybernetics", "id" : "ITEM-1", "issued" : { "date-parts" : [ [ "2013" ] ] }, "page" : "37-41", "title" : "Research on Time-Sharing ZIP Load Modeling Based on Linear BP Network", "type" : "paper-conference" }, "uris" : [ "http://www.mendeley.com/documents/?uuid=a8c0184d-7a21-4d13-a371-bd7db47aa015" ] }, { "id" : "ITEM-2", "itemData" : { "DOI" : "10.1049/iet-gtd.2014.0640", "ISSN" : "1751-8687", "author" : [ { "dropping-particle" : "", "family" : "V.", "given" : "Vignesh", "non-dropping-particle" : "", "parse-names" : false, "suffix" : "" }, { "dropping-particle" : "", "family" : "Chakrabarti", "given" : "Saikat", "non-dropping-particle" : "", "parse-names" : false, "suffix" : "" }, { "dropping-particle" : "", "family" : "Srivastava", "given" : "Suresh Chandra", "non-dropping-particle" : "", "parse-names" : false, "suffix" : "" } ], "container-title" : "IET Generation, Transmission &amp; Distribution", "id" : "ITEM-2", "issue" : "12", "issued" : { "date-parts" : [ [ "2015" ] ] }, "page" : "1316-1323", "title" : "Power system load modelling under large and small disturbances using phasor measurement units data", "type" : "article-journal", "volume" : "9" }, "uris" : [ "http://www.mendeley.com/documents/?uuid=dd0b757b-93e7-4092-8667-f910f971da4f" ] } ], "mendeley" : { "formattedCitation" : "[71], [72]", "plainTextFormattedCitation" : "[71], [72]", "previouslyFormattedCitation" : "[71], [72]" }, "properties" : { "noteIndex" : 0 }, "schema" : "https://github.com/citation-style-language/schema/raw/master/csl-citation.json" }</w:instrText>
      </w:r>
      <w:r w:rsidRPr="00802F0C">
        <w:rPr>
          <w:lang w:eastAsia="zh-CN"/>
        </w:rPr>
        <w:fldChar w:fldCharType="separate"/>
      </w:r>
      <w:r w:rsidR="000E27CD" w:rsidRPr="000E27CD">
        <w:rPr>
          <w:noProof/>
          <w:lang w:eastAsia="zh-CN"/>
        </w:rPr>
        <w:t>[71], [72]</w:t>
      </w:r>
      <w:r w:rsidRPr="00802F0C">
        <w:rPr>
          <w:lang w:eastAsia="zh-CN"/>
        </w:rPr>
        <w:fldChar w:fldCharType="end"/>
      </w:r>
      <w:r w:rsidRPr="00802F0C">
        <w:rPr>
          <w:lang w:eastAsia="zh-CN"/>
        </w:rPr>
        <w:t xml:space="preserve"> or </w:t>
      </w:r>
      <w:r w:rsidR="000E27CD">
        <w:rPr>
          <w:lang w:eastAsia="zh-CN"/>
        </w:rPr>
        <w:t>exponential</w:t>
      </w:r>
      <w:r w:rsidRPr="00802F0C">
        <w:rPr>
          <w:lang w:eastAsia="zh-CN"/>
        </w:rPr>
        <w:t xml:space="preserve"> load models </w:t>
      </w:r>
      <w:r w:rsidRPr="00802F0C">
        <w:rPr>
          <w:lang w:eastAsia="zh-CN"/>
        </w:rPr>
        <w:fldChar w:fldCharType="begin" w:fldLock="1"/>
      </w:r>
      <w:r w:rsidR="00726E30">
        <w:rPr>
          <w:lang w:eastAsia="zh-CN"/>
        </w:rPr>
        <w:instrText>ADDIN CSL_CITATION { "citationItems" : [ { "id" : "ITEM-1", "itemData" : { "DOI" : "10.1109/ISGTEurope.2014.7028909", "ISBN" : "9781479977208", "author" : [ { "dropping-particle" : "", "family" : "Regulski", "given" : "P.", "non-dropping-particle" : "", "parse-names" : false, "suffix" : "" }, { "dropping-particle" : "", "family" : "Wall", "given" : "P.", "non-dropping-particle" : "", "parse-names" : false, "suffix" : "" }, { "dropping-particle" : "", "family" : "Rusidovic", "given" : "Z.", "non-dropping-particle" : "", "parse-names" : false, "suffix" : "" }, { "dropping-particle" : "", "family" : "Terzija", "given" : "V.", "non-dropping-particle" : "", "parse-names" : false, "suffix" : "" } ], "container-title" : "IEEE PES Innovative Smart Grid Technologies Conference Europe", "id" : "ITEM-1", "issued" : { "date-parts" : [ [ "2015" ] ] }, "page" : "1-6", "title" : "Estimation of load model parameters from PMU measurements", "type" : "paper-conference" }, "uris" : [ "http://www.mendeley.com/documents/?uuid=3fdbd793-a6f7-4500-83e0-df32f4defe60" ] } ], "mendeley" : { "formattedCitation" : "[73]", "plainTextFormattedCitation" : "[73]", "previouslyFormattedCitation" : "[73]" }, "properties" : { "noteIndex" : 0 }, "schema" : "https://github.com/citation-style-language/schema/raw/master/csl-citation.json" }</w:instrText>
      </w:r>
      <w:r w:rsidRPr="00802F0C">
        <w:rPr>
          <w:lang w:eastAsia="zh-CN"/>
        </w:rPr>
        <w:fldChar w:fldCharType="separate"/>
      </w:r>
      <w:r w:rsidR="000E27CD" w:rsidRPr="000E27CD">
        <w:rPr>
          <w:noProof/>
          <w:lang w:eastAsia="zh-CN"/>
        </w:rPr>
        <w:t>[73]</w:t>
      </w:r>
      <w:r w:rsidRPr="00802F0C">
        <w:rPr>
          <w:lang w:eastAsia="zh-CN"/>
        </w:rPr>
        <w:fldChar w:fldCharType="end"/>
      </w:r>
      <w:r w:rsidRPr="00802F0C">
        <w:rPr>
          <w:lang w:eastAsia="zh-CN"/>
        </w:rPr>
        <w:t xml:space="preserve">. In </w:t>
      </w:r>
      <w:r w:rsidRPr="00802F0C">
        <w:rPr>
          <w:lang w:eastAsia="zh-CN"/>
        </w:rPr>
        <w:fldChar w:fldCharType="begin" w:fldLock="1"/>
      </w:r>
      <w:r w:rsidR="00D96671">
        <w:rPr>
          <w:lang w:eastAsia="zh-CN"/>
        </w:rP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"plainTextFormattedCitation" : "[13]", "previouslyFormattedCitation" : "[13]" }, "properties" : { "noteIndex" : 0 }, "schema" : "https://github.com/citation-style-language/schema/raw/master/csl-citation.json" }</w:instrText>
      </w:r>
      <w:r w:rsidRPr="00802F0C">
        <w:rPr>
          <w:lang w:eastAsia="zh-CN"/>
        </w:rPr>
        <w:fldChar w:fldCharType="separate"/>
      </w:r>
      <w:r w:rsidR="00D96671" w:rsidRPr="00D96671">
        <w:rPr>
          <w:noProof/>
          <w:lang w:eastAsia="zh-CN"/>
        </w:rPr>
        <w:t>[13]</w:t>
      </w:r>
      <w:r w:rsidRPr="00802F0C">
        <w:rPr>
          <w:lang w:eastAsia="zh-CN"/>
        </w:rPr>
        <w:fldChar w:fldCharType="end"/>
      </w:r>
      <w:r w:rsidRPr="00802F0C">
        <w:rPr>
          <w:lang w:eastAsia="zh-CN"/>
        </w:rPr>
        <w:t xml:space="preserve">, although ZIP load models are studied, </w:t>
      </w:r>
      <w:r w:rsidR="005D0E5F">
        <w:rPr>
          <w:lang w:eastAsia="zh-CN"/>
        </w:rPr>
        <w:t>the indicator will need to be used in combination with other system information such as reactive power depletion at certain generator buses to function well</w:t>
      </w:r>
      <w:r w:rsidR="009F0B37">
        <w:rPr>
          <w:lang w:eastAsia="zh-CN"/>
        </w:rPr>
        <w:t>.</w:t>
      </w:r>
      <w:r w:rsidR="00351740">
        <w:rPr>
          <w:lang w:eastAsia="zh-CN"/>
        </w:rPr>
        <w:t xml:space="preserve"> Jia </w:t>
      </w:r>
      <w:r w:rsidR="00351740" w:rsidRPr="00351740">
        <w:rPr>
          <w:i/>
          <w:lang w:eastAsia="zh-CN"/>
        </w:rPr>
        <w:t>et al.</w:t>
      </w:r>
      <w:r w:rsidR="00351740">
        <w:rPr>
          <w:lang w:eastAsia="zh-CN"/>
        </w:rPr>
        <w:t xml:space="preserve"> proposed an improved L index in </w:t>
      </w:r>
      <w:r w:rsidR="00351740">
        <w:rPr>
          <w:lang w:eastAsia="zh-CN"/>
        </w:rPr>
        <w:fldChar w:fldCharType="begin" w:fldLock="1"/>
      </w:r>
      <w:r w:rsidR="00A0417B">
        <w:rPr>
          <w:lang w:eastAsia="zh-CN"/>
        </w:rPr>
        <w:instrText>ADDIN CSL_CITATION { "citationItems" : [ { "id" : "ITEM-1", "itemData" : { "DOI" : "10.1016/j.ijepes.2005.08.012", "ISSN" : "01420615", "abstract" : "After some damaging blackouts, voltage stability and collapse have become worldwide concerned problems. In this paper, we focus on the aspect of voltage stability. An improved voltage stability index named LI is presented, which can give an accurate indication to power system voltage instability with considering the influence of the load model. Its calculating speed is very fast, so it can be used in the on-line monitoring and control of power system voltage stability. An appropriate external equivalent method is also presented to speed-up the calculation. So index-LI can be used in regional operating centers of the interconnection power systems. As an application of index-LI, approaches to identify voltage stability weak buses, coherent generator set and coherent load set of a weak bus are given in the end. New-England system and IEEE 50-generator-145-bus system are used to illustrate the accurateness and effectiveness of our methods.", "author" : [ { "dropping-particle" : "", "family" : "Hongjie", "given" : "Jia", "non-dropping-particle" : "", "parse-names" : false, "suffix" : "" }, { "dropping-particle" : "", "family" : "Xiaodan", "given" : "Yu", "non-dropping-particle" : "", "parse-names" : false, "suffix" : "" }, { "dropping-particle" : "", "family" : "Yixin", "given" : "Yu", "non-dropping-particle" : "", "parse-names" : false, "suffix" : "" } ], "container-title" : "International Journal of Electrical Power &amp; Energy Systems", "id" : "ITEM-1", "issue" : "8", "issued" : { "date-parts" : [ [ "2005", "10" ] ] }, "page" : "567-574", "title" : "An improved voltage stability index and its application", "type" : "article-journal", "volume" : "27" }, "uris" : [ "http://www.mendeley.com/documents/?uuid=c264c48d-cdc7-4e7c-8458-db42aeff6985" ] } ], "mendeley" : { "formattedCitation" : "[69]", "plainTextFormattedCitation" : "[69]", "previouslyFormattedCitation" : "[69]" }, "properties" : { "noteIndex" : 0 }, "schema" : "https://github.com/citation-style-language/schema/raw/master/csl-citation.json" }</w:instrText>
      </w:r>
      <w:r w:rsidR="00351740">
        <w:rPr>
          <w:lang w:eastAsia="zh-CN"/>
        </w:rPr>
        <w:fldChar w:fldCharType="separate"/>
      </w:r>
      <w:r w:rsidR="00D41B71" w:rsidRPr="00D41B71">
        <w:rPr>
          <w:noProof/>
          <w:lang w:eastAsia="zh-CN"/>
        </w:rPr>
        <w:t>[69]</w:t>
      </w:r>
      <w:r w:rsidR="00351740">
        <w:rPr>
          <w:lang w:eastAsia="zh-CN"/>
        </w:rPr>
        <w:fldChar w:fldCharType="end"/>
      </w:r>
      <w:r w:rsidR="00351740">
        <w:rPr>
          <w:lang w:eastAsia="zh-CN"/>
        </w:rPr>
        <w:t xml:space="preserve"> which can consider the ZIP and exponential load model. However, it needs to use the system </w:t>
      </w:r>
      <w:r w:rsidR="00351740" w:rsidRPr="00351740">
        <w:rPr>
          <w:i/>
          <w:lang w:eastAsia="zh-CN"/>
        </w:rPr>
        <w:t>Y</w:t>
      </w:r>
      <w:r w:rsidR="00351740">
        <w:rPr>
          <w:lang w:eastAsia="zh-CN"/>
        </w:rPr>
        <w:t xml:space="preserve"> matrix and inherits some limitation of the </w:t>
      </w:r>
      <w:r w:rsidR="00351740" w:rsidRPr="00351740">
        <w:rPr>
          <w:i/>
          <w:lang w:eastAsia="zh-CN"/>
        </w:rPr>
        <w:t>L</w:t>
      </w:r>
      <w:r w:rsidR="00351740">
        <w:rPr>
          <w:lang w:eastAsia="zh-CN"/>
        </w:rPr>
        <w:t xml:space="preserve"> index. </w:t>
      </w:r>
    </w:p>
    <w:p w14:paraId="018E5166" w14:textId="768D3506" w:rsidR="00802F0C" w:rsidRPr="00802F0C" w:rsidRDefault="00B2176D" w:rsidP="00802F0C">
      <w:pPr>
        <w:rPr>
          <w:lang w:eastAsia="zh-CN"/>
        </w:rPr>
      </w:pPr>
      <w:r>
        <w:rPr>
          <w:lang w:eastAsia="zh-CN"/>
        </w:rPr>
        <w:t>The rest of this chapter is organized as follow</w:t>
      </w:r>
      <w:r w:rsidR="000A0C53">
        <w:rPr>
          <w:lang w:eastAsia="zh-CN"/>
        </w:rPr>
        <w:t>s</w:t>
      </w:r>
      <w:r w:rsidR="00802F0C" w:rsidRPr="00802F0C">
        <w:rPr>
          <w:lang w:eastAsia="zh-CN"/>
        </w:rPr>
        <w:t>:</w:t>
      </w:r>
      <w:r>
        <w:rPr>
          <w:lang w:eastAsia="zh-CN"/>
        </w:rPr>
        <w:t xml:space="preserve"> Chapter 7.1 studies the impact of </w:t>
      </w:r>
      <w:r w:rsidR="00D41B71">
        <w:rPr>
          <w:lang w:eastAsia="zh-CN"/>
        </w:rPr>
        <w:t>two voltage dependent load models, ZIP load model and exponential load mode</w:t>
      </w:r>
      <w:r w:rsidR="000E27CD">
        <w:rPr>
          <w:lang w:eastAsia="zh-CN"/>
        </w:rPr>
        <w:t>l</w:t>
      </w:r>
      <w:r w:rsidR="00D41B71">
        <w:rPr>
          <w:lang w:eastAsia="zh-CN"/>
        </w:rPr>
        <w:t>, to voltage stability assessment</w:t>
      </w:r>
      <w:r>
        <w:rPr>
          <w:lang w:eastAsia="zh-CN"/>
        </w:rPr>
        <w:t xml:space="preserve">; Chapter 7.2 introduces the proposed voltage stability indicator (VSI) for </w:t>
      </w:r>
      <w:r w:rsidR="00D41B71">
        <w:rPr>
          <w:lang w:eastAsia="zh-CN"/>
        </w:rPr>
        <w:t>voltage dependent</w:t>
      </w:r>
      <w:r>
        <w:rPr>
          <w:lang w:eastAsia="zh-CN"/>
        </w:rPr>
        <w:t xml:space="preserve"> load models; Chapter 7.3 presents the</w:t>
      </w:r>
      <w:r w:rsidR="009F0B37">
        <w:rPr>
          <w:lang w:eastAsia="zh-CN"/>
        </w:rPr>
        <w:t xml:space="preserve"> case study on IEEE 14-Bus system and the</w:t>
      </w:r>
      <w:r>
        <w:rPr>
          <w:lang w:eastAsia="zh-CN"/>
        </w:rPr>
        <w:t xml:space="preserve"> implementation of the proposed VSI on large-scale test bed developed by </w:t>
      </w:r>
      <w:r w:rsidR="000A0C53">
        <w:rPr>
          <w:lang w:eastAsia="zh-CN"/>
        </w:rPr>
        <w:t xml:space="preserve">the </w:t>
      </w:r>
      <w:r>
        <w:rPr>
          <w:lang w:eastAsia="zh-CN"/>
        </w:rPr>
        <w:t>CURENT center</w:t>
      </w:r>
      <w:r w:rsidR="000A0C53">
        <w:rPr>
          <w:lang w:eastAsia="zh-CN"/>
        </w:rPr>
        <w:t xml:space="preserve">; and </w:t>
      </w:r>
      <w:r w:rsidR="00E43268">
        <w:rPr>
          <w:lang w:eastAsia="zh-CN"/>
        </w:rPr>
        <w:t xml:space="preserve">Chapter 7.4 </w:t>
      </w:r>
      <w:r w:rsidR="000A0C53">
        <w:rPr>
          <w:lang w:eastAsia="zh-CN"/>
        </w:rPr>
        <w:t>gives concluding remarks</w:t>
      </w:r>
      <w:r w:rsidR="00E43268">
        <w:rPr>
          <w:lang w:eastAsia="zh-CN"/>
        </w:rPr>
        <w:t>.</w:t>
      </w:r>
    </w:p>
    <w:p w14:paraId="4BD56183" w14:textId="77777777" w:rsidR="001D1391" w:rsidRDefault="001D1391" w:rsidP="00B2176D">
      <w:pPr>
        <w:pStyle w:val="Heading2"/>
        <w:rPr>
          <w:lang w:eastAsia="zh-CN"/>
        </w:rPr>
      </w:pPr>
      <w:bookmarkStart w:id="183" w:name="_Toc459076593"/>
      <w:r>
        <w:rPr>
          <w:lang w:eastAsia="zh-CN"/>
        </w:rPr>
        <w:t xml:space="preserve">7.1 Impact of ZIP </w:t>
      </w:r>
      <w:r w:rsidR="00D41B71">
        <w:rPr>
          <w:lang w:eastAsia="zh-CN"/>
        </w:rPr>
        <w:t xml:space="preserve">Load Model </w:t>
      </w:r>
      <w:r>
        <w:rPr>
          <w:lang w:eastAsia="zh-CN"/>
        </w:rPr>
        <w:t xml:space="preserve">to </w:t>
      </w:r>
      <w:r w:rsidR="00D41B71">
        <w:rPr>
          <w:lang w:eastAsia="zh-CN"/>
        </w:rPr>
        <w:t>Voltage Stability Assessment</w:t>
      </w:r>
      <w:bookmarkEnd w:id="183"/>
    </w:p>
    <w:p w14:paraId="540AC5EB" w14:textId="33376D8D" w:rsidR="006508B3" w:rsidRDefault="000A0C53" w:rsidP="006847B5">
      <w:pPr>
        <w:rPr>
          <w:lang w:eastAsia="zh-CN"/>
        </w:rPr>
      </w:pPr>
      <w:r>
        <w:rPr>
          <w:lang w:eastAsia="zh-CN"/>
        </w:rPr>
        <w:t xml:space="preserve">The </w:t>
      </w:r>
      <w:r w:rsidR="006508B3">
        <w:rPr>
          <w:lang w:eastAsia="zh-CN"/>
        </w:rPr>
        <w:t xml:space="preserve">ZIP load model can be </w:t>
      </w:r>
      <w:r w:rsidR="002D3CC2">
        <w:rPr>
          <w:lang w:eastAsia="zh-CN"/>
        </w:rPr>
        <w:t>expressed mathematically</w:t>
      </w:r>
      <w:r w:rsidR="006508B3">
        <w:rPr>
          <w:lang w:eastAsia="zh-CN"/>
        </w:rPr>
        <w:t xml:space="preserve"> as the following:</w:t>
      </w:r>
    </w:p>
    <w:p w14:paraId="3C5799D2" w14:textId="77777777" w:rsidR="006508B3" w:rsidRDefault="002D3CC2" w:rsidP="00D91A1D">
      <w:pPr>
        <w:jc w:val="right"/>
        <w:rPr>
          <w:lang w:eastAsia="zh-CN"/>
        </w:rPr>
      </w:pPr>
      <w:r w:rsidRPr="002D3CC2">
        <w:rPr>
          <w:position w:val="-12"/>
          <w:lang w:eastAsia="zh-CN"/>
        </w:rPr>
        <w:object w:dxaOrig="2260" w:dyaOrig="380" w14:anchorId="737728B0">
          <v:shape id="_x0000_i1044" type="#_x0000_t75" style="width:112.5pt;height:19.5pt" o:ole="">
            <v:imagedata r:id="rId352" o:title=""/>
          </v:shape>
          <o:OLEObject Type="Embed" ProgID="Equation.DSMT4" ShapeID="_x0000_i1044" DrawAspect="Content" ObjectID="_1532825752" r:id="rId353"/>
        </w:object>
      </w:r>
      <w:r w:rsidR="00D91A1D">
        <w:rPr>
          <w:lang w:eastAsia="zh-CN"/>
        </w:rPr>
        <w:tab/>
      </w:r>
      <w:r w:rsidR="00D91A1D">
        <w:rPr>
          <w:lang w:eastAsia="zh-CN"/>
        </w:rPr>
        <w:tab/>
      </w:r>
      <w:r w:rsidR="00D91A1D">
        <w:rPr>
          <w:lang w:eastAsia="zh-CN"/>
        </w:rPr>
        <w:tab/>
      </w:r>
      <w:r w:rsidR="00D91A1D">
        <w:rPr>
          <w:lang w:eastAsia="zh-CN"/>
        </w:rPr>
        <w:tab/>
      </w:r>
      <w:r w:rsidR="00D91A1D">
        <w:rPr>
          <w:lang w:eastAsia="zh-CN"/>
        </w:rPr>
        <w:tab/>
        <w:t>(7-1)</w:t>
      </w:r>
    </w:p>
    <w:p w14:paraId="07B4D1C7" w14:textId="77777777" w:rsidR="00D91A1D" w:rsidRDefault="00D91A1D" w:rsidP="00D91A1D">
      <w:pPr>
        <w:ind w:left="1440"/>
        <w:jc w:val="right"/>
        <w:rPr>
          <w:lang w:eastAsia="zh-CN"/>
        </w:rPr>
      </w:pPr>
      <w:r w:rsidRPr="00D91A1D">
        <w:rPr>
          <w:position w:val="-14"/>
          <w:lang w:eastAsia="zh-CN"/>
        </w:rPr>
        <w:object w:dxaOrig="2340" w:dyaOrig="400" w14:anchorId="3D60D1D0">
          <v:shape id="_x0000_i1045" type="#_x0000_t75" style="width:117pt;height:19.5pt" o:ole="">
            <v:imagedata r:id="rId354" o:title=""/>
          </v:shape>
          <o:OLEObject Type="Embed" ProgID="Equation.DSMT4" ShapeID="_x0000_i1045" DrawAspect="Content" ObjectID="_1532825753" r:id="rId355"/>
        </w:object>
      </w:r>
      <w:r>
        <w:rPr>
          <w:lang w:eastAsia="zh-CN"/>
        </w:rPr>
        <w:tab/>
      </w:r>
      <w:r>
        <w:rPr>
          <w:lang w:eastAsia="zh-CN"/>
        </w:rPr>
        <w:tab/>
      </w:r>
      <w:r>
        <w:rPr>
          <w:lang w:eastAsia="zh-CN"/>
        </w:rPr>
        <w:tab/>
      </w:r>
      <w:r>
        <w:rPr>
          <w:lang w:eastAsia="zh-CN"/>
        </w:rPr>
        <w:tab/>
      </w:r>
      <w:r>
        <w:rPr>
          <w:lang w:eastAsia="zh-CN"/>
        </w:rPr>
        <w:tab/>
        <w:t>(7-2)</w:t>
      </w:r>
    </w:p>
    <w:p w14:paraId="3EE07385" w14:textId="223820DE" w:rsidR="002D3CC2" w:rsidRDefault="002D3CC2" w:rsidP="002D3CC2">
      <w:pPr>
        <w:ind w:firstLine="0"/>
        <w:rPr>
          <w:lang w:eastAsia="zh-CN"/>
        </w:rPr>
      </w:pPr>
      <w:r>
        <w:rPr>
          <w:lang w:eastAsia="zh-CN"/>
        </w:rPr>
        <w:t xml:space="preserve">where </w:t>
      </w:r>
      <w:r w:rsidRPr="002D3CC2">
        <w:rPr>
          <w:i/>
          <w:lang w:eastAsia="zh-CN"/>
        </w:rPr>
        <w:t>P</w:t>
      </w:r>
      <w:r>
        <w:rPr>
          <w:lang w:eastAsia="zh-CN"/>
        </w:rPr>
        <w:t xml:space="preserve"> and </w:t>
      </w:r>
      <w:r w:rsidRPr="002D3CC2">
        <w:rPr>
          <w:i/>
          <w:lang w:eastAsia="zh-CN"/>
        </w:rPr>
        <w:t>Q</w:t>
      </w:r>
      <w:r>
        <w:rPr>
          <w:lang w:eastAsia="zh-CN"/>
        </w:rPr>
        <w:t xml:space="preserve"> are the actual real and reactive power consumption of the load; </w:t>
      </w:r>
      <w:r w:rsidRPr="002D3CC2">
        <w:rPr>
          <w:i/>
          <w:lang w:eastAsia="zh-CN"/>
        </w:rPr>
        <w:t>a</w:t>
      </w:r>
      <w:r>
        <w:rPr>
          <w:lang w:eastAsia="zh-CN"/>
        </w:rPr>
        <w:t xml:space="preserve">, </w:t>
      </w:r>
      <w:r w:rsidRPr="002D3CC2">
        <w:rPr>
          <w:i/>
          <w:lang w:eastAsia="zh-CN"/>
        </w:rPr>
        <w:t>b</w:t>
      </w:r>
      <w:r>
        <w:rPr>
          <w:lang w:eastAsia="zh-CN"/>
        </w:rPr>
        <w:t xml:space="preserve">, and </w:t>
      </w:r>
      <w:r w:rsidRPr="002D3CC2">
        <w:rPr>
          <w:i/>
          <w:lang w:eastAsia="zh-CN"/>
        </w:rPr>
        <w:t>c</w:t>
      </w:r>
      <w:r>
        <w:rPr>
          <w:lang w:eastAsia="zh-CN"/>
        </w:rPr>
        <w:t xml:space="preserve"> are the percentage of Z, I, and P load in real power respectively and should satisfy </w:t>
      </w:r>
      <w:r w:rsidRPr="002D3CC2">
        <w:rPr>
          <w:i/>
          <w:lang w:eastAsia="zh-CN"/>
        </w:rPr>
        <w:t>a + b + c</w:t>
      </w:r>
      <w:r>
        <w:rPr>
          <w:lang w:eastAsia="zh-CN"/>
        </w:rPr>
        <w:t xml:space="preserve"> = 1; </w:t>
      </w:r>
      <w:r>
        <w:rPr>
          <w:i/>
          <w:lang w:eastAsia="zh-CN"/>
        </w:rPr>
        <w:t>d</w:t>
      </w:r>
      <w:r>
        <w:rPr>
          <w:lang w:eastAsia="zh-CN"/>
        </w:rPr>
        <w:t xml:space="preserve">, </w:t>
      </w:r>
      <w:r>
        <w:rPr>
          <w:i/>
          <w:lang w:eastAsia="zh-CN"/>
        </w:rPr>
        <w:t>e</w:t>
      </w:r>
      <w:r>
        <w:rPr>
          <w:lang w:eastAsia="zh-CN"/>
        </w:rPr>
        <w:t xml:space="preserve">, and </w:t>
      </w:r>
      <w:r>
        <w:rPr>
          <w:i/>
          <w:lang w:eastAsia="zh-CN"/>
        </w:rPr>
        <w:t>f</w:t>
      </w:r>
      <w:r>
        <w:rPr>
          <w:lang w:eastAsia="zh-CN"/>
        </w:rPr>
        <w:t xml:space="preserve"> are the percentage of Z, I, and P load in reactive power respectively and should satisfy </w:t>
      </w:r>
      <w:r w:rsidRPr="002D3CC2">
        <w:rPr>
          <w:i/>
          <w:lang w:eastAsia="zh-CN"/>
        </w:rPr>
        <w:t>d + e + f =</w:t>
      </w:r>
      <w:r>
        <w:rPr>
          <w:lang w:eastAsia="zh-CN"/>
        </w:rPr>
        <w:t xml:space="preserve"> 1; </w:t>
      </w:r>
      <w:r w:rsidR="000A0C53">
        <w:rPr>
          <w:lang w:eastAsia="zh-CN"/>
        </w:rPr>
        <w:t xml:space="preserve">and </w:t>
      </w:r>
      <w:r w:rsidRPr="002D3CC2">
        <w:rPr>
          <w:i/>
          <w:lang w:eastAsia="zh-CN"/>
        </w:rPr>
        <w:t>k</w:t>
      </w:r>
      <w:r w:rsidRPr="002D3CC2">
        <w:rPr>
          <w:i/>
          <w:vertAlign w:val="subscript"/>
          <w:lang w:eastAsia="zh-CN"/>
        </w:rPr>
        <w:t>P</w:t>
      </w:r>
      <w:r>
        <w:rPr>
          <w:lang w:eastAsia="zh-CN"/>
        </w:rPr>
        <w:t xml:space="preserve"> and </w:t>
      </w:r>
      <w:r w:rsidRPr="002D3CC2">
        <w:rPr>
          <w:i/>
          <w:lang w:eastAsia="zh-CN"/>
        </w:rPr>
        <w:t>k</w:t>
      </w:r>
      <w:r w:rsidRPr="002D3CC2">
        <w:rPr>
          <w:i/>
          <w:vertAlign w:val="subscript"/>
          <w:lang w:eastAsia="zh-CN"/>
        </w:rPr>
        <w:t>Q</w:t>
      </w:r>
      <w:r>
        <w:rPr>
          <w:lang w:eastAsia="zh-CN"/>
        </w:rPr>
        <w:t xml:space="preserve"> are the loading factor of the load. In the </w:t>
      </w:r>
      <w:r>
        <w:rPr>
          <w:lang w:eastAsia="zh-CN"/>
        </w:rPr>
        <w:lastRenderedPageBreak/>
        <w:t xml:space="preserve">study, loading factor </w:t>
      </w:r>
      <w:r w:rsidRPr="002D3CC2">
        <w:rPr>
          <w:i/>
          <w:lang w:eastAsia="zh-CN"/>
        </w:rPr>
        <w:t>K</w:t>
      </w:r>
      <w:r>
        <w:rPr>
          <w:lang w:eastAsia="zh-CN"/>
        </w:rPr>
        <w:t xml:space="preserve"> (to represent both </w:t>
      </w:r>
      <w:r w:rsidRPr="002D3CC2">
        <w:rPr>
          <w:i/>
          <w:lang w:eastAsia="zh-CN"/>
        </w:rPr>
        <w:t>k</w:t>
      </w:r>
      <w:r w:rsidRPr="002D3CC2">
        <w:rPr>
          <w:i/>
          <w:vertAlign w:val="subscript"/>
          <w:lang w:eastAsia="zh-CN"/>
        </w:rPr>
        <w:t>P</w:t>
      </w:r>
      <w:r>
        <w:rPr>
          <w:lang w:eastAsia="zh-CN"/>
        </w:rPr>
        <w:t xml:space="preserve"> and </w:t>
      </w:r>
      <w:r w:rsidRPr="002D3CC2">
        <w:rPr>
          <w:i/>
          <w:lang w:eastAsia="zh-CN"/>
        </w:rPr>
        <w:t>k</w:t>
      </w:r>
      <w:r w:rsidRPr="002D3CC2">
        <w:rPr>
          <w:i/>
          <w:vertAlign w:val="subscript"/>
          <w:lang w:eastAsia="zh-CN"/>
        </w:rPr>
        <w:t>Q</w:t>
      </w:r>
      <w:r>
        <w:rPr>
          <w:lang w:eastAsia="zh-CN"/>
        </w:rPr>
        <w:t>) is increased to stress the system and thereby to create the voltage collapsing scenario.</w:t>
      </w:r>
    </w:p>
    <w:p w14:paraId="43BC7FF2" w14:textId="4DBE8B3C" w:rsidR="002D3CC2" w:rsidRDefault="002D3CC2" w:rsidP="006847B5">
      <w:pPr>
        <w:rPr>
          <w:lang w:eastAsia="zh-CN"/>
        </w:rPr>
      </w:pPr>
      <w:r>
        <w:rPr>
          <w:lang w:eastAsia="zh-CN"/>
        </w:rPr>
        <w:t xml:space="preserve">In (7-1) and (7-2), if </w:t>
      </w:r>
      <w:r w:rsidRPr="002D3CC2">
        <w:rPr>
          <w:i/>
          <w:lang w:eastAsia="zh-CN"/>
        </w:rPr>
        <w:t>a=d</w:t>
      </w:r>
      <w:r w:rsidR="00110A37">
        <w:rPr>
          <w:lang w:eastAsia="zh-CN"/>
        </w:rPr>
        <w:t>=</w:t>
      </w:r>
      <w:r>
        <w:rPr>
          <w:lang w:eastAsia="zh-CN"/>
        </w:rPr>
        <w:t xml:space="preserve">1, the load is constant impedance load model; if </w:t>
      </w:r>
      <w:r w:rsidRPr="002D3CC2">
        <w:rPr>
          <w:i/>
          <w:lang w:eastAsia="zh-CN"/>
        </w:rPr>
        <w:t>b</w:t>
      </w:r>
      <w:r>
        <w:rPr>
          <w:lang w:eastAsia="zh-CN"/>
        </w:rPr>
        <w:t>=</w:t>
      </w:r>
      <w:r w:rsidRPr="002D3CC2">
        <w:rPr>
          <w:i/>
          <w:lang w:eastAsia="zh-CN"/>
        </w:rPr>
        <w:t>e</w:t>
      </w:r>
      <w:r>
        <w:rPr>
          <w:lang w:eastAsia="zh-CN"/>
        </w:rPr>
        <w:t xml:space="preserve">=1, the load is constant current load model; </w:t>
      </w:r>
      <w:r w:rsidR="000A0C53">
        <w:rPr>
          <w:lang w:eastAsia="zh-CN"/>
        </w:rPr>
        <w:t xml:space="preserve">and </w:t>
      </w:r>
      <w:r>
        <w:rPr>
          <w:lang w:eastAsia="zh-CN"/>
        </w:rPr>
        <w:t xml:space="preserve">if </w:t>
      </w:r>
      <w:r w:rsidRPr="002D3CC2">
        <w:rPr>
          <w:i/>
          <w:lang w:eastAsia="zh-CN"/>
        </w:rPr>
        <w:t>c</w:t>
      </w:r>
      <w:r>
        <w:rPr>
          <w:lang w:eastAsia="zh-CN"/>
        </w:rPr>
        <w:t>=</w:t>
      </w:r>
      <w:r w:rsidRPr="002D3CC2">
        <w:rPr>
          <w:i/>
          <w:lang w:eastAsia="zh-CN"/>
        </w:rPr>
        <w:t>f</w:t>
      </w:r>
      <w:r>
        <w:rPr>
          <w:lang w:eastAsia="zh-CN"/>
        </w:rPr>
        <w:t>=1, the load is constant power load.</w:t>
      </w:r>
    </w:p>
    <w:p w14:paraId="31853D75" w14:textId="4F9745C0" w:rsidR="006847B5" w:rsidRDefault="00A55223" w:rsidP="009D3286">
      <w:pPr>
        <w:spacing w:after="120"/>
        <w:rPr>
          <w:lang w:eastAsia="zh-CN"/>
        </w:rPr>
      </w:pPr>
      <w:r>
        <w:rPr>
          <w:lang w:eastAsia="zh-CN"/>
        </w:rPr>
        <w:t xml:space="preserve">In order to better understand the phenomena of voltage </w:t>
      </w:r>
      <w:r w:rsidR="000A0C53">
        <w:rPr>
          <w:lang w:eastAsia="zh-CN"/>
        </w:rPr>
        <w:t xml:space="preserve">collapse </w:t>
      </w:r>
      <w:r>
        <w:rPr>
          <w:lang w:eastAsia="zh-CN"/>
        </w:rPr>
        <w:t>under different load models</w:t>
      </w:r>
      <w:r w:rsidR="000A0C53">
        <w:rPr>
          <w:lang w:eastAsia="zh-CN"/>
        </w:rPr>
        <w:t xml:space="preserve">, this </w:t>
      </w:r>
      <w:r w:rsidR="006847B5">
        <w:rPr>
          <w:lang w:eastAsia="zh-CN"/>
        </w:rPr>
        <w:t>section studies the impact of ZIP load mode</w:t>
      </w:r>
      <w:r>
        <w:rPr>
          <w:lang w:eastAsia="zh-CN"/>
        </w:rPr>
        <w:t xml:space="preserve">l to voltage stability through both theoretical analysis and simulation </w:t>
      </w:r>
      <w:r w:rsidR="000A0C53">
        <w:rPr>
          <w:lang w:eastAsia="zh-CN"/>
        </w:rPr>
        <w:t xml:space="preserve">study </w:t>
      </w:r>
      <w:r>
        <w:rPr>
          <w:lang w:eastAsia="zh-CN"/>
        </w:rPr>
        <w:t xml:space="preserve">on a sample 2-bus system. Details of the sample 2-bus system can be found in the </w:t>
      </w:r>
      <w:r w:rsidR="00743B08">
        <w:rPr>
          <w:lang w:eastAsia="zh-CN"/>
        </w:rPr>
        <w:t>A</w:t>
      </w:r>
      <w:r>
        <w:rPr>
          <w:lang w:eastAsia="zh-CN"/>
        </w:rPr>
        <w:t>ppendix</w:t>
      </w:r>
      <w:r w:rsidR="00743B08">
        <w:rPr>
          <w:lang w:eastAsia="zh-CN"/>
        </w:rPr>
        <w:t xml:space="preserve"> A.1</w:t>
      </w:r>
      <w:r>
        <w:rPr>
          <w:lang w:eastAsia="zh-CN"/>
        </w:rPr>
        <w:t xml:space="preserve">. In this chapter, all the simulations are conducted using PSAT (Power System Analysis Toolbox) software </w:t>
      </w:r>
      <w:r>
        <w:rPr>
          <w:lang w:eastAsia="zh-CN"/>
        </w:rPr>
        <w:fldChar w:fldCharType="begin" w:fldLock="1"/>
      </w:r>
      <w:r w:rsidR="00726E30">
        <w:rPr>
          <w:lang w:eastAsia="zh-CN"/>
        </w:rPr>
        <w:instrText>ADDIN CSL_CITATION { "citationItems" : [ { "id" : "ITEM-1", "itemData" : { "ISBN" : "00207209", "ISSN" : "0020-7209", "abstract" : "This paper describes the assessment of a free and open-source software tool for power system analysis and modeling, namely Power System Analysis Toolbox (PSAT). PSAT is currently used in several universities for undergraduate and graduate courses and research. Several applications of PSAT as an educational and research tool are discussed here. The paper also describes the PSAT Web forum, which provides support to students and researchers all around the world. Finally, the paper presents and discusses the results of a survey on PSAT filled out by the members of the PSAT forum and PSAT users.", "author" : [ { "dropping-particle" : "", "family" : "Vanfretti", "given" : "L", "non-dropping-particle" : "", "parse-names" : false, "suffix" : "" }, { "dropping-particle" : "", "family" : "Milano", "given" : "F", "non-dropping-particle" : "", "parse-names" : false, "suffix" : "" } ], "container-title" : "International Journal of Electrical Engineering Education", "id" : "ITEM-1", "issue" : "September 2015", "issued" : { "date-parts" : [ [ "2010" ] ] }, "page" : "47-62", "title" : "Experience with PSAT (Power System Analysis Toolbox) as free and open-source software for power system education and research", "type" : "article-journal", "volume" : "47" }, "uris" : [ "http://www.mendeley.com/documents/?uuid=ac28b942-f056-4c52-8713-32518a505172", "http://www.mendeley.com/documents/?uuid=a48094e9-23e0-42c3-b04c-7f5c63685f99" ] }, { "id" : "ITEM-2", "itemData" : { "DOI" : "10.1109/PES.2007.385952", "ISBN" : "1-4244-1296-X", "ISSN" : "1932-5517", "abstract" : "This paper describes the authors\u2019 and users\u2019 experience in the application of a free and open source software for teaching and research in power system analysis and modeling, namely Power System Analysis Toolbox (PSAT). PSAT is currently used in several Universities for undergraduate courses, graduate courses and research. Selected experiences of the application of PSAT for educational and research purposes are discussed in this paper. PSAT has its own web forum, which provides support to students and researchers all around the world. The paper also discusses the contributions of PSAT to power engineering education based on the results of a survey on PSAT \ufb01lled up by the members of the PSAT web forum.", "author" : [ { "dropping-particle" : "", "family" : "Vanfretti", "given" : "L.", "non-dropping-particle" : "", "parse-names" : false, "suffix" : "" }, { "dropping-particle" : "", "family" : "Milano", "given" : "F.", "non-dropping-particle" : "", "parse-names" : false, "suffix" : "" } ], "container-title" : "2007 IEEE Power Engineering Society General Meeting", "id" : "ITEM-2", "issued" : { "date-parts" : [ [ "2007" ] ] }, "page" : "1-7", "title" : "Application of the PSAT, an Open Source Software, for Educational and Research Purposes", "type" : "paper-conference" }, "uris" : [ "http://www.mendeley.com/documents/?uuid=e41fee95-058d-4af5-ad15-36902af56334", "http://www.mendeley.com/documents/?uuid=0223f594-3c54-4c1f-b22b-7c2703078872" ] } ], "mendeley" : { "formattedCitation" : "[74], [75]", "plainTextFormattedCitation" : "[74], [75]", "previouslyFormattedCitation" : "[74], [75]" }, "properties" : { "noteIndex" : 0 }, "schema" : "https://github.com/citation-style-language/schema/raw/master/csl-citation.json" }</w:instrText>
      </w:r>
      <w:r>
        <w:rPr>
          <w:lang w:eastAsia="zh-CN"/>
        </w:rPr>
        <w:fldChar w:fldCharType="separate"/>
      </w:r>
      <w:r w:rsidR="000E27CD" w:rsidRPr="000E27CD">
        <w:rPr>
          <w:noProof/>
          <w:lang w:eastAsia="zh-CN"/>
        </w:rPr>
        <w:t>[74], [75]</w:t>
      </w:r>
      <w:r>
        <w:rPr>
          <w:lang w:eastAsia="zh-CN"/>
        </w:rPr>
        <w:fldChar w:fldCharType="end"/>
      </w:r>
      <w:r>
        <w:rPr>
          <w:lang w:eastAsia="zh-CN"/>
        </w:rPr>
        <w:t xml:space="preserve"> in Matlab 2013b environment.</w:t>
      </w:r>
      <w:r w:rsidR="00DC7776">
        <w:rPr>
          <w:lang w:eastAsia="zh-CN"/>
        </w:rPr>
        <w:t xml:space="preserve"> Time domain simulation is used instead of traditional power flow based simulation in order to create the PMU data which is the input of the proposed algorithms.</w:t>
      </w:r>
    </w:p>
    <w:p w14:paraId="37D64323" w14:textId="633642B1" w:rsidR="009D3286" w:rsidRDefault="009D3286" w:rsidP="009D3286">
      <w:pPr>
        <w:spacing w:line="240" w:lineRule="auto"/>
        <w:ind w:firstLine="0"/>
        <w:jc w:val="center"/>
      </w:pPr>
      <w:r>
        <w:object w:dxaOrig="6601" w:dyaOrig="4216" w14:anchorId="6155E8F1">
          <v:shape id="_x0000_i1046" type="#_x0000_t75" style="width:168pt;height:106.5pt" o:ole="">
            <v:imagedata r:id="rId356" o:title=""/>
          </v:shape>
          <o:OLEObject Type="Embed" ProgID="Visio.Drawing.15" ShapeID="_x0000_i1046" DrawAspect="Content" ObjectID="_1532825754" r:id="rId357"/>
        </w:object>
      </w:r>
      <w:bookmarkStart w:id="184" w:name="_Ref456958811"/>
    </w:p>
    <w:p w14:paraId="31DA6A89" w14:textId="77777777" w:rsidR="009D3286" w:rsidRDefault="009D3286" w:rsidP="009D3286">
      <w:pPr>
        <w:pStyle w:val="Caption"/>
      </w:pPr>
      <w:bookmarkStart w:id="185" w:name="_Toc459076495"/>
      <w:r>
        <w:t xml:space="preserve">Figure </w:t>
      </w:r>
      <w:fldSimple w:instr=" SEQ Figure \* ARABIC ">
        <w:r>
          <w:rPr>
            <w:noProof/>
          </w:rPr>
          <w:t>44</w:t>
        </w:r>
      </w:fldSimple>
      <w:bookmarkEnd w:id="184"/>
      <w:r>
        <w:t>. Constant power load and PV curve.</w:t>
      </w:r>
      <w:bookmarkEnd w:id="185"/>
    </w:p>
    <w:p w14:paraId="60DB8A4F" w14:textId="77777777" w:rsidR="009D3286" w:rsidRPr="009D3286" w:rsidRDefault="009D3286" w:rsidP="006847B5">
      <w:pPr>
        <w:rPr>
          <w:sz w:val="10"/>
          <w:lang w:eastAsia="zh-CN"/>
        </w:rPr>
      </w:pPr>
    </w:p>
    <w:p w14:paraId="5F938379" w14:textId="77777777" w:rsidR="001D1391" w:rsidRDefault="001D1391" w:rsidP="00B2176D">
      <w:pPr>
        <w:pStyle w:val="Heading3"/>
        <w:rPr>
          <w:lang w:eastAsia="zh-CN"/>
        </w:rPr>
      </w:pPr>
      <w:bookmarkStart w:id="186" w:name="_Toc459076594"/>
      <w:r>
        <w:rPr>
          <w:lang w:eastAsia="zh-CN"/>
        </w:rPr>
        <w:t>7.1.1 Constant P Load Model</w:t>
      </w:r>
      <w:bookmarkEnd w:id="186"/>
    </w:p>
    <w:p w14:paraId="3927AE38" w14:textId="795BAEF0" w:rsidR="006847B5" w:rsidRDefault="006847B5" w:rsidP="006847B5">
      <w:pPr>
        <w:rPr>
          <w:lang w:eastAsia="zh-CN"/>
        </w:rPr>
      </w:pPr>
      <w:r>
        <w:rPr>
          <w:lang w:eastAsia="zh-CN"/>
        </w:rPr>
        <w:t xml:space="preserve">When the load is modeled as constant power, the voltage </w:t>
      </w:r>
      <w:r w:rsidR="000A0C53">
        <w:rPr>
          <w:lang w:eastAsia="zh-CN"/>
        </w:rPr>
        <w:t xml:space="preserve">collapse </w:t>
      </w:r>
      <w:r>
        <w:rPr>
          <w:lang w:eastAsia="zh-CN"/>
        </w:rPr>
        <w:t xml:space="preserve">point will coincide with the maximum power point (nose point of the PV curve). </w:t>
      </w:r>
      <w:r w:rsidR="00553D4F">
        <w:rPr>
          <w:lang w:eastAsia="zh-CN"/>
        </w:rPr>
        <w:t xml:space="preserve">The load model is voltage independent and the load characteristics can be described in the PV curve as a </w:t>
      </w:r>
      <w:r w:rsidR="00A55223">
        <w:rPr>
          <w:lang w:eastAsia="zh-CN"/>
        </w:rPr>
        <w:t xml:space="preserve">straight </w:t>
      </w:r>
      <w:r w:rsidR="00553D4F">
        <w:rPr>
          <w:lang w:eastAsia="zh-CN"/>
        </w:rPr>
        <w:t>line perpendicular to the P axis</w:t>
      </w:r>
      <w:r w:rsidR="00B5157A">
        <w:rPr>
          <w:lang w:eastAsia="zh-CN"/>
        </w:rPr>
        <w:t xml:space="preserve"> as shown in </w:t>
      </w:r>
      <w:r w:rsidR="00B5157A">
        <w:rPr>
          <w:lang w:eastAsia="zh-CN"/>
        </w:rPr>
        <w:fldChar w:fldCharType="begin"/>
      </w:r>
      <w:r w:rsidR="00B5157A">
        <w:rPr>
          <w:lang w:eastAsia="zh-CN"/>
        </w:rPr>
        <w:instrText xml:space="preserve"> REF _Ref456958811 \h </w:instrText>
      </w:r>
      <w:r w:rsidR="00B5157A">
        <w:rPr>
          <w:lang w:eastAsia="zh-CN"/>
        </w:rPr>
      </w:r>
      <w:r w:rsidR="00B5157A">
        <w:rPr>
          <w:lang w:eastAsia="zh-CN"/>
        </w:rPr>
        <w:fldChar w:fldCharType="separate"/>
      </w:r>
      <w:r w:rsidR="00B5157A">
        <w:t xml:space="preserve">Figure </w:t>
      </w:r>
      <w:r w:rsidR="00B5157A">
        <w:rPr>
          <w:noProof/>
        </w:rPr>
        <w:t>44</w:t>
      </w:r>
      <w:r w:rsidR="00B5157A">
        <w:rPr>
          <w:lang w:eastAsia="zh-CN"/>
        </w:rPr>
        <w:fldChar w:fldCharType="end"/>
      </w:r>
      <w:r w:rsidR="00553D4F">
        <w:rPr>
          <w:lang w:eastAsia="zh-CN"/>
        </w:rPr>
        <w:t xml:space="preserve">. By increasing the loading </w:t>
      </w:r>
      <w:r w:rsidR="00553D4F">
        <w:rPr>
          <w:lang w:eastAsia="zh-CN"/>
        </w:rPr>
        <w:lastRenderedPageBreak/>
        <w:t>factor, the load characteristics curve will move to the right of the figure.</w:t>
      </w:r>
      <w:r w:rsidR="00B5157A">
        <w:rPr>
          <w:lang w:eastAsia="zh-CN"/>
        </w:rPr>
        <w:t xml:space="preserve"> The collapsing point will be point A in </w:t>
      </w:r>
      <w:r w:rsidR="00B5157A">
        <w:rPr>
          <w:lang w:eastAsia="zh-CN"/>
        </w:rPr>
        <w:fldChar w:fldCharType="begin"/>
      </w:r>
      <w:r w:rsidR="00B5157A">
        <w:rPr>
          <w:lang w:eastAsia="zh-CN"/>
        </w:rPr>
        <w:instrText xml:space="preserve"> REF _Ref456958811 \h </w:instrText>
      </w:r>
      <w:r w:rsidR="00B5157A">
        <w:rPr>
          <w:lang w:eastAsia="zh-CN"/>
        </w:rPr>
      </w:r>
      <w:r w:rsidR="00B5157A">
        <w:rPr>
          <w:lang w:eastAsia="zh-CN"/>
        </w:rPr>
        <w:fldChar w:fldCharType="separate"/>
      </w:r>
      <w:r w:rsidR="00B5157A">
        <w:t xml:space="preserve">Figure </w:t>
      </w:r>
      <w:r w:rsidR="00B5157A">
        <w:rPr>
          <w:noProof/>
        </w:rPr>
        <w:t>44</w:t>
      </w:r>
      <w:r w:rsidR="00B5157A">
        <w:rPr>
          <w:lang w:eastAsia="zh-CN"/>
        </w:rPr>
        <w:fldChar w:fldCharType="end"/>
      </w:r>
      <w:r w:rsidR="00B5157A">
        <w:rPr>
          <w:lang w:eastAsia="zh-CN"/>
        </w:rPr>
        <w:t>.</w:t>
      </w:r>
    </w:p>
    <w:p w14:paraId="42537E73" w14:textId="211B667D" w:rsidR="00A463B6" w:rsidRDefault="00A72F01" w:rsidP="006847B5">
      <w:pPr>
        <w:rPr>
          <w:lang w:eastAsia="zh-CN"/>
        </w:rPr>
      </w:pPr>
      <w:r>
        <w:rPr>
          <w:lang w:eastAsia="zh-CN"/>
        </w:rPr>
        <w:t xml:space="preserve">Among Z, I, and P load models, constant power load model is the most conservative model. If there are Z or I component load, the </w:t>
      </w:r>
      <w:r w:rsidR="00A463B6">
        <w:rPr>
          <w:lang w:eastAsia="zh-CN"/>
        </w:rPr>
        <w:t>system may</w:t>
      </w:r>
      <w:r>
        <w:rPr>
          <w:lang w:eastAsia="zh-CN"/>
        </w:rPr>
        <w:t xml:space="preserve"> survive the nose</w:t>
      </w:r>
      <w:r w:rsidR="00A463B6">
        <w:rPr>
          <w:lang w:eastAsia="zh-CN"/>
        </w:rPr>
        <w:t xml:space="preserve"> </w:t>
      </w:r>
      <w:r w:rsidR="000A0C53">
        <w:rPr>
          <w:lang w:eastAsia="zh-CN"/>
        </w:rPr>
        <w:t xml:space="preserve">point </w:t>
      </w:r>
      <w:r w:rsidR="00A463B6">
        <w:rPr>
          <w:lang w:eastAsia="zh-CN"/>
        </w:rPr>
        <w:t>when the load</w:t>
      </w:r>
      <w:r w:rsidR="000A0C53">
        <w:rPr>
          <w:lang w:eastAsia="zh-CN"/>
        </w:rPr>
        <w:t>ing</w:t>
      </w:r>
      <w:r w:rsidR="00A463B6">
        <w:rPr>
          <w:lang w:eastAsia="zh-CN"/>
        </w:rPr>
        <w:t xml:space="preserve"> factor</w:t>
      </w:r>
      <w:r w:rsidR="000A0C53">
        <w:rPr>
          <w:lang w:eastAsia="zh-CN"/>
        </w:rPr>
        <w:t xml:space="preserve"> is increased</w:t>
      </w:r>
      <w:r w:rsidR="00A463B6">
        <w:rPr>
          <w:lang w:eastAsia="zh-CN"/>
        </w:rPr>
        <w:t xml:space="preserve">. This will happen </w:t>
      </w:r>
      <w:r w:rsidR="000A0C53">
        <w:rPr>
          <w:lang w:eastAsia="zh-CN"/>
        </w:rPr>
        <w:t xml:space="preserve">because </w:t>
      </w:r>
      <w:r w:rsidR="00A463B6">
        <w:rPr>
          <w:lang w:eastAsia="zh-CN"/>
        </w:rPr>
        <w:t>at the nose curve the load consumption can be reduced due to the voltage dependent portion of the load</w:t>
      </w:r>
      <w:r w:rsidR="000A0C53">
        <w:rPr>
          <w:lang w:eastAsia="zh-CN"/>
        </w:rPr>
        <w:t xml:space="preserve"> when the load is increased</w:t>
      </w:r>
      <w:r w:rsidR="00A463B6">
        <w:rPr>
          <w:lang w:eastAsia="zh-CN"/>
        </w:rPr>
        <w:t>.</w:t>
      </w:r>
    </w:p>
    <w:p w14:paraId="1826CF08" w14:textId="056A085D" w:rsidR="00743B08" w:rsidRDefault="00DC7776" w:rsidP="00971E75">
      <w:r>
        <w:t>To better illustrate the voltage collap</w:t>
      </w:r>
      <w:r w:rsidR="000A0C53">
        <w:t>se</w:t>
      </w:r>
      <w:r>
        <w:t>, time domain simulation is performed on a sample 2-Bus system. The 2-bus system consist</w:t>
      </w:r>
      <w:r w:rsidR="000A0C53">
        <w:t>s</w:t>
      </w:r>
      <w:r>
        <w:t xml:space="preserve"> of Bus 1, the generator bus, and Bus 2, the load bus. Bus 1 </w:t>
      </w:r>
      <w:r w:rsidR="000A0C53">
        <w:t>supports</w:t>
      </w:r>
      <w:r>
        <w:t xml:space="preserve"> the load at Bus 2 through a single transmission line, Line 1-2. </w:t>
      </w:r>
      <w:r w:rsidR="00110A37">
        <w:t xml:space="preserve">A synchronous </w:t>
      </w:r>
      <w:r>
        <w:t xml:space="preserve">generator with governor, exciter, and power system stabilizer </w:t>
      </w:r>
      <w:r w:rsidR="00110A37">
        <w:t xml:space="preserve">is </w:t>
      </w:r>
      <w:r>
        <w:t>included in Bus 1.</w:t>
      </w:r>
    </w:p>
    <w:p w14:paraId="23E123CD" w14:textId="654CDB78" w:rsidR="00D41B71" w:rsidRDefault="00110A37" w:rsidP="00451F06">
      <w:pPr>
        <w:spacing w:after="120"/>
      </w:pPr>
      <w:r>
        <w:t xml:space="preserve">The load at </w:t>
      </w:r>
      <w:r w:rsidR="00743B08">
        <w:t xml:space="preserve">Bus 1 is increased 0.1% every 2 seconds. The PV curve of Bus 2 from the simulation is depicted in </w:t>
      </w:r>
      <w:r w:rsidR="00743B08">
        <w:fldChar w:fldCharType="begin"/>
      </w:r>
      <w:r w:rsidR="00743B08">
        <w:instrText xml:space="preserve"> REF _Ref457055658 \h </w:instrText>
      </w:r>
      <w:r w:rsidR="00743B08">
        <w:fldChar w:fldCharType="separate"/>
      </w:r>
      <w:r w:rsidR="00743B08">
        <w:t xml:space="preserve">Figure </w:t>
      </w:r>
      <w:r w:rsidR="00743B08">
        <w:rPr>
          <w:noProof/>
        </w:rPr>
        <w:t>45</w:t>
      </w:r>
      <w:r w:rsidR="00743B08">
        <w:fldChar w:fldCharType="end"/>
      </w:r>
      <w:r w:rsidR="00743B08">
        <w:t>. The system collapsed before going to the lower half of the PV curve. The largest power it c</w:t>
      </w:r>
      <w:r w:rsidR="00D41B71">
        <w:t>an transfer is around 3.46 p.u.</w:t>
      </w:r>
      <w:r w:rsidR="00743B08">
        <w:t xml:space="preserve"> </w:t>
      </w:r>
    </w:p>
    <w:p w14:paraId="339CD6B3" w14:textId="77777777" w:rsidR="00D41B71" w:rsidRDefault="00743B08" w:rsidP="000E27CD">
      <w:pPr>
        <w:spacing w:line="240" w:lineRule="auto"/>
        <w:ind w:firstLine="0"/>
        <w:jc w:val="center"/>
      </w:pPr>
      <w:r>
        <w:rPr>
          <w:noProof/>
          <w:lang w:eastAsia="zh-CN"/>
        </w:rPr>
        <w:drawing>
          <wp:inline distT="0" distB="0" distL="0" distR="0" wp14:anchorId="1B350198" wp14:editId="7D804532">
            <wp:extent cx="3403365" cy="19240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3459122" cy="1955571"/>
                    </a:xfrm>
                    <a:prstGeom prst="rect">
                      <a:avLst/>
                    </a:prstGeom>
                    <a:noFill/>
                    <a:ln>
                      <a:noFill/>
                    </a:ln>
                  </pic:spPr>
                </pic:pic>
              </a:graphicData>
            </a:graphic>
          </wp:inline>
        </w:drawing>
      </w:r>
      <w:bookmarkStart w:id="187" w:name="_Ref457055658"/>
    </w:p>
    <w:p w14:paraId="22E56613" w14:textId="77777777" w:rsidR="00971E75" w:rsidRDefault="00743B08" w:rsidP="009D0201">
      <w:pPr>
        <w:pStyle w:val="Caption"/>
      </w:pPr>
      <w:bookmarkStart w:id="188" w:name="_Toc459076496"/>
      <w:r>
        <w:t xml:space="preserve">Figure </w:t>
      </w:r>
      <w:fldSimple w:instr=" SEQ Figure \* ARABIC ">
        <w:r w:rsidR="00B0208A">
          <w:rPr>
            <w:noProof/>
          </w:rPr>
          <w:t>45</w:t>
        </w:r>
      </w:fldSimple>
      <w:bookmarkEnd w:id="187"/>
      <w:r>
        <w:t>. PV curve of Bus 2 in sample 2-bus system under P load.</w:t>
      </w:r>
      <w:bookmarkEnd w:id="188"/>
    </w:p>
    <w:p w14:paraId="4A945104" w14:textId="77777777" w:rsidR="009D3286" w:rsidRPr="009D3286" w:rsidRDefault="009D3286" w:rsidP="009D3286">
      <w:pPr>
        <w:rPr>
          <w:sz w:val="8"/>
        </w:rPr>
      </w:pPr>
    </w:p>
    <w:p w14:paraId="1BE2E22E" w14:textId="77777777" w:rsidR="00B2176D" w:rsidRDefault="00B2176D" w:rsidP="00B2176D">
      <w:pPr>
        <w:pStyle w:val="Heading3"/>
        <w:rPr>
          <w:lang w:eastAsia="zh-CN"/>
        </w:rPr>
      </w:pPr>
      <w:bookmarkStart w:id="189" w:name="_Toc459076595"/>
      <w:r>
        <w:rPr>
          <w:lang w:eastAsia="zh-CN"/>
        </w:rPr>
        <w:lastRenderedPageBreak/>
        <w:t>7.1.2 Constant I Load Model</w:t>
      </w:r>
      <w:bookmarkEnd w:id="189"/>
    </w:p>
    <w:p w14:paraId="5B6686FD" w14:textId="77777777" w:rsidR="009D3286" w:rsidRDefault="00A463B6" w:rsidP="0037629E">
      <w:pPr>
        <w:rPr>
          <w:lang w:eastAsia="zh-CN"/>
        </w:rPr>
      </w:pPr>
      <w:r>
        <w:rPr>
          <w:lang w:eastAsia="zh-CN"/>
        </w:rPr>
        <w:t>Constant current load is linear</w:t>
      </w:r>
      <w:r w:rsidR="00110A37">
        <w:rPr>
          <w:lang w:eastAsia="zh-CN"/>
        </w:rPr>
        <w:t>ly</w:t>
      </w:r>
      <w:r>
        <w:rPr>
          <w:lang w:eastAsia="zh-CN"/>
        </w:rPr>
        <w:t xml:space="preserve"> dependent </w:t>
      </w:r>
      <w:r w:rsidR="00110A37">
        <w:rPr>
          <w:lang w:eastAsia="zh-CN"/>
        </w:rPr>
        <w:t xml:space="preserve">on the </w:t>
      </w:r>
      <w:r>
        <w:rPr>
          <w:lang w:eastAsia="zh-CN"/>
        </w:rPr>
        <w:t>voltage magnitude</w:t>
      </w:r>
      <w:r w:rsidR="00110A37">
        <w:rPr>
          <w:lang w:eastAsia="zh-CN"/>
        </w:rPr>
        <w:t>s</w:t>
      </w:r>
      <w:r>
        <w:rPr>
          <w:lang w:eastAsia="zh-CN"/>
        </w:rPr>
        <w:t xml:space="preserve">. The load </w:t>
      </w:r>
    </w:p>
    <w:p w14:paraId="6A0BB4F5" w14:textId="07558529" w:rsidR="0037629E" w:rsidRDefault="00A463B6" w:rsidP="00451F06">
      <w:pPr>
        <w:spacing w:after="120"/>
        <w:rPr>
          <w:lang w:eastAsia="zh-CN"/>
        </w:rPr>
      </w:pPr>
      <w:r>
        <w:rPr>
          <w:lang w:eastAsia="zh-CN"/>
        </w:rPr>
        <w:t xml:space="preserve">characteristics of the constant current load can be described as a </w:t>
      </w:r>
      <w:r w:rsidR="00110A37">
        <w:rPr>
          <w:lang w:eastAsia="zh-CN"/>
        </w:rPr>
        <w:t xml:space="preserve">straight </w:t>
      </w:r>
      <w:r>
        <w:rPr>
          <w:lang w:eastAsia="zh-CN"/>
        </w:rPr>
        <w:t>line crossing the origin on the PV curve</w:t>
      </w:r>
      <w:r w:rsidR="0037629E">
        <w:rPr>
          <w:lang w:eastAsia="zh-CN"/>
        </w:rPr>
        <w:t xml:space="preserve"> as shown in </w:t>
      </w:r>
      <w:r w:rsidR="0037629E">
        <w:rPr>
          <w:lang w:eastAsia="zh-CN"/>
        </w:rPr>
        <w:fldChar w:fldCharType="begin"/>
      </w:r>
      <w:r w:rsidR="0037629E">
        <w:rPr>
          <w:lang w:eastAsia="zh-CN"/>
        </w:rPr>
        <w:instrText xml:space="preserve"> REF _Ref456961066 \h </w:instrText>
      </w:r>
      <w:r w:rsidR="0037629E">
        <w:rPr>
          <w:lang w:eastAsia="zh-CN"/>
        </w:rPr>
      </w:r>
      <w:r w:rsidR="0037629E">
        <w:rPr>
          <w:lang w:eastAsia="zh-CN"/>
        </w:rPr>
        <w:fldChar w:fldCharType="separate"/>
      </w:r>
      <w:r w:rsidR="006508B3">
        <w:t xml:space="preserve">Figure </w:t>
      </w:r>
      <w:r w:rsidR="006508B3">
        <w:rPr>
          <w:noProof/>
        </w:rPr>
        <w:t>46</w:t>
      </w:r>
      <w:r w:rsidR="0037629E">
        <w:rPr>
          <w:lang w:eastAsia="zh-CN"/>
        </w:rPr>
        <w:fldChar w:fldCharType="end"/>
      </w:r>
      <w:r>
        <w:rPr>
          <w:lang w:eastAsia="zh-CN"/>
        </w:rPr>
        <w:t>. By increasing the load current, the load characteristic line will lean towards the P axis more.</w:t>
      </w:r>
      <w:r w:rsidR="00743B08">
        <w:rPr>
          <w:lang w:eastAsia="zh-CN"/>
        </w:rPr>
        <w:t xml:space="preserve"> Because the PV curve should also pass the origin, the load characteristics curve will always have an intersection point with the PV curve at the origin. This means, if 100% of constant current load is used, the system will not collapse due to voltage instability.</w:t>
      </w:r>
    </w:p>
    <w:p w14:paraId="5CBED635" w14:textId="77777777" w:rsidR="00451F06" w:rsidRDefault="00451F06" w:rsidP="00451F06">
      <w:pPr>
        <w:rPr>
          <w:lang w:eastAsia="zh-CN"/>
        </w:rPr>
      </w:pPr>
      <w:r>
        <w:rPr>
          <w:lang w:eastAsia="zh-CN"/>
        </w:rPr>
        <w:t xml:space="preserve">In order to demonstrate this finding, the load at Bus 2 is modeled as 100% constant I load and the loading factor is increased 0.4% per 1 second. The PV curve is depicted in </w:t>
      </w:r>
      <w:r>
        <w:rPr>
          <w:lang w:eastAsia="zh-CN"/>
        </w:rPr>
        <w:fldChar w:fldCharType="begin"/>
      </w:r>
      <w:r>
        <w:rPr>
          <w:lang w:eastAsia="zh-CN"/>
        </w:rPr>
        <w:instrText xml:space="preserve"> REF _Ref457056207 \h </w:instrText>
      </w:r>
      <w:r>
        <w:rPr>
          <w:lang w:eastAsia="zh-CN"/>
        </w:rPr>
      </w:r>
      <w:r>
        <w:rPr>
          <w:lang w:eastAsia="zh-CN"/>
        </w:rPr>
        <w:fldChar w:fldCharType="separate"/>
      </w:r>
      <w:r>
        <w:t xml:space="preserve">Figure </w:t>
      </w:r>
      <w:r>
        <w:rPr>
          <w:noProof/>
        </w:rPr>
        <w:t>47</w:t>
      </w:r>
      <w:r>
        <w:rPr>
          <w:lang w:eastAsia="zh-CN"/>
        </w:rPr>
        <w:fldChar w:fldCharType="end"/>
      </w:r>
      <w:r>
        <w:rPr>
          <w:lang w:eastAsia="zh-CN"/>
        </w:rPr>
        <w:t xml:space="preserve"> and the lower part of PV curve is drawn in the simulation.</w:t>
      </w:r>
    </w:p>
    <w:p w14:paraId="202C893F" w14:textId="77777777" w:rsidR="00451F06" w:rsidRDefault="00451F06" w:rsidP="00451F06">
      <w:pPr>
        <w:rPr>
          <w:lang w:eastAsia="zh-CN"/>
        </w:rPr>
      </w:pPr>
      <w:r>
        <w:rPr>
          <w:lang w:eastAsia="zh-CN"/>
        </w:rPr>
        <w:t>The reason that the system can operate through the nose curve towards the lower part of the PV curve is straightforward. After the nose curve, when loading factor is increasing, the real power consumption of the constant current load is also reducing due to its voltage dependent characteristics. In this simulation, it is demonstrated that constant current load will not contribute to voltage instability.</w:t>
      </w:r>
    </w:p>
    <w:p w14:paraId="36052E39" w14:textId="77777777" w:rsidR="00451F06" w:rsidRDefault="00451F06" w:rsidP="00451F06">
      <w:pPr>
        <w:pStyle w:val="Heading3"/>
        <w:rPr>
          <w:lang w:eastAsia="zh-CN"/>
        </w:rPr>
      </w:pPr>
      <w:bookmarkStart w:id="190" w:name="_Toc459076596"/>
      <w:r>
        <w:rPr>
          <w:lang w:eastAsia="zh-CN"/>
        </w:rPr>
        <w:t>7.1.3 Constant Z Load Model</w:t>
      </w:r>
      <w:bookmarkEnd w:id="190"/>
    </w:p>
    <w:p w14:paraId="7FCB081C" w14:textId="31AFFFB2" w:rsidR="00451F06" w:rsidRDefault="00451F06" w:rsidP="00451F06">
      <w:pPr>
        <w:jc w:val="distribute"/>
        <w:rPr>
          <w:lang w:eastAsia="zh-CN"/>
        </w:rPr>
      </w:pPr>
      <w:r>
        <w:rPr>
          <w:lang w:eastAsia="zh-CN"/>
        </w:rPr>
        <w:t xml:space="preserve">If the load is modeled as constant impedance, the voltage dependence is quadratic.  Similarly, the load characteristics curve will cross the origin in the PV plane and therefore will always has an intersection point with the PV curve as shown in </w:t>
      </w:r>
      <w:r>
        <w:rPr>
          <w:lang w:eastAsia="zh-CN"/>
        </w:rPr>
        <w:fldChar w:fldCharType="begin"/>
      </w:r>
      <w:r>
        <w:rPr>
          <w:lang w:eastAsia="zh-CN"/>
        </w:rPr>
        <w:instrText xml:space="preserve"> REF _Ref456962988 \h </w:instrText>
      </w:r>
      <w:r>
        <w:rPr>
          <w:lang w:eastAsia="zh-CN"/>
        </w:rPr>
      </w:r>
      <w:r>
        <w:rPr>
          <w:lang w:eastAsia="zh-CN"/>
        </w:rPr>
        <w:fldChar w:fldCharType="separate"/>
      </w:r>
      <w:r>
        <w:t xml:space="preserve">Figure </w:t>
      </w:r>
      <w:r>
        <w:rPr>
          <w:noProof/>
        </w:rPr>
        <w:t>48</w:t>
      </w:r>
      <w:r>
        <w:rPr>
          <w:lang w:eastAsia="zh-CN"/>
        </w:rPr>
        <w:fldChar w:fldCharType="end"/>
      </w:r>
      <w:r>
        <w:rPr>
          <w:lang w:eastAsia="zh-CN"/>
        </w:rPr>
        <w:t xml:space="preserve">. From this point of view, there will always be a solution when the Z load model is considered. From the view point of circuit theory, an increase of the loading factor is </w:t>
      </w:r>
    </w:p>
    <w:p w14:paraId="5E2A0853" w14:textId="77777777" w:rsidR="00517834" w:rsidRDefault="00517834" w:rsidP="00517834">
      <w:pPr>
        <w:spacing w:line="240" w:lineRule="auto"/>
        <w:ind w:firstLine="0"/>
        <w:jc w:val="center"/>
      </w:pPr>
      <w:r>
        <w:object w:dxaOrig="6690" w:dyaOrig="4257" w14:anchorId="7C69EC54">
          <v:shape id="_x0000_i1206" type="#_x0000_t75" style="width:207pt;height:133.5pt" o:ole="">
            <v:imagedata r:id="rId359" o:title=""/>
          </v:shape>
          <o:OLEObject Type="Embed" ProgID="Visio.Drawing.15" ShapeID="_x0000_i1206" DrawAspect="Content" ObjectID="_1532825755" r:id="rId360"/>
        </w:object>
      </w:r>
      <w:bookmarkStart w:id="191" w:name="_Ref456961066"/>
    </w:p>
    <w:p w14:paraId="0D8E3285" w14:textId="77777777" w:rsidR="00517834" w:rsidRDefault="00517834" w:rsidP="009D0201">
      <w:pPr>
        <w:pStyle w:val="Caption"/>
      </w:pPr>
      <w:bookmarkStart w:id="192" w:name="_Toc459076497"/>
      <w:r>
        <w:t xml:space="preserve">Figure </w:t>
      </w:r>
      <w:fldSimple w:instr=" SEQ Figure \* ARABIC ">
        <w:r w:rsidR="00B0208A">
          <w:rPr>
            <w:noProof/>
          </w:rPr>
          <w:t>46</w:t>
        </w:r>
      </w:fldSimple>
      <w:bookmarkEnd w:id="191"/>
      <w:r>
        <w:t>. Constant current load and PV curve.</w:t>
      </w:r>
      <w:bookmarkEnd w:id="192"/>
    </w:p>
    <w:p w14:paraId="2334CE0B" w14:textId="77777777" w:rsidR="00D41B71" w:rsidRDefault="00517834" w:rsidP="00D41B71">
      <w:pPr>
        <w:spacing w:line="240" w:lineRule="auto"/>
        <w:jc w:val="center"/>
      </w:pPr>
      <w:r>
        <w:rPr>
          <w:noProof/>
          <w:lang w:eastAsia="zh-CN"/>
        </w:rPr>
        <w:drawing>
          <wp:inline distT="0" distB="0" distL="0" distR="0" wp14:anchorId="069C4396" wp14:editId="33D988B7">
            <wp:extent cx="2976090" cy="168249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3002838" cy="1697618"/>
                    </a:xfrm>
                    <a:prstGeom prst="rect">
                      <a:avLst/>
                    </a:prstGeom>
                    <a:noFill/>
                    <a:ln>
                      <a:noFill/>
                    </a:ln>
                  </pic:spPr>
                </pic:pic>
              </a:graphicData>
            </a:graphic>
          </wp:inline>
        </w:drawing>
      </w:r>
      <w:bookmarkStart w:id="193" w:name="_Ref457056207"/>
    </w:p>
    <w:p w14:paraId="3BD1388A" w14:textId="6F3C12F7" w:rsidR="00517834" w:rsidRDefault="00517834" w:rsidP="009D0201">
      <w:pPr>
        <w:pStyle w:val="Caption"/>
      </w:pPr>
      <w:bookmarkStart w:id="194" w:name="_Toc459076498"/>
      <w:r>
        <w:t xml:space="preserve">Figure </w:t>
      </w:r>
      <w:fldSimple w:instr=" SEQ Figure \* ARABIC ">
        <w:r w:rsidR="00B0208A">
          <w:rPr>
            <w:noProof/>
          </w:rPr>
          <w:t>47</w:t>
        </w:r>
      </w:fldSimple>
      <w:bookmarkEnd w:id="193"/>
      <w:r w:rsidR="00161494">
        <w:t>. PV curve of Bus 2 in the s</w:t>
      </w:r>
      <w:r>
        <w:t>ample 2-bus system under I load.</w:t>
      </w:r>
      <w:bookmarkEnd w:id="194"/>
    </w:p>
    <w:p w14:paraId="127563B5" w14:textId="77777777" w:rsidR="005D68CB" w:rsidRDefault="000E27CD" w:rsidP="000E27CD">
      <w:pPr>
        <w:spacing w:line="240" w:lineRule="auto"/>
        <w:ind w:firstLine="0"/>
        <w:jc w:val="center"/>
      </w:pPr>
      <w:r>
        <w:object w:dxaOrig="6601" w:dyaOrig="4665" w14:anchorId="3B5EA94D">
          <v:shape id="_x0000_i1043" type="#_x0000_t75" style="width:207pt;height:142.5pt" o:ole="">
            <v:imagedata r:id="rId362" o:title=""/>
          </v:shape>
          <o:OLEObject Type="Embed" ProgID="Visio.Drawing.15" ShapeID="_x0000_i1043" DrawAspect="Content" ObjectID="_1532825756" r:id="rId363"/>
        </w:object>
      </w:r>
    </w:p>
    <w:p w14:paraId="3C7ECDC0" w14:textId="77777777" w:rsidR="00256108" w:rsidRDefault="00256108" w:rsidP="009D0201">
      <w:pPr>
        <w:pStyle w:val="Caption"/>
      </w:pPr>
      <w:bookmarkStart w:id="195" w:name="_Ref456962988"/>
      <w:bookmarkStart w:id="196" w:name="_Toc459076499"/>
      <w:r>
        <w:t xml:space="preserve">Figure </w:t>
      </w:r>
      <w:fldSimple w:instr=" SEQ Figure \* ARABIC ">
        <w:r w:rsidR="00B0208A">
          <w:rPr>
            <w:noProof/>
          </w:rPr>
          <w:t>48</w:t>
        </w:r>
      </w:fldSimple>
      <w:bookmarkEnd w:id="195"/>
      <w:r>
        <w:t xml:space="preserve">. </w:t>
      </w:r>
      <w:r w:rsidR="00536A24">
        <w:t>Constant impedance load and PV curve.</w:t>
      </w:r>
      <w:bookmarkEnd w:id="196"/>
    </w:p>
    <w:p w14:paraId="67A82506" w14:textId="095EBAAB" w:rsidR="00451F06" w:rsidRDefault="00451F06">
      <w:pPr>
        <w:rPr>
          <w:sz w:val="16"/>
          <w:szCs w:val="16"/>
        </w:rPr>
      </w:pPr>
      <w:r>
        <w:rPr>
          <w:sz w:val="16"/>
          <w:szCs w:val="16"/>
        </w:rPr>
        <w:br w:type="page"/>
      </w:r>
    </w:p>
    <w:p w14:paraId="4B68AA6B" w14:textId="77777777" w:rsidR="00451F06" w:rsidRPr="00451F06" w:rsidRDefault="00451F06" w:rsidP="00451F06">
      <w:pPr>
        <w:ind w:firstLine="0"/>
      </w:pPr>
      <w:r>
        <w:rPr>
          <w:lang w:eastAsia="zh-CN"/>
        </w:rPr>
        <w:lastRenderedPageBreak/>
        <w:t>equivalent to a decrease of the load impedance. If a two bus equivalent of the load bus is considered, then no matter how small Z</w:t>
      </w:r>
      <w:r w:rsidRPr="00256108">
        <w:rPr>
          <w:i/>
          <w:vertAlign w:val="subscript"/>
          <w:lang w:eastAsia="zh-CN"/>
        </w:rPr>
        <w:t>load</w:t>
      </w:r>
      <w:r>
        <w:rPr>
          <w:lang w:eastAsia="zh-CN"/>
        </w:rPr>
        <w:t xml:space="preserve"> is, there will always be a solution of V. That is, in terms of voltage stability, constant impedance load will not contribute to voltage collapse.</w:t>
      </w:r>
    </w:p>
    <w:p w14:paraId="38A1550F" w14:textId="77777777" w:rsidR="006508B3" w:rsidRPr="006508B3" w:rsidRDefault="00517834" w:rsidP="000D756E">
      <w:r>
        <w:t xml:space="preserve">The PV curve of constant Z load on the sample 2-bus system is identical to </w:t>
      </w:r>
      <w:r>
        <w:fldChar w:fldCharType="begin"/>
      </w:r>
      <w:r>
        <w:instrText xml:space="preserve"> REF _Ref457056207 \h </w:instrText>
      </w:r>
      <w:r>
        <w:fldChar w:fldCharType="separate"/>
      </w:r>
      <w:r>
        <w:t xml:space="preserve">Figure </w:t>
      </w:r>
      <w:r>
        <w:rPr>
          <w:noProof/>
        </w:rPr>
        <w:t>47</w:t>
      </w:r>
      <w:r>
        <w:fldChar w:fldCharType="end"/>
      </w:r>
      <w:r>
        <w:t xml:space="preserve"> and therefore is not shown. In the simulation, it is demonstrated that constant Z load will not impact voltage stability.</w:t>
      </w:r>
    </w:p>
    <w:p w14:paraId="20490049" w14:textId="77777777" w:rsidR="00975C61" w:rsidRDefault="00975C61" w:rsidP="00975C61">
      <w:pPr>
        <w:pStyle w:val="Heading3"/>
        <w:rPr>
          <w:lang w:eastAsia="zh-CN"/>
        </w:rPr>
      </w:pPr>
      <w:bookmarkStart w:id="197" w:name="_Toc459076597"/>
      <w:r>
        <w:rPr>
          <w:lang w:eastAsia="zh-CN"/>
        </w:rPr>
        <w:t>7.1.4 ZIP Load Model</w:t>
      </w:r>
      <w:bookmarkEnd w:id="197"/>
    </w:p>
    <w:p w14:paraId="2B9CB036" w14:textId="6147924E" w:rsidR="00975C61" w:rsidRDefault="00517834" w:rsidP="00975C61">
      <w:r>
        <w:t xml:space="preserve">When all the three component exists in the load model or </w:t>
      </w:r>
      <w:r w:rsidRPr="00517834">
        <w:rPr>
          <w:i/>
        </w:rPr>
        <w:t>a</w:t>
      </w:r>
      <w:r>
        <w:t xml:space="preserve">, </w:t>
      </w:r>
      <w:r w:rsidRPr="00517834">
        <w:rPr>
          <w:i/>
        </w:rPr>
        <w:t>b</w:t>
      </w:r>
      <w:r>
        <w:t xml:space="preserve">, and </w:t>
      </w:r>
      <w:r w:rsidRPr="00517834">
        <w:rPr>
          <w:i/>
        </w:rPr>
        <w:t>c</w:t>
      </w:r>
      <w:r>
        <w:t xml:space="preserve"> in (7-1) are all nonzero,</w:t>
      </w:r>
      <w:r w:rsidR="00E83E06">
        <w:t xml:space="preserve"> the load characteristics curve will be a combination of three load characteristics. An illustration </w:t>
      </w:r>
      <w:r w:rsidR="00C57577">
        <w:t xml:space="preserve">is given in </w:t>
      </w:r>
      <w:r w:rsidR="00E83E06">
        <w:fldChar w:fldCharType="begin"/>
      </w:r>
      <w:r w:rsidR="00E83E06">
        <w:instrText xml:space="preserve"> REF _Ref457076432 \h </w:instrText>
      </w:r>
      <w:r w:rsidR="00E83E06">
        <w:fldChar w:fldCharType="separate"/>
      </w:r>
      <w:r w:rsidR="00E83E06">
        <w:t xml:space="preserve">Figure </w:t>
      </w:r>
      <w:r w:rsidR="00E83E06">
        <w:rPr>
          <w:noProof/>
        </w:rPr>
        <w:t>49</w:t>
      </w:r>
      <w:r w:rsidR="00E83E06">
        <w:fldChar w:fldCharType="end"/>
      </w:r>
      <w:r w:rsidR="00E83E06">
        <w:t>.</w:t>
      </w:r>
    </w:p>
    <w:p w14:paraId="3520CA3B" w14:textId="70744266" w:rsidR="00E83E06" w:rsidRDefault="00E83E06" w:rsidP="00451F06">
      <w:pPr>
        <w:spacing w:after="120"/>
      </w:pPr>
      <w:r>
        <w:t xml:space="preserve">Because there </w:t>
      </w:r>
      <w:r w:rsidR="00C57577">
        <w:t xml:space="preserve">are </w:t>
      </w:r>
      <w:r>
        <w:t>constant power load</w:t>
      </w:r>
      <w:r w:rsidR="00C57577">
        <w:t>s</w:t>
      </w:r>
      <w:r>
        <w:t>, the load characteristics curve will no longer pass the origin. The intersection of the load curve and the P axis will be (</w:t>
      </w:r>
      <w:r w:rsidRPr="00E83E06">
        <w:rPr>
          <w:position w:val="-12"/>
        </w:rPr>
        <w:object w:dxaOrig="540" w:dyaOrig="360" w14:anchorId="3991BA20">
          <v:shape id="_x0000_i1207" type="#_x0000_t75" style="width:27pt;height:16.5pt" o:ole="">
            <v:imagedata r:id="rId364" o:title=""/>
          </v:shape>
          <o:OLEObject Type="Embed" ProgID="Equation.DSMT4" ShapeID="_x0000_i1207" DrawAspect="Content" ObjectID="_1532825757" r:id="rId365"/>
        </w:object>
      </w:r>
      <w:r>
        <w:t xml:space="preserve">, 0) according to (7-1) where </w:t>
      </w:r>
      <w:r w:rsidRPr="00E83E06">
        <w:rPr>
          <w:position w:val="-12"/>
        </w:rPr>
        <w:object w:dxaOrig="540" w:dyaOrig="360" w14:anchorId="269E3E96">
          <v:shape id="_x0000_i1208" type="#_x0000_t75" style="width:27pt;height:16.5pt" o:ole="">
            <v:imagedata r:id="rId364" o:title=""/>
          </v:shape>
          <o:OLEObject Type="Embed" ProgID="Equation.DSMT4" ShapeID="_x0000_i1208" DrawAspect="Content" ObjectID="_1532825758" r:id="rId366"/>
        </w:object>
      </w:r>
      <w:r>
        <w:t xml:space="preserve">is just the real power of the constant power component. Because of this change, there will be a </w:t>
      </w:r>
      <w:r w:rsidR="00C57577">
        <w:t xml:space="preserve">collapse </w:t>
      </w:r>
      <w:r>
        <w:t>point B where a further increase of loading factor K will result to an unsolved system</w:t>
      </w:r>
      <w:r w:rsidR="00AE072F">
        <w:t xml:space="preserve"> as indicated in </w:t>
      </w:r>
      <w:r w:rsidR="00AE072F">
        <w:fldChar w:fldCharType="begin"/>
      </w:r>
      <w:r w:rsidR="00AE072F">
        <w:instrText xml:space="preserve"> REF _Ref457076432 \h </w:instrText>
      </w:r>
      <w:r w:rsidR="00AE072F">
        <w:fldChar w:fldCharType="separate"/>
      </w:r>
      <w:r w:rsidR="00AE072F">
        <w:t xml:space="preserve">Figure </w:t>
      </w:r>
      <w:r w:rsidR="00AE072F">
        <w:rPr>
          <w:noProof/>
        </w:rPr>
        <w:t>49</w:t>
      </w:r>
      <w:r w:rsidR="00AE072F">
        <w:fldChar w:fldCharType="end"/>
      </w:r>
      <w:r w:rsidR="00AE072F">
        <w:t>.</w:t>
      </w:r>
    </w:p>
    <w:p w14:paraId="45FAFF44" w14:textId="44FDDD41" w:rsidR="00975C61" w:rsidRDefault="00451F06" w:rsidP="00E83E06">
      <w:pPr>
        <w:spacing w:line="240" w:lineRule="auto"/>
        <w:ind w:firstLine="0"/>
        <w:jc w:val="center"/>
      </w:pPr>
      <w:r>
        <w:object w:dxaOrig="6690" w:dyaOrig="4446" w14:anchorId="1FD3B59E">
          <v:shape id="_x0000_i1209" type="#_x0000_t75" style="width:189pt;height:124.5pt" o:ole="">
            <v:imagedata r:id="rId367" o:title=""/>
          </v:shape>
          <o:OLEObject Type="Embed" ProgID="Visio.Drawing.15" ShapeID="_x0000_i1209" DrawAspect="Content" ObjectID="_1532825759" r:id="rId368"/>
        </w:object>
      </w:r>
    </w:p>
    <w:p w14:paraId="491FB8A2" w14:textId="77777777" w:rsidR="00975C61" w:rsidRDefault="00E83E06" w:rsidP="009D0201">
      <w:pPr>
        <w:pStyle w:val="Caption"/>
      </w:pPr>
      <w:bookmarkStart w:id="198" w:name="_Ref457076432"/>
      <w:bookmarkStart w:id="199" w:name="_Toc459076500"/>
      <w:r>
        <w:t xml:space="preserve">Figure </w:t>
      </w:r>
      <w:fldSimple w:instr=" SEQ Figure \* ARABIC ">
        <w:r w:rsidR="00B0208A">
          <w:rPr>
            <w:noProof/>
          </w:rPr>
          <w:t>49</w:t>
        </w:r>
      </w:fldSimple>
      <w:bookmarkEnd w:id="198"/>
      <w:r>
        <w:t>. ZIP load and PV curve.</w:t>
      </w:r>
      <w:bookmarkEnd w:id="199"/>
    </w:p>
    <w:p w14:paraId="60FAEC07" w14:textId="77777777" w:rsidR="000E27CD" w:rsidRPr="00451F06" w:rsidRDefault="000E27CD" w:rsidP="000E27CD">
      <w:pPr>
        <w:spacing w:line="240" w:lineRule="auto"/>
        <w:rPr>
          <w:sz w:val="4"/>
          <w:szCs w:val="16"/>
        </w:rPr>
      </w:pPr>
    </w:p>
    <w:p w14:paraId="153DA5D5" w14:textId="77777777" w:rsidR="00D41B71" w:rsidRDefault="00D41B71" w:rsidP="00B2176D">
      <w:pPr>
        <w:pStyle w:val="Heading2"/>
        <w:rPr>
          <w:lang w:eastAsia="zh-CN"/>
        </w:rPr>
      </w:pPr>
      <w:bookmarkStart w:id="200" w:name="_Toc459076598"/>
      <w:r>
        <w:rPr>
          <w:lang w:eastAsia="zh-CN"/>
        </w:rPr>
        <w:lastRenderedPageBreak/>
        <w:t>7.2 Impact of Exponential Load Model to Voltage Stability Assessment</w:t>
      </w:r>
      <w:bookmarkEnd w:id="200"/>
    </w:p>
    <w:p w14:paraId="790F9552" w14:textId="77777777" w:rsidR="00D41B71" w:rsidRDefault="0018574F" w:rsidP="00D41B71">
      <w:pPr>
        <w:rPr>
          <w:lang w:eastAsia="zh-CN"/>
        </w:rPr>
      </w:pPr>
      <w:r>
        <w:rPr>
          <w:lang w:eastAsia="zh-CN"/>
        </w:rPr>
        <w:t>The exponential load model describes the voltage dependence of load consumption as</w:t>
      </w:r>
    </w:p>
    <w:p w14:paraId="65E06CCA" w14:textId="77777777" w:rsidR="0018574F" w:rsidRDefault="00800BCA" w:rsidP="0018574F">
      <w:pPr>
        <w:jc w:val="right"/>
        <w:rPr>
          <w:lang w:eastAsia="zh-CN"/>
        </w:rPr>
      </w:pPr>
      <w:r w:rsidRPr="0018574F">
        <w:rPr>
          <w:position w:val="-10"/>
          <w:lang w:eastAsia="zh-CN"/>
        </w:rPr>
        <w:object w:dxaOrig="1200" w:dyaOrig="360" w14:anchorId="17EB3FEC">
          <v:shape id="_x0000_i1036" type="#_x0000_t75" style="width:66pt;height:21pt" o:ole="">
            <v:imagedata r:id="rId369" o:title=""/>
          </v:shape>
          <o:OLEObject Type="Embed" ProgID="Equation.3" ShapeID="_x0000_i1036" DrawAspect="Content" ObjectID="_1532825760" r:id="rId370"/>
        </w:object>
      </w:r>
      <w:r w:rsidR="0018574F">
        <w:rPr>
          <w:lang w:eastAsia="zh-CN"/>
        </w:rPr>
        <w:tab/>
      </w:r>
      <w:r w:rsidR="0018574F">
        <w:rPr>
          <w:lang w:eastAsia="zh-CN"/>
        </w:rPr>
        <w:tab/>
      </w:r>
      <w:r w:rsidR="0018574F">
        <w:rPr>
          <w:lang w:eastAsia="zh-CN"/>
        </w:rPr>
        <w:tab/>
      </w:r>
      <w:r w:rsidR="0018574F">
        <w:rPr>
          <w:lang w:eastAsia="zh-CN"/>
        </w:rPr>
        <w:tab/>
      </w:r>
      <w:r w:rsidR="0018574F">
        <w:rPr>
          <w:lang w:eastAsia="zh-CN"/>
        </w:rPr>
        <w:tab/>
        <w:t>(7-3)</w:t>
      </w:r>
    </w:p>
    <w:p w14:paraId="6DBA60EA" w14:textId="77777777" w:rsidR="0018574F" w:rsidRDefault="00800BCA" w:rsidP="0018574F">
      <w:pPr>
        <w:ind w:left="1440"/>
        <w:jc w:val="right"/>
        <w:rPr>
          <w:lang w:eastAsia="zh-CN"/>
        </w:rPr>
      </w:pPr>
      <w:r w:rsidRPr="0018574F">
        <w:rPr>
          <w:position w:val="-14"/>
          <w:lang w:eastAsia="zh-CN"/>
        </w:rPr>
        <w:object w:dxaOrig="1219" w:dyaOrig="420" w14:anchorId="37000C30">
          <v:shape id="_x0000_i1037" type="#_x0000_t75" style="width:66pt;height:22.5pt" o:ole="">
            <v:imagedata r:id="rId371" o:title=""/>
          </v:shape>
          <o:OLEObject Type="Embed" ProgID="Equation.3" ShapeID="_x0000_i1037" DrawAspect="Content" ObjectID="_1532825761" r:id="rId372"/>
        </w:object>
      </w:r>
      <w:r w:rsidR="0018574F">
        <w:rPr>
          <w:lang w:eastAsia="zh-CN"/>
        </w:rPr>
        <w:tab/>
      </w:r>
      <w:r w:rsidR="0018574F">
        <w:rPr>
          <w:lang w:eastAsia="zh-CN"/>
        </w:rPr>
        <w:tab/>
      </w:r>
      <w:r w:rsidR="0018574F">
        <w:rPr>
          <w:lang w:eastAsia="zh-CN"/>
        </w:rPr>
        <w:tab/>
      </w:r>
      <w:r w:rsidR="0018574F">
        <w:rPr>
          <w:lang w:eastAsia="zh-CN"/>
        </w:rPr>
        <w:tab/>
      </w:r>
      <w:r w:rsidR="0018574F">
        <w:rPr>
          <w:lang w:eastAsia="zh-CN"/>
        </w:rPr>
        <w:tab/>
        <w:t>(7-4)</w:t>
      </w:r>
    </w:p>
    <w:p w14:paraId="2224E18D" w14:textId="44708563" w:rsidR="0018574F" w:rsidRDefault="00E01A87" w:rsidP="00E01A87">
      <w:pPr>
        <w:ind w:firstLine="0"/>
        <w:rPr>
          <w:lang w:eastAsia="zh-CN"/>
        </w:rPr>
      </w:pPr>
      <w:r>
        <w:rPr>
          <w:lang w:eastAsia="zh-CN"/>
        </w:rPr>
        <w:t xml:space="preserve">where </w:t>
      </w:r>
      <w:r w:rsidRPr="001228AF">
        <w:rPr>
          <w:position w:val="-10"/>
          <w:lang w:eastAsia="zh-CN"/>
        </w:rPr>
        <w:object w:dxaOrig="320" w:dyaOrig="340" w14:anchorId="17E063E8">
          <v:shape id="_x0000_i1038" type="#_x0000_t75" style="width:15pt;height:18pt" o:ole="">
            <v:imagedata r:id="rId373" o:title=""/>
          </v:shape>
          <o:OLEObject Type="Embed" ProgID="Equation.3" ShapeID="_x0000_i1038" DrawAspect="Content" ObjectID="_1532825762" r:id="rId374"/>
        </w:object>
      </w:r>
      <w:r>
        <w:rPr>
          <w:lang w:eastAsia="zh-CN"/>
        </w:rPr>
        <w:t>and</w:t>
      </w:r>
      <w:r w:rsidRPr="00E01A87">
        <w:rPr>
          <w:position w:val="-14"/>
          <w:lang w:eastAsia="zh-CN"/>
        </w:rPr>
        <w:object w:dxaOrig="340" w:dyaOrig="380" w14:anchorId="1665864A">
          <v:shape id="_x0000_i1039" type="#_x0000_t75" style="width:18pt;height:19.5pt" o:ole="">
            <v:imagedata r:id="rId375" o:title=""/>
          </v:shape>
          <o:OLEObject Type="Embed" ProgID="Equation.3" ShapeID="_x0000_i1039" DrawAspect="Content" ObjectID="_1532825763" r:id="rId376"/>
        </w:object>
      </w:r>
      <w:r>
        <w:rPr>
          <w:lang w:eastAsia="zh-CN"/>
        </w:rPr>
        <w:t xml:space="preserve">are the coefficient for P and Q load. </w:t>
      </w:r>
      <w:r w:rsidR="0018574F">
        <w:rPr>
          <w:lang w:eastAsia="zh-CN"/>
        </w:rPr>
        <w:t xml:space="preserve">Although such load model is referred </w:t>
      </w:r>
      <w:r w:rsidR="00B17789">
        <w:rPr>
          <w:lang w:eastAsia="zh-CN"/>
        </w:rPr>
        <w:t xml:space="preserve">to </w:t>
      </w:r>
      <w:r w:rsidR="0018574F">
        <w:rPr>
          <w:lang w:eastAsia="zh-CN"/>
        </w:rPr>
        <w:t xml:space="preserve">as </w:t>
      </w:r>
      <w:r w:rsidR="00B17789">
        <w:rPr>
          <w:lang w:eastAsia="zh-CN"/>
        </w:rPr>
        <w:t xml:space="preserve">the </w:t>
      </w:r>
      <w:r w:rsidR="0018574F">
        <w:rPr>
          <w:lang w:eastAsia="zh-CN"/>
        </w:rPr>
        <w:t>“exponential” load model in literature, it is indeed a power function as shown in (7-3) and (7-4) where the exponent is con</w:t>
      </w:r>
      <w:r w:rsidR="001228AF">
        <w:rPr>
          <w:lang w:eastAsia="zh-CN"/>
        </w:rPr>
        <w:t xml:space="preserve">stant. </w:t>
      </w:r>
      <w:r>
        <w:rPr>
          <w:lang w:eastAsia="zh-CN"/>
        </w:rPr>
        <w:t>It</w:t>
      </w:r>
      <w:r w:rsidR="001228AF">
        <w:rPr>
          <w:lang w:eastAsia="zh-CN"/>
        </w:rPr>
        <w:t xml:space="preserve"> will be referred </w:t>
      </w:r>
      <w:r w:rsidR="00B17789">
        <w:rPr>
          <w:lang w:eastAsia="zh-CN"/>
        </w:rPr>
        <w:t xml:space="preserve">to </w:t>
      </w:r>
      <w:r w:rsidR="001228AF">
        <w:rPr>
          <w:lang w:eastAsia="zh-CN"/>
        </w:rPr>
        <w:t xml:space="preserve">as </w:t>
      </w:r>
      <w:r w:rsidR="00B17789">
        <w:rPr>
          <w:lang w:eastAsia="zh-CN"/>
        </w:rPr>
        <w:t xml:space="preserve">the </w:t>
      </w:r>
      <w:r w:rsidR="001228AF">
        <w:rPr>
          <w:lang w:eastAsia="zh-CN"/>
        </w:rPr>
        <w:t>“exponential” load model in this dissertation for consistency with previous literatures.</w:t>
      </w:r>
    </w:p>
    <w:p w14:paraId="7BEDB177" w14:textId="77777777" w:rsidR="00E01A87" w:rsidRDefault="001228AF" w:rsidP="003D1460">
      <w:pPr>
        <w:spacing w:after="240"/>
        <w:rPr>
          <w:lang w:eastAsia="zh-CN"/>
        </w:rPr>
      </w:pPr>
      <w:r>
        <w:rPr>
          <w:lang w:eastAsia="zh-CN"/>
        </w:rPr>
        <w:t xml:space="preserve">The range of exponent </w:t>
      </w:r>
      <w:r w:rsidRPr="001228AF">
        <w:rPr>
          <w:position w:val="-10"/>
          <w:lang w:eastAsia="zh-CN"/>
        </w:rPr>
        <w:object w:dxaOrig="320" w:dyaOrig="340" w14:anchorId="4FDD718A">
          <v:shape id="_x0000_i1040" type="#_x0000_t75" style="width:15pt;height:18pt" o:ole="">
            <v:imagedata r:id="rId373" o:title=""/>
          </v:shape>
          <o:OLEObject Type="Embed" ProgID="Equation.3" ShapeID="_x0000_i1040" DrawAspect="Content" ObjectID="_1532825764" r:id="rId377"/>
        </w:object>
      </w:r>
      <w:r>
        <w:rPr>
          <w:lang w:eastAsia="zh-CN"/>
        </w:rPr>
        <w:t xml:space="preserve">is usually [0, 2] as summarized in </w:t>
      </w:r>
      <w:r>
        <w:rPr>
          <w:lang w:eastAsia="zh-CN"/>
        </w:rPr>
        <w:fldChar w:fldCharType="begin" w:fldLock="1"/>
      </w:r>
      <w:r w:rsidR="00726E30">
        <w:rPr>
          <w:lang w:eastAsia="zh-CN"/>
        </w:rPr>
        <w:instrText>ADDIN CSL_CITATION { "citationItems" : [ { "id" : "ITEM-1", "itemData" : { "DOI" : "10.1016/S0378-7796(98)00047-9", "ISSN" : "03787796", "abstract" : "This paper addresses the issue of power system load modelling. In power system and voltage stability studies, only aggregate loads at high voltage buses are needed. Due to difficulties in determining appropriate load models at high voltage buses, the classical exponential static load model is still often used. This paper shows that under certain circumstances, e.g. presence of power factor correcting the condensators, the standard approach of modelling real and reactive power as exponentially dependent on voltage may lead to unrealistic values of reactive power voltage exponents. The development of load models where real and apparent power are exponentially dependent on voltage is proposed to avoid unreliability of the reactive power voltage exponent. The constant power factor relationship between real and reactive power is also discussed. The error that could be made by assuming constant power factor of the load during voltage variation is estimated.", "author" : [ { "dropping-particle" : "", "family" : "Milanovi\u0107", "given" : "JV", "non-dropping-particle" : "", "parse-names" : false, "suffix" : "" } ], "container-title" : "Electric power systems research", "id" : "ITEM-1", "issued" : { "date-parts" : [ [ "1999" ] ] }, "page" : "1-9", "title" : "On unreliability of exponential load models", "type" : "article-journal", "volume" : "49" }, "uris" : [ "http://www.mendeley.com/documents/?uuid=3e455f75-1cb1-43a5-92ca-d4716e5752d1" ] } ], "mendeley" : { "formattedCitation" : "[76]", "plainTextFormattedCitation" : "[76]", "previouslyFormattedCitation" : "[76]" }, "properties" : { "noteIndex" : 0 }, "schema" : "https://github.com/citation-style-language/schema/raw/master/csl-citation.json" }</w:instrText>
      </w:r>
      <w:r>
        <w:rPr>
          <w:lang w:eastAsia="zh-CN"/>
        </w:rPr>
        <w:fldChar w:fldCharType="separate"/>
      </w:r>
      <w:r w:rsidR="000E27CD" w:rsidRPr="000E27CD">
        <w:rPr>
          <w:noProof/>
          <w:lang w:eastAsia="zh-CN"/>
        </w:rPr>
        <w:t>[76]</w:t>
      </w:r>
      <w:r>
        <w:rPr>
          <w:lang w:eastAsia="zh-CN"/>
        </w:rPr>
        <w:fldChar w:fldCharType="end"/>
      </w:r>
      <w:r>
        <w:rPr>
          <w:lang w:eastAsia="zh-CN"/>
        </w:rPr>
        <w:t xml:space="preserve">. </w:t>
      </w:r>
      <w:r w:rsidR="009F1576">
        <w:rPr>
          <w:lang w:eastAsia="zh-CN"/>
        </w:rPr>
        <w:t xml:space="preserve">When </w:t>
      </w:r>
      <w:r w:rsidR="009F1576" w:rsidRPr="001228AF">
        <w:rPr>
          <w:position w:val="-10"/>
          <w:lang w:eastAsia="zh-CN"/>
        </w:rPr>
        <w:object w:dxaOrig="320" w:dyaOrig="340" w14:anchorId="7D599EDC">
          <v:shape id="_x0000_i1041" type="#_x0000_t75" style="width:15pt;height:18pt" o:ole="">
            <v:imagedata r:id="rId373" o:title=""/>
          </v:shape>
          <o:OLEObject Type="Embed" ProgID="Equation.3" ShapeID="_x0000_i1041" DrawAspect="Content" ObjectID="_1532825765" r:id="rId378"/>
        </w:object>
      </w:r>
      <w:r w:rsidR="009F1576">
        <w:rPr>
          <w:lang w:eastAsia="zh-CN"/>
        </w:rPr>
        <w:t xml:space="preserve"> equals to 2, 1, and </w:t>
      </w:r>
      <w:r w:rsidR="00E01A87">
        <w:rPr>
          <w:lang w:eastAsia="zh-CN"/>
        </w:rPr>
        <w:t>0</w:t>
      </w:r>
      <w:r w:rsidR="009F1576">
        <w:rPr>
          <w:lang w:eastAsia="zh-CN"/>
        </w:rPr>
        <w:t xml:space="preserve">, the exponential load model is equivalent to constant Z, I, and P load respectively. When </w:t>
      </w:r>
      <w:r w:rsidR="009F1576" w:rsidRPr="001228AF">
        <w:rPr>
          <w:position w:val="-10"/>
          <w:lang w:eastAsia="zh-CN"/>
        </w:rPr>
        <w:object w:dxaOrig="320" w:dyaOrig="340" w14:anchorId="7230550E">
          <v:shape id="_x0000_i1042" type="#_x0000_t75" style="width:15pt;height:18pt" o:ole="">
            <v:imagedata r:id="rId373" o:title=""/>
          </v:shape>
          <o:OLEObject Type="Embed" ProgID="Equation.3" ShapeID="_x0000_i1042" DrawAspect="Content" ObjectID="_1532825766" r:id="rId379"/>
        </w:object>
      </w:r>
      <w:r w:rsidR="009F1576">
        <w:rPr>
          <w:lang w:eastAsia="zh-CN"/>
        </w:rPr>
        <w:t xml:space="preserve"> is in the range of (1, 2), the load characteristics is similar to constant Z load model</w:t>
      </w:r>
      <w:r w:rsidR="00D51E56">
        <w:rPr>
          <w:lang w:eastAsia="zh-CN"/>
        </w:rPr>
        <w:t xml:space="preserve"> and is a concave function in PV plane</w:t>
      </w:r>
      <w:r w:rsidR="009F1576">
        <w:rPr>
          <w:lang w:eastAsia="zh-CN"/>
        </w:rPr>
        <w:t xml:space="preserve"> as depicted in </w:t>
      </w:r>
      <w:r w:rsidR="00D51E56">
        <w:rPr>
          <w:lang w:eastAsia="zh-CN"/>
        </w:rPr>
        <w:fldChar w:fldCharType="begin"/>
      </w:r>
      <w:r w:rsidR="00D51E56">
        <w:rPr>
          <w:lang w:eastAsia="zh-CN"/>
        </w:rPr>
        <w:instrText xml:space="preserve"> REF _Ref457761466 \h </w:instrText>
      </w:r>
      <w:r w:rsidR="00D51E56">
        <w:rPr>
          <w:lang w:eastAsia="zh-CN"/>
        </w:rPr>
      </w:r>
      <w:r w:rsidR="00D51E56">
        <w:rPr>
          <w:lang w:eastAsia="zh-CN"/>
        </w:rPr>
        <w:fldChar w:fldCharType="separate"/>
      </w:r>
      <w:r w:rsidR="00D51E56">
        <w:t xml:space="preserve">Figure </w:t>
      </w:r>
      <w:r w:rsidR="00D51E56">
        <w:rPr>
          <w:noProof/>
        </w:rPr>
        <w:t>50</w:t>
      </w:r>
      <w:r w:rsidR="00D51E56">
        <w:rPr>
          <w:lang w:eastAsia="zh-CN"/>
        </w:rPr>
        <w:fldChar w:fldCharType="end"/>
      </w:r>
      <w:r w:rsidR="00D51E56">
        <w:rPr>
          <w:lang w:eastAsia="zh-CN"/>
        </w:rPr>
        <w:t>(a). Similar to constant Z load, such characteristics</w:t>
      </w:r>
      <w:r w:rsidR="009F1576">
        <w:rPr>
          <w:lang w:eastAsia="zh-CN"/>
        </w:rPr>
        <w:t xml:space="preserve"> will not contribute to voltage instability.</w:t>
      </w:r>
      <w:r w:rsidR="00D51E56">
        <w:rPr>
          <w:lang w:eastAsia="zh-CN"/>
        </w:rPr>
        <w:t xml:space="preserve"> </w:t>
      </w:r>
    </w:p>
    <w:p w14:paraId="68BE1ADD" w14:textId="77777777" w:rsidR="00E01A87" w:rsidRDefault="00E01A87" w:rsidP="00E01A87">
      <w:pPr>
        <w:spacing w:line="240" w:lineRule="auto"/>
        <w:ind w:firstLine="0"/>
        <w:rPr>
          <w:lang w:eastAsia="zh-CN"/>
        </w:rPr>
      </w:pPr>
      <w:r w:rsidRPr="009F1576">
        <w:rPr>
          <w:noProof/>
          <w:lang w:eastAsia="zh-CN"/>
        </w:rPr>
        <w:drawing>
          <wp:inline distT="0" distB="0" distL="0" distR="0" wp14:anchorId="433BF318" wp14:editId="6DE9C70B">
            <wp:extent cx="2449803" cy="1594714"/>
            <wp:effectExtent l="0" t="0" r="825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rotWithShape="1">
                    <a:blip r:embed="rId380">
                      <a:extLst>
                        <a:ext uri="{28A0092B-C50C-407E-A947-70E740481C1C}">
                          <a14:useLocalDpi xmlns:a14="http://schemas.microsoft.com/office/drawing/2010/main" val="0"/>
                        </a:ext>
                      </a:extLst>
                    </a:blip>
                    <a:srcRect b="3964"/>
                    <a:stretch/>
                  </pic:blipFill>
                  <pic:spPr bwMode="auto">
                    <a:xfrm>
                      <a:off x="0" y="0"/>
                      <a:ext cx="2449878" cy="1594763"/>
                    </a:xfrm>
                    <a:prstGeom prst="rect">
                      <a:avLst/>
                    </a:prstGeom>
                    <a:noFill/>
                    <a:ln>
                      <a:noFill/>
                    </a:ln>
                    <a:extLst>
                      <a:ext uri="{53640926-AAD7-44D8-BBD7-CCE9431645EC}">
                        <a14:shadowObscured xmlns:a14="http://schemas.microsoft.com/office/drawing/2010/main"/>
                      </a:ext>
                    </a:extLst>
                  </pic:spPr>
                </pic:pic>
              </a:graphicData>
            </a:graphic>
          </wp:inline>
        </w:drawing>
      </w:r>
      <w:r>
        <w:rPr>
          <w:lang w:eastAsia="zh-CN"/>
        </w:rPr>
        <w:tab/>
      </w:r>
      <w:r w:rsidRPr="009F1576">
        <w:rPr>
          <w:noProof/>
          <w:lang w:eastAsia="zh-CN"/>
        </w:rPr>
        <w:drawing>
          <wp:inline distT="0" distB="0" distL="0" distR="0" wp14:anchorId="3C85DD58" wp14:editId="7689459E">
            <wp:extent cx="2450592" cy="1580084"/>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rotWithShape="1">
                    <a:blip r:embed="rId381">
                      <a:extLst>
                        <a:ext uri="{28A0092B-C50C-407E-A947-70E740481C1C}">
                          <a14:useLocalDpi xmlns:a14="http://schemas.microsoft.com/office/drawing/2010/main" val="0"/>
                        </a:ext>
                      </a:extLst>
                    </a:blip>
                    <a:srcRect b="3874"/>
                    <a:stretch/>
                  </pic:blipFill>
                  <pic:spPr bwMode="auto">
                    <a:xfrm>
                      <a:off x="0" y="0"/>
                      <a:ext cx="2450667" cy="1580132"/>
                    </a:xfrm>
                    <a:prstGeom prst="rect">
                      <a:avLst/>
                    </a:prstGeom>
                    <a:noFill/>
                    <a:ln>
                      <a:noFill/>
                    </a:ln>
                    <a:extLst>
                      <a:ext uri="{53640926-AAD7-44D8-BBD7-CCE9431645EC}">
                        <a14:shadowObscured xmlns:a14="http://schemas.microsoft.com/office/drawing/2010/main"/>
                      </a:ext>
                    </a:extLst>
                  </pic:spPr>
                </pic:pic>
              </a:graphicData>
            </a:graphic>
          </wp:inline>
        </w:drawing>
      </w:r>
    </w:p>
    <w:p w14:paraId="60197B35" w14:textId="77777777" w:rsidR="00E01A87" w:rsidRDefault="00E01A87" w:rsidP="003D1460">
      <w:pPr>
        <w:spacing w:after="120" w:line="240" w:lineRule="auto"/>
        <w:rPr>
          <w:lang w:eastAsia="zh-CN"/>
        </w:rPr>
      </w:pPr>
      <w:r>
        <w:rPr>
          <w:lang w:eastAsia="zh-CN"/>
        </w:rPr>
        <w:t xml:space="preserve">  (a) under different </w:t>
      </w:r>
      <w:r w:rsidRPr="001228AF">
        <w:rPr>
          <w:position w:val="-10"/>
          <w:lang w:eastAsia="zh-CN"/>
        </w:rPr>
        <w:object w:dxaOrig="320" w:dyaOrig="340" w14:anchorId="0B40B7A3">
          <v:shape id="_x0000_i1210" type="#_x0000_t75" style="width:15pt;height:18pt" o:ole="">
            <v:imagedata r:id="rId373" o:title=""/>
          </v:shape>
          <o:OLEObject Type="Embed" ProgID="Equation.3" ShapeID="_x0000_i1210" DrawAspect="Content" ObjectID="_1532825767" r:id="rId382"/>
        </w:object>
      </w:r>
      <w:r>
        <w:rPr>
          <w:lang w:eastAsia="zh-CN"/>
        </w:rPr>
        <w:tab/>
      </w:r>
      <w:r>
        <w:rPr>
          <w:lang w:eastAsia="zh-CN"/>
        </w:rPr>
        <w:tab/>
      </w:r>
      <w:r>
        <w:rPr>
          <w:lang w:eastAsia="zh-CN"/>
        </w:rPr>
        <w:tab/>
        <w:t>(b) with loading factor increase</w:t>
      </w:r>
    </w:p>
    <w:p w14:paraId="4C9881CF" w14:textId="77777777" w:rsidR="00E01A87" w:rsidRDefault="00E01A87" w:rsidP="009D0201">
      <w:pPr>
        <w:pStyle w:val="Caption"/>
        <w:rPr>
          <w:lang w:eastAsia="zh-CN"/>
        </w:rPr>
      </w:pPr>
      <w:bookmarkStart w:id="201" w:name="_Ref457761466"/>
      <w:bookmarkStart w:id="202" w:name="_Toc459076501"/>
      <w:r>
        <w:t xml:space="preserve">Figure </w:t>
      </w:r>
      <w:fldSimple w:instr=" SEQ Figure \* ARABIC ">
        <w:r>
          <w:rPr>
            <w:noProof/>
          </w:rPr>
          <w:t>50</w:t>
        </w:r>
      </w:fldSimple>
      <w:bookmarkEnd w:id="201"/>
      <w:r>
        <w:t>. Exponential load and PV curve.</w:t>
      </w:r>
      <w:bookmarkEnd w:id="202"/>
    </w:p>
    <w:p w14:paraId="67D54441" w14:textId="77777777" w:rsidR="003D1460" w:rsidRPr="003D1460" w:rsidRDefault="003D1460" w:rsidP="00E01A87">
      <w:pPr>
        <w:spacing w:before="360"/>
        <w:rPr>
          <w:sz w:val="16"/>
          <w:lang w:eastAsia="zh-CN"/>
        </w:rPr>
      </w:pPr>
    </w:p>
    <w:p w14:paraId="11B8CF13" w14:textId="37242B5B" w:rsidR="001228AF" w:rsidRDefault="00D51E56" w:rsidP="003D1460">
      <w:pPr>
        <w:rPr>
          <w:lang w:eastAsia="zh-CN"/>
        </w:rPr>
      </w:pPr>
      <w:r>
        <w:rPr>
          <w:lang w:eastAsia="zh-CN"/>
        </w:rPr>
        <w:lastRenderedPageBreak/>
        <w:t xml:space="preserve">When </w:t>
      </w:r>
      <w:r w:rsidRPr="001228AF">
        <w:rPr>
          <w:position w:val="-10"/>
          <w:lang w:eastAsia="zh-CN"/>
        </w:rPr>
        <w:object w:dxaOrig="320" w:dyaOrig="340" w14:anchorId="4CD197CB">
          <v:shape id="_x0000_i1035" type="#_x0000_t75" style="width:15pt;height:18pt" o:ole="">
            <v:imagedata r:id="rId373" o:title=""/>
          </v:shape>
          <o:OLEObject Type="Embed" ProgID="Equation.3" ShapeID="_x0000_i1035" DrawAspect="Content" ObjectID="_1532825768" r:id="rId383"/>
        </w:object>
      </w:r>
      <w:r>
        <w:rPr>
          <w:lang w:eastAsia="zh-CN"/>
        </w:rPr>
        <w:t xml:space="preserve"> is in the range of (0, 1), the </w:t>
      </w:r>
      <w:r w:rsidR="00E01A87">
        <w:rPr>
          <w:lang w:eastAsia="zh-CN"/>
        </w:rPr>
        <w:t xml:space="preserve">load characteristics </w:t>
      </w:r>
      <w:r>
        <w:rPr>
          <w:lang w:eastAsia="zh-CN"/>
        </w:rPr>
        <w:t xml:space="preserve">curve in PV plane becomes convex as shown in </w:t>
      </w:r>
      <w:r>
        <w:rPr>
          <w:lang w:eastAsia="zh-CN"/>
        </w:rPr>
        <w:fldChar w:fldCharType="begin"/>
      </w:r>
      <w:r>
        <w:rPr>
          <w:lang w:eastAsia="zh-CN"/>
        </w:rPr>
        <w:instrText xml:space="preserve"> REF _Ref457761466 \h </w:instrText>
      </w:r>
      <w:r>
        <w:rPr>
          <w:lang w:eastAsia="zh-CN"/>
        </w:rPr>
      </w:r>
      <w:r>
        <w:rPr>
          <w:lang w:eastAsia="zh-CN"/>
        </w:rPr>
        <w:fldChar w:fldCharType="separate"/>
      </w:r>
      <w:r>
        <w:t xml:space="preserve">Figure </w:t>
      </w:r>
      <w:r>
        <w:rPr>
          <w:noProof/>
        </w:rPr>
        <w:t>50</w:t>
      </w:r>
      <w:r>
        <w:rPr>
          <w:lang w:eastAsia="zh-CN"/>
        </w:rPr>
        <w:fldChar w:fldCharType="end"/>
      </w:r>
      <w:r>
        <w:rPr>
          <w:lang w:eastAsia="zh-CN"/>
        </w:rPr>
        <w:t xml:space="preserve">(a). </w:t>
      </w:r>
      <w:r w:rsidR="00E01A87">
        <w:rPr>
          <w:lang w:eastAsia="zh-CN"/>
        </w:rPr>
        <w:t>The load model</w:t>
      </w:r>
      <w:r>
        <w:rPr>
          <w:lang w:eastAsia="zh-CN"/>
        </w:rPr>
        <w:t xml:space="preserve"> will possibly contribute to voltage instability as the loading factor increases</w:t>
      </w:r>
      <w:r w:rsidR="005F6264">
        <w:rPr>
          <w:lang w:eastAsia="zh-CN"/>
        </w:rPr>
        <w:t xml:space="preserve">. As shown in </w:t>
      </w:r>
      <w:r w:rsidR="005F6264">
        <w:rPr>
          <w:lang w:eastAsia="zh-CN"/>
        </w:rPr>
        <w:fldChar w:fldCharType="begin"/>
      </w:r>
      <w:r w:rsidR="005F6264">
        <w:rPr>
          <w:lang w:eastAsia="zh-CN"/>
        </w:rPr>
        <w:instrText xml:space="preserve"> REF _Ref457761466 \h </w:instrText>
      </w:r>
      <w:r w:rsidR="005F6264">
        <w:rPr>
          <w:lang w:eastAsia="zh-CN"/>
        </w:rPr>
      </w:r>
      <w:r w:rsidR="005F6264">
        <w:rPr>
          <w:lang w:eastAsia="zh-CN"/>
        </w:rPr>
        <w:fldChar w:fldCharType="separate"/>
      </w:r>
      <w:r w:rsidR="005F6264">
        <w:t xml:space="preserve">Figure </w:t>
      </w:r>
      <w:r w:rsidR="005F6264">
        <w:rPr>
          <w:noProof/>
        </w:rPr>
        <w:t>50</w:t>
      </w:r>
      <w:r w:rsidR="005F6264">
        <w:rPr>
          <w:lang w:eastAsia="zh-CN"/>
        </w:rPr>
        <w:fldChar w:fldCharType="end"/>
      </w:r>
      <w:r w:rsidR="005F6264">
        <w:rPr>
          <w:lang w:eastAsia="zh-CN"/>
        </w:rPr>
        <w:t>(b), when Point B is reached</w:t>
      </w:r>
      <w:r w:rsidR="00E01A87">
        <w:rPr>
          <w:lang w:eastAsia="zh-CN"/>
        </w:rPr>
        <w:t xml:space="preserve"> as the loading factor increases</w:t>
      </w:r>
      <w:r w:rsidR="005F6264">
        <w:rPr>
          <w:lang w:eastAsia="zh-CN"/>
        </w:rPr>
        <w:t xml:space="preserve">, the system is at the critical point. A slight increase </w:t>
      </w:r>
      <w:r w:rsidR="00E01A87">
        <w:rPr>
          <w:lang w:eastAsia="zh-CN"/>
        </w:rPr>
        <w:t>of</w:t>
      </w:r>
      <w:r w:rsidR="00B17789">
        <w:rPr>
          <w:lang w:eastAsia="zh-CN"/>
        </w:rPr>
        <w:t xml:space="preserve"> the</w:t>
      </w:r>
      <w:r w:rsidR="005F6264">
        <w:rPr>
          <w:lang w:eastAsia="zh-CN"/>
        </w:rPr>
        <w:t xml:space="preserve"> loading factor, </w:t>
      </w:r>
      <w:r w:rsidR="005F6264" w:rsidRPr="005F6264">
        <w:rPr>
          <w:i/>
          <w:lang w:eastAsia="zh-CN"/>
        </w:rPr>
        <w:t>K</w:t>
      </w:r>
      <w:r w:rsidR="005F6264">
        <w:rPr>
          <w:lang w:eastAsia="zh-CN"/>
        </w:rPr>
        <w:t xml:space="preserve">, will push the load curve to the right </w:t>
      </w:r>
      <w:r w:rsidR="00B17789">
        <w:rPr>
          <w:lang w:eastAsia="zh-CN"/>
        </w:rPr>
        <w:t xml:space="preserve">further </w:t>
      </w:r>
      <w:r w:rsidR="005F6264">
        <w:rPr>
          <w:lang w:eastAsia="zh-CN"/>
        </w:rPr>
        <w:t xml:space="preserve">and will lead the system to no solution </w:t>
      </w:r>
      <w:r w:rsidR="00E01A87">
        <w:rPr>
          <w:lang w:eastAsia="zh-CN"/>
        </w:rPr>
        <w:t>around the operating point</w:t>
      </w:r>
      <w:r w:rsidR="005F6264">
        <w:rPr>
          <w:lang w:eastAsia="zh-CN"/>
        </w:rPr>
        <w:t xml:space="preserve">. The voltage of the system will suddenly </w:t>
      </w:r>
      <w:r w:rsidR="00E01A87">
        <w:rPr>
          <w:lang w:eastAsia="zh-CN"/>
        </w:rPr>
        <w:t>decrease</w:t>
      </w:r>
      <w:r w:rsidR="005F6264">
        <w:rPr>
          <w:lang w:eastAsia="zh-CN"/>
        </w:rPr>
        <w:t xml:space="preserve"> to zero</w:t>
      </w:r>
      <w:r w:rsidR="00E01A87">
        <w:rPr>
          <w:lang w:eastAsia="zh-CN"/>
        </w:rPr>
        <w:t xml:space="preserve"> (the origin)</w:t>
      </w:r>
      <w:r w:rsidR="009D78C2">
        <w:rPr>
          <w:lang w:eastAsia="zh-CN"/>
        </w:rPr>
        <w:t>.</w:t>
      </w:r>
    </w:p>
    <w:p w14:paraId="79ECBC74" w14:textId="29BC2B36" w:rsidR="009D78C2" w:rsidRDefault="009D78C2" w:rsidP="003B6113">
      <w:pPr>
        <w:rPr>
          <w:lang w:eastAsia="zh-CN"/>
        </w:rPr>
      </w:pPr>
      <w:r>
        <w:rPr>
          <w:lang w:eastAsia="zh-CN"/>
        </w:rPr>
        <w:t xml:space="preserve">Note that the PV curve and the exponential load characteristics curve can have multiple intersection points other than the origin. Since it is hard to express the PV curve analytically, </w:t>
      </w:r>
      <w:r w:rsidR="003B6113">
        <w:rPr>
          <w:lang w:eastAsia="zh-CN"/>
        </w:rPr>
        <w:t xml:space="preserve">the number of intersections can hardly be discussed analytically. It </w:t>
      </w:r>
      <w:r w:rsidR="00B17789">
        <w:rPr>
          <w:lang w:eastAsia="zh-CN"/>
        </w:rPr>
        <w:t>is a good topic to discuss in the future for a thorough investigation</w:t>
      </w:r>
      <w:r w:rsidR="003B6113">
        <w:rPr>
          <w:lang w:eastAsia="zh-CN"/>
        </w:rPr>
        <w:t>.</w:t>
      </w:r>
    </w:p>
    <w:p w14:paraId="0A06A2F5" w14:textId="77777777" w:rsidR="00B2176D" w:rsidRDefault="005F6264" w:rsidP="00B2176D">
      <w:pPr>
        <w:pStyle w:val="Heading2"/>
        <w:rPr>
          <w:lang w:eastAsia="zh-CN"/>
        </w:rPr>
      </w:pPr>
      <w:bookmarkStart w:id="203" w:name="_Toc459076599"/>
      <w:r>
        <w:rPr>
          <w:lang w:eastAsia="zh-CN"/>
        </w:rPr>
        <w:t>7.3</w:t>
      </w:r>
      <w:r w:rsidR="00B2176D">
        <w:rPr>
          <w:lang w:eastAsia="zh-CN"/>
        </w:rPr>
        <w:t xml:space="preserve"> Measurement-</w:t>
      </w:r>
      <w:r w:rsidR="00253FA7">
        <w:rPr>
          <w:lang w:eastAsia="zh-CN"/>
        </w:rPr>
        <w:t xml:space="preserve">Based </w:t>
      </w:r>
      <w:r w:rsidR="00B2176D">
        <w:rPr>
          <w:lang w:eastAsia="zh-CN"/>
        </w:rPr>
        <w:t xml:space="preserve">Voltage Stability Indicator for </w:t>
      </w:r>
      <w:r>
        <w:rPr>
          <w:lang w:eastAsia="zh-CN"/>
        </w:rPr>
        <w:t>Voltage Dependent</w:t>
      </w:r>
      <w:r w:rsidR="00B2176D">
        <w:rPr>
          <w:lang w:eastAsia="zh-CN"/>
        </w:rPr>
        <w:t xml:space="preserve"> Load Model</w:t>
      </w:r>
      <w:r>
        <w:rPr>
          <w:lang w:eastAsia="zh-CN"/>
        </w:rPr>
        <w:t>s</w:t>
      </w:r>
      <w:bookmarkEnd w:id="203"/>
    </w:p>
    <w:p w14:paraId="3BA64B60" w14:textId="32D2727C" w:rsidR="005F6264" w:rsidRDefault="004D5C85" w:rsidP="00E43268">
      <w:pPr>
        <w:rPr>
          <w:lang w:eastAsia="zh-CN"/>
        </w:rPr>
      </w:pPr>
      <w:r>
        <w:rPr>
          <w:lang w:eastAsia="zh-CN"/>
        </w:rPr>
        <w:t xml:space="preserve">As demonstrated in </w:t>
      </w:r>
      <w:r>
        <w:rPr>
          <w:lang w:eastAsia="zh-CN"/>
        </w:rPr>
        <w:fldChar w:fldCharType="begin"/>
      </w:r>
      <w:r>
        <w:rPr>
          <w:lang w:eastAsia="zh-CN"/>
        </w:rPr>
        <w:instrText xml:space="preserve"> REF _Ref457076432 \h </w:instrText>
      </w:r>
      <w:r>
        <w:rPr>
          <w:lang w:eastAsia="zh-CN"/>
        </w:rPr>
      </w:r>
      <w:r>
        <w:rPr>
          <w:lang w:eastAsia="zh-CN"/>
        </w:rPr>
        <w:fldChar w:fldCharType="separate"/>
      </w:r>
      <w:r>
        <w:t xml:space="preserve">Figure </w:t>
      </w:r>
      <w:r>
        <w:rPr>
          <w:noProof/>
        </w:rPr>
        <w:t>49</w:t>
      </w:r>
      <w:r>
        <w:rPr>
          <w:lang w:eastAsia="zh-CN"/>
        </w:rPr>
        <w:fldChar w:fldCharType="end"/>
      </w:r>
      <w:r>
        <w:rPr>
          <w:lang w:eastAsia="zh-CN"/>
        </w:rPr>
        <w:t xml:space="preserve">, when </w:t>
      </w:r>
      <w:r w:rsidR="00B17789">
        <w:rPr>
          <w:lang w:eastAsia="zh-CN"/>
        </w:rPr>
        <w:t xml:space="preserve">the </w:t>
      </w:r>
      <w:r>
        <w:rPr>
          <w:lang w:eastAsia="zh-CN"/>
        </w:rPr>
        <w:t>ZIP load model</w:t>
      </w:r>
      <w:r w:rsidR="005F6264">
        <w:rPr>
          <w:lang w:eastAsia="zh-CN"/>
        </w:rPr>
        <w:t xml:space="preserve"> </w:t>
      </w:r>
      <w:r>
        <w:rPr>
          <w:lang w:eastAsia="zh-CN"/>
        </w:rPr>
        <w:t xml:space="preserve">is </w:t>
      </w:r>
      <w:r w:rsidR="005F6264">
        <w:rPr>
          <w:lang w:eastAsia="zh-CN"/>
        </w:rPr>
        <w:t>in presence</w:t>
      </w:r>
      <w:r>
        <w:rPr>
          <w:lang w:eastAsia="zh-CN"/>
        </w:rPr>
        <w:t xml:space="preserve">, </w:t>
      </w:r>
      <w:r w:rsidR="00B17789">
        <w:rPr>
          <w:lang w:eastAsia="zh-CN"/>
        </w:rPr>
        <w:t xml:space="preserve">Point </w:t>
      </w:r>
      <w:r>
        <w:rPr>
          <w:lang w:eastAsia="zh-CN"/>
        </w:rPr>
        <w:t xml:space="preserve">B is the collapsing point rather than the maximum power point, A. Point B is the only solution of the power flow equation when </w:t>
      </w:r>
      <w:r w:rsidR="00B17789">
        <w:rPr>
          <w:lang w:eastAsia="zh-CN"/>
        </w:rPr>
        <w:t xml:space="preserve">the </w:t>
      </w:r>
      <w:r>
        <w:rPr>
          <w:lang w:eastAsia="zh-CN"/>
        </w:rPr>
        <w:t xml:space="preserve">loading factor is </w:t>
      </w:r>
      <w:r w:rsidRPr="004D5C85">
        <w:rPr>
          <w:i/>
          <w:lang w:eastAsia="zh-CN"/>
        </w:rPr>
        <w:t>K</w:t>
      </w:r>
      <w:r w:rsidRPr="004D5C85">
        <w:rPr>
          <w:i/>
          <w:vertAlign w:val="subscript"/>
          <w:lang w:eastAsia="zh-CN"/>
        </w:rPr>
        <w:t>3</w:t>
      </w:r>
      <w:r>
        <w:rPr>
          <w:lang w:eastAsia="zh-CN"/>
        </w:rPr>
        <w:t>. Therefore, in Point B, the PV curve and the load characteristics curve (</w:t>
      </w:r>
      <w:r w:rsidRPr="004D5C85">
        <w:rPr>
          <w:i/>
          <w:lang w:eastAsia="zh-CN"/>
        </w:rPr>
        <w:t>K</w:t>
      </w:r>
      <w:r w:rsidRPr="004D5C85">
        <w:rPr>
          <w:i/>
          <w:vertAlign w:val="subscript"/>
          <w:lang w:eastAsia="zh-CN"/>
        </w:rPr>
        <w:t>3</w:t>
      </w:r>
      <w:r>
        <w:rPr>
          <w:lang w:eastAsia="zh-CN"/>
        </w:rPr>
        <w:t>) should have the same tangent line. In all other operating points</w:t>
      </w:r>
      <w:r w:rsidR="009B372E">
        <w:rPr>
          <w:lang w:eastAsia="zh-CN"/>
        </w:rPr>
        <w:t xml:space="preserve"> on this PV curve</w:t>
      </w:r>
      <w:r>
        <w:rPr>
          <w:lang w:eastAsia="zh-CN"/>
        </w:rPr>
        <w:t xml:space="preserve">, this condition </w:t>
      </w:r>
      <w:r w:rsidR="009B372E">
        <w:rPr>
          <w:lang w:eastAsia="zh-CN"/>
        </w:rPr>
        <w:t>is not met.</w:t>
      </w:r>
    </w:p>
    <w:p w14:paraId="75A66874" w14:textId="7FA35712" w:rsidR="009B372E" w:rsidRDefault="005F6264" w:rsidP="00E43268">
      <w:pPr>
        <w:rPr>
          <w:lang w:eastAsia="zh-CN"/>
        </w:rPr>
      </w:pPr>
      <w:r>
        <w:rPr>
          <w:lang w:eastAsia="zh-CN"/>
        </w:rPr>
        <w:t xml:space="preserve">When </w:t>
      </w:r>
      <w:r w:rsidR="001D587F">
        <w:rPr>
          <w:lang w:eastAsia="zh-CN"/>
        </w:rPr>
        <w:t xml:space="preserve">an </w:t>
      </w:r>
      <w:r>
        <w:rPr>
          <w:lang w:eastAsia="zh-CN"/>
        </w:rPr>
        <w:t>exponential load</w:t>
      </w:r>
      <w:r w:rsidR="00800BCA">
        <w:rPr>
          <w:lang w:eastAsia="zh-CN"/>
        </w:rPr>
        <w:t xml:space="preserve"> is considered and</w:t>
      </w:r>
      <w:r>
        <w:rPr>
          <w:lang w:eastAsia="zh-CN"/>
        </w:rPr>
        <w:t xml:space="preserve"> </w:t>
      </w:r>
      <w:r w:rsidRPr="001228AF">
        <w:rPr>
          <w:position w:val="-10"/>
          <w:lang w:eastAsia="zh-CN"/>
        </w:rPr>
        <w:object w:dxaOrig="320" w:dyaOrig="340" w14:anchorId="1FB92DB3">
          <v:shape id="_x0000_i1211" type="#_x0000_t75" style="width:15pt;height:18pt" o:ole="">
            <v:imagedata r:id="rId373" o:title=""/>
          </v:shape>
          <o:OLEObject Type="Embed" ProgID="Equation.3" ShapeID="_x0000_i1211" DrawAspect="Content" ObjectID="_1532825769" r:id="rId384"/>
        </w:object>
      </w:r>
      <w:r>
        <w:rPr>
          <w:lang w:eastAsia="zh-CN"/>
        </w:rPr>
        <w:t xml:space="preserve"> </w:t>
      </w:r>
      <w:r w:rsidR="00800BCA">
        <w:rPr>
          <w:lang w:eastAsia="zh-CN"/>
        </w:rPr>
        <w:t xml:space="preserve">is </w:t>
      </w:r>
      <w:r>
        <w:rPr>
          <w:lang w:eastAsia="zh-CN"/>
        </w:rPr>
        <w:t xml:space="preserve">in the range of (0, 1), Point B in </w:t>
      </w:r>
      <w:r>
        <w:rPr>
          <w:lang w:eastAsia="zh-CN"/>
        </w:rPr>
        <w:fldChar w:fldCharType="begin"/>
      </w:r>
      <w:r>
        <w:rPr>
          <w:lang w:eastAsia="zh-CN"/>
        </w:rPr>
        <w:instrText xml:space="preserve"> REF _Ref457761466 \h </w:instrText>
      </w:r>
      <w:r>
        <w:rPr>
          <w:lang w:eastAsia="zh-CN"/>
        </w:rPr>
      </w:r>
      <w:r>
        <w:rPr>
          <w:lang w:eastAsia="zh-CN"/>
        </w:rPr>
        <w:fldChar w:fldCharType="separate"/>
      </w:r>
      <w:r>
        <w:t xml:space="preserve">Figure </w:t>
      </w:r>
      <w:r>
        <w:rPr>
          <w:noProof/>
        </w:rPr>
        <w:t>50</w:t>
      </w:r>
      <w:r>
        <w:rPr>
          <w:lang w:eastAsia="zh-CN"/>
        </w:rPr>
        <w:fldChar w:fldCharType="end"/>
      </w:r>
      <w:r>
        <w:rPr>
          <w:lang w:eastAsia="zh-CN"/>
        </w:rPr>
        <w:t>(b) is the collapsing point rather than the maximum power point. Similar to the situation of ZIP load, in Point B</w:t>
      </w:r>
      <w:r w:rsidR="00E01A87">
        <w:rPr>
          <w:lang w:eastAsia="zh-CN"/>
        </w:rPr>
        <w:t xml:space="preserve"> and only in Point B</w:t>
      </w:r>
      <w:r>
        <w:rPr>
          <w:lang w:eastAsia="zh-CN"/>
        </w:rPr>
        <w:t>, the PV curve and the load characteristics curve should</w:t>
      </w:r>
      <w:r w:rsidR="00800BCA">
        <w:rPr>
          <w:lang w:eastAsia="zh-CN"/>
        </w:rPr>
        <w:t xml:space="preserve"> </w:t>
      </w:r>
      <w:r w:rsidR="00E01A87">
        <w:rPr>
          <w:lang w:eastAsia="zh-CN"/>
        </w:rPr>
        <w:t>share</w:t>
      </w:r>
      <w:r>
        <w:rPr>
          <w:lang w:eastAsia="zh-CN"/>
        </w:rPr>
        <w:t xml:space="preserve"> the same tangent line.</w:t>
      </w:r>
    </w:p>
    <w:p w14:paraId="0C022E64" w14:textId="151D9A3D" w:rsidR="00BB4F14" w:rsidRDefault="009B372E" w:rsidP="00E43268">
      <w:pPr>
        <w:rPr>
          <w:lang w:eastAsia="zh-CN"/>
        </w:rPr>
      </w:pPr>
      <w:r>
        <w:rPr>
          <w:lang w:eastAsia="zh-CN"/>
        </w:rPr>
        <w:lastRenderedPageBreak/>
        <w:t xml:space="preserve">Essentially, the gradient of the tangent line in the PV plane describes the sensitivity between </w:t>
      </w:r>
      <w:r w:rsidRPr="00800BCA">
        <w:rPr>
          <w:i/>
          <w:lang w:eastAsia="zh-CN"/>
        </w:rPr>
        <w:t>P</w:t>
      </w:r>
      <w:r>
        <w:rPr>
          <w:lang w:eastAsia="zh-CN"/>
        </w:rPr>
        <w:t xml:space="preserve"> and </w:t>
      </w:r>
      <w:r w:rsidRPr="00800BCA">
        <w:rPr>
          <w:i/>
          <w:lang w:eastAsia="zh-CN"/>
        </w:rPr>
        <w:t>V</w:t>
      </w:r>
      <w:r>
        <w:rPr>
          <w:lang w:eastAsia="zh-CN"/>
        </w:rPr>
        <w:t xml:space="preserve">. In this study, the sensitivity of </w:t>
      </w:r>
      <w:r w:rsidRPr="00800BCA">
        <w:rPr>
          <w:i/>
          <w:lang w:eastAsia="zh-CN"/>
        </w:rPr>
        <w:t>P</w:t>
      </w:r>
      <w:r>
        <w:rPr>
          <w:lang w:eastAsia="zh-CN"/>
        </w:rPr>
        <w:t xml:space="preserve"> to </w:t>
      </w:r>
      <w:r w:rsidRPr="00800BCA">
        <w:rPr>
          <w:i/>
          <w:lang w:eastAsia="zh-CN"/>
        </w:rPr>
        <w:t>V</w:t>
      </w:r>
      <w:r>
        <w:rPr>
          <w:lang w:eastAsia="zh-CN"/>
        </w:rPr>
        <w:t>, i.e.</w:t>
      </w:r>
      <w:r w:rsidR="001D587F">
        <w:rPr>
          <w:lang w:eastAsia="zh-CN"/>
        </w:rPr>
        <w:t>,</w:t>
      </w:r>
      <w:r>
        <w:rPr>
          <w:lang w:eastAsia="zh-CN"/>
        </w:rPr>
        <w:t xml:space="preserve"> </w:t>
      </w:r>
      <w:r w:rsidRPr="009B372E">
        <w:rPr>
          <w:position w:val="-6"/>
          <w:lang w:eastAsia="zh-CN"/>
        </w:rPr>
        <w:object w:dxaOrig="800" w:dyaOrig="279" w14:anchorId="1E1AF589">
          <v:shape id="_x0000_i1212" type="#_x0000_t75" style="width:40.5pt;height:15pt" o:ole="">
            <v:imagedata r:id="rId385" o:title=""/>
          </v:shape>
          <o:OLEObject Type="Embed" ProgID="Equation.DSMT4" ShapeID="_x0000_i1212" DrawAspect="Content" ObjectID="_1532825770" r:id="rId386"/>
        </w:object>
      </w:r>
      <w:r w:rsidR="00E01A87">
        <w:rPr>
          <w:lang w:eastAsia="zh-CN"/>
        </w:rPr>
        <w:t>, is used instead of</w:t>
      </w:r>
      <w:r>
        <w:rPr>
          <w:lang w:eastAsia="zh-CN"/>
        </w:rPr>
        <w:t xml:space="preserve"> </w:t>
      </w:r>
      <w:r w:rsidRPr="009B372E">
        <w:rPr>
          <w:position w:val="-6"/>
          <w:lang w:eastAsia="zh-CN"/>
        </w:rPr>
        <w:object w:dxaOrig="800" w:dyaOrig="279" w14:anchorId="0B4A4384">
          <v:shape id="_x0000_i1213" type="#_x0000_t75" style="width:40.5pt;height:15pt" o:ole="">
            <v:imagedata r:id="rId387" o:title=""/>
          </v:shape>
          <o:OLEObject Type="Embed" ProgID="Equation.DSMT4" ShapeID="_x0000_i1213" DrawAspect="Content" ObjectID="_1532825771" r:id="rId388"/>
        </w:object>
      </w:r>
      <w:r>
        <w:rPr>
          <w:lang w:eastAsia="zh-CN"/>
        </w:rPr>
        <w:t xml:space="preserve">. One of the consideration is that </w:t>
      </w:r>
      <w:r w:rsidRPr="009B372E">
        <w:rPr>
          <w:position w:val="-6"/>
          <w:lang w:eastAsia="zh-CN"/>
        </w:rPr>
        <w:object w:dxaOrig="800" w:dyaOrig="279" w14:anchorId="3B0CE204">
          <v:shape id="_x0000_i1214" type="#_x0000_t75" style="width:40.5pt;height:15pt" o:ole="">
            <v:imagedata r:id="rId387" o:title=""/>
          </v:shape>
          <o:OLEObject Type="Embed" ProgID="Equation.DSMT4" ShapeID="_x0000_i1214" DrawAspect="Content" ObjectID="_1532825772" r:id="rId389"/>
        </w:object>
      </w:r>
      <w:r>
        <w:rPr>
          <w:lang w:eastAsia="zh-CN"/>
        </w:rPr>
        <w:t xml:space="preserve"> will be infinite at the maximum point A while </w:t>
      </w:r>
      <w:r w:rsidRPr="009B372E">
        <w:rPr>
          <w:position w:val="-6"/>
          <w:lang w:eastAsia="zh-CN"/>
        </w:rPr>
        <w:object w:dxaOrig="800" w:dyaOrig="279" w14:anchorId="78477CBB">
          <v:shape id="_x0000_i1215" type="#_x0000_t75" style="width:40.5pt;height:15pt" o:ole="">
            <v:imagedata r:id="rId385" o:title=""/>
          </v:shape>
          <o:OLEObject Type="Embed" ProgID="Equation.DSMT4" ShapeID="_x0000_i1215" DrawAspect="Content" ObjectID="_1532825773" r:id="rId390"/>
        </w:object>
      </w:r>
      <w:r>
        <w:rPr>
          <w:lang w:eastAsia="zh-CN"/>
        </w:rPr>
        <w:t xml:space="preserve">is zero and can increase continuously across zero when </w:t>
      </w:r>
      <w:r w:rsidR="001D587F">
        <w:rPr>
          <w:lang w:eastAsia="zh-CN"/>
        </w:rPr>
        <w:t xml:space="preserve">the </w:t>
      </w:r>
      <w:r>
        <w:rPr>
          <w:lang w:eastAsia="zh-CN"/>
        </w:rPr>
        <w:t>loading factor increases.</w:t>
      </w:r>
    </w:p>
    <w:p w14:paraId="4ABA7CBB" w14:textId="2BB2C13F" w:rsidR="00E43268" w:rsidRDefault="00BB4F14" w:rsidP="003D1460">
      <w:pPr>
        <w:spacing w:after="240"/>
        <w:rPr>
          <w:lang w:eastAsia="zh-CN"/>
        </w:rPr>
      </w:pPr>
      <w:r>
        <w:rPr>
          <w:lang w:eastAsia="zh-CN"/>
        </w:rPr>
        <w:t xml:space="preserve">In the collapsing point B, the sensitivity of </w:t>
      </w:r>
      <w:r w:rsidRPr="009B372E">
        <w:rPr>
          <w:position w:val="-6"/>
          <w:lang w:eastAsia="zh-CN"/>
        </w:rPr>
        <w:object w:dxaOrig="800" w:dyaOrig="279" w14:anchorId="6989047F">
          <v:shape id="_x0000_i1216" type="#_x0000_t75" style="width:40.5pt;height:15pt" o:ole="">
            <v:imagedata r:id="rId385" o:title=""/>
          </v:shape>
          <o:OLEObject Type="Embed" ProgID="Equation.DSMT4" ShapeID="_x0000_i1216" DrawAspect="Content" ObjectID="_1532825774" r:id="rId391"/>
        </w:object>
      </w:r>
      <w:r>
        <w:rPr>
          <w:lang w:eastAsia="zh-CN"/>
        </w:rPr>
        <w:t xml:space="preserve">from the PV curve should equal to the </w:t>
      </w:r>
      <w:r w:rsidRPr="009B372E">
        <w:rPr>
          <w:position w:val="-6"/>
          <w:lang w:eastAsia="zh-CN"/>
        </w:rPr>
        <w:object w:dxaOrig="800" w:dyaOrig="279" w14:anchorId="487E7200">
          <v:shape id="_x0000_i1217" type="#_x0000_t75" style="width:40.5pt;height:15pt" o:ole="">
            <v:imagedata r:id="rId385" o:title=""/>
          </v:shape>
          <o:OLEObject Type="Embed" ProgID="Equation.DSMT4" ShapeID="_x0000_i1217" DrawAspect="Content" ObjectID="_1532825775" r:id="rId392"/>
        </w:object>
      </w:r>
      <w:r>
        <w:rPr>
          <w:lang w:eastAsia="zh-CN"/>
        </w:rPr>
        <w:t xml:space="preserve">from the load characteristic curve. For a load bus modelled as ZIP load, the Thevenin equivalent circuit can be calculated as mentioned in </w:t>
      </w:r>
      <w:r w:rsidR="001D587F">
        <w:rPr>
          <w:lang w:eastAsia="zh-CN"/>
        </w:rPr>
        <w:t xml:space="preserve">the </w:t>
      </w:r>
      <w:r>
        <w:rPr>
          <w:lang w:eastAsia="zh-CN"/>
        </w:rPr>
        <w:t xml:space="preserve">previous chapters and can be represented in </w:t>
      </w:r>
      <w:r>
        <w:rPr>
          <w:lang w:eastAsia="zh-CN"/>
        </w:rPr>
        <w:fldChar w:fldCharType="begin"/>
      </w:r>
      <w:r>
        <w:rPr>
          <w:lang w:eastAsia="zh-CN"/>
        </w:rPr>
        <w:instrText xml:space="preserve"> REF _Ref457120214 \h </w:instrText>
      </w:r>
      <w:r>
        <w:rPr>
          <w:lang w:eastAsia="zh-CN"/>
        </w:rPr>
      </w:r>
      <w:r>
        <w:rPr>
          <w:lang w:eastAsia="zh-CN"/>
        </w:rPr>
        <w:fldChar w:fldCharType="separate"/>
      </w:r>
      <w:r w:rsidR="00800BCA">
        <w:t xml:space="preserve">Figure </w:t>
      </w:r>
      <w:r w:rsidR="00800BCA">
        <w:rPr>
          <w:noProof/>
        </w:rPr>
        <w:t>51</w:t>
      </w:r>
      <w:r>
        <w:rPr>
          <w:lang w:eastAsia="zh-CN"/>
        </w:rPr>
        <w:fldChar w:fldCharType="end"/>
      </w:r>
      <w:r>
        <w:rPr>
          <w:lang w:eastAsia="zh-CN"/>
        </w:rPr>
        <w:t xml:space="preserve">. </w:t>
      </w:r>
      <w:r w:rsidRPr="009B372E">
        <w:rPr>
          <w:position w:val="-6"/>
          <w:lang w:eastAsia="zh-CN"/>
        </w:rPr>
        <w:object w:dxaOrig="800" w:dyaOrig="279" w14:anchorId="35E83920">
          <v:shape id="_x0000_i1218" type="#_x0000_t75" style="width:40.5pt;height:15pt" o:ole="">
            <v:imagedata r:id="rId385" o:title=""/>
          </v:shape>
          <o:OLEObject Type="Embed" ProgID="Equation.DSMT4" ShapeID="_x0000_i1218" DrawAspect="Content" ObjectID="_1532825776" r:id="rId393"/>
        </w:object>
      </w:r>
      <w:r>
        <w:rPr>
          <w:lang w:eastAsia="zh-CN"/>
        </w:rPr>
        <w:t xml:space="preserve">of the PV curve can be calculated based on the Thevenin equivalent to the left of the load bus. </w:t>
      </w:r>
    </w:p>
    <w:p w14:paraId="6F4FF9EE" w14:textId="24414468" w:rsidR="009B372E" w:rsidRDefault="003D1460" w:rsidP="009B372E">
      <w:pPr>
        <w:spacing w:line="240" w:lineRule="auto"/>
        <w:ind w:firstLine="0"/>
        <w:jc w:val="center"/>
      </w:pPr>
      <w:r>
        <w:object w:dxaOrig="4081" w:dyaOrig="1669" w14:anchorId="28E45346">
          <v:shape id="_x0000_i1219" type="#_x0000_t75" style="width:241.5pt;height:99pt" o:ole="">
            <v:imagedata r:id="rId394" o:title=""/>
          </v:shape>
          <o:OLEObject Type="Embed" ProgID="Visio.Drawing.15" ShapeID="_x0000_i1219" DrawAspect="Content" ObjectID="_1532825777" r:id="rId395"/>
        </w:object>
      </w:r>
    </w:p>
    <w:p w14:paraId="5802CA5E" w14:textId="77777777" w:rsidR="003D1460" w:rsidRDefault="003D1460" w:rsidP="009B372E">
      <w:pPr>
        <w:spacing w:line="240" w:lineRule="auto"/>
        <w:ind w:firstLine="0"/>
        <w:jc w:val="center"/>
      </w:pPr>
    </w:p>
    <w:p w14:paraId="6A342428" w14:textId="77777777" w:rsidR="009B372E" w:rsidRDefault="009B372E" w:rsidP="009D0201">
      <w:pPr>
        <w:pStyle w:val="Caption"/>
      </w:pPr>
      <w:bookmarkStart w:id="204" w:name="_Ref457120214"/>
      <w:bookmarkStart w:id="205" w:name="_Toc459076502"/>
      <w:r>
        <w:t xml:space="preserve">Figure </w:t>
      </w:r>
      <w:fldSimple w:instr=" SEQ Figure \* ARABIC ">
        <w:r w:rsidR="00B0208A">
          <w:rPr>
            <w:noProof/>
          </w:rPr>
          <w:t>51</w:t>
        </w:r>
      </w:fldSimple>
      <w:bookmarkEnd w:id="204"/>
      <w:r>
        <w:t>. Equivalent circuit of a ZIP load bus.</w:t>
      </w:r>
      <w:bookmarkEnd w:id="205"/>
    </w:p>
    <w:p w14:paraId="6D5C06BE" w14:textId="77777777" w:rsidR="00BB4F14" w:rsidRDefault="00BB4F14" w:rsidP="003D1460">
      <w:pPr>
        <w:spacing w:before="480"/>
      </w:pPr>
      <w:r>
        <w:t xml:space="preserve">In Chapter 5, it is derived that </w:t>
      </w:r>
      <w:r w:rsidRPr="00800BCA">
        <w:rPr>
          <w:i/>
        </w:rPr>
        <w:t>P</w:t>
      </w:r>
      <w:r>
        <w:t xml:space="preserve"> and </w:t>
      </w:r>
      <w:r w:rsidRPr="00800BCA">
        <w:rPr>
          <w:i/>
        </w:rPr>
        <w:t>V</w:t>
      </w:r>
      <w:r>
        <w:t xml:space="preserve"> of the load bus shall satisfy the following equation:</w:t>
      </w:r>
    </w:p>
    <w:p w14:paraId="7E7B9CA8" w14:textId="77777777" w:rsidR="00383BC5" w:rsidRDefault="00383BC5" w:rsidP="00383BC5">
      <w:pPr>
        <w:jc w:val="right"/>
        <w:rPr>
          <w:lang w:eastAsia="zh-CN"/>
        </w:rPr>
      </w:pPr>
      <w:r w:rsidRPr="00383BC5">
        <w:rPr>
          <w:position w:val="-16"/>
          <w:lang w:eastAsia="zh-CN"/>
        </w:rPr>
        <w:object w:dxaOrig="6100" w:dyaOrig="440" w14:anchorId="5A5B6551">
          <v:shape id="_x0000_i1027" type="#_x0000_t75" style="width:306pt;height:22.5pt" o:ole="">
            <v:imagedata r:id="rId396" o:title=""/>
          </v:shape>
          <o:OLEObject Type="Embed" ProgID="Equation.DSMT4" ShapeID="_x0000_i1027" DrawAspect="Content" ObjectID="_1532825778" r:id="rId397"/>
        </w:object>
      </w:r>
      <w:r>
        <w:rPr>
          <w:lang w:eastAsia="zh-CN"/>
        </w:rPr>
        <w:tab/>
        <w:t>(7-</w:t>
      </w:r>
      <w:r w:rsidR="00800BCA">
        <w:rPr>
          <w:lang w:eastAsia="zh-CN"/>
        </w:rPr>
        <w:t>5</w:t>
      </w:r>
      <w:r>
        <w:rPr>
          <w:lang w:eastAsia="zh-CN"/>
        </w:rPr>
        <w:t>)</w:t>
      </w:r>
    </w:p>
    <w:p w14:paraId="6735E020" w14:textId="4E7EDDE8" w:rsidR="00383BC5" w:rsidRPr="00383BC5" w:rsidRDefault="001D587F" w:rsidP="00383BC5">
      <w:pPr>
        <w:jc w:val="left"/>
        <w:rPr>
          <w:lang w:eastAsia="zh-CN"/>
        </w:rPr>
      </w:pPr>
      <w:r>
        <w:rPr>
          <w:lang w:eastAsia="zh-CN"/>
        </w:rPr>
        <w:t>If we take</w:t>
      </w:r>
      <w:r w:rsidR="00383BC5">
        <w:rPr>
          <w:lang w:eastAsia="zh-CN"/>
        </w:rPr>
        <w:t xml:space="preserve"> </w:t>
      </w:r>
      <w:r>
        <w:rPr>
          <w:lang w:eastAsia="zh-CN"/>
        </w:rPr>
        <w:t xml:space="preserve">the </w:t>
      </w:r>
      <w:r w:rsidR="00383BC5">
        <w:rPr>
          <w:lang w:eastAsia="zh-CN"/>
        </w:rPr>
        <w:t xml:space="preserve">derivative of </w:t>
      </w:r>
      <w:r w:rsidR="00383BC5" w:rsidRPr="00383BC5">
        <w:rPr>
          <w:i/>
          <w:lang w:eastAsia="zh-CN"/>
        </w:rPr>
        <w:t>V</w:t>
      </w:r>
      <w:r w:rsidR="00383BC5">
        <w:rPr>
          <w:lang w:eastAsia="zh-CN"/>
        </w:rPr>
        <w:t xml:space="preserve"> to both size of the equation in (7-</w:t>
      </w:r>
      <w:r w:rsidR="00800BCA">
        <w:rPr>
          <w:lang w:eastAsia="zh-CN"/>
        </w:rPr>
        <w:t>5</w:t>
      </w:r>
      <w:r w:rsidR="00383BC5">
        <w:rPr>
          <w:lang w:eastAsia="zh-CN"/>
        </w:rPr>
        <w:t xml:space="preserve">), </w:t>
      </w:r>
      <w:r w:rsidR="00383BC5" w:rsidRPr="009B372E">
        <w:rPr>
          <w:position w:val="-6"/>
          <w:lang w:eastAsia="zh-CN"/>
        </w:rPr>
        <w:object w:dxaOrig="800" w:dyaOrig="279" w14:anchorId="7F4AB9CD">
          <v:shape id="_x0000_i1028" type="#_x0000_t75" style="width:40.5pt;height:15pt" o:ole="">
            <v:imagedata r:id="rId385" o:title=""/>
          </v:shape>
          <o:OLEObject Type="Embed" ProgID="Equation.DSMT4" ShapeID="_x0000_i1028" DrawAspect="Content" ObjectID="_1532825779" r:id="rId398"/>
        </w:object>
      </w:r>
      <w:r w:rsidR="00383BC5">
        <w:rPr>
          <w:lang w:eastAsia="zh-CN"/>
        </w:rPr>
        <w:t>of the PV curve can be calculated as</w:t>
      </w:r>
    </w:p>
    <w:p w14:paraId="18E418A6" w14:textId="77777777" w:rsidR="00383BC5" w:rsidRDefault="00383BC5" w:rsidP="00383BC5">
      <w:pPr>
        <w:jc w:val="right"/>
        <w:rPr>
          <w:lang w:eastAsia="zh-CN"/>
        </w:rPr>
      </w:pPr>
      <w:r w:rsidRPr="00383BC5">
        <w:rPr>
          <w:position w:val="-32"/>
          <w:lang w:eastAsia="zh-CN"/>
        </w:rPr>
        <w:object w:dxaOrig="4099" w:dyaOrig="760" w14:anchorId="70C6E475">
          <v:shape id="_x0000_i1029" type="#_x0000_t75" style="width:204pt;height:39pt" o:ole="">
            <v:imagedata r:id="rId399" o:title=""/>
          </v:shape>
          <o:OLEObject Type="Embed" ProgID="Equation.DSMT4" ShapeID="_x0000_i1029" DrawAspect="Content" ObjectID="_1532825780" r:id="rId400"/>
        </w:object>
      </w:r>
      <w:r>
        <w:rPr>
          <w:lang w:eastAsia="zh-CN"/>
        </w:rPr>
        <w:tab/>
      </w:r>
      <w:r>
        <w:rPr>
          <w:lang w:eastAsia="zh-CN"/>
        </w:rPr>
        <w:tab/>
      </w:r>
      <w:r>
        <w:rPr>
          <w:lang w:eastAsia="zh-CN"/>
        </w:rPr>
        <w:tab/>
        <w:t>(7-</w:t>
      </w:r>
      <w:r w:rsidR="00800BCA">
        <w:rPr>
          <w:lang w:eastAsia="zh-CN"/>
        </w:rPr>
        <w:t>6</w:t>
      </w:r>
      <w:r>
        <w:rPr>
          <w:lang w:eastAsia="zh-CN"/>
        </w:rPr>
        <w:t>)</w:t>
      </w:r>
    </w:p>
    <w:p w14:paraId="019256CD" w14:textId="56AB83E2" w:rsidR="00383BC5" w:rsidRDefault="00383BC5" w:rsidP="00DC4B18">
      <w:pPr>
        <w:rPr>
          <w:lang w:eastAsia="zh-CN"/>
        </w:rPr>
      </w:pPr>
      <w:r>
        <w:rPr>
          <w:lang w:eastAsia="zh-CN"/>
        </w:rPr>
        <w:t>On the other hand,</w:t>
      </w:r>
      <w:r w:rsidRPr="00383BC5">
        <w:rPr>
          <w:lang w:eastAsia="zh-CN"/>
        </w:rPr>
        <w:t xml:space="preserve"> </w:t>
      </w:r>
      <w:r w:rsidRPr="009B372E">
        <w:rPr>
          <w:position w:val="-6"/>
          <w:lang w:eastAsia="zh-CN"/>
        </w:rPr>
        <w:object w:dxaOrig="800" w:dyaOrig="279" w14:anchorId="1937476E">
          <v:shape id="_x0000_i1030" type="#_x0000_t75" style="width:40.5pt;height:15pt" o:ole="">
            <v:imagedata r:id="rId385" o:title=""/>
          </v:shape>
          <o:OLEObject Type="Embed" ProgID="Equation.DSMT4" ShapeID="_x0000_i1030" DrawAspect="Content" ObjectID="_1532825781" r:id="rId401"/>
        </w:object>
      </w:r>
      <w:r w:rsidR="00800BCA">
        <w:rPr>
          <w:lang w:eastAsia="zh-CN"/>
        </w:rPr>
        <w:t>of</w:t>
      </w:r>
      <w:r>
        <w:rPr>
          <w:lang w:eastAsia="zh-CN"/>
        </w:rPr>
        <w:t xml:space="preserve"> </w:t>
      </w:r>
      <w:r w:rsidR="001D587F">
        <w:rPr>
          <w:lang w:eastAsia="zh-CN"/>
        </w:rPr>
        <w:t xml:space="preserve">the </w:t>
      </w:r>
      <w:r w:rsidR="00800BCA">
        <w:rPr>
          <w:lang w:eastAsia="zh-CN"/>
        </w:rPr>
        <w:t xml:space="preserve">ZIP </w:t>
      </w:r>
      <w:r>
        <w:rPr>
          <w:lang w:eastAsia="zh-CN"/>
        </w:rPr>
        <w:t>load characteristics can be easily derived from (7-1)</w:t>
      </w:r>
      <w:r w:rsidR="001D587F">
        <w:rPr>
          <w:lang w:eastAsia="zh-CN"/>
        </w:rPr>
        <w:t>. This is given by</w:t>
      </w:r>
      <w:r w:rsidR="00800BCA">
        <w:rPr>
          <w:lang w:eastAsia="zh-CN"/>
        </w:rPr>
        <w:t xml:space="preserve"> </w:t>
      </w:r>
      <w:r>
        <w:rPr>
          <w:lang w:eastAsia="zh-CN"/>
        </w:rPr>
        <w:t>:</w:t>
      </w:r>
    </w:p>
    <w:p w14:paraId="66189651" w14:textId="77777777" w:rsidR="00383BC5" w:rsidRDefault="00383BC5" w:rsidP="00383BC5">
      <w:pPr>
        <w:jc w:val="right"/>
        <w:rPr>
          <w:lang w:eastAsia="zh-CN"/>
        </w:rPr>
      </w:pPr>
      <w:r w:rsidRPr="00383BC5">
        <w:rPr>
          <w:position w:val="-30"/>
          <w:lang w:eastAsia="zh-CN"/>
        </w:rPr>
        <w:object w:dxaOrig="1860" w:dyaOrig="680" w14:anchorId="78BC023A">
          <v:shape id="_x0000_i1031" type="#_x0000_t75" style="width:93pt;height:34.5pt" o:ole="">
            <v:imagedata r:id="rId402" o:title=""/>
          </v:shape>
          <o:OLEObject Type="Embed" ProgID="Equation.DSMT4" ShapeID="_x0000_i1031" DrawAspect="Content" ObjectID="_1532825782" r:id="rId403"/>
        </w:object>
      </w:r>
      <w:r>
        <w:rPr>
          <w:lang w:eastAsia="zh-CN"/>
        </w:rPr>
        <w:tab/>
      </w:r>
      <w:r>
        <w:rPr>
          <w:lang w:eastAsia="zh-CN"/>
        </w:rPr>
        <w:tab/>
      </w:r>
      <w:r>
        <w:rPr>
          <w:lang w:eastAsia="zh-CN"/>
        </w:rPr>
        <w:tab/>
      </w:r>
      <w:r>
        <w:rPr>
          <w:lang w:eastAsia="zh-CN"/>
        </w:rPr>
        <w:tab/>
      </w:r>
      <w:r>
        <w:rPr>
          <w:lang w:eastAsia="zh-CN"/>
        </w:rPr>
        <w:tab/>
        <w:t>(7-</w:t>
      </w:r>
      <w:r w:rsidR="00800BCA">
        <w:rPr>
          <w:lang w:eastAsia="zh-CN"/>
        </w:rPr>
        <w:t>7</w:t>
      </w:r>
      <w:r>
        <w:rPr>
          <w:lang w:eastAsia="zh-CN"/>
        </w:rPr>
        <w:t>)</w:t>
      </w:r>
    </w:p>
    <w:p w14:paraId="584B82D5" w14:textId="3A5724C8" w:rsidR="00800BCA" w:rsidRDefault="001D587F" w:rsidP="00800BCA">
      <w:pPr>
        <w:rPr>
          <w:lang w:eastAsia="zh-CN"/>
        </w:rPr>
      </w:pPr>
      <w:r>
        <w:rPr>
          <w:lang w:eastAsia="zh-CN"/>
        </w:rPr>
        <w:t xml:space="preserve">Here, </w:t>
      </w:r>
      <w:r w:rsidR="00800BCA" w:rsidRPr="009B372E">
        <w:rPr>
          <w:position w:val="-6"/>
          <w:lang w:eastAsia="zh-CN"/>
        </w:rPr>
        <w:object w:dxaOrig="800" w:dyaOrig="279" w14:anchorId="5FAE5EE8">
          <v:shape id="_x0000_i1032" type="#_x0000_t75" style="width:40.5pt;height:15pt" o:ole="">
            <v:imagedata r:id="rId385" o:title=""/>
          </v:shape>
          <o:OLEObject Type="Embed" ProgID="Equation.DSMT4" ShapeID="_x0000_i1032" DrawAspect="Content" ObjectID="_1532825783" r:id="rId404"/>
        </w:object>
      </w:r>
      <w:r w:rsidR="00800BCA">
        <w:rPr>
          <w:lang w:eastAsia="zh-CN"/>
        </w:rPr>
        <w:t xml:space="preserve">of </w:t>
      </w:r>
      <w:r>
        <w:rPr>
          <w:lang w:eastAsia="zh-CN"/>
        </w:rPr>
        <w:t xml:space="preserve">the </w:t>
      </w:r>
      <w:r w:rsidR="00800BCA">
        <w:rPr>
          <w:lang w:eastAsia="zh-CN"/>
        </w:rPr>
        <w:t>exponential load characteristics can be easily derived from (7-3)</w:t>
      </w:r>
      <w:r>
        <w:rPr>
          <w:lang w:eastAsia="zh-CN"/>
        </w:rPr>
        <w:t>. This is given by</w:t>
      </w:r>
      <w:r w:rsidR="00800BCA">
        <w:rPr>
          <w:lang w:eastAsia="zh-CN"/>
        </w:rPr>
        <w:t>:</w:t>
      </w:r>
    </w:p>
    <w:p w14:paraId="63E70FC6" w14:textId="77777777" w:rsidR="00800BCA" w:rsidRDefault="00800BCA" w:rsidP="00800BCA">
      <w:pPr>
        <w:jc w:val="right"/>
        <w:rPr>
          <w:lang w:eastAsia="zh-CN"/>
        </w:rPr>
      </w:pPr>
      <w:r w:rsidRPr="00800BCA">
        <w:rPr>
          <w:position w:val="-30"/>
          <w:lang w:eastAsia="zh-CN"/>
        </w:rPr>
        <w:object w:dxaOrig="1880" w:dyaOrig="680" w14:anchorId="3F7BE397">
          <v:shape id="_x0000_i1033" type="#_x0000_t75" style="width:103.5pt;height:39pt" o:ole="">
            <v:imagedata r:id="rId405" o:title=""/>
          </v:shape>
          <o:OLEObject Type="Embed" ProgID="Equation.3" ShapeID="_x0000_i1033" DrawAspect="Content" ObjectID="_1532825784" r:id="rId406"/>
        </w:object>
      </w:r>
      <w:r>
        <w:rPr>
          <w:lang w:eastAsia="zh-CN"/>
        </w:rPr>
        <w:tab/>
      </w:r>
      <w:r>
        <w:rPr>
          <w:lang w:eastAsia="zh-CN"/>
        </w:rPr>
        <w:tab/>
      </w:r>
      <w:r>
        <w:rPr>
          <w:lang w:eastAsia="zh-CN"/>
        </w:rPr>
        <w:tab/>
      </w:r>
      <w:r>
        <w:rPr>
          <w:lang w:eastAsia="zh-CN"/>
        </w:rPr>
        <w:tab/>
      </w:r>
      <w:r>
        <w:rPr>
          <w:lang w:eastAsia="zh-CN"/>
        </w:rPr>
        <w:tab/>
        <w:t>(7-8)</w:t>
      </w:r>
    </w:p>
    <w:p w14:paraId="32551C70" w14:textId="511F12BE" w:rsidR="00383BC5" w:rsidRDefault="00DC4B18" w:rsidP="00DC4B18">
      <w:pPr>
        <w:rPr>
          <w:lang w:eastAsia="zh-CN"/>
        </w:rPr>
      </w:pPr>
      <w:r>
        <w:rPr>
          <w:lang w:eastAsia="zh-CN"/>
        </w:rPr>
        <w:t xml:space="preserve">As explained earlier, </w:t>
      </w:r>
      <w:r w:rsidR="00800BCA">
        <w:rPr>
          <w:lang w:eastAsia="zh-CN"/>
        </w:rPr>
        <w:t xml:space="preserve">at the collapsing point B, </w:t>
      </w:r>
      <w:r>
        <w:rPr>
          <w:lang w:eastAsia="zh-CN"/>
        </w:rPr>
        <w:t>the sensitivity calculated using (7-</w:t>
      </w:r>
      <w:r w:rsidR="00800BCA">
        <w:rPr>
          <w:lang w:eastAsia="zh-CN"/>
        </w:rPr>
        <w:t>6</w:t>
      </w:r>
      <w:r>
        <w:rPr>
          <w:lang w:eastAsia="zh-CN"/>
        </w:rPr>
        <w:t xml:space="preserve">) </w:t>
      </w:r>
      <w:r w:rsidR="00800BCA">
        <w:rPr>
          <w:lang w:eastAsia="zh-CN"/>
        </w:rPr>
        <w:t>should equal to the sensitivity in</w:t>
      </w:r>
      <w:r>
        <w:rPr>
          <w:lang w:eastAsia="zh-CN"/>
        </w:rPr>
        <w:t xml:space="preserve"> (7-</w:t>
      </w:r>
      <w:r w:rsidR="00800BCA">
        <w:rPr>
          <w:lang w:eastAsia="zh-CN"/>
        </w:rPr>
        <w:t>7</w:t>
      </w:r>
      <w:r>
        <w:rPr>
          <w:lang w:eastAsia="zh-CN"/>
        </w:rPr>
        <w:t>)</w:t>
      </w:r>
      <w:r w:rsidR="00800BCA">
        <w:rPr>
          <w:lang w:eastAsia="zh-CN"/>
        </w:rPr>
        <w:t xml:space="preserve"> when </w:t>
      </w:r>
      <w:r w:rsidR="001D587F">
        <w:rPr>
          <w:lang w:eastAsia="zh-CN"/>
        </w:rPr>
        <w:t xml:space="preserve">the </w:t>
      </w:r>
      <w:r w:rsidR="00800BCA">
        <w:rPr>
          <w:lang w:eastAsia="zh-CN"/>
        </w:rPr>
        <w:t>ZIP load model is used or should equal to the sensitivity in (7-8)</w:t>
      </w:r>
      <w:r>
        <w:rPr>
          <w:lang w:eastAsia="zh-CN"/>
        </w:rPr>
        <w:t xml:space="preserve"> </w:t>
      </w:r>
      <w:r w:rsidR="00800BCA">
        <w:rPr>
          <w:lang w:eastAsia="zh-CN"/>
        </w:rPr>
        <w:t xml:space="preserve">when </w:t>
      </w:r>
      <w:r w:rsidR="001D587F">
        <w:rPr>
          <w:lang w:eastAsia="zh-CN"/>
        </w:rPr>
        <w:t xml:space="preserve">the </w:t>
      </w:r>
      <w:r w:rsidR="00800BCA">
        <w:rPr>
          <w:lang w:eastAsia="zh-CN"/>
        </w:rPr>
        <w:t xml:space="preserve">exponential load </w:t>
      </w:r>
      <w:r w:rsidR="001D587F">
        <w:rPr>
          <w:lang w:eastAsia="zh-CN"/>
        </w:rPr>
        <w:t xml:space="preserve">model </w:t>
      </w:r>
      <w:r w:rsidR="00800BCA">
        <w:rPr>
          <w:lang w:eastAsia="zh-CN"/>
        </w:rPr>
        <w:t>is used</w:t>
      </w:r>
      <w:r>
        <w:rPr>
          <w:lang w:eastAsia="zh-CN"/>
        </w:rPr>
        <w:t>. It is proposed to use the ang</w:t>
      </w:r>
      <w:r w:rsidR="001D587F">
        <w:rPr>
          <w:lang w:eastAsia="zh-CN"/>
        </w:rPr>
        <w:t>ular</w:t>
      </w:r>
      <w:r>
        <w:rPr>
          <w:lang w:eastAsia="zh-CN"/>
        </w:rPr>
        <w:t xml:space="preserve"> difference between the two sensitivities as the indicator.</w:t>
      </w:r>
    </w:p>
    <w:p w14:paraId="0630B1AF" w14:textId="77777777" w:rsidR="00DC4B18" w:rsidRDefault="00DC4B18" w:rsidP="00DC4B18">
      <w:pPr>
        <w:rPr>
          <w:lang w:eastAsia="zh-CN"/>
        </w:rPr>
      </w:pPr>
      <w:r>
        <w:rPr>
          <w:lang w:eastAsia="zh-CN"/>
        </w:rPr>
        <w:t>The proposed</w:t>
      </w:r>
      <w:r w:rsidR="00956A4F">
        <w:rPr>
          <w:lang w:eastAsia="zh-CN"/>
        </w:rPr>
        <w:t xml:space="preserve"> voltage stability</w:t>
      </w:r>
      <w:r>
        <w:rPr>
          <w:lang w:eastAsia="zh-CN"/>
        </w:rPr>
        <w:t xml:space="preserve"> indicator</w:t>
      </w:r>
      <w:r w:rsidR="00956A4F">
        <w:rPr>
          <w:lang w:eastAsia="zh-CN"/>
        </w:rPr>
        <w:t xml:space="preserve"> (VSI)</w:t>
      </w:r>
      <w:r>
        <w:rPr>
          <w:lang w:eastAsia="zh-CN"/>
        </w:rPr>
        <w:t xml:space="preserve"> can be expressed as:</w:t>
      </w:r>
    </w:p>
    <w:p w14:paraId="151D3482" w14:textId="77777777" w:rsidR="00DC4B18" w:rsidRDefault="00DC4B18" w:rsidP="00DC4B18">
      <w:pPr>
        <w:jc w:val="right"/>
        <w:rPr>
          <w:lang w:eastAsia="zh-CN"/>
        </w:rPr>
      </w:pPr>
      <w:r w:rsidRPr="00DC4B18">
        <w:rPr>
          <w:position w:val="-14"/>
          <w:lang w:eastAsia="zh-CN"/>
        </w:rPr>
        <w:object w:dxaOrig="5340" w:dyaOrig="400" w14:anchorId="0ED6F49F">
          <v:shape id="_x0000_i1034" type="#_x0000_t75" style="width:267pt;height:19.5pt" o:ole="">
            <v:imagedata r:id="rId407" o:title=""/>
          </v:shape>
          <o:OLEObject Type="Embed" ProgID="Equation.DSMT4" ShapeID="_x0000_i1034" DrawAspect="Content" ObjectID="_1532825785" r:id="rId408"/>
        </w:object>
      </w:r>
      <w:r>
        <w:rPr>
          <w:lang w:eastAsia="zh-CN"/>
        </w:rPr>
        <w:tab/>
      </w:r>
      <w:r>
        <w:rPr>
          <w:lang w:eastAsia="zh-CN"/>
        </w:rPr>
        <w:tab/>
        <w:t>(7-</w:t>
      </w:r>
      <w:r w:rsidR="00E01A87">
        <w:rPr>
          <w:lang w:eastAsia="zh-CN"/>
        </w:rPr>
        <w:t>9</w:t>
      </w:r>
      <w:r>
        <w:rPr>
          <w:lang w:eastAsia="zh-CN"/>
        </w:rPr>
        <w:t>)</w:t>
      </w:r>
    </w:p>
    <w:p w14:paraId="1C741FF8" w14:textId="301EF5E4" w:rsidR="00DC4B18" w:rsidRDefault="00956A4F" w:rsidP="00DC4B18">
      <w:pPr>
        <w:rPr>
          <w:lang w:eastAsia="zh-CN"/>
        </w:rPr>
      </w:pPr>
      <w:r>
        <w:rPr>
          <w:lang w:eastAsia="zh-CN"/>
        </w:rPr>
        <w:t>When the calculated VSI or the ang</w:t>
      </w:r>
      <w:r w:rsidR="001D587F">
        <w:rPr>
          <w:lang w:eastAsia="zh-CN"/>
        </w:rPr>
        <w:t>ular</w:t>
      </w:r>
      <w:r>
        <w:rPr>
          <w:lang w:eastAsia="zh-CN"/>
        </w:rPr>
        <w:t xml:space="preserve"> difference between the two tangent lines is very small, voltage instability is indicated. </w:t>
      </w:r>
    </w:p>
    <w:p w14:paraId="2DFB1E2C" w14:textId="77777777" w:rsidR="00B2176D" w:rsidRDefault="00B2176D" w:rsidP="00B2176D">
      <w:pPr>
        <w:pStyle w:val="Heading2"/>
        <w:rPr>
          <w:lang w:eastAsia="zh-CN"/>
        </w:rPr>
      </w:pPr>
      <w:bookmarkStart w:id="206" w:name="_Toc459076600"/>
      <w:r>
        <w:rPr>
          <w:lang w:eastAsia="zh-CN"/>
        </w:rPr>
        <w:t>7.</w:t>
      </w:r>
      <w:r w:rsidR="00800BCA">
        <w:rPr>
          <w:lang w:eastAsia="zh-CN"/>
        </w:rPr>
        <w:t>4</w:t>
      </w:r>
      <w:r>
        <w:rPr>
          <w:lang w:eastAsia="zh-CN"/>
        </w:rPr>
        <w:t xml:space="preserve"> </w:t>
      </w:r>
      <w:r w:rsidR="001E2B67">
        <w:rPr>
          <w:lang w:eastAsia="zh-CN"/>
        </w:rPr>
        <w:t>Simulation Results</w:t>
      </w:r>
      <w:bookmarkEnd w:id="206"/>
    </w:p>
    <w:p w14:paraId="15C156DA" w14:textId="2ECBF0C3" w:rsidR="00956A4F" w:rsidRDefault="00956A4F" w:rsidP="00956A4F">
      <w:pPr>
        <w:rPr>
          <w:lang w:eastAsia="zh-CN"/>
        </w:rPr>
      </w:pPr>
      <w:r>
        <w:rPr>
          <w:lang w:eastAsia="zh-CN"/>
        </w:rPr>
        <w:t xml:space="preserve">In this section, the proposed VSI is tested on </w:t>
      </w:r>
      <w:r w:rsidR="001D587F">
        <w:rPr>
          <w:lang w:eastAsia="zh-CN"/>
        </w:rPr>
        <w:t xml:space="preserve">the </w:t>
      </w:r>
      <w:r>
        <w:rPr>
          <w:lang w:eastAsia="zh-CN"/>
        </w:rPr>
        <w:t xml:space="preserve">IEEE 14-bus system and the </w:t>
      </w:r>
      <w:r w:rsidR="001D587F">
        <w:rPr>
          <w:lang w:eastAsia="zh-CN"/>
        </w:rPr>
        <w:t>large-</w:t>
      </w:r>
      <w:r>
        <w:rPr>
          <w:lang w:eastAsia="zh-CN"/>
        </w:rPr>
        <w:t xml:space="preserve">scale test bed developed by </w:t>
      </w:r>
      <w:r w:rsidR="001D587F">
        <w:rPr>
          <w:lang w:eastAsia="zh-CN"/>
        </w:rPr>
        <w:t xml:space="preserve">the </w:t>
      </w:r>
      <w:r>
        <w:rPr>
          <w:lang w:eastAsia="zh-CN"/>
        </w:rPr>
        <w:t xml:space="preserve">CURENT </w:t>
      </w:r>
      <w:r w:rsidR="001D587F">
        <w:rPr>
          <w:lang w:eastAsia="zh-CN"/>
        </w:rPr>
        <w:t xml:space="preserve">research </w:t>
      </w:r>
      <w:r>
        <w:rPr>
          <w:lang w:eastAsia="zh-CN"/>
        </w:rPr>
        <w:t>center. All tests are performed using PSAT software in Matlab 2013b environment.</w:t>
      </w:r>
    </w:p>
    <w:p w14:paraId="0337F72B" w14:textId="56AC6C6C" w:rsidR="001E2B67" w:rsidRDefault="001E2B67" w:rsidP="00F72901">
      <w:pPr>
        <w:pStyle w:val="Heading3"/>
        <w:rPr>
          <w:lang w:eastAsia="zh-CN"/>
        </w:rPr>
      </w:pPr>
      <w:bookmarkStart w:id="207" w:name="_Toc459076601"/>
      <w:r>
        <w:rPr>
          <w:lang w:eastAsia="zh-CN"/>
        </w:rPr>
        <w:lastRenderedPageBreak/>
        <w:t>7.</w:t>
      </w:r>
      <w:r w:rsidR="0096013F">
        <w:rPr>
          <w:lang w:eastAsia="zh-CN"/>
        </w:rPr>
        <w:t>4</w:t>
      </w:r>
      <w:r>
        <w:rPr>
          <w:lang w:eastAsia="zh-CN"/>
        </w:rPr>
        <w:t xml:space="preserve">.1 Results on </w:t>
      </w:r>
      <w:r w:rsidR="001D587F">
        <w:rPr>
          <w:lang w:eastAsia="zh-CN"/>
        </w:rPr>
        <w:t xml:space="preserve">the </w:t>
      </w:r>
      <w:r>
        <w:rPr>
          <w:lang w:eastAsia="zh-CN"/>
        </w:rPr>
        <w:t>IEEE 14-</w:t>
      </w:r>
      <w:r w:rsidR="00253FA7">
        <w:rPr>
          <w:lang w:eastAsia="zh-CN"/>
        </w:rPr>
        <w:t xml:space="preserve">Bus </w:t>
      </w:r>
      <w:r>
        <w:rPr>
          <w:lang w:eastAsia="zh-CN"/>
        </w:rPr>
        <w:t>System</w:t>
      </w:r>
      <w:r w:rsidR="0096013F">
        <w:rPr>
          <w:lang w:eastAsia="zh-CN"/>
        </w:rPr>
        <w:t xml:space="preserve"> with ZIP Load Model</w:t>
      </w:r>
      <w:bookmarkEnd w:id="207"/>
    </w:p>
    <w:p w14:paraId="1511D1B7" w14:textId="170BD7A5" w:rsidR="00956A4F" w:rsidRDefault="00956A4F" w:rsidP="0011255E">
      <w:pPr>
        <w:rPr>
          <w:lang w:eastAsia="zh-CN"/>
        </w:rPr>
      </w:pPr>
      <w:r>
        <w:rPr>
          <w:lang w:eastAsia="zh-CN"/>
        </w:rPr>
        <w:t xml:space="preserve">The topology of the IEEE 14-bus system is shown in </w:t>
      </w:r>
      <w:r w:rsidR="00AD0928">
        <w:rPr>
          <w:lang w:eastAsia="zh-CN"/>
        </w:rPr>
        <w:fldChar w:fldCharType="begin"/>
      </w:r>
      <w:r w:rsidR="00AD0928">
        <w:rPr>
          <w:lang w:eastAsia="zh-CN"/>
        </w:rPr>
        <w:instrText xml:space="preserve"> REF _Ref457122667 \h </w:instrText>
      </w:r>
      <w:r w:rsidR="0096013F">
        <w:rPr>
          <w:lang w:eastAsia="zh-CN"/>
        </w:rPr>
        <w:instrText xml:space="preserve"> \* MERGEFORMAT </w:instrText>
      </w:r>
      <w:r w:rsidR="00AD0928">
        <w:rPr>
          <w:lang w:eastAsia="zh-CN"/>
        </w:rPr>
      </w:r>
      <w:r w:rsidR="00AD0928">
        <w:rPr>
          <w:lang w:eastAsia="zh-CN"/>
        </w:rPr>
        <w:fldChar w:fldCharType="separate"/>
      </w:r>
      <w:r w:rsidR="0096013F">
        <w:rPr>
          <w:lang w:eastAsia="zh-CN"/>
        </w:rPr>
        <w:t>Figure 52</w:t>
      </w:r>
      <w:r w:rsidR="00AD0928">
        <w:rPr>
          <w:lang w:eastAsia="zh-CN"/>
        </w:rPr>
        <w:fldChar w:fldCharType="end"/>
      </w:r>
      <w:r w:rsidR="00AD0928">
        <w:rPr>
          <w:lang w:eastAsia="zh-CN"/>
        </w:rPr>
        <w:t xml:space="preserve"> </w:t>
      </w:r>
      <w:r w:rsidR="00AD0928">
        <w:rPr>
          <w:lang w:eastAsia="zh-CN"/>
        </w:rPr>
        <w:fldChar w:fldCharType="begin" w:fldLock="1"/>
      </w:r>
      <w:r w:rsidR="00351740">
        <w:rPr>
          <w:lang w:eastAsia="zh-CN"/>
        </w:rPr>
        <w:instrText>ADDIN CSL_CITATION { "citationItems" : [ { "id" : "ITEM-1", "itemData" : { "URL" : "http://www.ee.washington.edu/research/pstca/", "container-title" : "University of Washington", "id" : "ITEM-1", "issued" : { "date-parts" : [ [ "0" ] ] }, "title" : "Power systems test case archive", "type" : "webpage" }, "uris" : [ "http://www.mendeley.com/documents/?uuid=dd72a6c2-1379-45c1-a4ef-ad8c84c68448" ] } ], "mendeley" : { "formattedCitation" : "[64]", "plainTextFormattedCitation" : "[64]", "previouslyFormattedCitation" : "[64]" }, "properties" : { "noteIndex" : 0 }, "schema" : "https://github.com/citation-style-language/schema/raw/master/csl-citation.json" }</w:instrText>
      </w:r>
      <w:r w:rsidR="00AD0928">
        <w:rPr>
          <w:lang w:eastAsia="zh-CN"/>
        </w:rPr>
        <w:fldChar w:fldCharType="separate"/>
      </w:r>
      <w:r w:rsidR="00DD7036" w:rsidRPr="00DD7036">
        <w:rPr>
          <w:noProof/>
          <w:lang w:eastAsia="zh-CN"/>
        </w:rPr>
        <w:t>[64]</w:t>
      </w:r>
      <w:r w:rsidR="00AD0928">
        <w:rPr>
          <w:lang w:eastAsia="zh-CN"/>
        </w:rPr>
        <w:fldChar w:fldCharType="end"/>
      </w:r>
      <w:r w:rsidR="00AD0928">
        <w:rPr>
          <w:lang w:eastAsia="zh-CN"/>
        </w:rPr>
        <w:t>. In the simulation, the load</w:t>
      </w:r>
      <w:r w:rsidR="001D587F">
        <w:rPr>
          <w:lang w:eastAsia="zh-CN"/>
        </w:rPr>
        <w:t>s</w:t>
      </w:r>
      <w:r w:rsidR="00AD0928">
        <w:rPr>
          <w:lang w:eastAsia="zh-CN"/>
        </w:rPr>
        <w:t xml:space="preserve"> at Bus</w:t>
      </w:r>
      <w:r w:rsidR="001D587F">
        <w:rPr>
          <w:lang w:eastAsia="zh-CN"/>
        </w:rPr>
        <w:t>es</w:t>
      </w:r>
      <w:r w:rsidR="00AD0928">
        <w:rPr>
          <w:lang w:eastAsia="zh-CN"/>
        </w:rPr>
        <w:t xml:space="preserve"> 9, 10, 11, 12, 13, and 14</w:t>
      </w:r>
      <w:r w:rsidR="000C146A">
        <w:rPr>
          <w:lang w:eastAsia="zh-CN"/>
        </w:rPr>
        <w:t xml:space="preserve">, which consists </w:t>
      </w:r>
      <w:r w:rsidR="001D587F">
        <w:rPr>
          <w:lang w:eastAsia="zh-CN"/>
        </w:rPr>
        <w:t xml:space="preserve">of </w:t>
      </w:r>
      <w:r w:rsidR="000C146A">
        <w:rPr>
          <w:lang w:eastAsia="zh-CN"/>
        </w:rPr>
        <w:t xml:space="preserve">a load pocket in the upper part in </w:t>
      </w:r>
      <w:r w:rsidR="000C146A">
        <w:rPr>
          <w:lang w:eastAsia="zh-CN"/>
        </w:rPr>
        <w:fldChar w:fldCharType="begin"/>
      </w:r>
      <w:r w:rsidR="000C146A">
        <w:rPr>
          <w:lang w:eastAsia="zh-CN"/>
        </w:rPr>
        <w:instrText xml:space="preserve"> REF _Ref457122667 \h </w:instrText>
      </w:r>
      <w:r w:rsidR="0096013F">
        <w:rPr>
          <w:lang w:eastAsia="zh-CN"/>
        </w:rPr>
        <w:instrText xml:space="preserve"> \* MERGEFORMAT </w:instrText>
      </w:r>
      <w:r w:rsidR="000C146A">
        <w:rPr>
          <w:lang w:eastAsia="zh-CN"/>
        </w:rPr>
      </w:r>
      <w:r w:rsidR="000C146A">
        <w:rPr>
          <w:lang w:eastAsia="zh-CN"/>
        </w:rPr>
        <w:fldChar w:fldCharType="separate"/>
      </w:r>
      <w:r w:rsidR="0096013F">
        <w:rPr>
          <w:lang w:eastAsia="zh-CN"/>
        </w:rPr>
        <w:t>Figure 52</w:t>
      </w:r>
      <w:r w:rsidR="000C146A">
        <w:rPr>
          <w:lang w:eastAsia="zh-CN"/>
        </w:rPr>
        <w:fldChar w:fldCharType="end"/>
      </w:r>
      <w:r w:rsidR="000C146A">
        <w:rPr>
          <w:lang w:eastAsia="zh-CN"/>
        </w:rPr>
        <w:t>,</w:t>
      </w:r>
      <w:r w:rsidR="00AD0928">
        <w:rPr>
          <w:lang w:eastAsia="zh-CN"/>
        </w:rPr>
        <w:t xml:space="preserve"> are modeled as ZIP load with a percentage of 30% Z, 40% I, 30% P in both real and reactive power.</w:t>
      </w:r>
      <w:r w:rsidR="00C92346">
        <w:rPr>
          <w:lang w:eastAsia="zh-CN"/>
        </w:rPr>
        <w:t xml:space="preserve"> Loading factors of the aforementioned load increas</w:t>
      </w:r>
      <w:r w:rsidR="001D587F">
        <w:rPr>
          <w:lang w:eastAsia="zh-CN"/>
        </w:rPr>
        <w:t>es</w:t>
      </w:r>
      <w:r w:rsidR="00C92346">
        <w:rPr>
          <w:lang w:eastAsia="zh-CN"/>
        </w:rPr>
        <w:t xml:space="preserve"> 0.4% per 1 seconds after the first 10 seconds of initialization.</w:t>
      </w:r>
    </w:p>
    <w:p w14:paraId="67A70996" w14:textId="77777777" w:rsidR="00C92346" w:rsidRDefault="00C92346" w:rsidP="0011255E">
      <w:pPr>
        <w:rPr>
          <w:lang w:eastAsia="zh-CN"/>
        </w:rPr>
      </w:pPr>
      <w:r>
        <w:rPr>
          <w:lang w:eastAsia="zh-CN"/>
        </w:rPr>
        <w:t xml:space="preserve">The </w:t>
      </w:r>
      <w:r w:rsidR="000C146A">
        <w:rPr>
          <w:lang w:eastAsia="zh-CN"/>
        </w:rPr>
        <w:t xml:space="preserve">voltage magnitude of the 6 load buses are shown in </w:t>
      </w:r>
      <w:r w:rsidR="000C146A">
        <w:rPr>
          <w:lang w:eastAsia="zh-CN"/>
        </w:rPr>
        <w:fldChar w:fldCharType="begin"/>
      </w:r>
      <w:r w:rsidR="000C146A">
        <w:rPr>
          <w:lang w:eastAsia="zh-CN"/>
        </w:rPr>
        <w:instrText xml:space="preserve"> REF _Ref457124773 \h </w:instrText>
      </w:r>
      <w:r w:rsidR="000C146A">
        <w:rPr>
          <w:lang w:eastAsia="zh-CN"/>
        </w:rPr>
      </w:r>
      <w:r w:rsidR="000C146A">
        <w:rPr>
          <w:lang w:eastAsia="zh-CN"/>
        </w:rPr>
        <w:fldChar w:fldCharType="separate"/>
      </w:r>
      <w:r w:rsidR="0096013F">
        <w:t xml:space="preserve">Figure </w:t>
      </w:r>
      <w:r w:rsidR="0096013F">
        <w:rPr>
          <w:noProof/>
        </w:rPr>
        <w:t>53</w:t>
      </w:r>
      <w:r w:rsidR="000C146A">
        <w:rPr>
          <w:lang w:eastAsia="zh-CN"/>
        </w:rPr>
        <w:fldChar w:fldCharType="end"/>
      </w:r>
      <w:r w:rsidR="000C146A">
        <w:rPr>
          <w:lang w:eastAsia="zh-CN"/>
        </w:rPr>
        <w:t xml:space="preserve">. As shown in the figure, the voltage collapsing happens at around 360 seconds. </w:t>
      </w:r>
      <w:r w:rsidR="006D249D">
        <w:rPr>
          <w:lang w:eastAsia="zh-CN"/>
        </w:rPr>
        <w:t>During the simulation, t</w:t>
      </w:r>
      <w:r w:rsidR="000C146A">
        <w:rPr>
          <w:lang w:eastAsia="zh-CN"/>
        </w:rPr>
        <w:t>he voltage magnitude drops all the way towards the collapsing point.</w:t>
      </w:r>
    </w:p>
    <w:p w14:paraId="0E27A180" w14:textId="3D77DF62" w:rsidR="006D249D" w:rsidRDefault="006D249D" w:rsidP="0011255E">
      <w:r>
        <w:t xml:space="preserve">The real power consumption at the 6 load buses </w:t>
      </w:r>
      <w:r w:rsidR="001D587F">
        <w:t xml:space="preserve">is </w:t>
      </w:r>
      <w:r>
        <w:t xml:space="preserve">drawn in </w:t>
      </w:r>
      <w:r>
        <w:fldChar w:fldCharType="begin"/>
      </w:r>
      <w:r>
        <w:instrText xml:space="preserve"> REF _Ref457142981 \h </w:instrText>
      </w:r>
      <w:r>
        <w:fldChar w:fldCharType="separate"/>
      </w:r>
      <w:r w:rsidR="0096013F">
        <w:t xml:space="preserve">Figure </w:t>
      </w:r>
      <w:r w:rsidR="0096013F">
        <w:rPr>
          <w:noProof/>
        </w:rPr>
        <w:t>54</w:t>
      </w:r>
      <w:r>
        <w:fldChar w:fldCharType="end"/>
      </w:r>
      <w:r>
        <w:t xml:space="preserve">. The loading factors are increasing as time passes. However, it is seen that the real power first increases and then decreases. It is clearly demonstrated that the maximum power point is not the voltage collapsing point. Also, it can be </w:t>
      </w:r>
      <w:r w:rsidR="001D587F">
        <w:t xml:space="preserve">observed </w:t>
      </w:r>
      <w:r>
        <w:t xml:space="preserve">that although the percentage of </w:t>
      </w:r>
      <w:r w:rsidR="001D587F">
        <w:t xml:space="preserve">the </w:t>
      </w:r>
      <w:r>
        <w:t>ZIP load is the same at different load buses, the time that the MPP is reached is different at different load buses.</w:t>
      </w:r>
    </w:p>
    <w:p w14:paraId="236B0258" w14:textId="53EF141E" w:rsidR="0011255E" w:rsidRDefault="0011255E" w:rsidP="0011255E">
      <w:pPr>
        <w:jc w:val="distribute"/>
      </w:pPr>
      <w:r>
        <w:t xml:space="preserve">The proposed VSI are calculated and depicted in </w:t>
      </w:r>
      <w:r>
        <w:fldChar w:fldCharType="begin"/>
      </w:r>
      <w:r>
        <w:instrText xml:space="preserve"> REF _Ref457143430 \h  \* MERGEFORMAT </w:instrText>
      </w:r>
      <w:r>
        <w:fldChar w:fldCharType="separate"/>
      </w:r>
      <w:r>
        <w:t>Figure 55</w:t>
      </w:r>
      <w:r>
        <w:fldChar w:fldCharType="end"/>
      </w:r>
      <w:r>
        <w:t xml:space="preserve">. The VSIs are zero at the first 20 seconds due to the initialization of the program. After the initialization, it is seen that the VSI is decreasing as the loading factor increases. At the time of voltage collapse, the VSI is very close to zero, indicating the sensitivities of P to V from the PV curve and the load model are very close. On the other hand, the VSI of </w:t>
      </w:r>
      <w:r>
        <w:fldChar w:fldCharType="begin" w:fldLock="1"/>
      </w:r>
      <w:r>
        <w:instrText>ADDIN CSL_CITATION { "citationItems" : [ { "id" : "ITEM-1", "itemData" : { "abstract" : "This paper presents a concept for local monitoring of the onset of voltage collapse, protective, and emergency control in the presence of voltage-sensitive loads. The onset of voltage collapse point is calculated based on the load characteristics and simulated voltage and current phasors measurements, which are provided by a network of phasor-measurement units. If the stability margin is small and the reactive-power reserves are nearly exhausted, then controls to steer the power system away from the critical point will be activated.", "author" : [ { "dropping-particle" : "", "family" : "Milosevic", "given" : "Borka", "non-dropping-particle" : "", "parse-names" : false, "suffix" : "" }, { "dropping-particle" : "", "family" : "Begovic", "given" : "Miroslav", "non-dropping-particle" : "", "parse-names" : false, "suffix" : "" } ], "container-title" : "IEEE Transactions on Power Systems", "id" : "ITEM-1", "issue" : "1", "issued" : { "date-parts" : [ [ "2003" ] ] }, "page" : "121-127", "title" : "Voltage-stability protection and control using a wide-area network of phasor measurements", "type" : "article-journal", "volume" : "18" }, "uris" : [ "http://www.mendeley.com/documents/?uuid=e20ca229-b0e9-4886-b334-24bceb3aff2d" ] } ], "mendeley" : { "formattedCitation" : "[13]", "plainTextFormattedCitation" : "[13]", "previouslyFormattedCitation" : "[13]" }, "properties" : { "noteIndex" : 0 }, "schema" : "https://github.com/citation-style-language/schema/raw/master/csl-citation.json" }</w:instrText>
      </w:r>
      <w:r>
        <w:fldChar w:fldCharType="separate"/>
      </w:r>
      <w:r w:rsidRPr="00D96671">
        <w:rPr>
          <w:noProof/>
        </w:rPr>
        <w:t>[13]</w:t>
      </w:r>
      <w:r>
        <w:fldChar w:fldCharType="end"/>
      </w:r>
      <w:r>
        <w:t xml:space="preserve">, which is introduced in (4-20), is also applied and shown in </w:t>
      </w:r>
      <w:r>
        <w:fldChar w:fldCharType="begin"/>
      </w:r>
      <w:r>
        <w:instrText xml:space="preserve"> REF _Ref457143945 \h  \* MERGEFORMAT </w:instrText>
      </w:r>
      <w:r>
        <w:fldChar w:fldCharType="separate"/>
      </w:r>
      <w:r>
        <w:t>Figure 56</w:t>
      </w:r>
      <w:r>
        <w:fldChar w:fldCharType="end"/>
      </w:r>
      <w:r>
        <w:t>. By reaching 1, this VSI indicates unstable. It is seen that in around 260 seconds the VSI approaches 1. However,</w:t>
      </w:r>
    </w:p>
    <w:p w14:paraId="50C3AD37" w14:textId="77777777" w:rsidR="0011255E" w:rsidRDefault="0011255E" w:rsidP="0011255E">
      <w:pPr>
        <w:spacing w:line="240" w:lineRule="auto"/>
        <w:ind w:firstLine="0"/>
        <w:jc w:val="center"/>
      </w:pPr>
      <w:r>
        <w:rPr>
          <w:noProof/>
          <w:lang w:eastAsia="zh-CN"/>
        </w:rPr>
        <w:lastRenderedPageBreak/>
        <w:drawing>
          <wp:inline distT="0" distB="0" distL="0" distR="0" wp14:anchorId="04FAACB8" wp14:editId="5E688389">
            <wp:extent cx="2209800" cy="170185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4bus600.tif"/>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2217793" cy="1708008"/>
                    </a:xfrm>
                    <a:prstGeom prst="rect">
                      <a:avLst/>
                    </a:prstGeom>
                  </pic:spPr>
                </pic:pic>
              </a:graphicData>
            </a:graphic>
          </wp:inline>
        </w:drawing>
      </w:r>
      <w:bookmarkStart w:id="208" w:name="_Ref457122667"/>
    </w:p>
    <w:p w14:paraId="7DD8E5F4" w14:textId="77777777" w:rsidR="0011255E" w:rsidRPr="00956A4F" w:rsidRDefault="0011255E" w:rsidP="0011255E">
      <w:pPr>
        <w:pStyle w:val="Caption"/>
      </w:pPr>
      <w:bookmarkStart w:id="209" w:name="_Toc459076503"/>
      <w:r>
        <w:t xml:space="preserve">Figure </w:t>
      </w:r>
      <w:fldSimple w:instr=" SEQ Figure \* ARABIC ">
        <w:r>
          <w:rPr>
            <w:noProof/>
          </w:rPr>
          <w:t>52</w:t>
        </w:r>
      </w:fldSimple>
      <w:bookmarkEnd w:id="208"/>
      <w:r>
        <w:t>. Topology of the IEEE 14-bus system.</w:t>
      </w:r>
      <w:bookmarkEnd w:id="209"/>
    </w:p>
    <w:p w14:paraId="514AC85C" w14:textId="77777777" w:rsidR="00CC0A85" w:rsidRDefault="00CC0A85" w:rsidP="00CC0A85">
      <w:pPr>
        <w:spacing w:line="240" w:lineRule="auto"/>
        <w:ind w:firstLine="0"/>
        <w:jc w:val="center"/>
        <w:rPr>
          <w:lang w:eastAsia="zh-CN"/>
        </w:rPr>
      </w:pPr>
      <w:r>
        <w:rPr>
          <w:noProof/>
          <w:lang w:eastAsia="zh-CN"/>
        </w:rPr>
        <w:drawing>
          <wp:inline distT="0" distB="0" distL="0" distR="0" wp14:anchorId="1B893BFD" wp14:editId="3C62C963">
            <wp:extent cx="2247900" cy="1152733"/>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263813" cy="1160893"/>
                    </a:xfrm>
                    <a:prstGeom prst="rect">
                      <a:avLst/>
                    </a:prstGeom>
                    <a:noFill/>
                    <a:ln>
                      <a:noFill/>
                    </a:ln>
                  </pic:spPr>
                </pic:pic>
              </a:graphicData>
            </a:graphic>
          </wp:inline>
        </w:drawing>
      </w:r>
    </w:p>
    <w:p w14:paraId="3CF56350" w14:textId="1A75EA07" w:rsidR="00CC0A85" w:rsidRDefault="00CC0A85" w:rsidP="009D0201">
      <w:pPr>
        <w:pStyle w:val="Caption"/>
      </w:pPr>
      <w:bookmarkStart w:id="210" w:name="_Ref457124773"/>
      <w:bookmarkStart w:id="211" w:name="_Toc459076504"/>
      <w:r>
        <w:t xml:space="preserve">Figure </w:t>
      </w:r>
      <w:fldSimple w:instr=" SEQ Figure \* ARABIC ">
        <w:r>
          <w:rPr>
            <w:noProof/>
          </w:rPr>
          <w:t>53</w:t>
        </w:r>
      </w:fldSimple>
      <w:bookmarkEnd w:id="210"/>
      <w:r>
        <w:t xml:space="preserve">. Voltage of 6 load buses in 14-bus system with </w:t>
      </w:r>
      <w:r w:rsidR="00465EF8">
        <w:t xml:space="preserve">the </w:t>
      </w:r>
      <w:r>
        <w:t>ZIP model.</w:t>
      </w:r>
      <w:bookmarkEnd w:id="211"/>
    </w:p>
    <w:p w14:paraId="2CEFD180" w14:textId="77777777" w:rsidR="000C146A" w:rsidRDefault="00782735" w:rsidP="000C146A">
      <w:pPr>
        <w:spacing w:line="240" w:lineRule="auto"/>
        <w:ind w:firstLine="0"/>
        <w:jc w:val="center"/>
      </w:pPr>
      <w:r>
        <w:rPr>
          <w:noProof/>
          <w:lang w:eastAsia="zh-CN"/>
        </w:rPr>
        <w:drawing>
          <wp:inline distT="0" distB="0" distL="0" distR="0" wp14:anchorId="7468A024" wp14:editId="0395ACBB">
            <wp:extent cx="2352675" cy="121170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2452724" cy="1263228"/>
                    </a:xfrm>
                    <a:prstGeom prst="rect">
                      <a:avLst/>
                    </a:prstGeom>
                    <a:noFill/>
                    <a:ln>
                      <a:noFill/>
                    </a:ln>
                  </pic:spPr>
                </pic:pic>
              </a:graphicData>
            </a:graphic>
          </wp:inline>
        </w:drawing>
      </w:r>
    </w:p>
    <w:p w14:paraId="0744E263" w14:textId="77777777" w:rsidR="0029788C" w:rsidRDefault="000C146A" w:rsidP="009D0201">
      <w:pPr>
        <w:pStyle w:val="Caption"/>
      </w:pPr>
      <w:bookmarkStart w:id="212" w:name="_Ref457142981"/>
      <w:bookmarkStart w:id="213" w:name="_Ref457142975"/>
      <w:bookmarkStart w:id="214" w:name="_Toc459076505"/>
      <w:r>
        <w:t xml:space="preserve">Figure </w:t>
      </w:r>
      <w:fldSimple w:instr=" SEQ Figure \* ARABIC ">
        <w:r w:rsidR="00B0208A">
          <w:rPr>
            <w:noProof/>
          </w:rPr>
          <w:t>54</w:t>
        </w:r>
      </w:fldSimple>
      <w:bookmarkEnd w:id="212"/>
      <w:r>
        <w:t>. Real power consumption of 6 load buses.</w:t>
      </w:r>
      <w:bookmarkEnd w:id="213"/>
      <w:bookmarkEnd w:id="214"/>
    </w:p>
    <w:p w14:paraId="607B94FB" w14:textId="77777777" w:rsidR="0011255E" w:rsidRDefault="0011255E" w:rsidP="0011255E">
      <w:pPr>
        <w:spacing w:line="240" w:lineRule="auto"/>
        <w:ind w:firstLine="0"/>
        <w:jc w:val="center"/>
      </w:pPr>
      <w:r>
        <w:rPr>
          <w:noProof/>
          <w:lang w:eastAsia="zh-CN"/>
        </w:rPr>
        <w:drawing>
          <wp:inline distT="0" distB="0" distL="0" distR="0" wp14:anchorId="37B9612B" wp14:editId="5DD16E89">
            <wp:extent cx="2676525" cy="1047750"/>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2681230" cy="1049592"/>
                    </a:xfrm>
                    <a:prstGeom prst="rect">
                      <a:avLst/>
                    </a:prstGeom>
                    <a:noFill/>
                    <a:ln>
                      <a:noFill/>
                    </a:ln>
                  </pic:spPr>
                </pic:pic>
              </a:graphicData>
            </a:graphic>
          </wp:inline>
        </w:drawing>
      </w:r>
      <w:bookmarkStart w:id="215" w:name="_Ref457143430"/>
    </w:p>
    <w:p w14:paraId="000F3B54" w14:textId="77777777" w:rsidR="0011255E" w:rsidRDefault="0011255E" w:rsidP="0011255E">
      <w:pPr>
        <w:spacing w:line="240" w:lineRule="auto"/>
        <w:ind w:firstLine="0"/>
        <w:jc w:val="center"/>
      </w:pPr>
      <w:bookmarkStart w:id="216" w:name="_Toc459076506"/>
      <w:r>
        <w:t xml:space="preserve">Figure </w:t>
      </w:r>
      <w:fldSimple w:instr=" SEQ Figure \* ARABIC ">
        <w:r>
          <w:rPr>
            <w:noProof/>
          </w:rPr>
          <w:t>55</w:t>
        </w:r>
      </w:fldSimple>
      <w:bookmarkEnd w:id="215"/>
      <w:r>
        <w:t>. Proposed VSI for load buses in 14-bus system with the ZIP model.</w:t>
      </w:r>
      <w:bookmarkEnd w:id="216"/>
    </w:p>
    <w:p w14:paraId="6363A655" w14:textId="77777777" w:rsidR="0011255E" w:rsidRDefault="0011255E" w:rsidP="0011255E">
      <w:pPr>
        <w:spacing w:line="240" w:lineRule="auto"/>
        <w:ind w:firstLine="0"/>
        <w:jc w:val="center"/>
      </w:pPr>
      <w:bookmarkStart w:id="217" w:name="_Ref457143945"/>
      <w:r>
        <w:rPr>
          <w:noProof/>
          <w:lang w:eastAsia="zh-CN"/>
        </w:rPr>
        <w:drawing>
          <wp:inline distT="0" distB="0" distL="0" distR="0" wp14:anchorId="468A60C0" wp14:editId="567F69BE">
            <wp:extent cx="2112918" cy="1219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152847" cy="1242240"/>
                    </a:xfrm>
                    <a:prstGeom prst="rect">
                      <a:avLst/>
                    </a:prstGeom>
                    <a:noFill/>
                    <a:ln>
                      <a:noFill/>
                    </a:ln>
                  </pic:spPr>
                </pic:pic>
              </a:graphicData>
            </a:graphic>
          </wp:inline>
        </w:drawing>
      </w:r>
    </w:p>
    <w:p w14:paraId="00F0FA27" w14:textId="77777777" w:rsidR="0011255E" w:rsidRDefault="0011255E" w:rsidP="0011255E">
      <w:pPr>
        <w:pStyle w:val="Caption"/>
      </w:pPr>
      <w:bookmarkStart w:id="218" w:name="_Toc459076507"/>
      <w:r>
        <w:t xml:space="preserve">Figure </w:t>
      </w:r>
      <w:fldSimple w:instr=" SEQ Figure \* ARABIC ">
        <w:r>
          <w:rPr>
            <w:noProof/>
          </w:rPr>
          <w:t>56</w:t>
        </w:r>
      </w:fldSimple>
      <w:bookmarkEnd w:id="217"/>
      <w:r>
        <w:t>. Index for P load in 14-bus system with ZIP model.</w:t>
      </w:r>
      <w:bookmarkEnd w:id="218"/>
    </w:p>
    <w:p w14:paraId="784F6A1B" w14:textId="77777777" w:rsidR="0011255E" w:rsidRPr="0011255E" w:rsidRDefault="0011255E">
      <w:pPr>
        <w:rPr>
          <w:sz w:val="2"/>
        </w:rPr>
      </w:pPr>
      <w:r>
        <w:br w:type="page"/>
      </w:r>
    </w:p>
    <w:p w14:paraId="19282E3D" w14:textId="70464C6E" w:rsidR="0011255E" w:rsidRDefault="0011255E" w:rsidP="0011255E">
      <w:pPr>
        <w:ind w:firstLine="0"/>
      </w:pPr>
      <w:r>
        <w:lastRenderedPageBreak/>
        <w:t>it is only the maximum power point for Bus 14 rather than the true collapsing point.</w:t>
      </w:r>
    </w:p>
    <w:p w14:paraId="6120FF66" w14:textId="77777777" w:rsidR="0011255E" w:rsidRDefault="0011255E" w:rsidP="0011255E">
      <w:pPr>
        <w:spacing w:after="120"/>
      </w:pPr>
      <w:r>
        <w:t xml:space="preserve">Also, the sensitivities of P to V from the PV curve and the load model are plotted in </w:t>
      </w:r>
      <w:r>
        <w:fldChar w:fldCharType="begin"/>
      </w:r>
      <w:r>
        <w:instrText xml:space="preserve"> REF _Ref457144269 \h  \* MERGEFORMAT </w:instrText>
      </w:r>
      <w:r>
        <w:fldChar w:fldCharType="separate"/>
      </w:r>
      <w:r>
        <w:t>Figures 57</w:t>
      </w:r>
      <w:r>
        <w:fldChar w:fldCharType="end"/>
      </w:r>
      <w:r>
        <w:t xml:space="preserve"> and </w:t>
      </w:r>
      <w:r>
        <w:fldChar w:fldCharType="begin"/>
      </w:r>
      <w:r>
        <w:instrText xml:space="preserve"> REF _Ref457144279 \h  \* MERGEFORMAT </w:instrText>
      </w:r>
      <w:r>
        <w:fldChar w:fldCharType="separate"/>
      </w:r>
      <w:r>
        <w:t>58</w:t>
      </w:r>
      <w:r>
        <w:fldChar w:fldCharType="end"/>
      </w:r>
      <w:r>
        <w:t xml:space="preserve">, respectively. The PV sensitivity from the PV curve is first negative and then positive which is intuitive from </w:t>
      </w:r>
      <w:r>
        <w:fldChar w:fldCharType="begin"/>
      </w:r>
      <w:r>
        <w:instrText xml:space="preserve"> REF _Ref457076432 \h  \* MERGEFORMAT </w:instrText>
      </w:r>
      <w:r>
        <w:fldChar w:fldCharType="separate"/>
      </w:r>
      <w:r>
        <w:t>Figure 49</w:t>
      </w:r>
      <w:r>
        <w:fldChar w:fldCharType="end"/>
      </w:r>
      <w:r>
        <w:t xml:space="preserve">. The point where the PV sensitivity crosses zero corresponds to the maximum power point. It is seen that the sensitivity of Bus 14 reaches 0 around 260 seconds where the maximum power of Bus 14 is reached. On the other hand, the sensitivity from the load model is always positive and is increasing as shown in </w:t>
      </w:r>
      <w:r>
        <w:fldChar w:fldCharType="begin"/>
      </w:r>
      <w:r>
        <w:instrText xml:space="preserve"> REF _Ref457144279 \h  \* MERGEFORMAT </w:instrText>
      </w:r>
      <w:r>
        <w:fldChar w:fldCharType="separate"/>
      </w:r>
      <w:r>
        <w:t>Figure 58</w:t>
      </w:r>
      <w:r>
        <w:fldChar w:fldCharType="end"/>
      </w:r>
      <w:r>
        <w:t xml:space="preserve">. </w:t>
      </w:r>
    </w:p>
    <w:p w14:paraId="19FDE540" w14:textId="77777777" w:rsidR="0011255E" w:rsidRDefault="0011255E" w:rsidP="0011255E">
      <w:pPr>
        <w:spacing w:line="240" w:lineRule="auto"/>
        <w:ind w:firstLine="0"/>
        <w:jc w:val="center"/>
      </w:pPr>
      <w:r>
        <w:rPr>
          <w:noProof/>
          <w:lang w:eastAsia="zh-CN"/>
        </w:rPr>
        <w:drawing>
          <wp:inline distT="0" distB="0" distL="0" distR="0" wp14:anchorId="311977EE" wp14:editId="5008C89F">
            <wp:extent cx="2657475" cy="1368677"/>
            <wp:effectExtent l="0" t="0" r="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2717055" cy="1399363"/>
                    </a:xfrm>
                    <a:prstGeom prst="rect">
                      <a:avLst/>
                    </a:prstGeom>
                    <a:noFill/>
                    <a:ln>
                      <a:noFill/>
                    </a:ln>
                  </pic:spPr>
                </pic:pic>
              </a:graphicData>
            </a:graphic>
          </wp:inline>
        </w:drawing>
      </w:r>
      <w:bookmarkStart w:id="219" w:name="_Ref457144269"/>
    </w:p>
    <w:p w14:paraId="3C507C53" w14:textId="77777777" w:rsidR="0011255E" w:rsidRDefault="0011255E" w:rsidP="0011255E">
      <w:pPr>
        <w:pStyle w:val="Caption"/>
      </w:pPr>
      <w:bookmarkStart w:id="220" w:name="_Toc459076508"/>
      <w:r>
        <w:t xml:space="preserve">Figure </w:t>
      </w:r>
      <w:fldSimple w:instr=" SEQ Figure \* ARABIC ">
        <w:r>
          <w:rPr>
            <w:noProof/>
          </w:rPr>
          <w:t>57</w:t>
        </w:r>
      </w:fldSimple>
      <w:bookmarkEnd w:id="219"/>
      <w:r>
        <w:t>. PV sensitivities from the circuits with ZIP load model.</w:t>
      </w:r>
      <w:bookmarkEnd w:id="220"/>
    </w:p>
    <w:p w14:paraId="76BE5F34" w14:textId="77777777" w:rsidR="0011255E" w:rsidRDefault="0011255E" w:rsidP="0011255E">
      <w:pPr>
        <w:spacing w:line="240" w:lineRule="auto"/>
        <w:ind w:firstLine="0"/>
        <w:jc w:val="center"/>
        <w:rPr>
          <w:lang w:eastAsia="zh-CN"/>
        </w:rPr>
      </w:pPr>
      <w:r>
        <w:rPr>
          <w:noProof/>
          <w:lang w:eastAsia="zh-CN"/>
        </w:rPr>
        <w:drawing>
          <wp:inline distT="0" distB="0" distL="0" distR="0" wp14:anchorId="529FA7BA" wp14:editId="0D44A2CD">
            <wp:extent cx="2774116" cy="14287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2815445" cy="1450036"/>
                    </a:xfrm>
                    <a:prstGeom prst="rect">
                      <a:avLst/>
                    </a:prstGeom>
                    <a:noFill/>
                    <a:ln>
                      <a:noFill/>
                    </a:ln>
                  </pic:spPr>
                </pic:pic>
              </a:graphicData>
            </a:graphic>
          </wp:inline>
        </w:drawing>
      </w:r>
    </w:p>
    <w:p w14:paraId="0057530B" w14:textId="77777777" w:rsidR="0011255E" w:rsidRDefault="0011255E" w:rsidP="0011255E">
      <w:pPr>
        <w:pStyle w:val="Caption"/>
      </w:pPr>
      <w:bookmarkStart w:id="221" w:name="_Ref457144279"/>
      <w:bookmarkStart w:id="222" w:name="_Toc459076509"/>
      <w:r>
        <w:t xml:space="preserve">Figure </w:t>
      </w:r>
      <w:fldSimple w:instr=" SEQ Figure \* ARABIC ">
        <w:r>
          <w:rPr>
            <w:noProof/>
          </w:rPr>
          <w:t>58</w:t>
        </w:r>
      </w:fldSimple>
      <w:bookmarkEnd w:id="221"/>
      <w:r>
        <w:t>. PV sensitivities from ZIP load model.</w:t>
      </w:r>
      <w:bookmarkEnd w:id="222"/>
    </w:p>
    <w:p w14:paraId="641BCFC0" w14:textId="77777777" w:rsidR="0011255E" w:rsidRPr="0011255E" w:rsidRDefault="0011255E" w:rsidP="0011255E">
      <w:pPr>
        <w:rPr>
          <w:sz w:val="8"/>
        </w:rPr>
      </w:pPr>
    </w:p>
    <w:p w14:paraId="302F41E8" w14:textId="77777777" w:rsidR="0011255E" w:rsidRDefault="0011255E" w:rsidP="0011255E">
      <w:pPr>
        <w:pStyle w:val="Heading3"/>
        <w:rPr>
          <w:lang w:eastAsia="zh-CN"/>
        </w:rPr>
      </w:pPr>
      <w:bookmarkStart w:id="223" w:name="_Toc459076602"/>
      <w:r>
        <w:rPr>
          <w:lang w:eastAsia="zh-CN"/>
        </w:rPr>
        <w:t>7.4.2 Results on IEEE 14-Bus System with Exponential Load Model</w:t>
      </w:r>
      <w:bookmarkEnd w:id="223"/>
    </w:p>
    <w:p w14:paraId="303B0A1E" w14:textId="5F3950DC" w:rsidR="0011255E" w:rsidRDefault="0011255E" w:rsidP="00313BDF">
      <w:pPr>
        <w:spacing w:after="120"/>
        <w:rPr>
          <w:lang w:eastAsia="zh-CN"/>
        </w:rPr>
      </w:pPr>
      <w:r>
        <w:t>The same settings in Section 7.4.1 are applied here except that the load models of</w:t>
      </w:r>
      <w:r>
        <w:rPr>
          <w:lang w:eastAsia="zh-CN"/>
        </w:rPr>
        <w:t xml:space="preserve"> Buses 9, 10, 11, 12, 13, and 14 are changed to exponential load models with </w:t>
      </w:r>
      <w:r w:rsidRPr="001228AF">
        <w:rPr>
          <w:position w:val="-10"/>
          <w:lang w:eastAsia="zh-CN"/>
        </w:rPr>
        <w:object w:dxaOrig="320" w:dyaOrig="340" w14:anchorId="7ADB452D">
          <v:shape id="_x0000_i1025" type="#_x0000_t75" style="width:15pt;height:18pt" o:ole="">
            <v:imagedata r:id="rId373" o:title=""/>
          </v:shape>
          <o:OLEObject Type="Embed" ProgID="Equation.3" ShapeID="_x0000_i1025" DrawAspect="Content" ObjectID="_1532825786" r:id="rId416"/>
        </w:object>
      </w:r>
      <w:r>
        <w:rPr>
          <w:lang w:eastAsia="zh-CN"/>
        </w:rPr>
        <w:t xml:space="preserve">and </w:t>
      </w:r>
      <w:r w:rsidRPr="0096013F">
        <w:rPr>
          <w:position w:val="-14"/>
          <w:lang w:eastAsia="zh-CN"/>
        </w:rPr>
        <w:object w:dxaOrig="340" w:dyaOrig="380" w14:anchorId="48F9BF5E">
          <v:shape id="_x0000_i1026" type="#_x0000_t75" style="width:18pt;height:19.5pt" o:ole="">
            <v:imagedata r:id="rId417" o:title=""/>
          </v:shape>
          <o:OLEObject Type="Embed" ProgID="Equation.3" ShapeID="_x0000_i1026" DrawAspect="Content" ObjectID="_1532825787" r:id="rId418"/>
        </w:object>
      </w:r>
      <w:r>
        <w:rPr>
          <w:lang w:eastAsia="zh-CN"/>
        </w:rPr>
        <w:t xml:space="preserve">both set to 0.5. The voltage magnitudes of the six load buses are depicted in </w:t>
      </w:r>
      <w:r>
        <w:rPr>
          <w:lang w:eastAsia="zh-CN"/>
        </w:rPr>
        <w:fldChar w:fldCharType="begin"/>
      </w:r>
      <w:r>
        <w:rPr>
          <w:lang w:eastAsia="zh-CN"/>
        </w:rPr>
        <w:instrText xml:space="preserve"> REF _Ref457763947 \h </w:instrText>
      </w:r>
      <w:r>
        <w:rPr>
          <w:lang w:eastAsia="zh-CN"/>
        </w:rPr>
      </w:r>
      <w:r>
        <w:rPr>
          <w:lang w:eastAsia="zh-CN"/>
        </w:rPr>
        <w:fldChar w:fldCharType="separate"/>
      </w:r>
      <w:r>
        <w:t xml:space="preserve">Figure </w:t>
      </w:r>
      <w:r>
        <w:rPr>
          <w:noProof/>
        </w:rPr>
        <w:t>59</w:t>
      </w:r>
      <w:r>
        <w:rPr>
          <w:lang w:eastAsia="zh-CN"/>
        </w:rPr>
        <w:fldChar w:fldCharType="end"/>
      </w:r>
      <w:r>
        <w:rPr>
          <w:lang w:eastAsia="zh-CN"/>
        </w:rPr>
        <w:t xml:space="preserve">. Voltage collapse occurs around 267 seconds. From </w:t>
      </w:r>
      <w:r>
        <w:rPr>
          <w:lang w:eastAsia="zh-CN"/>
        </w:rPr>
        <w:fldChar w:fldCharType="begin"/>
      </w:r>
      <w:r>
        <w:rPr>
          <w:lang w:eastAsia="zh-CN"/>
        </w:rPr>
        <w:instrText xml:space="preserve"> REF _Ref457764137 \h </w:instrText>
      </w:r>
      <w:r>
        <w:rPr>
          <w:lang w:eastAsia="zh-CN"/>
        </w:rPr>
      </w:r>
      <w:r>
        <w:rPr>
          <w:lang w:eastAsia="zh-CN"/>
        </w:rPr>
        <w:fldChar w:fldCharType="separate"/>
      </w:r>
      <w:r>
        <w:t xml:space="preserve">Figure </w:t>
      </w:r>
      <w:r>
        <w:rPr>
          <w:noProof/>
        </w:rPr>
        <w:t>60</w:t>
      </w:r>
      <w:r>
        <w:rPr>
          <w:lang w:eastAsia="zh-CN"/>
        </w:rPr>
        <w:fldChar w:fldCharType="end"/>
      </w:r>
      <w:r>
        <w:rPr>
          <w:lang w:eastAsia="zh-CN"/>
        </w:rPr>
        <w:t>, it is seen that the voltage collapse passes the maximum power point.</w:t>
      </w:r>
    </w:p>
    <w:p w14:paraId="7BCA90BB" w14:textId="77777777" w:rsidR="00A028AF" w:rsidRDefault="00A028AF" w:rsidP="00A028AF">
      <w:pPr>
        <w:spacing w:line="240" w:lineRule="auto"/>
        <w:ind w:firstLine="0"/>
        <w:jc w:val="center"/>
      </w:pPr>
      <w:r>
        <w:rPr>
          <w:noProof/>
          <w:lang w:eastAsia="zh-CN"/>
        </w:rPr>
        <w:drawing>
          <wp:inline distT="0" distB="0" distL="0" distR="0" wp14:anchorId="0EB130D6" wp14:editId="7689B992">
            <wp:extent cx="2363637" cy="1363872"/>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369450" cy="1367226"/>
                    </a:xfrm>
                    <a:prstGeom prst="rect">
                      <a:avLst/>
                    </a:prstGeom>
                    <a:noFill/>
                    <a:ln>
                      <a:noFill/>
                    </a:ln>
                  </pic:spPr>
                </pic:pic>
              </a:graphicData>
            </a:graphic>
          </wp:inline>
        </w:drawing>
      </w:r>
    </w:p>
    <w:p w14:paraId="251F5277" w14:textId="3D217CDF" w:rsidR="00A028AF" w:rsidRDefault="00A028AF" w:rsidP="009D0201">
      <w:pPr>
        <w:pStyle w:val="Caption"/>
      </w:pPr>
      <w:bookmarkStart w:id="224" w:name="_Ref457763947"/>
      <w:bookmarkStart w:id="225" w:name="_Toc459076510"/>
      <w:r>
        <w:t xml:space="preserve">Figure </w:t>
      </w:r>
      <w:fldSimple w:instr=" SEQ Figure \* ARABIC ">
        <w:r w:rsidR="00B0208A">
          <w:rPr>
            <w:noProof/>
          </w:rPr>
          <w:t>59</w:t>
        </w:r>
      </w:fldSimple>
      <w:bookmarkEnd w:id="224"/>
      <w:r>
        <w:t xml:space="preserve">. Voltage of load buses with </w:t>
      </w:r>
      <w:r w:rsidR="00161494">
        <w:t>e</w:t>
      </w:r>
      <w:r w:rsidR="00465EF8">
        <w:t xml:space="preserve">xponential </w:t>
      </w:r>
      <w:r>
        <w:t>load model.</w:t>
      </w:r>
      <w:bookmarkEnd w:id="225"/>
    </w:p>
    <w:p w14:paraId="6A411DAB" w14:textId="7C055E97" w:rsidR="00A028AF" w:rsidRDefault="00A028AF" w:rsidP="0057542F">
      <w:pPr>
        <w:spacing w:before="480"/>
      </w:pPr>
      <w:r>
        <w:t xml:space="preserve">The proposed VSI is depicted in </w:t>
      </w:r>
      <w:r w:rsidR="008A7620">
        <w:fldChar w:fldCharType="begin"/>
      </w:r>
      <w:r w:rsidR="008A7620">
        <w:instrText xml:space="preserve"> REF _Ref457764577 \h </w:instrText>
      </w:r>
      <w:r w:rsidR="008A7620">
        <w:fldChar w:fldCharType="separate"/>
      </w:r>
      <w:r w:rsidR="008A7620">
        <w:t xml:space="preserve">Figure </w:t>
      </w:r>
      <w:r w:rsidR="008A7620">
        <w:rPr>
          <w:noProof/>
        </w:rPr>
        <w:t>61</w:t>
      </w:r>
      <w:r w:rsidR="008A7620">
        <w:fldChar w:fldCharType="end"/>
      </w:r>
      <w:r w:rsidR="008A7620">
        <w:t>. It is seen, at the collapsing</w:t>
      </w:r>
      <w:r w:rsidR="00465EF8">
        <w:t xml:space="preserve"> point</w:t>
      </w:r>
      <w:r w:rsidR="008A7620">
        <w:t xml:space="preserve">, the VSI is close to 0 accurately indicating the </w:t>
      </w:r>
      <w:r w:rsidR="00465EF8">
        <w:t>collapse</w:t>
      </w:r>
      <w:r w:rsidR="008A7620">
        <w:t xml:space="preserve">. In </w:t>
      </w:r>
      <w:r w:rsidR="008A7620">
        <w:fldChar w:fldCharType="begin"/>
      </w:r>
      <w:r w:rsidR="008A7620">
        <w:instrText xml:space="preserve"> REF _Ref457764581 \h </w:instrText>
      </w:r>
      <w:r w:rsidR="008A7620">
        <w:fldChar w:fldCharType="separate"/>
      </w:r>
      <w:r w:rsidR="008A7620">
        <w:t xml:space="preserve">Figure </w:t>
      </w:r>
      <w:r w:rsidR="008A7620">
        <w:rPr>
          <w:noProof/>
        </w:rPr>
        <w:t>62</w:t>
      </w:r>
      <w:r w:rsidR="008A7620">
        <w:fldChar w:fldCharType="end"/>
      </w:r>
      <w:r w:rsidR="008A7620">
        <w:t>, the index for P load is presented. It is seen that in around 236 seconds, the index of Bus 14 reaches 1.0 and gives a conservative indication of voltage instability.</w:t>
      </w:r>
    </w:p>
    <w:p w14:paraId="42C493EA" w14:textId="77777777" w:rsidR="00313BDF" w:rsidRDefault="00313BDF" w:rsidP="00313BDF">
      <w:pPr>
        <w:pStyle w:val="Heading3"/>
        <w:rPr>
          <w:lang w:eastAsia="zh-CN"/>
        </w:rPr>
      </w:pPr>
      <w:bookmarkStart w:id="226" w:name="_Toc459076603"/>
      <w:r>
        <w:rPr>
          <w:lang w:eastAsia="zh-CN"/>
        </w:rPr>
        <w:t>7.4.3 Results on Large-Scale Test Bed with ZIP Load Model</w:t>
      </w:r>
      <w:bookmarkEnd w:id="226"/>
    </w:p>
    <w:p w14:paraId="0A6B3DFF" w14:textId="77777777" w:rsidR="00313BDF" w:rsidRDefault="00313BDF" w:rsidP="00313BDF">
      <w:pPr>
        <w:rPr>
          <w:lang w:eastAsia="zh-CN"/>
        </w:rPr>
      </w:pPr>
      <w:r>
        <w:rPr>
          <w:lang w:eastAsia="zh-CN"/>
        </w:rPr>
        <w:t>In this subsection, the proposed VSI is tested on a 181-bus reduced WECC (</w:t>
      </w:r>
      <w:r w:rsidRPr="00DF7635">
        <w:rPr>
          <w:lang w:eastAsia="zh-CN"/>
        </w:rPr>
        <w:t>Western Electricity Coordinating Council</w:t>
      </w:r>
      <w:r>
        <w:rPr>
          <w:lang w:eastAsia="zh-CN"/>
        </w:rPr>
        <w:t xml:space="preserve">) system which is developed at the CURENT research center as a large-scale test bed (LTB). The system has 181 buses and 29 generators. Shunt compensation are modeled in load buses. Time domain simulation is used in order to reach the voltage unstable point. The load buses in LADWP area which represents the Los Angeles load center are modeled as ZIP loads with 30% Z, 40% I and 30% P loads. In the simulation, the loading factors of load buses at LADWP area are increased 0.2% per second after the first 20 seconds initialization. </w:t>
      </w:r>
    </w:p>
    <w:p w14:paraId="6CDCF55A" w14:textId="77777777" w:rsidR="00313BDF" w:rsidRDefault="00313BDF" w:rsidP="00313BDF">
      <w:pPr>
        <w:spacing w:after="120"/>
        <w:jc w:val="distribute"/>
        <w:rPr>
          <w:lang w:eastAsia="zh-CN"/>
        </w:rPr>
      </w:pPr>
      <w:r>
        <w:rPr>
          <w:lang w:eastAsia="zh-CN"/>
        </w:rPr>
        <w:t xml:space="preserve">Voltage magnitudes of the 10 load buses are plot in </w:t>
      </w:r>
      <w:r>
        <w:rPr>
          <w:lang w:eastAsia="zh-CN"/>
        </w:rPr>
        <w:fldChar w:fldCharType="begin"/>
      </w:r>
      <w:r>
        <w:rPr>
          <w:lang w:eastAsia="zh-CN"/>
        </w:rPr>
        <w:instrText xml:space="preserve"> REF _Ref457146826 \h  \* MERGEFORMAT </w:instrText>
      </w:r>
      <w:r>
        <w:rPr>
          <w:lang w:eastAsia="zh-CN"/>
        </w:rPr>
      </w:r>
      <w:r>
        <w:rPr>
          <w:lang w:eastAsia="zh-CN"/>
        </w:rPr>
        <w:fldChar w:fldCharType="separate"/>
      </w:r>
      <w:r>
        <w:rPr>
          <w:lang w:eastAsia="zh-CN"/>
        </w:rPr>
        <w:t>Figure 63</w:t>
      </w:r>
      <w:r>
        <w:rPr>
          <w:lang w:eastAsia="zh-CN"/>
        </w:rPr>
        <w:fldChar w:fldCharType="end"/>
      </w:r>
      <w:r>
        <w:rPr>
          <w:lang w:eastAsia="zh-CN"/>
        </w:rPr>
        <w:t xml:space="preserve">. It is seen that </w:t>
      </w:r>
    </w:p>
    <w:p w14:paraId="177354F6" w14:textId="77777777" w:rsidR="00313BDF" w:rsidRDefault="00313BDF" w:rsidP="00313BDF">
      <w:pPr>
        <w:spacing w:line="240" w:lineRule="auto"/>
        <w:ind w:firstLine="0"/>
        <w:jc w:val="center"/>
      </w:pPr>
      <w:r>
        <w:rPr>
          <w:noProof/>
          <w:lang w:eastAsia="zh-CN"/>
        </w:rPr>
        <w:lastRenderedPageBreak/>
        <w:drawing>
          <wp:inline distT="0" distB="0" distL="0" distR="0" wp14:anchorId="161066C0" wp14:editId="1AB4E0E4">
            <wp:extent cx="2771775" cy="1599374"/>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2799241" cy="1615222"/>
                    </a:xfrm>
                    <a:prstGeom prst="rect">
                      <a:avLst/>
                    </a:prstGeom>
                    <a:noFill/>
                    <a:ln>
                      <a:noFill/>
                    </a:ln>
                  </pic:spPr>
                </pic:pic>
              </a:graphicData>
            </a:graphic>
          </wp:inline>
        </w:drawing>
      </w:r>
    </w:p>
    <w:p w14:paraId="3E8F2F25" w14:textId="12E52426" w:rsidR="00313BDF" w:rsidRDefault="00313BDF" w:rsidP="00313BDF">
      <w:pPr>
        <w:pStyle w:val="Caption"/>
      </w:pPr>
      <w:bookmarkStart w:id="227" w:name="_Ref457764137"/>
      <w:bookmarkStart w:id="228" w:name="_Toc459076511"/>
      <w:r>
        <w:t xml:space="preserve">Figure </w:t>
      </w:r>
      <w:fldSimple w:instr=" SEQ Figure \* ARABIC ">
        <w:r>
          <w:rPr>
            <w:noProof/>
          </w:rPr>
          <w:t>60</w:t>
        </w:r>
      </w:fldSimple>
      <w:bookmarkEnd w:id="227"/>
      <w:r>
        <w:t xml:space="preserve">. Real power load with </w:t>
      </w:r>
      <w:r w:rsidR="00161494">
        <w:t>e</w:t>
      </w:r>
      <w:r>
        <w:t>xponential load mode.</w:t>
      </w:r>
      <w:bookmarkEnd w:id="228"/>
    </w:p>
    <w:p w14:paraId="5F1C2799" w14:textId="77777777" w:rsidR="00196434" w:rsidRDefault="00196434" w:rsidP="00A028AF">
      <w:pPr>
        <w:spacing w:line="240" w:lineRule="auto"/>
        <w:ind w:firstLine="0"/>
        <w:jc w:val="center"/>
      </w:pPr>
      <w:r>
        <w:rPr>
          <w:noProof/>
          <w:lang w:eastAsia="zh-CN"/>
        </w:rPr>
        <w:drawing>
          <wp:inline distT="0" distB="0" distL="0" distR="0" wp14:anchorId="25419AC9" wp14:editId="353C1491">
            <wp:extent cx="2809875" cy="1495425"/>
            <wp:effectExtent l="0" t="0" r="0" b="9525"/>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2810277" cy="1495639"/>
                    </a:xfrm>
                    <a:prstGeom prst="rect">
                      <a:avLst/>
                    </a:prstGeom>
                    <a:noFill/>
                    <a:ln>
                      <a:noFill/>
                    </a:ln>
                  </pic:spPr>
                </pic:pic>
              </a:graphicData>
            </a:graphic>
          </wp:inline>
        </w:drawing>
      </w:r>
    </w:p>
    <w:p w14:paraId="562809CC" w14:textId="590BDBAA" w:rsidR="00A028AF" w:rsidRDefault="00A028AF" w:rsidP="009D0201">
      <w:pPr>
        <w:pStyle w:val="Caption"/>
      </w:pPr>
      <w:bookmarkStart w:id="229" w:name="_Ref457764577"/>
      <w:bookmarkStart w:id="230" w:name="_Toc459076512"/>
      <w:r>
        <w:t xml:space="preserve">Figure </w:t>
      </w:r>
      <w:fldSimple w:instr=" SEQ Figure \* ARABIC ">
        <w:r w:rsidR="00B0208A">
          <w:rPr>
            <w:noProof/>
          </w:rPr>
          <w:t>61</w:t>
        </w:r>
      </w:fldSimple>
      <w:bookmarkEnd w:id="229"/>
      <w:r>
        <w:t xml:space="preserve">. Proposed VSI in 14-bus system with </w:t>
      </w:r>
      <w:r w:rsidR="00161494">
        <w:t>exponential</w:t>
      </w:r>
      <w:r>
        <w:t xml:space="preserve"> </w:t>
      </w:r>
      <w:r w:rsidR="00D17ACF">
        <w:t xml:space="preserve">load </w:t>
      </w:r>
      <w:r>
        <w:t>model.</w:t>
      </w:r>
      <w:bookmarkEnd w:id="230"/>
    </w:p>
    <w:p w14:paraId="5990AD8E" w14:textId="77777777" w:rsidR="00A028AF" w:rsidRDefault="007F4D56" w:rsidP="008A7620">
      <w:pPr>
        <w:spacing w:line="240" w:lineRule="auto"/>
        <w:ind w:firstLine="0"/>
        <w:jc w:val="center"/>
      </w:pPr>
      <w:r>
        <w:rPr>
          <w:noProof/>
          <w:lang w:eastAsia="zh-CN"/>
        </w:rPr>
        <w:drawing>
          <wp:inline distT="0" distB="0" distL="0" distR="0" wp14:anchorId="6A8C881E" wp14:editId="43124C4E">
            <wp:extent cx="2914650" cy="1593922"/>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2924448" cy="1599280"/>
                    </a:xfrm>
                    <a:prstGeom prst="rect">
                      <a:avLst/>
                    </a:prstGeom>
                    <a:noFill/>
                    <a:ln>
                      <a:noFill/>
                    </a:ln>
                  </pic:spPr>
                </pic:pic>
              </a:graphicData>
            </a:graphic>
          </wp:inline>
        </w:drawing>
      </w:r>
    </w:p>
    <w:p w14:paraId="1E5F16FA" w14:textId="53ADF9EA" w:rsidR="008A7620" w:rsidRDefault="008A7620" w:rsidP="009D0201">
      <w:pPr>
        <w:pStyle w:val="Caption"/>
      </w:pPr>
      <w:bookmarkStart w:id="231" w:name="_Ref457764581"/>
      <w:bookmarkStart w:id="232" w:name="_Toc459076513"/>
      <w:r>
        <w:t xml:space="preserve">Figure </w:t>
      </w:r>
      <w:fldSimple w:instr=" SEQ Figure \* ARABIC ">
        <w:r w:rsidR="00B0208A">
          <w:rPr>
            <w:noProof/>
          </w:rPr>
          <w:t>62</w:t>
        </w:r>
      </w:fldSimple>
      <w:bookmarkEnd w:id="231"/>
      <w:r>
        <w:t xml:space="preserve">. Index for P load in 14-bus system with </w:t>
      </w:r>
      <w:r w:rsidR="00161494">
        <w:t xml:space="preserve">exponential </w:t>
      </w:r>
      <w:r w:rsidR="00D17ACF">
        <w:t>load model</w:t>
      </w:r>
      <w:r>
        <w:t>.</w:t>
      </w:r>
      <w:bookmarkEnd w:id="232"/>
    </w:p>
    <w:p w14:paraId="071F25FC" w14:textId="77777777" w:rsidR="00313BDF" w:rsidRDefault="00313BDF" w:rsidP="00313BDF">
      <w:pPr>
        <w:spacing w:line="240" w:lineRule="auto"/>
        <w:ind w:firstLine="0"/>
        <w:jc w:val="center"/>
        <w:rPr>
          <w:noProof/>
          <w:lang w:eastAsia="zh-CN"/>
        </w:rPr>
      </w:pPr>
      <w:r>
        <w:rPr>
          <w:noProof/>
          <w:lang w:eastAsia="zh-CN"/>
        </w:rPr>
        <w:drawing>
          <wp:inline distT="0" distB="0" distL="0" distR="0" wp14:anchorId="296AB005" wp14:editId="1191299A">
            <wp:extent cx="2779975" cy="15716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2807068" cy="1586942"/>
                    </a:xfrm>
                    <a:prstGeom prst="rect">
                      <a:avLst/>
                    </a:prstGeom>
                    <a:noFill/>
                    <a:ln>
                      <a:noFill/>
                    </a:ln>
                  </pic:spPr>
                </pic:pic>
              </a:graphicData>
            </a:graphic>
          </wp:inline>
        </w:drawing>
      </w:r>
    </w:p>
    <w:p w14:paraId="5100DEA8" w14:textId="77777777" w:rsidR="00313BDF" w:rsidRDefault="00313BDF" w:rsidP="00313BDF">
      <w:pPr>
        <w:pStyle w:val="Caption"/>
        <w:rPr>
          <w:noProof/>
          <w:lang w:eastAsia="zh-CN"/>
        </w:rPr>
      </w:pPr>
      <w:bookmarkStart w:id="233" w:name="_Ref457146826"/>
      <w:bookmarkStart w:id="234" w:name="_Toc459076514"/>
      <w:r>
        <w:t xml:space="preserve">Figure </w:t>
      </w:r>
      <w:fldSimple w:instr=" SEQ Figure \* ARABIC ">
        <w:r>
          <w:rPr>
            <w:noProof/>
          </w:rPr>
          <w:t>63</w:t>
        </w:r>
      </w:fldSimple>
      <w:bookmarkEnd w:id="233"/>
      <w:r>
        <w:t>. Voltage magnitudes of load buses in 181-bus WECC system.</w:t>
      </w:r>
      <w:bookmarkEnd w:id="234"/>
    </w:p>
    <w:p w14:paraId="31FF90F9" w14:textId="77777777" w:rsidR="00313BDF" w:rsidRDefault="00313BDF">
      <w:pPr>
        <w:rPr>
          <w:lang w:eastAsia="zh-CN"/>
        </w:rPr>
      </w:pPr>
      <w:r>
        <w:rPr>
          <w:lang w:eastAsia="zh-CN"/>
        </w:rPr>
        <w:br w:type="page"/>
      </w:r>
    </w:p>
    <w:p w14:paraId="3C212446" w14:textId="4A714C94" w:rsidR="00DF7635" w:rsidRDefault="00D87459" w:rsidP="00313BDF">
      <w:pPr>
        <w:spacing w:after="120"/>
        <w:ind w:firstLine="0"/>
        <w:rPr>
          <w:lang w:eastAsia="zh-CN"/>
        </w:rPr>
      </w:pPr>
      <w:r>
        <w:rPr>
          <w:lang w:eastAsia="zh-CN"/>
        </w:rPr>
        <w:lastRenderedPageBreak/>
        <w:t xml:space="preserve">voltage </w:t>
      </w:r>
      <w:r w:rsidR="00465EF8">
        <w:rPr>
          <w:lang w:eastAsia="zh-CN"/>
        </w:rPr>
        <w:t xml:space="preserve">collapse </w:t>
      </w:r>
      <w:r>
        <w:rPr>
          <w:lang w:eastAsia="zh-CN"/>
        </w:rPr>
        <w:t>happens around 1010 seconds. The real power load</w:t>
      </w:r>
      <w:r w:rsidR="00C03E26">
        <w:rPr>
          <w:lang w:eastAsia="zh-CN"/>
        </w:rPr>
        <w:t>s</w:t>
      </w:r>
      <w:r>
        <w:rPr>
          <w:lang w:eastAsia="zh-CN"/>
        </w:rPr>
        <w:t xml:space="preserve"> of the 10 buses are depicted in </w:t>
      </w:r>
      <w:r>
        <w:rPr>
          <w:lang w:eastAsia="zh-CN"/>
        </w:rPr>
        <w:fldChar w:fldCharType="begin"/>
      </w:r>
      <w:r>
        <w:rPr>
          <w:lang w:eastAsia="zh-CN"/>
        </w:rPr>
        <w:instrText xml:space="preserve"> REF _Ref457146941 \h </w:instrText>
      </w:r>
      <w:r w:rsidR="008A7620">
        <w:rPr>
          <w:lang w:eastAsia="zh-CN"/>
        </w:rPr>
        <w:instrText xml:space="preserve"> \* MERGEFORMAT </w:instrText>
      </w:r>
      <w:r>
        <w:rPr>
          <w:lang w:eastAsia="zh-CN"/>
        </w:rPr>
      </w:r>
      <w:r>
        <w:rPr>
          <w:lang w:eastAsia="zh-CN"/>
        </w:rPr>
        <w:fldChar w:fldCharType="separate"/>
      </w:r>
      <w:r w:rsidR="008A7620">
        <w:rPr>
          <w:lang w:eastAsia="zh-CN"/>
        </w:rPr>
        <w:t>Figure 64</w:t>
      </w:r>
      <w:r>
        <w:rPr>
          <w:lang w:eastAsia="zh-CN"/>
        </w:rPr>
        <w:fldChar w:fldCharType="end"/>
      </w:r>
      <w:r w:rsidR="00A6082E">
        <w:rPr>
          <w:lang w:eastAsia="zh-CN"/>
        </w:rPr>
        <w:t xml:space="preserve">. At the end of the simulation, the real power loads are decreasing as loading factor increases. The maximum power point of Bus 50 is reached a little after 800 seconds. </w:t>
      </w:r>
    </w:p>
    <w:p w14:paraId="08D6B70E" w14:textId="77777777" w:rsidR="00A6082E" w:rsidRDefault="00D17ACF" w:rsidP="00A6082E">
      <w:pPr>
        <w:spacing w:line="240" w:lineRule="auto"/>
        <w:ind w:firstLine="0"/>
        <w:jc w:val="center"/>
      </w:pPr>
      <w:r>
        <w:object w:dxaOrig="10655" w:dyaOrig="6061" w14:anchorId="2C03A277">
          <v:shape id="_x0000_i1220" type="#_x0000_t75" style="width:214.5pt;height:124.5pt" o:ole="">
            <v:imagedata r:id="rId424" o:title=""/>
          </v:shape>
          <o:OLEObject Type="Embed" ProgID="Visio.Drawing.15" ShapeID="_x0000_i1220" DrawAspect="Content" ObjectID="_1532825788" r:id="rId425"/>
        </w:object>
      </w:r>
      <w:bookmarkStart w:id="235" w:name="_Ref457146941"/>
    </w:p>
    <w:p w14:paraId="30393C06" w14:textId="77777777" w:rsidR="00DF7635" w:rsidRDefault="00DF7635" w:rsidP="009D0201">
      <w:pPr>
        <w:pStyle w:val="Caption"/>
      </w:pPr>
      <w:bookmarkStart w:id="236" w:name="_Toc459076515"/>
      <w:r>
        <w:t xml:space="preserve">Figure </w:t>
      </w:r>
      <w:fldSimple w:instr=" SEQ Figure \* ARABIC ">
        <w:r w:rsidR="00B0208A">
          <w:rPr>
            <w:noProof/>
          </w:rPr>
          <w:t>64</w:t>
        </w:r>
      </w:fldSimple>
      <w:bookmarkEnd w:id="235"/>
      <w:r>
        <w:t>. Real power of load buses in 181-bus WECC system.</w:t>
      </w:r>
      <w:bookmarkEnd w:id="236"/>
    </w:p>
    <w:p w14:paraId="1EC084E7" w14:textId="04DCCAD2" w:rsidR="00A6082E" w:rsidRDefault="00A6082E" w:rsidP="00313BDF">
      <w:pPr>
        <w:spacing w:before="480"/>
      </w:pPr>
      <w:r>
        <w:t xml:space="preserve">The proposed VSIs are calculated on the 10 load buses and the results are shown in </w:t>
      </w:r>
      <w:r>
        <w:fldChar w:fldCharType="begin"/>
      </w:r>
      <w:r>
        <w:instrText xml:space="preserve"> REF _Ref457147210 \h </w:instrText>
      </w:r>
      <w:r>
        <w:fldChar w:fldCharType="separate"/>
      </w:r>
      <w:r w:rsidR="008A7620">
        <w:t xml:space="preserve">Figure </w:t>
      </w:r>
      <w:r w:rsidR="008A7620">
        <w:rPr>
          <w:noProof/>
        </w:rPr>
        <w:t>65</w:t>
      </w:r>
      <w:r>
        <w:fldChar w:fldCharType="end"/>
      </w:r>
      <w:r>
        <w:t xml:space="preserve">. The VSIs are decreasing during the simulation and eventually reduce to close to 0 at the collapsing point. In comparison, </w:t>
      </w:r>
      <w:r w:rsidR="00465EF8">
        <w:t xml:space="preserve">The </w:t>
      </w:r>
      <w:r>
        <w:t>VSI</w:t>
      </w:r>
      <w:r w:rsidR="00465EF8">
        <w:t>s</w:t>
      </w:r>
      <w:r>
        <w:t xml:space="preserve"> for P load</w:t>
      </w:r>
      <w:r w:rsidR="00465EF8">
        <w:t>s are</w:t>
      </w:r>
      <w:r>
        <w:t xml:space="preserve"> also calculated and plotted in </w:t>
      </w:r>
      <w:r>
        <w:fldChar w:fldCharType="begin"/>
      </w:r>
      <w:r>
        <w:instrText xml:space="preserve"> REF _Ref457147327 \h </w:instrText>
      </w:r>
      <w:r>
        <w:fldChar w:fldCharType="separate"/>
      </w:r>
      <w:r w:rsidR="008A7620">
        <w:t xml:space="preserve">Figure </w:t>
      </w:r>
      <w:r w:rsidR="008A7620">
        <w:rPr>
          <w:noProof/>
        </w:rPr>
        <w:t>66</w:t>
      </w:r>
      <w:r>
        <w:fldChar w:fldCharType="end"/>
      </w:r>
      <w:r>
        <w:t xml:space="preserve">. The VSIs for P load indicate instability around 850 seconds when it reaches 1.0. </w:t>
      </w:r>
      <w:r w:rsidR="00FF1CDC">
        <w:t>It is too conservative since the actual instability will not be reached 160 seconds later.</w:t>
      </w:r>
      <w:r>
        <w:t xml:space="preserve"> </w:t>
      </w:r>
    </w:p>
    <w:p w14:paraId="790A31BA" w14:textId="1722B013" w:rsidR="00313BDF" w:rsidRDefault="00313BDF" w:rsidP="00313BDF">
      <w:pPr>
        <w:jc w:val="distribute"/>
      </w:pPr>
      <w:r>
        <w:t xml:space="preserve">The PV sensitivities from the Thevenin circuit are shown in </w:t>
      </w:r>
      <w:r>
        <w:fldChar w:fldCharType="begin"/>
      </w:r>
      <w:r>
        <w:instrText xml:space="preserve"> REF _Ref457147868 \h  \* MERGEFORMAT </w:instrText>
      </w:r>
      <w:r>
        <w:fldChar w:fldCharType="separate"/>
      </w:r>
      <w:r>
        <w:t>Figure 67</w:t>
      </w:r>
      <w:r>
        <w:fldChar w:fldCharType="end"/>
      </w:r>
      <w:r>
        <w:t xml:space="preserve">. The sensitivities are first negative and increase as time passes. At the collapsing point, the sensitivities are positive indicating that the operating points are at lower half of the PV curves. The sensitivities are zoomed in around 800 seconds in </w:t>
      </w:r>
      <w:r>
        <w:fldChar w:fldCharType="begin"/>
      </w:r>
      <w:r>
        <w:instrText xml:space="preserve"> REF _Ref457148116 \h  \* MERGEFORMAT </w:instrText>
      </w:r>
      <w:r>
        <w:fldChar w:fldCharType="separate"/>
      </w:r>
      <w:r>
        <w:t>Figure 68</w:t>
      </w:r>
      <w:r>
        <w:fldChar w:fldCharType="end"/>
      </w:r>
      <w:r>
        <w:t xml:space="preserve"> where most of the sensitivity curves cross the zero line. It is seen that the first occurrence of sensitivity reaches 0 is around 860 seconds indicating that this load bus reaches its maximum power</w:t>
      </w:r>
    </w:p>
    <w:p w14:paraId="5AB759C6" w14:textId="77777777" w:rsidR="00DF7635" w:rsidRDefault="00196434" w:rsidP="00DF7635">
      <w:pPr>
        <w:spacing w:line="240" w:lineRule="auto"/>
        <w:ind w:firstLine="0"/>
        <w:jc w:val="center"/>
      </w:pPr>
      <w:r w:rsidRPr="00196434">
        <w:rPr>
          <w:noProof/>
          <w:lang w:eastAsia="zh-CN"/>
        </w:rPr>
        <w:lastRenderedPageBreak/>
        <w:drawing>
          <wp:inline distT="0" distB="0" distL="0" distR="0" wp14:anchorId="227C6F99" wp14:editId="3F780FFE">
            <wp:extent cx="2590800" cy="160186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2596276" cy="1605248"/>
                    </a:xfrm>
                    <a:prstGeom prst="rect">
                      <a:avLst/>
                    </a:prstGeom>
                    <a:noFill/>
                    <a:ln>
                      <a:noFill/>
                    </a:ln>
                  </pic:spPr>
                </pic:pic>
              </a:graphicData>
            </a:graphic>
          </wp:inline>
        </w:drawing>
      </w:r>
    </w:p>
    <w:p w14:paraId="46FBE230" w14:textId="77777777" w:rsidR="00DF7635" w:rsidRDefault="00DF7635" w:rsidP="009D0201">
      <w:pPr>
        <w:pStyle w:val="Caption"/>
      </w:pPr>
      <w:bookmarkStart w:id="237" w:name="_Ref457147210"/>
      <w:bookmarkStart w:id="238" w:name="_Toc459076516"/>
      <w:r>
        <w:t xml:space="preserve">Figure </w:t>
      </w:r>
      <w:fldSimple w:instr=" SEQ Figure \* ARABIC ">
        <w:r w:rsidR="00B0208A">
          <w:rPr>
            <w:noProof/>
          </w:rPr>
          <w:t>65</w:t>
        </w:r>
      </w:fldSimple>
      <w:bookmarkEnd w:id="237"/>
      <w:r>
        <w:t>. Proposed VSI in 181-bus WECC system.</w:t>
      </w:r>
      <w:bookmarkEnd w:id="238"/>
    </w:p>
    <w:p w14:paraId="394CB5BA" w14:textId="77777777" w:rsidR="00AB5CA6" w:rsidRDefault="00FA3AF7" w:rsidP="00DF7635">
      <w:pPr>
        <w:spacing w:line="240" w:lineRule="auto"/>
        <w:ind w:firstLine="0"/>
        <w:jc w:val="center"/>
        <w:rPr>
          <w:noProof/>
          <w:lang w:eastAsia="zh-CN"/>
        </w:rPr>
      </w:pPr>
      <w:r>
        <w:rPr>
          <w:noProof/>
          <w:lang w:eastAsia="zh-CN"/>
        </w:rPr>
        <w:drawing>
          <wp:inline distT="0" distB="0" distL="0" distR="0" wp14:anchorId="03B7D32F" wp14:editId="2501AE30">
            <wp:extent cx="2847975" cy="164334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868845" cy="1655387"/>
                    </a:xfrm>
                    <a:prstGeom prst="rect">
                      <a:avLst/>
                    </a:prstGeom>
                    <a:noFill/>
                    <a:ln>
                      <a:noFill/>
                    </a:ln>
                  </pic:spPr>
                </pic:pic>
              </a:graphicData>
            </a:graphic>
          </wp:inline>
        </w:drawing>
      </w:r>
    </w:p>
    <w:p w14:paraId="4EE46D85" w14:textId="77777777" w:rsidR="00DF7635" w:rsidRDefault="00DF7635" w:rsidP="009D0201">
      <w:pPr>
        <w:pStyle w:val="Caption"/>
      </w:pPr>
      <w:bookmarkStart w:id="239" w:name="_Ref457147327"/>
      <w:bookmarkStart w:id="240" w:name="_Toc459076517"/>
      <w:r>
        <w:t xml:space="preserve">Figure </w:t>
      </w:r>
      <w:fldSimple w:instr=" SEQ Figure \* ARABIC ">
        <w:r w:rsidR="00B0208A">
          <w:rPr>
            <w:noProof/>
          </w:rPr>
          <w:t>66</w:t>
        </w:r>
      </w:fldSimple>
      <w:bookmarkEnd w:id="239"/>
      <w:r>
        <w:t>. VSI for P load in 181-bus WECC system.</w:t>
      </w:r>
      <w:bookmarkEnd w:id="240"/>
    </w:p>
    <w:p w14:paraId="657F32B4" w14:textId="77777777" w:rsidR="00313BDF" w:rsidRDefault="00313BDF" w:rsidP="00313BDF">
      <w:pPr>
        <w:spacing w:line="240" w:lineRule="auto"/>
        <w:ind w:firstLine="0"/>
        <w:jc w:val="center"/>
      </w:pPr>
      <w:r>
        <w:rPr>
          <w:noProof/>
          <w:lang w:eastAsia="zh-CN"/>
        </w:rPr>
        <w:drawing>
          <wp:inline distT="0" distB="0" distL="0" distR="0" wp14:anchorId="6636D213" wp14:editId="589332CE">
            <wp:extent cx="2857500" cy="1686607"/>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rotWithShape="1">
                    <a:blip r:embed="rId428">
                      <a:extLst>
                        <a:ext uri="{28A0092B-C50C-407E-A947-70E740481C1C}">
                          <a14:useLocalDpi xmlns:a14="http://schemas.microsoft.com/office/drawing/2010/main" val="0"/>
                        </a:ext>
                      </a:extLst>
                    </a:blip>
                    <a:srcRect l="1476" t="3916" r="6493"/>
                    <a:stretch/>
                  </pic:blipFill>
                  <pic:spPr bwMode="auto">
                    <a:xfrm>
                      <a:off x="0" y="0"/>
                      <a:ext cx="2870746" cy="1694425"/>
                    </a:xfrm>
                    <a:prstGeom prst="rect">
                      <a:avLst/>
                    </a:prstGeom>
                    <a:noFill/>
                    <a:ln>
                      <a:noFill/>
                    </a:ln>
                    <a:extLst>
                      <a:ext uri="{53640926-AAD7-44D8-BBD7-CCE9431645EC}">
                        <a14:shadowObscured xmlns:a14="http://schemas.microsoft.com/office/drawing/2010/main"/>
                      </a:ext>
                    </a:extLst>
                  </pic:spPr>
                </pic:pic>
              </a:graphicData>
            </a:graphic>
          </wp:inline>
        </w:drawing>
      </w:r>
    </w:p>
    <w:p w14:paraId="5BC911FC" w14:textId="77777777" w:rsidR="00313BDF" w:rsidRDefault="00313BDF" w:rsidP="00313BDF">
      <w:pPr>
        <w:pStyle w:val="Caption"/>
      </w:pPr>
      <w:bookmarkStart w:id="241" w:name="_Ref457147868"/>
      <w:bookmarkStart w:id="242" w:name="_Toc459076518"/>
      <w:r>
        <w:t xml:space="preserve">Figure </w:t>
      </w:r>
      <w:fldSimple w:instr=" SEQ Figure \* ARABIC ">
        <w:r>
          <w:rPr>
            <w:noProof/>
          </w:rPr>
          <w:t>67</w:t>
        </w:r>
      </w:fldSimple>
      <w:bookmarkEnd w:id="241"/>
      <w:r>
        <w:t>. PV sensitivities from PV curve.</w:t>
      </w:r>
      <w:bookmarkEnd w:id="242"/>
    </w:p>
    <w:p w14:paraId="31CD82EA" w14:textId="77777777" w:rsidR="00313BDF" w:rsidRDefault="00313BDF" w:rsidP="00313BDF">
      <w:pPr>
        <w:spacing w:line="240" w:lineRule="auto"/>
        <w:ind w:firstLine="0"/>
        <w:jc w:val="center"/>
      </w:pPr>
      <w:r w:rsidRPr="00FF1CDC">
        <w:rPr>
          <w:noProof/>
          <w:lang w:eastAsia="zh-CN"/>
        </w:rPr>
        <w:drawing>
          <wp:inline distT="0" distB="0" distL="0" distR="0" wp14:anchorId="314E9DCB" wp14:editId="300843F2">
            <wp:extent cx="2697335" cy="157276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9"/>
                    <pic:cNvPicPr>
                      <a:picLocks noChangeAspect="1" noChangeArrowheads="1"/>
                    </pic:cNvPicPr>
                  </pic:nvPicPr>
                  <pic:blipFill rotWithShape="1">
                    <a:blip r:embed="rId429" cstate="print">
                      <a:extLst>
                        <a:ext uri="{28A0092B-C50C-407E-A947-70E740481C1C}">
                          <a14:useLocalDpi xmlns:a14="http://schemas.microsoft.com/office/drawing/2010/main" val="0"/>
                        </a:ext>
                      </a:extLst>
                    </a:blip>
                    <a:srcRect t="3594" r="5945"/>
                    <a:stretch/>
                  </pic:blipFill>
                  <pic:spPr bwMode="auto">
                    <a:xfrm>
                      <a:off x="0" y="0"/>
                      <a:ext cx="2702023" cy="1575501"/>
                    </a:xfrm>
                    <a:prstGeom prst="rect">
                      <a:avLst/>
                    </a:prstGeom>
                    <a:noFill/>
                    <a:ln>
                      <a:noFill/>
                    </a:ln>
                    <a:extLst>
                      <a:ext uri="{53640926-AAD7-44D8-BBD7-CCE9431645EC}">
                        <a14:shadowObscured xmlns:a14="http://schemas.microsoft.com/office/drawing/2010/main"/>
                      </a:ext>
                    </a:extLst>
                  </pic:spPr>
                </pic:pic>
              </a:graphicData>
            </a:graphic>
          </wp:inline>
        </w:drawing>
      </w:r>
    </w:p>
    <w:p w14:paraId="34240DEB" w14:textId="77777777" w:rsidR="00313BDF" w:rsidRDefault="00313BDF" w:rsidP="00313BDF">
      <w:pPr>
        <w:pStyle w:val="Caption"/>
      </w:pPr>
      <w:bookmarkStart w:id="243" w:name="_Ref457148116"/>
      <w:bookmarkStart w:id="244" w:name="_Toc459076519"/>
      <w:r>
        <w:t xml:space="preserve">Figure </w:t>
      </w:r>
      <w:fldSimple w:instr=" SEQ Figure \* ARABIC ">
        <w:r>
          <w:rPr>
            <w:noProof/>
          </w:rPr>
          <w:t>68</w:t>
        </w:r>
      </w:fldSimple>
      <w:bookmarkEnd w:id="243"/>
      <w:r>
        <w:t>. PV sensitivities from PV curve around 800 seconds.</w:t>
      </w:r>
      <w:bookmarkEnd w:id="244"/>
    </w:p>
    <w:p w14:paraId="499A93DC" w14:textId="77777777" w:rsidR="00313BDF" w:rsidRPr="00313BDF" w:rsidRDefault="00313BDF">
      <w:pPr>
        <w:rPr>
          <w:sz w:val="2"/>
        </w:rPr>
      </w:pPr>
      <w:r>
        <w:br w:type="page"/>
      </w:r>
    </w:p>
    <w:p w14:paraId="2C4A7610" w14:textId="57C9F007" w:rsidR="00FF1CDC" w:rsidRPr="00FF1CDC" w:rsidRDefault="000E78D9" w:rsidP="00313BDF">
      <w:pPr>
        <w:spacing w:before="120"/>
        <w:ind w:firstLine="0"/>
      </w:pPr>
      <w:r>
        <w:lastRenderedPageBreak/>
        <w:t xml:space="preserve">point. </w:t>
      </w:r>
      <w:r w:rsidR="007C4363">
        <w:t xml:space="preserve">Also, this </w:t>
      </w:r>
      <w:r>
        <w:t xml:space="preserve">time </w:t>
      </w:r>
      <w:r w:rsidR="007C4363">
        <w:t>is aligned</w:t>
      </w:r>
      <w:r>
        <w:t xml:space="preserve"> with the VSI in </w:t>
      </w:r>
      <w:r>
        <w:fldChar w:fldCharType="begin"/>
      </w:r>
      <w:r>
        <w:instrText xml:space="preserve"> REF _Ref457147327 \h </w:instrText>
      </w:r>
      <w:r w:rsidR="008A7620">
        <w:instrText xml:space="preserve"> \* MERGEFORMAT </w:instrText>
      </w:r>
      <w:r>
        <w:fldChar w:fldCharType="separate"/>
      </w:r>
      <w:r w:rsidR="008A7620">
        <w:t>Figure 66</w:t>
      </w:r>
      <w:r>
        <w:fldChar w:fldCharType="end"/>
      </w:r>
      <w:r>
        <w:t xml:space="preserve"> </w:t>
      </w:r>
      <w:r w:rsidR="007C4363">
        <w:t xml:space="preserve">reaching </w:t>
      </w:r>
      <w:r>
        <w:t xml:space="preserve">1.0. The sensitivities from the ZIP load model are shown in </w:t>
      </w:r>
      <w:r>
        <w:fldChar w:fldCharType="begin"/>
      </w:r>
      <w:r>
        <w:instrText xml:space="preserve"> REF _Ref457148442 \h </w:instrText>
      </w:r>
      <w:r w:rsidR="008A7620">
        <w:instrText xml:space="preserve"> \* MERGEFORMAT </w:instrText>
      </w:r>
      <w:r>
        <w:fldChar w:fldCharType="separate"/>
      </w:r>
      <w:r w:rsidR="008A7620">
        <w:t>Figure 69</w:t>
      </w:r>
      <w:r>
        <w:fldChar w:fldCharType="end"/>
      </w:r>
      <w:r>
        <w:t>. The sensitivities are always positive and are increasing through the whole simulation.</w:t>
      </w:r>
    </w:p>
    <w:p w14:paraId="47C9A0C1" w14:textId="77777777" w:rsidR="008A7620" w:rsidRDefault="008A7620" w:rsidP="008A7620">
      <w:pPr>
        <w:pStyle w:val="Heading3"/>
        <w:rPr>
          <w:lang w:eastAsia="zh-CN"/>
        </w:rPr>
      </w:pPr>
      <w:bookmarkStart w:id="245" w:name="_Toc459076604"/>
      <w:r>
        <w:rPr>
          <w:lang w:eastAsia="zh-CN"/>
        </w:rPr>
        <w:t>7.4.4 Results on Large-</w:t>
      </w:r>
      <w:r w:rsidR="00253FA7">
        <w:rPr>
          <w:lang w:eastAsia="zh-CN"/>
        </w:rPr>
        <w:t xml:space="preserve">Scale </w:t>
      </w:r>
      <w:r>
        <w:rPr>
          <w:lang w:eastAsia="zh-CN"/>
        </w:rPr>
        <w:t>Test Bed with Exponential Load Model</w:t>
      </w:r>
      <w:bookmarkEnd w:id="245"/>
    </w:p>
    <w:p w14:paraId="1D28DD1D" w14:textId="30959A7C" w:rsidR="00B0208A" w:rsidRDefault="00B0208A" w:rsidP="00B0208A">
      <w:pPr>
        <w:rPr>
          <w:lang w:eastAsia="zh-CN"/>
        </w:rPr>
      </w:pPr>
      <w:r>
        <w:t xml:space="preserve">The same settings in Section 7.4.3 are applied </w:t>
      </w:r>
      <w:r w:rsidR="007C4363">
        <w:t xml:space="preserve">here </w:t>
      </w:r>
      <w:r>
        <w:t>except that the load models of</w:t>
      </w:r>
      <w:r>
        <w:rPr>
          <w:lang w:eastAsia="zh-CN"/>
        </w:rPr>
        <w:t xml:space="preserve"> LADWP area are changed to exponential load models with </w:t>
      </w:r>
      <w:r w:rsidRPr="001228AF">
        <w:rPr>
          <w:position w:val="-10"/>
          <w:lang w:eastAsia="zh-CN"/>
        </w:rPr>
        <w:object w:dxaOrig="320" w:dyaOrig="340" w14:anchorId="759311DE">
          <v:shape id="_x0000_i1221" type="#_x0000_t75" style="width:15.8pt;height:17.45pt" o:ole="">
            <v:imagedata r:id="rId373" o:title=""/>
          </v:shape>
          <o:OLEObject Type="Embed" ProgID="Equation.3" ShapeID="_x0000_i1221" DrawAspect="Content" ObjectID="_1532825789" r:id="rId430"/>
        </w:object>
      </w:r>
      <w:r>
        <w:rPr>
          <w:lang w:eastAsia="zh-CN"/>
        </w:rPr>
        <w:t xml:space="preserve">and </w:t>
      </w:r>
      <w:r w:rsidRPr="0096013F">
        <w:rPr>
          <w:position w:val="-14"/>
          <w:lang w:eastAsia="zh-CN"/>
        </w:rPr>
        <w:object w:dxaOrig="340" w:dyaOrig="380" w14:anchorId="26215EE5">
          <v:shape id="_x0000_i1222" type="#_x0000_t75" style="width:17.45pt;height:19.65pt" o:ole="">
            <v:imagedata r:id="rId417" o:title=""/>
          </v:shape>
          <o:OLEObject Type="Embed" ProgID="Equation.3" ShapeID="_x0000_i1222" DrawAspect="Content" ObjectID="_1532825790" r:id="rId431"/>
        </w:object>
      </w:r>
      <w:r>
        <w:rPr>
          <w:lang w:eastAsia="zh-CN"/>
        </w:rPr>
        <w:t xml:space="preserve">set to 0.5. The voltage magnitude of Los Angeles area load buses are depicted in </w:t>
      </w:r>
      <w:r>
        <w:rPr>
          <w:lang w:eastAsia="zh-CN"/>
        </w:rPr>
        <w:fldChar w:fldCharType="begin"/>
      </w:r>
      <w:r>
        <w:rPr>
          <w:lang w:eastAsia="zh-CN"/>
        </w:rPr>
        <w:instrText xml:space="preserve"> REF _Ref457765486 \h </w:instrText>
      </w:r>
      <w:r>
        <w:rPr>
          <w:lang w:eastAsia="zh-CN"/>
        </w:rPr>
      </w:r>
      <w:r>
        <w:rPr>
          <w:lang w:eastAsia="zh-CN"/>
        </w:rPr>
        <w:fldChar w:fldCharType="separate"/>
      </w:r>
      <w:r>
        <w:t xml:space="preserve">Figure </w:t>
      </w:r>
      <w:r>
        <w:rPr>
          <w:noProof/>
        </w:rPr>
        <w:t>70</w:t>
      </w:r>
      <w:r>
        <w:rPr>
          <w:lang w:eastAsia="zh-CN"/>
        </w:rPr>
        <w:fldChar w:fldCharType="end"/>
      </w:r>
      <w:r>
        <w:rPr>
          <w:lang w:eastAsia="zh-CN"/>
        </w:rPr>
        <w:t>. Voltage collap</w:t>
      </w:r>
      <w:r w:rsidR="007C4363">
        <w:rPr>
          <w:lang w:eastAsia="zh-CN"/>
        </w:rPr>
        <w:t>se</w:t>
      </w:r>
      <w:r>
        <w:rPr>
          <w:lang w:eastAsia="zh-CN"/>
        </w:rPr>
        <w:t xml:space="preserve"> </w:t>
      </w:r>
      <w:r w:rsidR="007C4363">
        <w:rPr>
          <w:lang w:eastAsia="zh-CN"/>
        </w:rPr>
        <w:t xml:space="preserve">occurs </w:t>
      </w:r>
      <w:r>
        <w:rPr>
          <w:lang w:eastAsia="zh-CN"/>
        </w:rPr>
        <w:t>around 850 seconds.</w:t>
      </w:r>
    </w:p>
    <w:p w14:paraId="43B76293" w14:textId="76544875" w:rsidR="00B0208A" w:rsidRDefault="007252CB" w:rsidP="00B0208A">
      <w:pPr>
        <w:rPr>
          <w:lang w:eastAsia="zh-CN"/>
        </w:rPr>
      </w:pPr>
      <w:r>
        <w:rPr>
          <w:lang w:eastAsia="zh-CN"/>
        </w:rPr>
        <w:t xml:space="preserve">The proposed VSI </w:t>
      </w:r>
      <w:r w:rsidR="007C4363">
        <w:rPr>
          <w:lang w:eastAsia="zh-CN"/>
        </w:rPr>
        <w:t xml:space="preserve">is </w:t>
      </w:r>
      <w:r>
        <w:rPr>
          <w:lang w:eastAsia="zh-CN"/>
        </w:rPr>
        <w:t xml:space="preserve">calculated and illustrated in </w:t>
      </w:r>
      <w:r>
        <w:rPr>
          <w:lang w:eastAsia="zh-CN"/>
        </w:rPr>
        <w:fldChar w:fldCharType="begin"/>
      </w:r>
      <w:r>
        <w:rPr>
          <w:lang w:eastAsia="zh-CN"/>
        </w:rPr>
        <w:instrText xml:space="preserve"> REF _Ref457765662 \h </w:instrText>
      </w:r>
      <w:r>
        <w:rPr>
          <w:lang w:eastAsia="zh-CN"/>
        </w:rPr>
      </w:r>
      <w:r>
        <w:rPr>
          <w:lang w:eastAsia="zh-CN"/>
        </w:rPr>
        <w:fldChar w:fldCharType="separate"/>
      </w:r>
      <w:r>
        <w:t xml:space="preserve">Figure </w:t>
      </w:r>
      <w:r>
        <w:rPr>
          <w:noProof/>
        </w:rPr>
        <w:t>71</w:t>
      </w:r>
      <w:r>
        <w:rPr>
          <w:lang w:eastAsia="zh-CN"/>
        </w:rPr>
        <w:fldChar w:fldCharType="end"/>
      </w:r>
      <w:r w:rsidR="00115F60">
        <w:rPr>
          <w:lang w:eastAsia="zh-CN"/>
        </w:rPr>
        <w:t xml:space="preserve">. According to the figure, the proposed indicator decreases to zero at around 850 seconds. In comparison, the index for P load is shown in </w:t>
      </w:r>
      <w:r w:rsidR="00115F60">
        <w:rPr>
          <w:lang w:eastAsia="zh-CN"/>
        </w:rPr>
        <w:fldChar w:fldCharType="begin"/>
      </w:r>
      <w:r w:rsidR="00115F60">
        <w:rPr>
          <w:lang w:eastAsia="zh-CN"/>
        </w:rPr>
        <w:instrText xml:space="preserve"> REF _Ref457765740 \h </w:instrText>
      </w:r>
      <w:r w:rsidR="00115F60">
        <w:rPr>
          <w:lang w:eastAsia="zh-CN"/>
        </w:rPr>
      </w:r>
      <w:r w:rsidR="00115F60">
        <w:rPr>
          <w:lang w:eastAsia="zh-CN"/>
        </w:rPr>
        <w:fldChar w:fldCharType="separate"/>
      </w:r>
      <w:r w:rsidR="00115F60">
        <w:t xml:space="preserve">Figure </w:t>
      </w:r>
      <w:r w:rsidR="00115F60">
        <w:rPr>
          <w:noProof/>
        </w:rPr>
        <w:t>72</w:t>
      </w:r>
      <w:r w:rsidR="00115F60">
        <w:rPr>
          <w:lang w:eastAsia="zh-CN"/>
        </w:rPr>
        <w:fldChar w:fldCharType="end"/>
      </w:r>
      <w:r w:rsidR="00115F60">
        <w:rPr>
          <w:lang w:eastAsia="zh-CN"/>
        </w:rPr>
        <w:t>. It is seen that the indicator reaches 1.0 around 750 seconds which is 100 seconds earlier than the actual collapsing point.</w:t>
      </w:r>
    </w:p>
    <w:p w14:paraId="6D4D6E5A" w14:textId="544E5DBF" w:rsidR="00115F60" w:rsidRDefault="00115F60" w:rsidP="00B0208A">
      <w:pPr>
        <w:rPr>
          <w:lang w:eastAsia="zh-CN"/>
        </w:rPr>
      </w:pPr>
      <w:r>
        <w:rPr>
          <w:lang w:eastAsia="zh-CN"/>
        </w:rPr>
        <w:t xml:space="preserve">Through all the simulation results in section 7.4, it is demonstrated that the proposed VSI is effective in indicating the voltage </w:t>
      </w:r>
      <w:r w:rsidR="007C4363">
        <w:rPr>
          <w:lang w:eastAsia="zh-CN"/>
        </w:rPr>
        <w:t xml:space="preserve">collapse </w:t>
      </w:r>
      <w:r>
        <w:rPr>
          <w:lang w:eastAsia="zh-CN"/>
        </w:rPr>
        <w:t xml:space="preserve">when voltage dependent load models, including both ZIP and exponential models, are in presence. On the other hand, traditional VSI will lead to a much </w:t>
      </w:r>
      <w:r w:rsidR="007C4363">
        <w:rPr>
          <w:lang w:eastAsia="zh-CN"/>
        </w:rPr>
        <w:t xml:space="preserve">more </w:t>
      </w:r>
      <w:r>
        <w:rPr>
          <w:lang w:eastAsia="zh-CN"/>
        </w:rPr>
        <w:t>conservative results.</w:t>
      </w:r>
    </w:p>
    <w:p w14:paraId="4E8F6170" w14:textId="6B626F64" w:rsidR="003878D0" w:rsidRPr="00802F0C" w:rsidRDefault="00A0417B" w:rsidP="003878D0">
      <w:pPr>
        <w:pStyle w:val="Heading2"/>
        <w:rPr>
          <w:lang w:eastAsia="zh-CN"/>
        </w:rPr>
      </w:pPr>
      <w:bookmarkStart w:id="246" w:name="_Toc459076605"/>
      <w:r>
        <w:rPr>
          <w:lang w:eastAsia="zh-CN"/>
        </w:rPr>
        <w:t>7.5</w:t>
      </w:r>
      <w:r w:rsidR="003878D0">
        <w:rPr>
          <w:lang w:eastAsia="zh-CN"/>
        </w:rPr>
        <w:t xml:space="preserve"> Conclusion</w:t>
      </w:r>
      <w:bookmarkEnd w:id="246"/>
    </w:p>
    <w:p w14:paraId="6D99F182" w14:textId="0032073D" w:rsidR="003878D0" w:rsidRDefault="003878D0" w:rsidP="003878D0">
      <w:pPr>
        <w:rPr>
          <w:lang w:eastAsia="zh-CN"/>
        </w:rPr>
      </w:pPr>
      <w:r>
        <w:rPr>
          <w:lang w:eastAsia="zh-CN"/>
        </w:rPr>
        <w:t>This chapter first analyzes the impact of ZIP and exponential load model</w:t>
      </w:r>
      <w:r w:rsidR="007C4363">
        <w:rPr>
          <w:lang w:eastAsia="zh-CN"/>
        </w:rPr>
        <w:t>s</w:t>
      </w:r>
      <w:r>
        <w:rPr>
          <w:lang w:eastAsia="zh-CN"/>
        </w:rPr>
        <w:t xml:space="preserve"> to voltage stability through theoretical analysis and simulation. Then</w:t>
      </w:r>
      <w:r w:rsidR="007C4363">
        <w:rPr>
          <w:lang w:eastAsia="zh-CN"/>
        </w:rPr>
        <w:t>,</w:t>
      </w:r>
      <w:r>
        <w:rPr>
          <w:lang w:eastAsia="zh-CN"/>
        </w:rPr>
        <w:t xml:space="preserve"> a novel voltage stability index that is applicable to both ZIP and exponential load model</w:t>
      </w:r>
      <w:r w:rsidR="007C4363">
        <w:rPr>
          <w:lang w:eastAsia="zh-CN"/>
        </w:rPr>
        <w:t>s</w:t>
      </w:r>
      <w:r>
        <w:rPr>
          <w:lang w:eastAsia="zh-CN"/>
        </w:rPr>
        <w:t xml:space="preserve"> is proposed </w:t>
      </w:r>
      <w:r w:rsidR="007C4363">
        <w:rPr>
          <w:lang w:eastAsia="zh-CN"/>
        </w:rPr>
        <w:t xml:space="preserve">with the </w:t>
      </w:r>
      <w:r>
        <w:rPr>
          <w:lang w:eastAsia="zh-CN"/>
        </w:rPr>
        <w:t>utiliz</w:t>
      </w:r>
      <w:r w:rsidR="007C4363">
        <w:rPr>
          <w:lang w:eastAsia="zh-CN"/>
        </w:rPr>
        <w:t>ation of</w:t>
      </w:r>
      <w:r>
        <w:rPr>
          <w:lang w:eastAsia="zh-CN"/>
        </w:rPr>
        <w:t xml:space="preserve"> special characteristics at the collapsing point where the PV curve </w:t>
      </w:r>
    </w:p>
    <w:p w14:paraId="30ADDD25" w14:textId="77777777" w:rsidR="00313BDF" w:rsidRDefault="00313BDF" w:rsidP="00313BDF">
      <w:pPr>
        <w:spacing w:line="240" w:lineRule="auto"/>
        <w:ind w:firstLine="0"/>
        <w:jc w:val="center"/>
      </w:pPr>
      <w:r w:rsidRPr="000E78D9">
        <w:rPr>
          <w:noProof/>
          <w:lang w:eastAsia="zh-CN"/>
        </w:rPr>
        <w:lastRenderedPageBreak/>
        <w:drawing>
          <wp:inline distT="0" distB="0" distL="0" distR="0" wp14:anchorId="212E0BD3" wp14:editId="5CF0D688">
            <wp:extent cx="2695575" cy="158388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1"/>
                    <pic:cNvPicPr>
                      <a:picLocks noChangeAspect="1" noChangeArrowheads="1"/>
                    </pic:cNvPicPr>
                  </pic:nvPicPr>
                  <pic:blipFill rotWithShape="1">
                    <a:blip r:embed="rId432" cstate="print">
                      <a:extLst>
                        <a:ext uri="{28A0092B-C50C-407E-A947-70E740481C1C}">
                          <a14:useLocalDpi xmlns:a14="http://schemas.microsoft.com/office/drawing/2010/main" val="0"/>
                        </a:ext>
                      </a:extLst>
                    </a:blip>
                    <a:srcRect t="3786" r="6313" b="1"/>
                    <a:stretch/>
                  </pic:blipFill>
                  <pic:spPr bwMode="auto">
                    <a:xfrm>
                      <a:off x="0" y="0"/>
                      <a:ext cx="2702736" cy="1588097"/>
                    </a:xfrm>
                    <a:prstGeom prst="rect">
                      <a:avLst/>
                    </a:prstGeom>
                    <a:noFill/>
                    <a:ln>
                      <a:noFill/>
                    </a:ln>
                    <a:extLst>
                      <a:ext uri="{53640926-AAD7-44D8-BBD7-CCE9431645EC}">
                        <a14:shadowObscured xmlns:a14="http://schemas.microsoft.com/office/drawing/2010/main"/>
                      </a:ext>
                    </a:extLst>
                  </pic:spPr>
                </pic:pic>
              </a:graphicData>
            </a:graphic>
          </wp:inline>
        </w:drawing>
      </w:r>
      <w:bookmarkStart w:id="247" w:name="_Ref457148442"/>
    </w:p>
    <w:p w14:paraId="19099F39" w14:textId="77777777" w:rsidR="00313BDF" w:rsidRDefault="00313BDF" w:rsidP="00313BDF">
      <w:pPr>
        <w:pStyle w:val="Caption"/>
      </w:pPr>
      <w:bookmarkStart w:id="248" w:name="_Toc459076520"/>
      <w:r>
        <w:t xml:space="preserve">Figure </w:t>
      </w:r>
      <w:fldSimple w:instr=" SEQ Figure \* ARABIC ">
        <w:r>
          <w:rPr>
            <w:noProof/>
          </w:rPr>
          <w:t>69</w:t>
        </w:r>
      </w:fldSimple>
      <w:bookmarkEnd w:id="247"/>
      <w:r>
        <w:t>. PV sensitivities from ZIP load model.</w:t>
      </w:r>
      <w:bookmarkEnd w:id="248"/>
    </w:p>
    <w:p w14:paraId="45D2F0AD" w14:textId="77777777" w:rsidR="00115F60" w:rsidRDefault="00B0208A" w:rsidP="00115F60">
      <w:pPr>
        <w:spacing w:line="240" w:lineRule="auto"/>
        <w:ind w:firstLine="0"/>
        <w:jc w:val="center"/>
      </w:pPr>
      <w:r>
        <w:rPr>
          <w:noProof/>
          <w:lang w:eastAsia="zh-CN"/>
        </w:rPr>
        <w:drawing>
          <wp:inline distT="0" distB="0" distL="0" distR="0" wp14:anchorId="69424ABC" wp14:editId="24154C51">
            <wp:extent cx="2686050" cy="1549908"/>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04518" cy="1560564"/>
                    </a:xfrm>
                    <a:prstGeom prst="rect">
                      <a:avLst/>
                    </a:prstGeom>
                    <a:noFill/>
                    <a:ln>
                      <a:noFill/>
                    </a:ln>
                  </pic:spPr>
                </pic:pic>
              </a:graphicData>
            </a:graphic>
          </wp:inline>
        </w:drawing>
      </w:r>
      <w:bookmarkStart w:id="249" w:name="_Ref457765486"/>
    </w:p>
    <w:p w14:paraId="4867FEC7" w14:textId="0798CD26" w:rsidR="00B0208A" w:rsidRDefault="00B0208A" w:rsidP="009D0201">
      <w:pPr>
        <w:pStyle w:val="Caption"/>
      </w:pPr>
      <w:bookmarkStart w:id="250" w:name="_Toc459076521"/>
      <w:r>
        <w:t xml:space="preserve">Figure </w:t>
      </w:r>
      <w:fldSimple w:instr=" SEQ Figure \* ARABIC ">
        <w:r>
          <w:t>70</w:t>
        </w:r>
      </w:fldSimple>
      <w:bookmarkEnd w:id="249"/>
      <w:r>
        <w:t xml:space="preserve">. Voltage of LA area load with </w:t>
      </w:r>
      <w:r w:rsidR="00161494">
        <w:t xml:space="preserve">exponential </w:t>
      </w:r>
      <w:r>
        <w:t>load model.</w:t>
      </w:r>
      <w:bookmarkEnd w:id="250"/>
    </w:p>
    <w:p w14:paraId="58A601A4" w14:textId="77777777" w:rsidR="008A7620" w:rsidRDefault="007948A7" w:rsidP="00B0208A">
      <w:pPr>
        <w:spacing w:line="240" w:lineRule="auto"/>
        <w:ind w:firstLine="0"/>
        <w:jc w:val="center"/>
      </w:pPr>
      <w:r>
        <w:rPr>
          <w:noProof/>
          <w:lang w:eastAsia="zh-CN"/>
        </w:rPr>
        <w:drawing>
          <wp:inline distT="0" distB="0" distL="0" distR="0" wp14:anchorId="5E965556" wp14:editId="4DD7224B">
            <wp:extent cx="2962275" cy="173757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2971100" cy="1742756"/>
                    </a:xfrm>
                    <a:prstGeom prst="rect">
                      <a:avLst/>
                    </a:prstGeom>
                    <a:noFill/>
                    <a:ln>
                      <a:noFill/>
                    </a:ln>
                  </pic:spPr>
                </pic:pic>
              </a:graphicData>
            </a:graphic>
          </wp:inline>
        </w:drawing>
      </w:r>
    </w:p>
    <w:p w14:paraId="7399D940" w14:textId="65E81863" w:rsidR="00B0208A" w:rsidRDefault="00B0208A" w:rsidP="009D0201">
      <w:pPr>
        <w:pStyle w:val="Caption"/>
      </w:pPr>
      <w:bookmarkStart w:id="251" w:name="_Ref457765662"/>
      <w:bookmarkStart w:id="252" w:name="_Toc459076522"/>
      <w:r>
        <w:t xml:space="preserve">Figure </w:t>
      </w:r>
      <w:fldSimple w:instr=" SEQ Figure \* ARABIC ">
        <w:r>
          <w:rPr>
            <w:noProof/>
          </w:rPr>
          <w:t>71</w:t>
        </w:r>
      </w:fldSimple>
      <w:bookmarkEnd w:id="251"/>
      <w:r>
        <w:t xml:space="preserve">. Proposed VSI for LA area load with </w:t>
      </w:r>
      <w:r w:rsidR="00161494">
        <w:t xml:space="preserve">exponential </w:t>
      </w:r>
      <w:r>
        <w:t>load model.</w:t>
      </w:r>
      <w:bookmarkEnd w:id="252"/>
    </w:p>
    <w:p w14:paraId="703062EF" w14:textId="77777777" w:rsidR="00B0208A" w:rsidRDefault="00B0208A" w:rsidP="00B0208A">
      <w:pPr>
        <w:spacing w:line="240" w:lineRule="auto"/>
        <w:ind w:firstLine="0"/>
        <w:jc w:val="center"/>
      </w:pPr>
      <w:r>
        <w:rPr>
          <w:noProof/>
          <w:lang w:eastAsia="zh-CN"/>
        </w:rPr>
        <w:drawing>
          <wp:inline distT="0" distB="0" distL="0" distR="0" wp14:anchorId="764C033B" wp14:editId="7D0B7D8B">
            <wp:extent cx="2867025" cy="1654335"/>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2890484" cy="1667871"/>
                    </a:xfrm>
                    <a:prstGeom prst="rect">
                      <a:avLst/>
                    </a:prstGeom>
                    <a:noFill/>
                    <a:ln>
                      <a:noFill/>
                    </a:ln>
                  </pic:spPr>
                </pic:pic>
              </a:graphicData>
            </a:graphic>
          </wp:inline>
        </w:drawing>
      </w:r>
    </w:p>
    <w:p w14:paraId="0B50603E" w14:textId="55FEB1CF" w:rsidR="00B0208A" w:rsidRDefault="00B0208A" w:rsidP="009D0201">
      <w:pPr>
        <w:pStyle w:val="Caption"/>
      </w:pPr>
      <w:bookmarkStart w:id="253" w:name="_Ref457765740"/>
      <w:bookmarkStart w:id="254" w:name="_Toc459076523"/>
      <w:r>
        <w:t xml:space="preserve">Figure </w:t>
      </w:r>
      <w:fldSimple w:instr=" SEQ Figure \* ARABIC ">
        <w:r>
          <w:rPr>
            <w:noProof/>
          </w:rPr>
          <w:t>72</w:t>
        </w:r>
      </w:fldSimple>
      <w:bookmarkEnd w:id="253"/>
      <w:r>
        <w:t xml:space="preserve">. Index for P load in LTB with </w:t>
      </w:r>
      <w:r w:rsidR="00161494">
        <w:t xml:space="preserve">exponential </w:t>
      </w:r>
      <w:r>
        <w:t>load model.</w:t>
      </w:r>
      <w:bookmarkEnd w:id="254"/>
    </w:p>
    <w:p w14:paraId="38F6FA55" w14:textId="77777777" w:rsidR="00313BDF" w:rsidRPr="00161494" w:rsidRDefault="00313BDF">
      <w:pPr>
        <w:rPr>
          <w:sz w:val="2"/>
          <w:lang w:eastAsia="zh-CN"/>
        </w:rPr>
      </w:pPr>
      <w:r>
        <w:rPr>
          <w:lang w:eastAsia="zh-CN"/>
        </w:rPr>
        <w:br w:type="page"/>
      </w:r>
    </w:p>
    <w:p w14:paraId="1A4C6290" w14:textId="7F6DF904" w:rsidR="00313BDF" w:rsidRDefault="00313BDF" w:rsidP="00313BDF">
      <w:pPr>
        <w:ind w:firstLine="0"/>
        <w:rPr>
          <w:lang w:eastAsia="zh-CN"/>
        </w:rPr>
      </w:pPr>
      <w:r>
        <w:rPr>
          <w:lang w:eastAsia="zh-CN"/>
        </w:rPr>
        <w:lastRenderedPageBreak/>
        <w:t>and the load curve shares the same tangent line. Simulation results on both of the IEEE 14-bus system and the 181-bus WECC system developed by the CURENT center demonstrate promising results of the proposed VSI in indicating voltage instability when the ZIP and exponential load models are used.</w:t>
      </w:r>
    </w:p>
    <w:p w14:paraId="2588CFEA" w14:textId="77777777" w:rsidR="00D17ACF" w:rsidRPr="00D17ACF" w:rsidRDefault="00D17ACF" w:rsidP="00D17ACF">
      <w:pPr>
        <w:spacing w:line="240" w:lineRule="auto"/>
        <w:rPr>
          <w:sz w:val="16"/>
          <w:szCs w:val="16"/>
        </w:rPr>
      </w:pPr>
    </w:p>
    <w:p w14:paraId="0C9D0FFD" w14:textId="77777777" w:rsidR="00357744" w:rsidRDefault="00357744">
      <w:pPr>
        <w:rPr>
          <w:lang w:eastAsia="zh-CN"/>
        </w:rPr>
      </w:pPr>
      <w:r>
        <w:rPr>
          <w:lang w:eastAsia="zh-CN"/>
        </w:rPr>
        <w:br w:type="page"/>
      </w:r>
    </w:p>
    <w:p w14:paraId="007B176F" w14:textId="77777777" w:rsidR="00A97B14" w:rsidRDefault="00A97B14" w:rsidP="00CC759C">
      <w:pPr>
        <w:pStyle w:val="Heading1"/>
        <w:rPr>
          <w:lang w:eastAsia="zh-CN"/>
        </w:rPr>
      </w:pPr>
      <w:bookmarkStart w:id="255" w:name="_Toc459076606"/>
      <w:r w:rsidRPr="00F920F6">
        <w:lastRenderedPageBreak/>
        <w:t>C</w:t>
      </w:r>
      <w:r>
        <w:t>HAPTER</w:t>
      </w:r>
      <w:r w:rsidRPr="00F920F6">
        <w:t xml:space="preserve"> </w:t>
      </w:r>
      <w:r w:rsidR="00E5478E">
        <w:rPr>
          <w:rFonts w:hint="eastAsia"/>
          <w:lang w:eastAsia="zh-CN"/>
        </w:rPr>
        <w:t>8</w:t>
      </w:r>
      <w:r w:rsidRPr="004D734D">
        <w:br/>
      </w:r>
      <w:r w:rsidR="001C09CE">
        <w:rPr>
          <w:lang w:eastAsia="zh-CN"/>
        </w:rPr>
        <w:t>CONCLUSION AND RECOMMENDATIONS</w:t>
      </w:r>
      <w:bookmarkEnd w:id="255"/>
      <w:r>
        <w:rPr>
          <w:rFonts w:hint="eastAsia"/>
          <w:lang w:eastAsia="zh-CN"/>
        </w:rPr>
        <w:tab/>
      </w:r>
    </w:p>
    <w:p w14:paraId="0D3EAB7C" w14:textId="77777777" w:rsidR="00612D9D" w:rsidRPr="00612D9D" w:rsidRDefault="00E5478E" w:rsidP="004B5C30">
      <w:pPr>
        <w:pStyle w:val="Heading2"/>
        <w:rPr>
          <w:rStyle w:val="Heading2Char"/>
          <w:b/>
          <w:bCs/>
          <w:iCs/>
          <w:lang w:eastAsia="zh-CN"/>
        </w:rPr>
      </w:pPr>
      <w:bookmarkStart w:id="256" w:name="_Toc459076607"/>
      <w:r>
        <w:rPr>
          <w:rStyle w:val="Heading2Char"/>
          <w:rFonts w:hint="eastAsia"/>
          <w:b/>
          <w:bCs/>
          <w:iCs/>
        </w:rPr>
        <w:t>8</w:t>
      </w:r>
      <w:r w:rsidR="00612D9D" w:rsidRPr="00612D9D">
        <w:rPr>
          <w:rStyle w:val="Heading2Char"/>
          <w:rFonts w:hint="eastAsia"/>
          <w:b/>
          <w:bCs/>
          <w:iCs/>
        </w:rPr>
        <w:t>.1 Conclusion</w:t>
      </w:r>
      <w:bookmarkEnd w:id="256"/>
    </w:p>
    <w:p w14:paraId="38456354" w14:textId="1F1DD9B0" w:rsidR="00612D9D" w:rsidRDefault="00612D9D" w:rsidP="00612D9D">
      <w:pPr>
        <w:rPr>
          <w:bCs/>
          <w:lang w:eastAsia="zh-CN"/>
        </w:rPr>
      </w:pPr>
      <w:r>
        <w:rPr>
          <w:rFonts w:hint="eastAsia"/>
          <w:bCs/>
          <w:lang w:eastAsia="zh-CN"/>
        </w:rPr>
        <w:t xml:space="preserve">This </w:t>
      </w:r>
      <w:r>
        <w:rPr>
          <w:bCs/>
          <w:lang w:eastAsia="zh-CN"/>
        </w:rPr>
        <w:t>dissertation</w:t>
      </w:r>
      <w:r>
        <w:rPr>
          <w:rFonts w:hint="eastAsia"/>
          <w:bCs/>
          <w:lang w:eastAsia="zh-CN"/>
        </w:rPr>
        <w:t xml:space="preserve"> focuses on measurement-based voltage stability assessment and control.</w:t>
      </w:r>
      <w:r w:rsidR="00232FAE">
        <w:rPr>
          <w:bCs/>
          <w:lang w:eastAsia="zh-CN"/>
        </w:rPr>
        <w:t xml:space="preserve"> The contribution is summarized as follows:</w:t>
      </w:r>
    </w:p>
    <w:p w14:paraId="59006418" w14:textId="43F30888" w:rsidR="00612D9D" w:rsidRDefault="00612D9D" w:rsidP="00612D9D">
      <w:pPr>
        <w:rPr>
          <w:bCs/>
          <w:lang w:eastAsia="zh-CN"/>
        </w:rPr>
      </w:pPr>
      <w:r>
        <w:rPr>
          <w:rFonts w:hint="eastAsia"/>
          <w:bCs/>
          <w:lang w:eastAsia="zh-CN"/>
        </w:rPr>
        <w:t xml:space="preserve">First, a comparative study on four </w:t>
      </w:r>
      <w:r w:rsidRPr="00612D9D">
        <w:rPr>
          <w:bCs/>
          <w:lang w:eastAsia="zh-CN"/>
        </w:rPr>
        <w:t>TE identification methods (i.e., least squares method (LS), Tellegen’s theorem method (TT), adaptive method (AD), and coupled single-port circuit method (CP))</w:t>
      </w:r>
      <w:r>
        <w:rPr>
          <w:rFonts w:hint="eastAsia"/>
          <w:bCs/>
          <w:lang w:eastAsia="zh-CN"/>
        </w:rPr>
        <w:t xml:space="preserve"> is presented. It serves as </w:t>
      </w:r>
      <w:r w:rsidR="00232FAE">
        <w:rPr>
          <w:bCs/>
          <w:lang w:eastAsia="zh-CN"/>
        </w:rPr>
        <w:t>a guide</w:t>
      </w:r>
      <w:r w:rsidR="00232FAE">
        <w:rPr>
          <w:rFonts w:hint="eastAsia"/>
          <w:bCs/>
          <w:lang w:eastAsia="zh-CN"/>
        </w:rPr>
        <w:t xml:space="preserve"> </w:t>
      </w:r>
      <w:r>
        <w:rPr>
          <w:rFonts w:hint="eastAsia"/>
          <w:bCs/>
          <w:lang w:eastAsia="zh-CN"/>
        </w:rPr>
        <w:t>for researche</w:t>
      </w:r>
      <w:r w:rsidR="00232FAE">
        <w:rPr>
          <w:bCs/>
          <w:lang w:eastAsia="zh-CN"/>
        </w:rPr>
        <w:t>r</w:t>
      </w:r>
      <w:r>
        <w:rPr>
          <w:rFonts w:hint="eastAsia"/>
          <w:bCs/>
          <w:lang w:eastAsia="zh-CN"/>
        </w:rPr>
        <w:t>s to choose proper TE identification methods for their measurement-based VSA application.</w:t>
      </w:r>
    </w:p>
    <w:p w14:paraId="7F0CD551" w14:textId="77777777" w:rsidR="00612D9D" w:rsidRPr="00612D9D" w:rsidRDefault="00612D9D" w:rsidP="00612D9D">
      <w:pPr>
        <w:rPr>
          <w:bCs/>
          <w:lang w:val="en-GB" w:eastAsia="zh-CN"/>
        </w:rPr>
      </w:pPr>
      <w:r>
        <w:rPr>
          <w:rFonts w:hint="eastAsia"/>
          <w:bCs/>
          <w:lang w:eastAsia="zh-CN"/>
        </w:rPr>
        <w:t xml:space="preserve">Second, </w:t>
      </w:r>
      <w:r w:rsidRPr="00612D9D">
        <w:rPr>
          <w:bCs/>
          <w:lang w:val="en-GB" w:eastAsia="zh-CN"/>
        </w:rPr>
        <w:t>a hybrid voltage stability assessment (VSA) method for N-1 contingency</w:t>
      </w:r>
      <w:r>
        <w:rPr>
          <w:rFonts w:hint="eastAsia"/>
          <w:bCs/>
          <w:lang w:val="en-GB" w:eastAsia="zh-CN"/>
        </w:rPr>
        <w:t xml:space="preserve"> is proposed which extends the application of measurement-based approach to the </w:t>
      </w:r>
      <w:r>
        <w:rPr>
          <w:bCs/>
          <w:lang w:val="en-GB" w:eastAsia="zh-CN"/>
        </w:rPr>
        <w:t>computational</w:t>
      </w:r>
      <w:r>
        <w:rPr>
          <w:rFonts w:hint="eastAsia"/>
          <w:bCs/>
          <w:lang w:val="en-GB" w:eastAsia="zh-CN"/>
        </w:rPr>
        <w:t xml:space="preserve"> intense contingency analysis</w:t>
      </w:r>
      <w:r w:rsidRPr="00612D9D">
        <w:rPr>
          <w:bCs/>
          <w:lang w:val="en-GB" w:eastAsia="zh-CN"/>
        </w:rPr>
        <w:t xml:space="preserve">. With the proposed model-based contingency sensitivity and the measurement-based VSA technique, the hybrid VSA method solves the challenge of VSA under contingency cases. </w:t>
      </w:r>
    </w:p>
    <w:p w14:paraId="2A607425" w14:textId="21912C08" w:rsidR="00612D9D" w:rsidRDefault="00612D9D" w:rsidP="00612D9D">
      <w:pPr>
        <w:rPr>
          <w:bCs/>
          <w:lang w:eastAsia="zh-CN"/>
        </w:rPr>
      </w:pPr>
      <w:r>
        <w:rPr>
          <w:rFonts w:hint="eastAsia"/>
          <w:bCs/>
          <w:lang w:eastAsia="zh-CN"/>
        </w:rPr>
        <w:t xml:space="preserve">Third, </w:t>
      </w:r>
      <w:r w:rsidR="001B3E04">
        <w:rPr>
          <w:rFonts w:hint="eastAsia"/>
          <w:bCs/>
          <w:lang w:eastAsia="zh-CN"/>
        </w:rPr>
        <w:t>the proposed</w:t>
      </w:r>
      <w:r w:rsidR="001B3E04" w:rsidRPr="00612D9D">
        <w:rPr>
          <w:bCs/>
        </w:rPr>
        <w:t xml:space="preserve"> analyt</w:t>
      </w:r>
      <w:r w:rsidR="001B3E04">
        <w:rPr>
          <w:bCs/>
        </w:rPr>
        <w:t>ical expression of measurement-</w:t>
      </w:r>
      <w:r w:rsidR="001B3E04" w:rsidRPr="00612D9D">
        <w:rPr>
          <w:bCs/>
        </w:rPr>
        <w:t xml:space="preserve">based WALMS </w:t>
      </w:r>
      <w:r w:rsidR="001B3E04">
        <w:rPr>
          <w:rFonts w:hint="eastAsia"/>
          <w:bCs/>
          <w:lang w:eastAsia="zh-CN"/>
        </w:rPr>
        <w:t xml:space="preserve">provides a versatile measurement-based tool for voltage stability assessment and control. It </w:t>
      </w:r>
      <w:r w:rsidR="00232FAE">
        <w:rPr>
          <w:bCs/>
          <w:lang w:eastAsia="zh-CN"/>
        </w:rPr>
        <w:t>can</w:t>
      </w:r>
      <w:r w:rsidR="001B3E04">
        <w:rPr>
          <w:rFonts w:hint="eastAsia"/>
          <w:bCs/>
          <w:lang w:eastAsia="zh-CN"/>
        </w:rPr>
        <w:t xml:space="preserve"> aid the system operators</w:t>
      </w:r>
      <w:r w:rsidR="001B3E04">
        <w:rPr>
          <w:bCs/>
          <w:lang w:eastAsia="zh-CN"/>
        </w:rPr>
        <w:t>’</w:t>
      </w:r>
      <w:r w:rsidR="001B3E04">
        <w:rPr>
          <w:rFonts w:hint="eastAsia"/>
          <w:bCs/>
          <w:lang w:eastAsia="zh-CN"/>
        </w:rPr>
        <w:t xml:space="preserve"> decisions </w:t>
      </w:r>
      <w:r w:rsidR="00232FAE">
        <w:rPr>
          <w:bCs/>
          <w:lang w:eastAsia="zh-CN"/>
        </w:rPr>
        <w:t>in real time under</w:t>
      </w:r>
      <w:r w:rsidR="001B3E04">
        <w:rPr>
          <w:rFonts w:hint="eastAsia"/>
          <w:bCs/>
          <w:lang w:eastAsia="zh-CN"/>
        </w:rPr>
        <w:t xml:space="preserve"> </w:t>
      </w:r>
      <w:r w:rsidR="008566B4">
        <w:rPr>
          <w:bCs/>
          <w:lang w:eastAsia="zh-CN"/>
        </w:rPr>
        <w:t>unstable</w:t>
      </w:r>
      <w:r w:rsidR="001B3E04">
        <w:rPr>
          <w:rFonts w:hint="eastAsia"/>
          <w:bCs/>
          <w:lang w:eastAsia="zh-CN"/>
        </w:rPr>
        <w:t xml:space="preserve"> or insecure operating conditions.</w:t>
      </w:r>
    </w:p>
    <w:p w14:paraId="515482B0" w14:textId="77777777" w:rsidR="00612D9D" w:rsidRDefault="001B3E04" w:rsidP="00612D9D">
      <w:pPr>
        <w:rPr>
          <w:bCs/>
          <w:lang w:eastAsia="zh-CN"/>
        </w:rPr>
      </w:pPr>
      <w:r>
        <w:rPr>
          <w:rFonts w:hint="eastAsia"/>
          <w:bCs/>
          <w:lang w:eastAsia="zh-CN"/>
        </w:rPr>
        <w:t>Fourth,</w:t>
      </w:r>
      <w:r w:rsidR="00612D9D" w:rsidRPr="00612D9D">
        <w:rPr>
          <w:bCs/>
        </w:rPr>
        <w:t xml:space="preserve"> the development of the multi-step control strategy for voltag</w:t>
      </w:r>
      <w:r>
        <w:rPr>
          <w:bCs/>
        </w:rPr>
        <w:t>e stability based on the WALMS</w:t>
      </w:r>
      <w:r>
        <w:rPr>
          <w:rFonts w:hint="eastAsia"/>
          <w:bCs/>
          <w:lang w:eastAsia="zh-CN"/>
        </w:rPr>
        <w:t xml:space="preserve"> provides a real-time application of measurement-based voltage stability control.</w:t>
      </w:r>
    </w:p>
    <w:p w14:paraId="32266C36" w14:textId="5E4A5E2C" w:rsidR="00262350" w:rsidRDefault="00262350" w:rsidP="00612D9D">
      <w:pPr>
        <w:rPr>
          <w:bCs/>
          <w:lang w:eastAsia="zh-CN"/>
        </w:rPr>
      </w:pPr>
      <w:r>
        <w:rPr>
          <w:bCs/>
          <w:lang w:eastAsia="zh-CN"/>
        </w:rPr>
        <w:lastRenderedPageBreak/>
        <w:t>Fifth, overestimation of voltage stability margin using coupled single-port circuit model is reported for the first time</w:t>
      </w:r>
      <w:r w:rsidR="00232FAE">
        <w:rPr>
          <w:bCs/>
          <w:lang w:eastAsia="zh-CN"/>
        </w:rPr>
        <w:t>,</w:t>
      </w:r>
      <w:r>
        <w:rPr>
          <w:bCs/>
          <w:lang w:eastAsia="zh-CN"/>
        </w:rPr>
        <w:t xml:space="preserve"> and mitigati</w:t>
      </w:r>
      <w:r w:rsidR="00232FAE">
        <w:rPr>
          <w:bCs/>
          <w:lang w:eastAsia="zh-CN"/>
        </w:rPr>
        <w:t>on</w:t>
      </w:r>
      <w:r>
        <w:rPr>
          <w:bCs/>
          <w:lang w:eastAsia="zh-CN"/>
        </w:rPr>
        <w:t xml:space="preserve"> methods are proposed to correct such overestimation.</w:t>
      </w:r>
    </w:p>
    <w:p w14:paraId="07121808" w14:textId="77777777" w:rsidR="00262350" w:rsidRPr="00612D9D" w:rsidRDefault="00262350" w:rsidP="00612D9D">
      <w:pPr>
        <w:rPr>
          <w:bCs/>
          <w:lang w:eastAsia="zh-CN"/>
        </w:rPr>
      </w:pPr>
      <w:r>
        <w:rPr>
          <w:bCs/>
          <w:lang w:eastAsia="zh-CN"/>
        </w:rPr>
        <w:t xml:space="preserve">Finally, the impact of load model in voltage stability assessment is studied and a novel VSI for </w:t>
      </w:r>
      <w:r w:rsidR="00B80CBE">
        <w:rPr>
          <w:bCs/>
          <w:lang w:eastAsia="zh-CN"/>
        </w:rPr>
        <w:t xml:space="preserve">both </w:t>
      </w:r>
      <w:r>
        <w:rPr>
          <w:bCs/>
          <w:lang w:eastAsia="zh-CN"/>
        </w:rPr>
        <w:t>ZIP load model</w:t>
      </w:r>
      <w:r w:rsidR="00B80CBE">
        <w:rPr>
          <w:bCs/>
          <w:lang w:eastAsia="zh-CN"/>
        </w:rPr>
        <w:t xml:space="preserve"> and exponential load model</w:t>
      </w:r>
      <w:r>
        <w:rPr>
          <w:bCs/>
          <w:lang w:eastAsia="zh-CN"/>
        </w:rPr>
        <w:t xml:space="preserve"> is proposed.</w:t>
      </w:r>
    </w:p>
    <w:p w14:paraId="5C309829" w14:textId="77777777" w:rsidR="00612D9D" w:rsidRPr="00612D9D" w:rsidRDefault="00E5478E" w:rsidP="004B5C30">
      <w:pPr>
        <w:pStyle w:val="Heading2"/>
        <w:rPr>
          <w:rStyle w:val="Heading2Char"/>
          <w:b/>
          <w:bCs/>
          <w:iCs/>
          <w:lang w:eastAsia="zh-CN"/>
        </w:rPr>
      </w:pPr>
      <w:bookmarkStart w:id="257" w:name="_Toc459076608"/>
      <w:r>
        <w:rPr>
          <w:rStyle w:val="Heading2Char"/>
          <w:rFonts w:hint="eastAsia"/>
          <w:b/>
          <w:bCs/>
          <w:iCs/>
        </w:rPr>
        <w:t>8</w:t>
      </w:r>
      <w:r w:rsidR="00612D9D">
        <w:rPr>
          <w:rStyle w:val="Heading2Char"/>
          <w:rFonts w:hint="eastAsia"/>
          <w:b/>
          <w:bCs/>
          <w:iCs/>
        </w:rPr>
        <w:t>.</w:t>
      </w:r>
      <w:r w:rsidR="00612D9D">
        <w:rPr>
          <w:rStyle w:val="Heading2Char"/>
          <w:rFonts w:hint="eastAsia"/>
          <w:b/>
          <w:bCs/>
          <w:iCs/>
          <w:lang w:eastAsia="zh-CN"/>
        </w:rPr>
        <w:t>2</w:t>
      </w:r>
      <w:r w:rsidR="00612D9D" w:rsidRPr="00612D9D">
        <w:rPr>
          <w:rStyle w:val="Heading2Char"/>
          <w:rFonts w:hint="eastAsia"/>
          <w:b/>
          <w:bCs/>
          <w:iCs/>
        </w:rPr>
        <w:t xml:space="preserve"> </w:t>
      </w:r>
      <w:r w:rsidR="00612D9D">
        <w:rPr>
          <w:rStyle w:val="Heading2Char"/>
          <w:rFonts w:hint="eastAsia"/>
          <w:b/>
          <w:bCs/>
          <w:iCs/>
          <w:lang w:eastAsia="zh-CN"/>
        </w:rPr>
        <w:t>Future Work</w:t>
      </w:r>
      <w:bookmarkEnd w:id="257"/>
    </w:p>
    <w:p w14:paraId="4F4A5202" w14:textId="660BB737" w:rsidR="001B3E04" w:rsidRPr="001B3E04" w:rsidRDefault="001B3E04" w:rsidP="001B3E04">
      <w:pPr>
        <w:rPr>
          <w:bCs/>
          <w:lang w:eastAsia="zh-CN"/>
        </w:rPr>
      </w:pPr>
      <w:r w:rsidRPr="001B3E04">
        <w:rPr>
          <w:rFonts w:hint="eastAsia"/>
          <w:bCs/>
          <w:lang w:eastAsia="zh-CN"/>
        </w:rPr>
        <w:t>The</w:t>
      </w:r>
      <w:r w:rsidRPr="001B3E04">
        <w:rPr>
          <w:bCs/>
          <w:lang w:eastAsia="zh-CN"/>
        </w:rPr>
        <w:t xml:space="preserve"> following directions </w:t>
      </w:r>
      <w:r w:rsidR="00232FAE">
        <w:rPr>
          <w:bCs/>
          <w:lang w:eastAsia="zh-CN"/>
        </w:rPr>
        <w:t>may be</w:t>
      </w:r>
      <w:r w:rsidR="00232FAE" w:rsidRPr="001B3E04">
        <w:rPr>
          <w:bCs/>
          <w:lang w:eastAsia="zh-CN"/>
        </w:rPr>
        <w:t xml:space="preserve"> </w:t>
      </w:r>
      <w:r w:rsidRPr="001B3E04">
        <w:rPr>
          <w:bCs/>
          <w:lang w:eastAsia="zh-CN"/>
        </w:rPr>
        <w:t>considered as future tasks</w:t>
      </w:r>
      <w:r>
        <w:rPr>
          <w:bCs/>
          <w:lang w:eastAsia="zh-CN"/>
        </w:rPr>
        <w:t xml:space="preserve"> </w:t>
      </w:r>
      <w:r>
        <w:rPr>
          <w:rFonts w:hint="eastAsia"/>
          <w:bCs/>
          <w:lang w:eastAsia="zh-CN"/>
        </w:rPr>
        <w:t>in the frame of measurement-based voltage stability assessment and control</w:t>
      </w:r>
      <w:r w:rsidRPr="001B3E04">
        <w:rPr>
          <w:bCs/>
          <w:lang w:eastAsia="zh-CN"/>
        </w:rPr>
        <w:t>.</w:t>
      </w:r>
    </w:p>
    <w:p w14:paraId="7138ECE4" w14:textId="77777777" w:rsidR="001B3E04" w:rsidRPr="00B72539" w:rsidRDefault="001B3E04" w:rsidP="00B72539">
      <w:pPr>
        <w:pStyle w:val="ListParagraph"/>
        <w:numPr>
          <w:ilvl w:val="0"/>
          <w:numId w:val="27"/>
        </w:numPr>
        <w:ind w:left="1170"/>
        <w:rPr>
          <w:bCs/>
          <w:lang w:eastAsia="zh-CN"/>
        </w:rPr>
      </w:pPr>
      <w:r w:rsidRPr="00B72539">
        <w:rPr>
          <w:rFonts w:hint="eastAsia"/>
          <w:bCs/>
          <w:lang w:eastAsia="zh-CN"/>
        </w:rPr>
        <w:t>Demand response can be included in the existing measurement-based voltage stability control scheme in order to lower the costs of preventive or corrective voltage stability controls.</w:t>
      </w:r>
    </w:p>
    <w:p w14:paraId="2FE4E2B0" w14:textId="6A80B522" w:rsidR="001B3E04" w:rsidRDefault="00EA419E" w:rsidP="00B72539">
      <w:pPr>
        <w:pStyle w:val="ListParagraph"/>
        <w:numPr>
          <w:ilvl w:val="0"/>
          <w:numId w:val="27"/>
        </w:numPr>
        <w:ind w:left="1170"/>
        <w:rPr>
          <w:bCs/>
          <w:lang w:eastAsia="zh-CN"/>
        </w:rPr>
      </w:pPr>
      <w:r>
        <w:rPr>
          <w:bCs/>
          <w:lang w:eastAsia="zh-CN"/>
        </w:rPr>
        <w:t xml:space="preserve">More scenarios and demonstrations will be developed on </w:t>
      </w:r>
      <w:r w:rsidR="00232FAE">
        <w:rPr>
          <w:bCs/>
          <w:lang w:eastAsia="zh-CN"/>
        </w:rPr>
        <w:t>large-scale power systems</w:t>
      </w:r>
      <w:r w:rsidR="00B72539" w:rsidRPr="00B72539">
        <w:rPr>
          <w:rFonts w:hint="eastAsia"/>
          <w:bCs/>
          <w:lang w:eastAsia="zh-CN"/>
        </w:rPr>
        <w:t>.</w:t>
      </w:r>
      <w:r w:rsidR="001B3E04" w:rsidRPr="00B72539">
        <w:rPr>
          <w:rFonts w:hint="eastAsia"/>
          <w:bCs/>
          <w:lang w:eastAsia="zh-CN"/>
        </w:rPr>
        <w:t xml:space="preserve"> </w:t>
      </w:r>
    </w:p>
    <w:p w14:paraId="7AD93727" w14:textId="77777777" w:rsidR="00DC7776" w:rsidRDefault="00DC7776">
      <w:pPr>
        <w:rPr>
          <w:bCs/>
          <w:lang w:eastAsia="zh-CN"/>
        </w:rPr>
      </w:pPr>
      <w:r>
        <w:rPr>
          <w:bCs/>
          <w:lang w:eastAsia="zh-CN"/>
        </w:rPr>
        <w:br w:type="page"/>
      </w:r>
    </w:p>
    <w:p w14:paraId="7A25BC5D" w14:textId="77777777" w:rsidR="00194D4C" w:rsidRDefault="00194D4C" w:rsidP="00194D4C"/>
    <w:p w14:paraId="14B83CE4" w14:textId="77777777" w:rsidR="00194D4C" w:rsidRDefault="00194D4C" w:rsidP="00194D4C"/>
    <w:p w14:paraId="7B04A91A" w14:textId="77777777" w:rsidR="00194D4C" w:rsidRDefault="00194D4C" w:rsidP="00194D4C"/>
    <w:p w14:paraId="7CD84613" w14:textId="77777777" w:rsidR="00194D4C" w:rsidRDefault="00194D4C" w:rsidP="00194D4C"/>
    <w:p w14:paraId="10053C05" w14:textId="77777777" w:rsidR="00194D4C" w:rsidRDefault="00194D4C" w:rsidP="00194D4C"/>
    <w:p w14:paraId="33DC3BB2" w14:textId="77777777" w:rsidR="00194D4C" w:rsidRDefault="00194D4C" w:rsidP="00194D4C"/>
    <w:p w14:paraId="22EAF821" w14:textId="77777777" w:rsidR="00194D4C" w:rsidRDefault="00194D4C" w:rsidP="00194D4C"/>
    <w:p w14:paraId="2B3DC303" w14:textId="77777777" w:rsidR="00DC7776" w:rsidRDefault="00DC7776" w:rsidP="00DC7776">
      <w:pPr>
        <w:pStyle w:val="Heading1"/>
        <w:rPr>
          <w:lang w:eastAsia="zh-CN"/>
        </w:rPr>
      </w:pPr>
      <w:bookmarkStart w:id="258" w:name="_Toc459076609"/>
      <w:r>
        <w:rPr>
          <w:lang w:eastAsia="zh-CN"/>
        </w:rPr>
        <w:t>APPENDIX</w:t>
      </w:r>
      <w:bookmarkEnd w:id="258"/>
    </w:p>
    <w:p w14:paraId="7B6F0654" w14:textId="77777777" w:rsidR="00194D4C" w:rsidRDefault="00194D4C">
      <w:pPr>
        <w:rPr>
          <w:lang w:eastAsia="zh-CN"/>
        </w:rPr>
      </w:pPr>
      <w:r>
        <w:rPr>
          <w:lang w:eastAsia="zh-CN"/>
        </w:rPr>
        <w:br w:type="page"/>
      </w:r>
    </w:p>
    <w:p w14:paraId="6D52C637" w14:textId="77777777" w:rsidR="00DC7776" w:rsidRDefault="00743B08" w:rsidP="00743B08">
      <w:pPr>
        <w:pStyle w:val="Heading2"/>
        <w:rPr>
          <w:lang w:eastAsia="zh-CN"/>
        </w:rPr>
      </w:pPr>
      <w:bookmarkStart w:id="259" w:name="_Toc459076610"/>
      <w:r>
        <w:rPr>
          <w:lang w:eastAsia="zh-CN"/>
        </w:rPr>
        <w:lastRenderedPageBreak/>
        <w:t>A.1 Sample 2-</w:t>
      </w:r>
      <w:r w:rsidR="005B3245">
        <w:rPr>
          <w:lang w:eastAsia="zh-CN"/>
        </w:rPr>
        <w:t xml:space="preserve">Bus </w:t>
      </w:r>
      <w:r w:rsidR="004F38C3">
        <w:rPr>
          <w:lang w:eastAsia="zh-CN"/>
        </w:rPr>
        <w:t>S</w:t>
      </w:r>
      <w:r>
        <w:rPr>
          <w:lang w:eastAsia="zh-CN"/>
        </w:rPr>
        <w:t xml:space="preserve">ystem </w:t>
      </w:r>
      <w:r w:rsidR="004F38C3">
        <w:rPr>
          <w:lang w:eastAsia="zh-CN"/>
        </w:rPr>
        <w:t>P</w:t>
      </w:r>
      <w:r>
        <w:rPr>
          <w:lang w:eastAsia="zh-CN"/>
        </w:rPr>
        <w:t xml:space="preserve">arameters in PSAT </w:t>
      </w:r>
      <w:r w:rsidR="004F38C3">
        <w:rPr>
          <w:lang w:eastAsia="zh-CN"/>
        </w:rPr>
        <w:t>F</w:t>
      </w:r>
      <w:r>
        <w:rPr>
          <w:lang w:eastAsia="zh-CN"/>
        </w:rPr>
        <w:t>ormat</w:t>
      </w:r>
      <w:bookmarkEnd w:id="259"/>
    </w:p>
    <w:p w14:paraId="1B8B160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Bus.con = [ </w:t>
      </w:r>
      <w:r w:rsidRPr="00DC7776">
        <w:rPr>
          <w:rFonts w:ascii="Courier New" w:eastAsia="Times New Roman" w:hAnsi="Courier New" w:cs="Courier New"/>
          <w:color w:val="0000FF"/>
          <w:sz w:val="18"/>
          <w:szCs w:val="18"/>
          <w:bdr w:val="none" w:sz="0" w:space="0" w:color="auto" w:frame="1"/>
          <w:lang w:eastAsia="zh-CN"/>
        </w:rPr>
        <w:t>...</w:t>
      </w:r>
    </w:p>
    <w:p w14:paraId="41D7FF1A"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69  1.06  0  4  1;</w:t>
      </w:r>
    </w:p>
    <w:p w14:paraId="16626103"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2  69  1.0029  -0.22667  4  1;</w:t>
      </w:r>
    </w:p>
    <w:p w14:paraId="57307E64"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7A6D950C"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58FBDB94"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Line.con = [ </w:t>
      </w:r>
      <w:r w:rsidRPr="00DC7776">
        <w:rPr>
          <w:rFonts w:ascii="Courier New" w:eastAsia="Times New Roman" w:hAnsi="Courier New" w:cs="Courier New"/>
          <w:color w:val="0000FF"/>
          <w:sz w:val="18"/>
          <w:szCs w:val="18"/>
          <w:bdr w:val="none" w:sz="0" w:space="0" w:color="auto" w:frame="1"/>
          <w:lang w:eastAsia="zh-CN"/>
        </w:rPr>
        <w:t>...</w:t>
      </w:r>
    </w:p>
    <w:p w14:paraId="51239E19"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2  100  69  60  0  0  0.05403  0.22304  0.0492  0  0  0  0  0  1;</w:t>
      </w:r>
    </w:p>
    <w:p w14:paraId="5E74FD0C"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2  100  69  60  0  0  0.05403  0.22304  0.0492  0  0  0  0  0  1;</w:t>
      </w:r>
    </w:p>
    <w:p w14:paraId="491C98A4"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691898E7"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6FAEC123"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 Breaker.con = [ ...</w:t>
      </w:r>
    </w:p>
    <w:p w14:paraId="1E345926"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   16  2  100  69  60  1  1  200;</w:t>
      </w:r>
    </w:p>
    <w:p w14:paraId="594CBCFA"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  ];</w:t>
      </w:r>
    </w:p>
    <w:p w14:paraId="6FFAA92B"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7E38DB77"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SW.con = [ </w:t>
      </w:r>
      <w:r w:rsidRPr="00DC7776">
        <w:rPr>
          <w:rFonts w:ascii="Courier New" w:eastAsia="Times New Roman" w:hAnsi="Courier New" w:cs="Courier New"/>
          <w:color w:val="0000FF"/>
          <w:sz w:val="18"/>
          <w:szCs w:val="18"/>
          <w:bdr w:val="none" w:sz="0" w:space="0" w:color="auto" w:frame="1"/>
          <w:lang w:eastAsia="zh-CN"/>
        </w:rPr>
        <w:t>...</w:t>
      </w:r>
    </w:p>
    <w:p w14:paraId="66486661"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100  69  1.06  0  9.9  -9.9  1.2  0.8  2.324  1  1  1;</w:t>
      </w:r>
    </w:p>
    <w:p w14:paraId="028C84B6"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63CBFC0D"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239178EF"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PQ.con = [ </w:t>
      </w:r>
      <w:r w:rsidRPr="00DC7776">
        <w:rPr>
          <w:rFonts w:ascii="Courier New" w:eastAsia="Times New Roman" w:hAnsi="Courier New" w:cs="Courier New"/>
          <w:color w:val="0000FF"/>
          <w:sz w:val="18"/>
          <w:szCs w:val="18"/>
          <w:bdr w:val="none" w:sz="0" w:space="0" w:color="auto" w:frame="1"/>
          <w:lang w:eastAsia="zh-CN"/>
        </w:rPr>
        <w:t>...</w:t>
      </w:r>
    </w:p>
    <w:p w14:paraId="1ED93D1F"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2  100  69  3  0.3  1.2  0.8  0  1;</w:t>
      </w:r>
    </w:p>
    <w:p w14:paraId="0F0A8F01"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231CCA7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228F29EB"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Pl.con = [ </w:t>
      </w:r>
      <w:r w:rsidRPr="00DC7776">
        <w:rPr>
          <w:rFonts w:ascii="Courier New" w:eastAsia="Times New Roman" w:hAnsi="Courier New" w:cs="Courier New"/>
          <w:color w:val="0000FF"/>
          <w:sz w:val="18"/>
          <w:szCs w:val="18"/>
          <w:bdr w:val="none" w:sz="0" w:space="0" w:color="auto" w:frame="1"/>
          <w:lang w:eastAsia="zh-CN"/>
        </w:rPr>
        <w:t>...</w:t>
      </w:r>
    </w:p>
    <w:p w14:paraId="6947E02E"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 no Sn  Vn   fn   g   Ip    Pn   b    IQ  Qn  z  u</w:t>
      </w:r>
    </w:p>
    <w:p w14:paraId="05702D51"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2 100 69  60   0 0     100    0  0   100   1  1;</w:t>
      </w:r>
    </w:p>
    <w:p w14:paraId="3B871F6B"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w:t>
      </w:r>
    </w:p>
    <w:p w14:paraId="49CD1F0B"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5D2CB44C"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Syn.con = [ </w:t>
      </w:r>
      <w:r w:rsidRPr="00DC7776">
        <w:rPr>
          <w:rFonts w:ascii="Courier New" w:eastAsia="Times New Roman" w:hAnsi="Courier New" w:cs="Courier New"/>
          <w:color w:val="0000FF"/>
          <w:sz w:val="18"/>
          <w:szCs w:val="18"/>
          <w:bdr w:val="none" w:sz="0" w:space="0" w:color="auto" w:frame="1"/>
          <w:lang w:eastAsia="zh-CN"/>
        </w:rPr>
        <w:t>...</w:t>
      </w:r>
    </w:p>
    <w:p w14:paraId="170DB68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615  69  60  5.2  0.2396  0  0.8979  0.2998  0.23  7.4  0.03  0.646  0.646  0.4  0  0.033  10.296  2  0  0  1  1  0  0  0  1  1;</w:t>
      </w:r>
    </w:p>
    <w:p w14:paraId="041F461D"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3ED1727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042043D4"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Tg.con = [ </w:t>
      </w:r>
      <w:r w:rsidRPr="00DC7776">
        <w:rPr>
          <w:rFonts w:ascii="Courier New" w:eastAsia="Times New Roman" w:hAnsi="Courier New" w:cs="Courier New"/>
          <w:color w:val="0000FF"/>
          <w:sz w:val="18"/>
          <w:szCs w:val="18"/>
          <w:bdr w:val="none" w:sz="0" w:space="0" w:color="auto" w:frame="1"/>
          <w:lang w:eastAsia="zh-CN"/>
        </w:rPr>
        <w:t>...</w:t>
      </w:r>
    </w:p>
    <w:p w14:paraId="64D6C945"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1  1  0.02  1.2  0.3  0.1  0.45  0  12  50  1;</w:t>
      </w:r>
    </w:p>
    <w:p w14:paraId="1EF4512F"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1DDB27E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7B95B83A"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Exc.con = [ </w:t>
      </w:r>
      <w:r w:rsidRPr="00DC7776">
        <w:rPr>
          <w:rFonts w:ascii="Courier New" w:eastAsia="Times New Roman" w:hAnsi="Courier New" w:cs="Courier New"/>
          <w:color w:val="0000FF"/>
          <w:sz w:val="18"/>
          <w:szCs w:val="18"/>
          <w:bdr w:val="none" w:sz="0" w:space="0" w:color="auto" w:frame="1"/>
          <w:lang w:eastAsia="zh-CN"/>
        </w:rPr>
        <w:t>...</w:t>
      </w:r>
    </w:p>
    <w:p w14:paraId="39C992F0"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1  2  7.32  0  200  0.02  0.002  1  1  0.2  0.001  0.0006  0.9  1;</w:t>
      </w:r>
    </w:p>
    <w:p w14:paraId="0516E36C"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p>
    <w:p w14:paraId="5A1F5EBB"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p>
    <w:p w14:paraId="00820421"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Pss.con=[</w:t>
      </w:r>
      <w:r w:rsidRPr="00DC7776">
        <w:rPr>
          <w:rFonts w:ascii="Courier New" w:eastAsia="Times New Roman" w:hAnsi="Courier New" w:cs="Courier New"/>
          <w:color w:val="0000FF"/>
          <w:sz w:val="18"/>
          <w:szCs w:val="18"/>
          <w:bdr w:val="none" w:sz="0" w:space="0" w:color="auto" w:frame="1"/>
          <w:lang w:eastAsia="zh-CN"/>
        </w:rPr>
        <w:t>...</w:t>
      </w:r>
    </w:p>
    <w:p w14:paraId="16E51173"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        Max     min output  Kw  Tw      T1  T2    T3      T4       Ka  Ta   Kp  Kv Vamax</w:t>
      </w:r>
    </w:p>
    <w:p w14:paraId="6CDB29BD"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228B22"/>
          <w:sz w:val="18"/>
          <w:szCs w:val="18"/>
          <w:bdr w:val="none" w:sz="0" w:space="0" w:color="auto" w:frame="1"/>
          <w:lang w:eastAsia="zh-CN"/>
        </w:rPr>
        <w:t>%1  3  1  0.10000  -0.1000  -2  4.20000  0  3.15  1.0000  4.20000  25  0.5  20  5  0.045  0.045  0.045  -0.045  1  0.95  0  ;</w:t>
      </w:r>
    </w:p>
    <w:p w14:paraId="2EDD2F8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lastRenderedPageBreak/>
        <w:t>1  2  1  0.1      -0.1      5  10    0.38 0.02   0.38    0.02     25  0.5  20  5  0.045  0.045  0.045  -0.045  1  0.95  0;</w:t>
      </w:r>
    </w:p>
    <w:p w14:paraId="76746969"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w:t>
      </w:r>
    </w:p>
    <w:p w14:paraId="6AFCE384"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Bus.names = {</w:t>
      </w:r>
      <w:r w:rsidRPr="00DC7776">
        <w:rPr>
          <w:rFonts w:ascii="Courier New" w:eastAsia="Times New Roman" w:hAnsi="Courier New" w:cs="Courier New"/>
          <w:color w:val="0000FF"/>
          <w:sz w:val="18"/>
          <w:szCs w:val="18"/>
          <w:bdr w:val="none" w:sz="0" w:space="0" w:color="auto" w:frame="1"/>
          <w:lang w:eastAsia="zh-CN"/>
        </w:rPr>
        <w:t>...</w:t>
      </w:r>
    </w:p>
    <w:p w14:paraId="02B14142" w14:textId="77777777" w:rsidR="00DC7776" w:rsidRPr="00DC7776" w:rsidRDefault="00DC7776" w:rsidP="00DC7776">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tLeast"/>
        <w:ind w:firstLine="0"/>
        <w:jc w:val="left"/>
        <w:textAlignment w:val="baseline"/>
        <w:rPr>
          <w:rFonts w:ascii="Courier New" w:eastAsia="Times New Roman" w:hAnsi="Courier New" w:cs="Courier New"/>
          <w:color w:val="000000"/>
          <w:sz w:val="18"/>
          <w:szCs w:val="18"/>
          <w:lang w:eastAsia="zh-CN"/>
        </w:rPr>
      </w:pPr>
      <w:r w:rsidRPr="00DC7776">
        <w:rPr>
          <w:rFonts w:ascii="Courier New" w:eastAsia="Times New Roman" w:hAnsi="Courier New" w:cs="Courier New"/>
          <w:color w:val="000000"/>
          <w:sz w:val="18"/>
          <w:szCs w:val="18"/>
          <w:lang w:eastAsia="zh-CN"/>
        </w:rPr>
        <w:t xml:space="preserve">  </w:t>
      </w:r>
      <w:r w:rsidRPr="00DC7776">
        <w:rPr>
          <w:rFonts w:ascii="Courier New" w:eastAsia="Times New Roman" w:hAnsi="Courier New" w:cs="Courier New"/>
          <w:color w:val="A020F0"/>
          <w:sz w:val="18"/>
          <w:szCs w:val="18"/>
          <w:bdr w:val="none" w:sz="0" w:space="0" w:color="auto" w:frame="1"/>
          <w:lang w:eastAsia="zh-CN"/>
        </w:rPr>
        <w:t>'Bus 01'</w:t>
      </w:r>
      <w:r w:rsidRPr="00DC7776">
        <w:rPr>
          <w:rFonts w:ascii="Courier New" w:eastAsia="Times New Roman" w:hAnsi="Courier New" w:cs="Courier New"/>
          <w:color w:val="000000"/>
          <w:sz w:val="18"/>
          <w:szCs w:val="18"/>
          <w:lang w:eastAsia="zh-CN"/>
        </w:rPr>
        <w:t xml:space="preserve">; </w:t>
      </w:r>
      <w:r w:rsidRPr="00DC7776">
        <w:rPr>
          <w:rFonts w:ascii="Courier New" w:eastAsia="Times New Roman" w:hAnsi="Courier New" w:cs="Courier New"/>
          <w:color w:val="A020F0"/>
          <w:sz w:val="18"/>
          <w:szCs w:val="18"/>
          <w:bdr w:val="none" w:sz="0" w:space="0" w:color="auto" w:frame="1"/>
          <w:lang w:eastAsia="zh-CN"/>
        </w:rPr>
        <w:t>'Bus 02'</w:t>
      </w:r>
      <w:r w:rsidRPr="00DC7776">
        <w:rPr>
          <w:rFonts w:ascii="Courier New" w:eastAsia="Times New Roman" w:hAnsi="Courier New" w:cs="Courier New"/>
          <w:color w:val="000000"/>
          <w:sz w:val="18"/>
          <w:szCs w:val="18"/>
          <w:lang w:eastAsia="zh-CN"/>
        </w:rPr>
        <w:t>};</w:t>
      </w:r>
    </w:p>
    <w:p w14:paraId="65212FA8" w14:textId="77777777" w:rsidR="005A7FCA" w:rsidRDefault="005A7FCA">
      <w:pPr>
        <w:rPr>
          <w:bCs/>
          <w:lang w:eastAsia="zh-CN"/>
        </w:rPr>
      </w:pPr>
      <w:r>
        <w:rPr>
          <w:bCs/>
          <w:lang w:eastAsia="zh-CN"/>
        </w:rPr>
        <w:br w:type="page"/>
      </w:r>
    </w:p>
    <w:p w14:paraId="452E2017" w14:textId="66B1D8BA" w:rsidR="005A7FCA" w:rsidRDefault="005A7FCA" w:rsidP="005A7FCA">
      <w:pPr>
        <w:pStyle w:val="Heading2"/>
      </w:pPr>
      <w:bookmarkStart w:id="260" w:name="_Toc459076611"/>
      <w:r>
        <w:lastRenderedPageBreak/>
        <w:t xml:space="preserve">A.2 Publications </w:t>
      </w:r>
      <w:r w:rsidR="005B3245">
        <w:t xml:space="preserve">During </w:t>
      </w:r>
      <w:r>
        <w:t>Ph.D. Study</w:t>
      </w:r>
      <w:bookmarkEnd w:id="260"/>
    </w:p>
    <w:p w14:paraId="1591FDF5" w14:textId="77777777" w:rsidR="005A7FCA" w:rsidRPr="00684FA9" w:rsidRDefault="005A7FCA" w:rsidP="005A7FCA">
      <w:pPr>
        <w:ind w:firstLine="0"/>
        <w:rPr>
          <w:b/>
        </w:rPr>
      </w:pPr>
      <w:bookmarkStart w:id="261" w:name="OLE_LINK11"/>
      <w:r w:rsidRPr="00684FA9">
        <w:rPr>
          <w:b/>
        </w:rPr>
        <w:t>Journal Papers</w:t>
      </w:r>
    </w:p>
    <w:p w14:paraId="1CC84D30" w14:textId="77777777" w:rsidR="00FD329E" w:rsidRDefault="00FD329E" w:rsidP="00FD329E">
      <w:pPr>
        <w:spacing w:after="120"/>
        <w:ind w:firstLine="0"/>
        <w:contextualSpacing/>
      </w:pPr>
      <w:r>
        <w:t xml:space="preserve">[1] </w:t>
      </w:r>
      <w:r w:rsidRPr="00FD329E">
        <w:rPr>
          <w:b/>
        </w:rPr>
        <w:t>Haoyu Yuan</w:t>
      </w:r>
      <w:r>
        <w:t>, Hantao Cui, and Fangxing</w:t>
      </w:r>
      <w:r w:rsidRPr="00FD329E">
        <w:t xml:space="preserve"> Li, “A Measurement-based Voltage Stability Indicator for Voltage Dependent Load Models”, </w:t>
      </w:r>
      <w:r w:rsidRPr="00FD329E">
        <w:rPr>
          <w:i/>
        </w:rPr>
        <w:t>PES Letters</w:t>
      </w:r>
      <w:r w:rsidRPr="00FD329E">
        <w:t>, to be submitted 2016.</w:t>
      </w:r>
    </w:p>
    <w:p w14:paraId="4B45F238" w14:textId="57D16A07" w:rsidR="00FD329E" w:rsidRDefault="00FD329E" w:rsidP="00FD329E">
      <w:pPr>
        <w:spacing w:after="120"/>
        <w:ind w:firstLine="0"/>
        <w:contextualSpacing/>
      </w:pPr>
      <w:r w:rsidRPr="00684FA9">
        <w:t>[</w:t>
      </w:r>
      <w:r>
        <w:t>2</w:t>
      </w:r>
      <w:r w:rsidRPr="00684FA9">
        <w:t xml:space="preserve">] </w:t>
      </w:r>
      <w:r>
        <w:rPr>
          <w:b/>
        </w:rPr>
        <w:t>Haoyu Yuan</w:t>
      </w:r>
      <w:r>
        <w:t xml:space="preserve">, </w:t>
      </w:r>
      <w:r w:rsidRPr="00684FA9">
        <w:t>F</w:t>
      </w:r>
      <w:r>
        <w:t>angxing</w:t>
      </w:r>
      <w:r w:rsidRPr="00684FA9">
        <w:t xml:space="preserve"> Li, </w:t>
      </w:r>
      <w:r>
        <w:t xml:space="preserve">Tao Jiang, and Hongjie Jia, </w:t>
      </w:r>
      <w:r w:rsidRPr="00684FA9">
        <w:t>“</w:t>
      </w:r>
      <w:r>
        <w:t>Measurement-based Wide-Area Loading Margin Sensitivity and its Application in Voltage Stability Control</w:t>
      </w:r>
      <w:r w:rsidRPr="00684FA9">
        <w:t xml:space="preserve">,” </w:t>
      </w:r>
      <w:r w:rsidRPr="00684FA9">
        <w:rPr>
          <w:i/>
        </w:rPr>
        <w:t>IE</w:t>
      </w:r>
      <w:r>
        <w:rPr>
          <w:i/>
        </w:rPr>
        <w:t>T</w:t>
      </w:r>
      <w:r w:rsidRPr="00684FA9">
        <w:rPr>
          <w:i/>
        </w:rPr>
        <w:t xml:space="preserve"> </w:t>
      </w:r>
      <w:r>
        <w:rPr>
          <w:i/>
        </w:rPr>
        <w:t>Generation, Transmission and Distribution</w:t>
      </w:r>
      <w:r w:rsidRPr="00684FA9">
        <w:t xml:space="preserve">, </w:t>
      </w:r>
      <w:r>
        <w:t>under review</w:t>
      </w:r>
      <w:r w:rsidR="00232FAE">
        <w:t>, 2016</w:t>
      </w:r>
      <w:r w:rsidRPr="00684FA9">
        <w:t>.</w:t>
      </w:r>
    </w:p>
    <w:p w14:paraId="556A28A2" w14:textId="18D6656B" w:rsidR="00FD329E" w:rsidRDefault="00FD329E" w:rsidP="00FD329E">
      <w:pPr>
        <w:spacing w:after="120"/>
        <w:ind w:firstLine="0"/>
      </w:pPr>
      <w:r>
        <w:t>[3</w:t>
      </w:r>
      <w:r w:rsidRPr="001070C6">
        <w:t xml:space="preserve">] </w:t>
      </w:r>
      <w:r w:rsidRPr="004A2D51">
        <w:rPr>
          <w:b/>
        </w:rPr>
        <w:t>Haoyu Yuan</w:t>
      </w:r>
      <w:r>
        <w:t xml:space="preserve">, </w:t>
      </w:r>
      <w:r w:rsidR="00232FAE" w:rsidRPr="004A2D51">
        <w:t>Fangxing Li,</w:t>
      </w:r>
      <w:r w:rsidR="00232FAE">
        <w:t xml:space="preserve"> </w:t>
      </w:r>
      <w:r>
        <w:t>Yanli Wei, and Jinxiang Zhu,</w:t>
      </w:r>
      <w:r w:rsidRPr="004A2D51">
        <w:t xml:space="preserve"> </w:t>
      </w:r>
      <w:r w:rsidR="00232FAE">
        <w:t>“</w:t>
      </w:r>
      <w:r w:rsidRPr="005A7FCA">
        <w:t>Novel Linearized Power Flow and Linearized OPF Models for Active Distribution Networks with Application in Distribution LMP</w:t>
      </w:r>
      <w:r w:rsidR="00232FAE" w:rsidRPr="004A2D51">
        <w:t>,</w:t>
      </w:r>
      <w:r w:rsidR="00232FAE">
        <w:t>”</w:t>
      </w:r>
      <w:r w:rsidR="00232FAE" w:rsidRPr="004A2D51">
        <w:t xml:space="preserve"> </w:t>
      </w:r>
      <w:r w:rsidRPr="00C916CE">
        <w:rPr>
          <w:i/>
        </w:rPr>
        <w:t>IEEE Transactions on Smart Grid</w:t>
      </w:r>
      <w:r>
        <w:t xml:space="preserve">, </w:t>
      </w:r>
      <w:r w:rsidR="00232FAE">
        <w:t>In-Press</w:t>
      </w:r>
      <w:r>
        <w:t>, 2016</w:t>
      </w:r>
      <w:r w:rsidRPr="004A2D51">
        <w:t>.</w:t>
      </w:r>
    </w:p>
    <w:p w14:paraId="64A5A3F8" w14:textId="5BD486F4" w:rsidR="00FD329E" w:rsidRPr="00684FA9" w:rsidRDefault="00FD329E" w:rsidP="00FD329E">
      <w:pPr>
        <w:pStyle w:val="Title"/>
        <w:spacing w:after="120"/>
        <w:ind w:firstLine="0"/>
        <w:contextualSpacing/>
        <w:jc w:val="both"/>
        <w:rPr>
          <w:rFonts w:eastAsia="Times New Roman"/>
          <w:sz w:val="24"/>
          <w:szCs w:val="24"/>
          <w:lang w:eastAsia="zh-CN"/>
        </w:rPr>
      </w:pPr>
      <w:r>
        <w:rPr>
          <w:rFonts w:eastAsia="Times New Roman"/>
          <w:sz w:val="24"/>
          <w:szCs w:val="24"/>
        </w:rPr>
        <w:t>[4</w:t>
      </w:r>
      <w:r w:rsidRPr="00684FA9">
        <w:rPr>
          <w:rFonts w:eastAsia="Times New Roman"/>
          <w:sz w:val="24"/>
          <w:szCs w:val="24"/>
        </w:rPr>
        <w:t xml:space="preserve">] </w:t>
      </w:r>
      <w:r w:rsidRPr="004A2D51">
        <w:rPr>
          <w:rFonts w:eastAsia="Times New Roman"/>
          <w:b/>
          <w:sz w:val="24"/>
          <w:szCs w:val="24"/>
        </w:rPr>
        <w:t>Haoyu Yuan</w:t>
      </w:r>
      <w:r w:rsidRPr="004A2D51">
        <w:rPr>
          <w:rFonts w:eastAsia="Times New Roman"/>
          <w:sz w:val="24"/>
          <w:szCs w:val="24"/>
        </w:rPr>
        <w:t xml:space="preserve"> and Fangxing Li, </w:t>
      </w:r>
      <w:r w:rsidR="00232FAE">
        <w:rPr>
          <w:rFonts w:eastAsia="Times New Roman"/>
          <w:sz w:val="24"/>
          <w:szCs w:val="24"/>
        </w:rPr>
        <w:t>“</w:t>
      </w:r>
      <w:r w:rsidRPr="004A2D51">
        <w:rPr>
          <w:rFonts w:eastAsia="Times New Roman"/>
          <w:sz w:val="24"/>
          <w:szCs w:val="24"/>
        </w:rPr>
        <w:t>Hybrid Voltage Stability Assessment (VSA) for N-1 Contingency,</w:t>
      </w:r>
      <w:r w:rsidR="00232FAE">
        <w:rPr>
          <w:rFonts w:eastAsia="Times New Roman"/>
          <w:sz w:val="24"/>
          <w:szCs w:val="24"/>
        </w:rPr>
        <w:t>”</w:t>
      </w:r>
      <w:r w:rsidRPr="004A2D51">
        <w:rPr>
          <w:rFonts w:eastAsia="Times New Roman"/>
          <w:sz w:val="24"/>
          <w:szCs w:val="24"/>
        </w:rPr>
        <w:t xml:space="preserve"> </w:t>
      </w:r>
      <w:r w:rsidRPr="00C916CE">
        <w:rPr>
          <w:rFonts w:eastAsia="Times New Roman"/>
          <w:i/>
          <w:sz w:val="24"/>
          <w:szCs w:val="24"/>
        </w:rPr>
        <w:t>Electric Power Systems Research</w:t>
      </w:r>
      <w:r w:rsidRPr="004A2D51">
        <w:rPr>
          <w:rFonts w:eastAsia="Times New Roman"/>
          <w:sz w:val="24"/>
          <w:szCs w:val="24"/>
        </w:rPr>
        <w:t>, vol. 122, pp. 65-75, May. 2015.</w:t>
      </w:r>
    </w:p>
    <w:p w14:paraId="4190481F" w14:textId="4C327D03" w:rsidR="002C51AB" w:rsidRDefault="002C51AB" w:rsidP="002C51AB">
      <w:pPr>
        <w:spacing w:after="120"/>
        <w:ind w:firstLine="0"/>
      </w:pPr>
      <w:r>
        <w:t xml:space="preserve">[5] </w:t>
      </w:r>
      <w:r w:rsidRPr="004A2D51">
        <w:t xml:space="preserve">Tao Jiang, </w:t>
      </w:r>
      <w:r w:rsidRPr="004A2D51">
        <w:rPr>
          <w:b/>
        </w:rPr>
        <w:t>Haoyu Yuan</w:t>
      </w:r>
      <w:r w:rsidRPr="004A2D51">
        <w:t xml:space="preserve">, Hongjie Jia, Ning Zhou, Fangxing Li, </w:t>
      </w:r>
      <w:r w:rsidR="00232FAE">
        <w:t>“</w:t>
      </w:r>
      <w:r w:rsidRPr="004A2D51">
        <w:t>Stochastic subspace identification-based approach for tracking inter-area oscillatory modes in bulk power system utilising synchrophasor measurements</w:t>
      </w:r>
      <w:r w:rsidR="00232FAE" w:rsidRPr="004A2D51">
        <w:t>,</w:t>
      </w:r>
      <w:r w:rsidR="00232FAE">
        <w:t>”</w:t>
      </w:r>
      <w:r w:rsidR="00232FAE" w:rsidRPr="004A2D51">
        <w:t xml:space="preserve"> </w:t>
      </w:r>
      <w:r w:rsidRPr="00C916CE">
        <w:rPr>
          <w:i/>
        </w:rPr>
        <w:t>IET Generation, Transmission and Distribution</w:t>
      </w:r>
      <w:r w:rsidRPr="004A2D51">
        <w:t xml:space="preserve">, </w:t>
      </w:r>
      <w:r w:rsidRPr="005A7FCA">
        <w:t>vol. 9, no. 15, pp. 2409–2418, 2015.</w:t>
      </w:r>
    </w:p>
    <w:p w14:paraId="572B9DBC" w14:textId="44659DB5" w:rsidR="002C51AB" w:rsidRDefault="002C51AB" w:rsidP="002C51AB">
      <w:pPr>
        <w:spacing w:after="120"/>
        <w:ind w:firstLine="0"/>
      </w:pPr>
      <w:r>
        <w:t xml:space="preserve">[6] </w:t>
      </w:r>
      <w:r w:rsidRPr="004A2D51">
        <w:t xml:space="preserve">Tao Jiang, Hongjie Jia, </w:t>
      </w:r>
      <w:r w:rsidRPr="004A2D51">
        <w:rPr>
          <w:b/>
        </w:rPr>
        <w:t>Haoyu Yuan</w:t>
      </w:r>
      <w:r w:rsidRPr="004A2D51">
        <w:t xml:space="preserve">, Ning Zhou, and Fangxing Li, </w:t>
      </w:r>
      <w:r w:rsidR="00232FAE">
        <w:t>“</w:t>
      </w:r>
      <w:r w:rsidRPr="004A2D51">
        <w:t>Projection Pursuit: A General Methodology of Wide-Area Coherency Detection in Bulk Power Grid</w:t>
      </w:r>
      <w:r w:rsidR="00232FAE" w:rsidRPr="004A2D51">
        <w:t>,</w:t>
      </w:r>
      <w:r w:rsidR="00232FAE">
        <w:t>”</w:t>
      </w:r>
      <w:r w:rsidR="00232FAE" w:rsidRPr="004A2D51">
        <w:t xml:space="preserve"> </w:t>
      </w:r>
      <w:r w:rsidRPr="00C916CE">
        <w:rPr>
          <w:i/>
        </w:rPr>
        <w:t>IEEE Transactions on Power Systems</w:t>
      </w:r>
      <w:r w:rsidRPr="004A2D51">
        <w:t xml:space="preserve">, </w:t>
      </w:r>
      <w:r w:rsidRPr="005A7FCA">
        <w:t>vol.</w:t>
      </w:r>
      <w:r>
        <w:t xml:space="preserve"> 31, no. 4, pp. 2776–2786, 2016</w:t>
      </w:r>
      <w:r w:rsidRPr="004A2D51">
        <w:t>.</w:t>
      </w:r>
    </w:p>
    <w:p w14:paraId="3F4F1249" w14:textId="77777777" w:rsidR="002C51AB" w:rsidRDefault="002C51AB" w:rsidP="00FD329E">
      <w:pPr>
        <w:spacing w:after="120"/>
        <w:ind w:firstLine="0"/>
        <w:contextualSpacing/>
      </w:pPr>
    </w:p>
    <w:p w14:paraId="577D3DF4" w14:textId="419886AD" w:rsidR="005A7FCA" w:rsidRDefault="005A7FCA" w:rsidP="00FD329E">
      <w:pPr>
        <w:spacing w:after="120"/>
        <w:ind w:firstLine="0"/>
        <w:contextualSpacing/>
      </w:pPr>
      <w:r>
        <w:lastRenderedPageBreak/>
        <w:t>[</w:t>
      </w:r>
      <w:r w:rsidR="002C51AB">
        <w:t>7</w:t>
      </w:r>
      <w:r w:rsidRPr="00684FA9">
        <w:t xml:space="preserve">] </w:t>
      </w:r>
      <w:r w:rsidRPr="004A2D51">
        <w:t xml:space="preserve">Tao Jiang, Linquan Bai, Hongjie Jia, </w:t>
      </w:r>
      <w:r w:rsidRPr="004A2D51">
        <w:rPr>
          <w:b/>
        </w:rPr>
        <w:t>Haoyu Yuan</w:t>
      </w:r>
      <w:r w:rsidRPr="004A2D51">
        <w:t>,</w:t>
      </w:r>
      <w:r>
        <w:t xml:space="preserve"> and</w:t>
      </w:r>
      <w:r w:rsidRPr="004A2D51">
        <w:t xml:space="preserve"> Fangxing Li, </w:t>
      </w:r>
      <w:r w:rsidR="00232FAE">
        <w:t>“</w:t>
      </w:r>
      <w:r w:rsidRPr="004A2D51">
        <w:t>Identification of Voltage Stability Critical Injection Region in Bulk Power Systems based on the Relative Gain of Voltage Coupling</w:t>
      </w:r>
      <w:r w:rsidR="00232FAE" w:rsidRPr="004A2D51">
        <w:t>,</w:t>
      </w:r>
      <w:r w:rsidR="00232FAE">
        <w:t>”</w:t>
      </w:r>
      <w:r w:rsidR="00232FAE" w:rsidRPr="004A2D51">
        <w:t xml:space="preserve"> </w:t>
      </w:r>
      <w:r w:rsidRPr="00C916CE">
        <w:rPr>
          <w:i/>
        </w:rPr>
        <w:t>IET Generation, Transmission and Distribution</w:t>
      </w:r>
      <w:r w:rsidRPr="004A2D51">
        <w:t xml:space="preserve">, </w:t>
      </w:r>
      <w:r w:rsidRPr="005A7FCA">
        <w:t>vol.</w:t>
      </w:r>
      <w:r>
        <w:t xml:space="preserve"> 10, no. 7, pp. 1495–1503, 2016</w:t>
      </w:r>
      <w:r w:rsidRPr="00684FA9">
        <w:t>.</w:t>
      </w:r>
    </w:p>
    <w:p w14:paraId="55B38F40" w14:textId="77777777" w:rsidR="00232FAE" w:rsidRDefault="00232FAE" w:rsidP="00FD329E">
      <w:pPr>
        <w:spacing w:after="120"/>
        <w:ind w:firstLine="0"/>
        <w:contextualSpacing/>
      </w:pPr>
    </w:p>
    <w:bookmarkEnd w:id="261"/>
    <w:p w14:paraId="7ABEA5C2" w14:textId="77777777" w:rsidR="005A7FCA" w:rsidRPr="00684FA9" w:rsidRDefault="005A7FCA" w:rsidP="005A7FCA">
      <w:pPr>
        <w:ind w:firstLine="0"/>
        <w:rPr>
          <w:b/>
        </w:rPr>
      </w:pPr>
      <w:r w:rsidRPr="00684FA9">
        <w:rPr>
          <w:b/>
        </w:rPr>
        <w:t>Conference Papers</w:t>
      </w:r>
    </w:p>
    <w:p w14:paraId="7EEA07CC" w14:textId="51C0198B" w:rsidR="005A7FCA" w:rsidRDefault="005A7FCA" w:rsidP="005A7FCA">
      <w:pPr>
        <w:spacing w:after="120"/>
        <w:ind w:firstLine="0"/>
      </w:pPr>
      <w:r w:rsidRPr="00684FA9">
        <w:t>[</w:t>
      </w:r>
      <w:r w:rsidR="00FD329E">
        <w:t>8</w:t>
      </w:r>
      <w:r w:rsidRPr="00684FA9">
        <w:t xml:space="preserve">] </w:t>
      </w:r>
      <w:r>
        <w:rPr>
          <w:b/>
        </w:rPr>
        <w:t xml:space="preserve">Haoyu Yuan, </w:t>
      </w:r>
      <w:r w:rsidRPr="004D5C85">
        <w:t xml:space="preserve">Xue Li, Fangxing Li, Xin Fang, Hantao Cui, and Qinran Hu, </w:t>
      </w:r>
      <w:r w:rsidR="00232FAE">
        <w:t>“</w:t>
      </w:r>
      <w:r w:rsidRPr="00EA419E">
        <w:t>Mitigate Overestimation of Voltage Stability Margin by Coupled Single-Port Circuit Models</w:t>
      </w:r>
      <w:r w:rsidR="00232FAE" w:rsidRPr="004A2D51">
        <w:t>,</w:t>
      </w:r>
      <w:r w:rsidR="00232FAE">
        <w:t>”</w:t>
      </w:r>
      <w:r w:rsidR="00232FAE" w:rsidRPr="004A2D51">
        <w:t xml:space="preserve"> </w:t>
      </w:r>
      <w:r w:rsidRPr="004A2D51">
        <w:t>IEEE PES General Meeting 201</w:t>
      </w:r>
      <w:r>
        <w:t>6</w:t>
      </w:r>
      <w:r w:rsidRPr="004A2D51">
        <w:t xml:space="preserve">, 5 pages, </w:t>
      </w:r>
      <w:r>
        <w:t>Boston</w:t>
      </w:r>
      <w:r w:rsidRPr="004A2D51">
        <w:t xml:space="preserve">, </w:t>
      </w:r>
      <w:r>
        <w:t>MA, 2016</w:t>
      </w:r>
      <w:r w:rsidRPr="004A2D51">
        <w:t>.</w:t>
      </w:r>
      <w:r>
        <w:t xml:space="preserve"> </w:t>
      </w:r>
      <w:r w:rsidRPr="00EA419E">
        <w:rPr>
          <w:b/>
        </w:rPr>
        <w:t xml:space="preserve">(Best </w:t>
      </w:r>
      <w:r w:rsidR="00933A8E">
        <w:rPr>
          <w:b/>
        </w:rPr>
        <w:t xml:space="preserve">Conference </w:t>
      </w:r>
      <w:r w:rsidRPr="00EA419E">
        <w:rPr>
          <w:b/>
        </w:rPr>
        <w:t>Paper</w:t>
      </w:r>
      <w:r>
        <w:rPr>
          <w:b/>
        </w:rPr>
        <w:t>s</w:t>
      </w:r>
      <w:r w:rsidRPr="00EA419E">
        <w:rPr>
          <w:b/>
        </w:rPr>
        <w:t xml:space="preserve"> Award)</w:t>
      </w:r>
      <w:r>
        <w:rPr>
          <w:b/>
        </w:rPr>
        <w:t>.</w:t>
      </w:r>
    </w:p>
    <w:p w14:paraId="733A14EB" w14:textId="2357FF0A" w:rsidR="005A7FCA" w:rsidRDefault="005A7FCA" w:rsidP="005A7FCA">
      <w:pPr>
        <w:spacing w:after="120"/>
        <w:ind w:firstLine="0"/>
      </w:pPr>
      <w:r>
        <w:t>[</w:t>
      </w:r>
      <w:r w:rsidR="00FD329E">
        <w:t>9</w:t>
      </w:r>
      <w:r w:rsidRPr="00684FA9">
        <w:t xml:space="preserve">] </w:t>
      </w:r>
      <w:r w:rsidRPr="004A2D51">
        <w:rPr>
          <w:b/>
        </w:rPr>
        <w:t>Haoyu Yuan</w:t>
      </w:r>
      <w:r w:rsidRPr="004A2D51">
        <w:t xml:space="preserve">, Tao Jiang, Hongjie Jia, Fangxing Li, Yateendra Mishra, Houhe Chen, and Guoqing Li, </w:t>
      </w:r>
      <w:r w:rsidR="00232FAE">
        <w:t>“</w:t>
      </w:r>
      <w:r w:rsidRPr="004A2D51">
        <w:t>Real-Time Wide-area Loading Margin Sensitivity (WALMS) in Power Systems</w:t>
      </w:r>
      <w:r w:rsidR="00232FAE" w:rsidRPr="004A2D51">
        <w:t>,</w:t>
      </w:r>
      <w:r w:rsidR="00232FAE">
        <w:t>”</w:t>
      </w:r>
      <w:r w:rsidR="00232FAE" w:rsidRPr="004A2D51">
        <w:t xml:space="preserve"> </w:t>
      </w:r>
      <w:r w:rsidRPr="004A2D51">
        <w:t>IEEE PES General Meeting 2015, 5 pages, Denver, Colorado, July 26-30, 2015.</w:t>
      </w:r>
    </w:p>
    <w:p w14:paraId="1641664C" w14:textId="073EF2A5" w:rsidR="005A7FCA" w:rsidRDefault="005A7FCA" w:rsidP="005A7FCA">
      <w:pPr>
        <w:spacing w:after="120"/>
        <w:ind w:firstLine="0"/>
      </w:pPr>
      <w:r>
        <w:t>[</w:t>
      </w:r>
      <w:r w:rsidR="00933A8E">
        <w:t>1</w:t>
      </w:r>
      <w:r w:rsidR="00FD329E">
        <w:t>0</w:t>
      </w:r>
      <w:r>
        <w:t xml:space="preserve">] </w:t>
      </w:r>
      <w:r w:rsidRPr="004A2D51">
        <w:rPr>
          <w:b/>
        </w:rPr>
        <w:t>Haoyu Yuan</w:t>
      </w:r>
      <w:r w:rsidRPr="004A2D51">
        <w:t xml:space="preserve"> and Fangxing Li, </w:t>
      </w:r>
      <w:r w:rsidR="00232FAE">
        <w:t>“</w:t>
      </w:r>
      <w:r w:rsidRPr="004A2D51">
        <w:t>A Comparative Study of Measurement-Based Thevenin Equivalents Identification Methods</w:t>
      </w:r>
      <w:r w:rsidR="00232FAE" w:rsidRPr="004A2D51">
        <w:t>,</w:t>
      </w:r>
      <w:r w:rsidR="00232FAE">
        <w:t>”</w:t>
      </w:r>
      <w:r w:rsidR="00232FAE" w:rsidRPr="004A2D51">
        <w:t xml:space="preserve"> </w:t>
      </w:r>
      <w:r w:rsidRPr="004A2D51">
        <w:t>46th North American Power Symposium, 6 pages, Pullman, WA, Sept. 7-9, 2014.</w:t>
      </w:r>
    </w:p>
    <w:p w14:paraId="71C5EDC6" w14:textId="084FACED" w:rsidR="00612D9D" w:rsidRDefault="005A7FCA" w:rsidP="00A0417B">
      <w:pPr>
        <w:ind w:firstLine="0"/>
        <w:rPr>
          <w:bCs/>
          <w:lang w:eastAsia="zh-CN"/>
        </w:rPr>
      </w:pPr>
      <w:r>
        <w:t>[</w:t>
      </w:r>
      <w:r w:rsidR="00933A8E">
        <w:t>1</w:t>
      </w:r>
      <w:r w:rsidR="00FD329E">
        <w:t>1</w:t>
      </w:r>
      <w:r>
        <w:t xml:space="preserve">] </w:t>
      </w:r>
      <w:r w:rsidRPr="00F538DD">
        <w:rPr>
          <w:b/>
        </w:rPr>
        <w:t>Haoyu Yuan</w:t>
      </w:r>
      <w:r>
        <w:t xml:space="preserve">, </w:t>
      </w:r>
      <w:r w:rsidRPr="00F538DD">
        <w:t>Fangxing Li,</w:t>
      </w:r>
      <w:r>
        <w:t xml:space="preserve"> and Yanli Wei</w:t>
      </w:r>
      <w:r w:rsidR="00232FAE">
        <w:t>,</w:t>
      </w:r>
      <w:r w:rsidRPr="00F538DD">
        <w:t xml:space="preserve"> </w:t>
      </w:r>
      <w:r w:rsidR="00232FAE">
        <w:t>“</w:t>
      </w:r>
      <w:r w:rsidRPr="00F538DD">
        <w:t>LMP Step Pattern Detection based on Real-Time Data</w:t>
      </w:r>
      <w:r w:rsidR="00232FAE" w:rsidRPr="00F538DD">
        <w:t>,</w:t>
      </w:r>
      <w:r w:rsidR="00232FAE">
        <w:t>”</w:t>
      </w:r>
      <w:r w:rsidR="00232FAE" w:rsidRPr="00F538DD">
        <w:t xml:space="preserve"> </w:t>
      </w:r>
      <w:r w:rsidRPr="00F538DD">
        <w:t>IEEE PES General Meeting 2013, 5 pa</w:t>
      </w:r>
      <w:r>
        <w:t>ges, Vancouver, BC, Canada, July</w:t>
      </w:r>
      <w:r w:rsidRPr="00F538DD">
        <w:t xml:space="preserve"> 21-15,</w:t>
      </w:r>
      <w:r>
        <w:t xml:space="preserve"> </w:t>
      </w:r>
      <w:r w:rsidRPr="00F538DD">
        <w:t>2013.</w:t>
      </w:r>
      <w:r w:rsidR="00612D9D">
        <w:rPr>
          <w:bCs/>
          <w:lang w:eastAsia="zh-CN"/>
        </w:rPr>
        <w:br w:type="page"/>
      </w:r>
    </w:p>
    <w:p w14:paraId="513FBA1E" w14:textId="77777777" w:rsidR="00194D4C" w:rsidRDefault="00194D4C" w:rsidP="00194D4C"/>
    <w:p w14:paraId="14D3EE0A" w14:textId="77777777" w:rsidR="00194D4C" w:rsidRDefault="00194D4C" w:rsidP="00194D4C"/>
    <w:p w14:paraId="215FA0A5" w14:textId="77777777" w:rsidR="00194D4C" w:rsidRDefault="00194D4C" w:rsidP="00194D4C"/>
    <w:p w14:paraId="6CA29775" w14:textId="77777777" w:rsidR="00194D4C" w:rsidRDefault="00194D4C" w:rsidP="00194D4C"/>
    <w:p w14:paraId="34994237" w14:textId="77777777" w:rsidR="00194D4C" w:rsidRDefault="00194D4C" w:rsidP="00194D4C"/>
    <w:p w14:paraId="768E023B" w14:textId="77777777" w:rsidR="00194D4C" w:rsidRDefault="00194D4C" w:rsidP="00194D4C"/>
    <w:p w14:paraId="40F891DC" w14:textId="77777777" w:rsidR="00194D4C" w:rsidRDefault="00194D4C" w:rsidP="00194D4C"/>
    <w:p w14:paraId="1B008BA7" w14:textId="77777777" w:rsidR="00236E6D" w:rsidRPr="00F920F6" w:rsidRDefault="0001493C" w:rsidP="00CC759C">
      <w:pPr>
        <w:pStyle w:val="Heading1"/>
      </w:pPr>
      <w:bookmarkStart w:id="262" w:name="_Toc459076612"/>
      <w:r>
        <w:t>LIST OF REFERENCES</w:t>
      </w:r>
      <w:bookmarkEnd w:id="262"/>
    </w:p>
    <w:p w14:paraId="7EFA3A44" w14:textId="77777777" w:rsidR="00CA4726" w:rsidRDefault="00236E6D" w:rsidP="00E02815">
      <w:pPr>
        <w:pStyle w:val="References"/>
        <w:numPr>
          <w:ilvl w:val="0"/>
          <w:numId w:val="2"/>
        </w:numPr>
        <w:tabs>
          <w:tab w:val="clear" w:pos="360"/>
          <w:tab w:val="num" w:pos="0"/>
        </w:tabs>
        <w:spacing w:afterLines="120" w:after="288" w:line="480" w:lineRule="auto"/>
        <w:ind w:left="720" w:hanging="720"/>
        <w:rPr>
          <w:rFonts w:eastAsia="Times New Roman"/>
          <w:sz w:val="24"/>
        </w:rPr>
      </w:pPr>
      <w:r w:rsidRPr="00D67156">
        <w:rPr>
          <w:rFonts w:eastAsia="Times New Roman"/>
          <w:sz w:val="24"/>
        </w:rPr>
        <w:br w:type="page"/>
      </w:r>
    </w:p>
    <w:p w14:paraId="34A51586" w14:textId="0CF00488" w:rsidR="00A0417B" w:rsidRPr="00A0417B" w:rsidRDefault="00CA4726" w:rsidP="00A0417B">
      <w:pPr>
        <w:widowControl w:val="0"/>
        <w:autoSpaceDE w:val="0"/>
        <w:autoSpaceDN w:val="0"/>
        <w:adjustRightInd w:val="0"/>
        <w:spacing w:before="100" w:after="100" w:line="240" w:lineRule="auto"/>
        <w:ind w:left="640" w:hanging="640"/>
        <w:rPr>
          <w:noProof/>
        </w:rPr>
      </w:pPr>
      <w:r>
        <w:rPr>
          <w:rFonts w:eastAsia="Times New Roman"/>
        </w:rPr>
        <w:lastRenderedPageBreak/>
        <w:fldChar w:fldCharType="begin" w:fldLock="1"/>
      </w:r>
      <w:r>
        <w:rPr>
          <w:rFonts w:eastAsia="Times New Roman"/>
        </w:rPr>
        <w:instrText xml:space="preserve">ADDIN Mendeley Bibliography CSL_BIBLIOGRAPHY </w:instrText>
      </w:r>
      <w:r>
        <w:rPr>
          <w:rFonts w:eastAsia="Times New Roman"/>
        </w:rPr>
        <w:fldChar w:fldCharType="separate"/>
      </w:r>
      <w:r w:rsidR="00A0417B" w:rsidRPr="00A0417B">
        <w:rPr>
          <w:noProof/>
        </w:rPr>
        <w:t>[1]</w:t>
      </w:r>
      <w:r w:rsidR="00A0417B" w:rsidRPr="00A0417B">
        <w:rPr>
          <w:noProof/>
        </w:rPr>
        <w:tab/>
        <w:t xml:space="preserve">C. W. Taylor, </w:t>
      </w:r>
      <w:r w:rsidR="00A0417B" w:rsidRPr="00A0417B">
        <w:rPr>
          <w:i/>
          <w:iCs/>
          <w:noProof/>
        </w:rPr>
        <w:t>Power System Voltage Stability</w:t>
      </w:r>
      <w:r w:rsidR="00A0417B" w:rsidRPr="00A0417B">
        <w:rPr>
          <w:noProof/>
        </w:rPr>
        <w:t>. New York: McGraw Hill Education, 1994.</w:t>
      </w:r>
    </w:p>
    <w:p w14:paraId="3C3783A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w:t>
      </w:r>
      <w:r w:rsidRPr="00A0417B">
        <w:rPr>
          <w:noProof/>
        </w:rPr>
        <w:tab/>
        <w:t>F. Li and Y. Wei, “A Probability-Driven Multilayer Framework for,” vol. 3, no. 3, pp. 455–464, 2012.</w:t>
      </w:r>
    </w:p>
    <w:p w14:paraId="38C3876C"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w:t>
      </w:r>
      <w:r w:rsidRPr="00A0417B">
        <w:rPr>
          <w:noProof/>
        </w:rPr>
        <w:tab/>
        <w:t xml:space="preserve">Y. Xu, Q. Hu, and F. Li, “Probabilistic model of payment cost minimization considering wind power and its uncertainty,” </w:t>
      </w:r>
      <w:r w:rsidRPr="00A0417B">
        <w:rPr>
          <w:i/>
          <w:iCs/>
          <w:noProof/>
        </w:rPr>
        <w:t>IEEE Trans. Sustain. Energy</w:t>
      </w:r>
      <w:r w:rsidRPr="00A0417B">
        <w:rPr>
          <w:noProof/>
        </w:rPr>
        <w:t>, vol. 4, no. 3, pp. 716–724, 2013.</w:t>
      </w:r>
    </w:p>
    <w:p w14:paraId="402F1293"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w:t>
      </w:r>
      <w:r w:rsidRPr="00A0417B">
        <w:rPr>
          <w:noProof/>
        </w:rPr>
        <w:tab/>
        <w:t xml:space="preserve">C. Huang, F. Li, and Z. Jin, “Maximum Power Point Tracking Strategy for Large-Scale Wind Generation Systems Considering Wind Turbine Dynamics,” </w:t>
      </w:r>
      <w:r w:rsidRPr="00A0417B">
        <w:rPr>
          <w:i/>
          <w:iCs/>
          <w:noProof/>
        </w:rPr>
        <w:t>IEEE Trans. Ind. Electron.</w:t>
      </w:r>
      <w:r w:rsidRPr="00A0417B">
        <w:rPr>
          <w:noProof/>
        </w:rPr>
        <w:t>, vol. 62, no. 4, pp. 2530–2539, 2015.</w:t>
      </w:r>
    </w:p>
    <w:p w14:paraId="68E87129"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w:t>
      </w:r>
      <w:r w:rsidRPr="00A0417B">
        <w:rPr>
          <w:noProof/>
        </w:rPr>
        <w:tab/>
        <w:t xml:space="preserve">L. Bai, F. Li, H. Cui, T. Jiang, H. Sun, and J. Zhu, “Interval optimization based operating strategy for gas-electricity integrated energy systems considering demand response and wind uncertainty,” </w:t>
      </w:r>
      <w:r w:rsidRPr="00A0417B">
        <w:rPr>
          <w:i/>
          <w:iCs/>
          <w:noProof/>
        </w:rPr>
        <w:t>Appl. Energy</w:t>
      </w:r>
      <w:r w:rsidRPr="00A0417B">
        <w:rPr>
          <w:noProof/>
        </w:rPr>
        <w:t>, vol. 167, pp. 270–279, 2016.</w:t>
      </w:r>
    </w:p>
    <w:p w14:paraId="384A10FB"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w:t>
      </w:r>
      <w:r w:rsidRPr="00A0417B">
        <w:rPr>
          <w:noProof/>
        </w:rPr>
        <w:tab/>
        <w:t xml:space="preserve">H. Chen, Y. Kong, G. Li, and L. Bai, “Conditional value-at-risk-based optimal spinning reserve for wind integrated power system,” </w:t>
      </w:r>
      <w:r w:rsidRPr="00A0417B">
        <w:rPr>
          <w:i/>
          <w:iCs/>
          <w:noProof/>
        </w:rPr>
        <w:t>Int. Trans. Electr. Energy Syst.</w:t>
      </w:r>
      <w:r w:rsidRPr="00A0417B">
        <w:rPr>
          <w:noProof/>
        </w:rPr>
        <w:t>, p. n/a–n/a, 2016.</w:t>
      </w:r>
    </w:p>
    <w:p w14:paraId="0C7A33EB"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w:t>
      </w:r>
      <w:r w:rsidRPr="00A0417B">
        <w:rPr>
          <w:noProof/>
        </w:rPr>
        <w:tab/>
        <w:t xml:space="preserve">H. Chen, R. Zhang, G. Li, L. Bai, and F. Li, “Economic dispatch of wind integrated power systems with energy storage considering composite operating costs,” </w:t>
      </w:r>
      <w:r w:rsidRPr="00A0417B">
        <w:rPr>
          <w:i/>
          <w:iCs/>
          <w:noProof/>
        </w:rPr>
        <w:t>IET Generation, Transmission &amp; Distribution</w:t>
      </w:r>
      <w:r w:rsidRPr="00A0417B">
        <w:rPr>
          <w:noProof/>
        </w:rPr>
        <w:t>, vol. 10, no. 5. pp. 1294–1303, 2016.</w:t>
      </w:r>
    </w:p>
    <w:p w14:paraId="472683D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[8]</w:t>
      </w:r>
      <w:r w:rsidRPr="00A0417B">
        <w:rPr>
          <w:noProof/>
        </w:rPr>
        <w:tab/>
        <w:t xml:space="preserve">H. Hu, Q. Shi, Z. He, J. He, and S. Gao, “Potential Harmonic Resonance Impacts of PV Inverter Filters on Distribution Systems,” </w:t>
      </w:r>
      <w:r w:rsidRPr="00A0417B">
        <w:rPr>
          <w:i/>
          <w:iCs/>
          <w:noProof/>
        </w:rPr>
        <w:t>IEEE Transactions on Sustainable Energy</w:t>
      </w:r>
      <w:r w:rsidRPr="00A0417B">
        <w:rPr>
          <w:noProof/>
        </w:rPr>
        <w:t>, vol. 6, no. 1. pp. 151–161, 2015.</w:t>
      </w:r>
    </w:p>
    <w:p w14:paraId="2B9C4478"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[9]</w:t>
      </w:r>
      <w:r w:rsidRPr="00A0417B">
        <w:rPr>
          <w:noProof/>
        </w:rPr>
        <w:tab/>
        <w:t xml:space="preserve">H. Yuan and F. Li, “A Comparative Study of Measurement-Based Thevenin Equivalents Identification Methods,” in </w:t>
      </w:r>
      <w:r w:rsidRPr="00A0417B">
        <w:rPr>
          <w:i/>
          <w:iCs/>
          <w:noProof/>
        </w:rPr>
        <w:t>North American Power Symposium</w:t>
      </w:r>
      <w:r w:rsidRPr="00A0417B">
        <w:rPr>
          <w:noProof/>
        </w:rPr>
        <w:t>, 2014, pp. 1–6.</w:t>
      </w:r>
    </w:p>
    <w:p w14:paraId="24FB6B0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[10]</w:t>
      </w:r>
      <w:r w:rsidRPr="00A0417B">
        <w:rPr>
          <w:noProof/>
        </w:rPr>
        <w:tab/>
        <w:t xml:space="preserve">S. Nuthalapati and A. G. Phadke, “managing the grid,” </w:t>
      </w:r>
      <w:r w:rsidRPr="00A0417B">
        <w:rPr>
          <w:i/>
          <w:iCs/>
          <w:noProof/>
        </w:rPr>
        <w:t>IEEE Power Energy Mag.</w:t>
      </w:r>
      <w:r w:rsidRPr="00A0417B">
        <w:rPr>
          <w:noProof/>
        </w:rPr>
        <w:t>, vol. 13, no. 5, pp. 10–12, 2015.</w:t>
      </w:r>
    </w:p>
    <w:p w14:paraId="5C452D8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[11]</w:t>
      </w:r>
      <w:r w:rsidRPr="00A0417B">
        <w:rPr>
          <w:noProof/>
        </w:rPr>
        <w:tab/>
        <w:t xml:space="preserve">J. Chai, J. Zhao, W. Yao, J. Guo, and Y. Liu, “Application of Wide Area Power System Measurement for Digital Authentication,” in </w:t>
      </w:r>
      <w:r w:rsidRPr="00A0417B">
        <w:rPr>
          <w:i/>
          <w:iCs/>
          <w:noProof/>
        </w:rPr>
        <w:t>T&amp;D Conference and Exposition</w:t>
      </w:r>
      <w:r w:rsidRPr="00A0417B">
        <w:rPr>
          <w:noProof/>
        </w:rPr>
        <w:t>, 2016, pp. 1–5.</w:t>
      </w:r>
    </w:p>
    <w:p w14:paraId="64EF786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[12]</w:t>
      </w:r>
      <w:r w:rsidRPr="00A0417B">
        <w:rPr>
          <w:noProof/>
        </w:rPr>
        <w:tab/>
        <w:t xml:space="preserve">J. Guo, Y. Zhang, M. A. Young, M. J. Till, A. Dimitrovski, Y. Liu, P. Williging, and Y. Liu, “Design and Implementation of a Real-Time Off-Grid Operation Detection Tool from a Wide-Area Measurements Perspective,” </w:t>
      </w:r>
      <w:r w:rsidRPr="00A0417B">
        <w:rPr>
          <w:i/>
          <w:iCs/>
          <w:noProof/>
        </w:rPr>
        <w:t>IEEE Trans. Smart Grid</w:t>
      </w:r>
      <w:r w:rsidRPr="00A0417B">
        <w:rPr>
          <w:noProof/>
        </w:rPr>
        <w:t>, vol. 6, no. 4, pp. 2080–2087, 2014.</w:t>
      </w:r>
    </w:p>
    <w:p w14:paraId="51EB707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[13]</w:t>
      </w:r>
      <w:r w:rsidRPr="00A0417B">
        <w:rPr>
          <w:noProof/>
        </w:rPr>
        <w:tab/>
        <w:t xml:space="preserve">B. Milosevic and M. Begovic, “Voltage-stability protection and control using a wide-area network of phasor measurements,” </w:t>
      </w:r>
      <w:r w:rsidRPr="00A0417B">
        <w:rPr>
          <w:i/>
          <w:iCs/>
          <w:noProof/>
        </w:rPr>
        <w:t>IEEE Trans. Power Syst.</w:t>
      </w:r>
      <w:r w:rsidRPr="00A0417B">
        <w:rPr>
          <w:noProof/>
        </w:rPr>
        <w:t>, vol. 18, no. 1, pp. 121–127, 2003.</w:t>
      </w:r>
    </w:p>
    <w:p w14:paraId="50459B8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[14]</w:t>
      </w:r>
      <w:r w:rsidRPr="00A0417B">
        <w:rPr>
          <w:noProof/>
        </w:rPr>
        <w:tab/>
        <w:t>T. Jiang, H. Yuan, H. Jia, N. Zhou, and F. Li, “Stochastic subspace identification-</w:t>
      </w:r>
      <w:r w:rsidRPr="00A0417B">
        <w:rPr>
          <w:noProof/>
        </w:rPr>
        <w:lastRenderedPageBreak/>
        <w:t xml:space="preserve">based approach for tracking inter-area oscillatory modes in bulk power system utilising synchrophasor measurements,” </w:t>
      </w:r>
      <w:r w:rsidRPr="00A0417B">
        <w:rPr>
          <w:i/>
          <w:iCs/>
          <w:noProof/>
        </w:rPr>
        <w:t>IET Gener. Transm. Distrib.</w:t>
      </w:r>
      <w:r w:rsidRPr="00A0417B">
        <w:rPr>
          <w:noProof/>
        </w:rPr>
        <w:t>, vol. 9, no. 15, pp. 2409–2418, 2015.</w:t>
      </w:r>
    </w:p>
    <w:p w14:paraId="196B98C1"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[15]</w:t>
      </w:r>
      <w:r w:rsidRPr="00A0417B">
        <w:rPr>
          <w:noProof/>
        </w:rPr>
        <w:tab/>
        <w:t xml:space="preserve">T. Jiang, L. Bai, H. Jia, H. Yuan, and F. Li, “Identification of voltage stability critical injection region in bulk power systems based on the relative gain of voltage coupling,” </w:t>
      </w:r>
      <w:r w:rsidRPr="00A0417B">
        <w:rPr>
          <w:i/>
          <w:iCs/>
          <w:noProof/>
        </w:rPr>
        <w:t>IET Gener. Transm. Distrib.</w:t>
      </w:r>
      <w:r w:rsidRPr="00A0417B">
        <w:rPr>
          <w:noProof/>
        </w:rPr>
        <w:t>, vol. 10, no. 7, pp. 1495–1503, 2016.</w:t>
      </w:r>
    </w:p>
    <w:p w14:paraId="4FCFE56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[16]</w:t>
      </w:r>
      <w:r w:rsidRPr="00A0417B">
        <w:rPr>
          <w:noProof/>
        </w:rPr>
        <w:tab/>
        <w:t xml:space="preserve">T. Jiang, H. Jia, H. Yuan, N. Zhou, and F. Li, “Projection Pursuit : A General Methodology of Wide-Area Coherency Detection in Bulk Power Grid,” </w:t>
      </w:r>
      <w:r w:rsidRPr="00A0417B">
        <w:rPr>
          <w:i/>
          <w:iCs/>
          <w:noProof/>
        </w:rPr>
        <w:t>IEEE Trans. Power Syst.</w:t>
      </w:r>
      <w:r w:rsidRPr="00A0417B">
        <w:rPr>
          <w:noProof/>
        </w:rPr>
        <w:t>, pp. 1–11, 2015.</w:t>
      </w:r>
    </w:p>
    <w:p w14:paraId="759F75B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[17]</w:t>
      </w:r>
      <w:r w:rsidRPr="00A0417B">
        <w:rPr>
          <w:noProof/>
        </w:rPr>
        <w:tab/>
        <w:t xml:space="preserve">T. Jiang, Y. Mu, H. Jia, N. Lu, H. Yuan, J. Yan, and W. Li, “A Novel Dominant Mode Estimation Method for Analyzing Inter-Area Oscillation in China Southern Power Grid,” </w:t>
      </w:r>
      <w:r w:rsidRPr="00A0417B">
        <w:rPr>
          <w:i/>
          <w:iCs/>
          <w:noProof/>
        </w:rPr>
        <w:t>IEEE Trans. Smart Grid</w:t>
      </w:r>
      <w:r w:rsidRPr="00A0417B">
        <w:rPr>
          <w:noProof/>
        </w:rPr>
        <w:t>, pp. 1–12, 2016.</w:t>
      </w:r>
    </w:p>
    <w:p w14:paraId="0174695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[18]</w:t>
      </w:r>
      <w:r w:rsidRPr="00A0417B">
        <w:rPr>
          <w:noProof/>
        </w:rPr>
        <w:tab/>
        <w:t xml:space="preserve">H. Yuan, T. Jiang, H. Jia, F. Li, Y. Mishra, H. Chen, and G. Li, “Real-Time Wide-area Loading Margin Sensitivity ( WALMS ) in Power Systems,” in </w:t>
      </w:r>
      <w:r w:rsidRPr="00A0417B">
        <w:rPr>
          <w:i/>
          <w:iCs/>
          <w:noProof/>
        </w:rPr>
        <w:t>IEEE PES General Meeting</w:t>
      </w:r>
      <w:r w:rsidRPr="00A0417B">
        <w:rPr>
          <w:noProof/>
        </w:rPr>
        <w:t>, 2015, pp. 1–5.</w:t>
      </w:r>
    </w:p>
    <w:p w14:paraId="69F90EE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[19]</w:t>
      </w:r>
      <w:r w:rsidRPr="00A0417B">
        <w:rPr>
          <w:noProof/>
        </w:rPr>
        <w:tab/>
        <w:t xml:space="preserve">V. Ajjarapu and C. Christy, “The continuation power flow: A tool for steady state voltage stability analysis,” </w:t>
      </w:r>
      <w:r w:rsidRPr="00A0417B">
        <w:rPr>
          <w:i/>
          <w:iCs/>
          <w:noProof/>
        </w:rPr>
        <w:t>IEEE Trans. Power Syst.</w:t>
      </w:r>
      <w:r w:rsidRPr="00A0417B">
        <w:rPr>
          <w:noProof/>
        </w:rPr>
        <w:t>, vol. 7, no. 1, pp. 416–423, 1992.</w:t>
      </w:r>
    </w:p>
    <w:p w14:paraId="12BEBDBF"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[20]</w:t>
      </w:r>
      <w:r w:rsidRPr="00A0417B">
        <w:rPr>
          <w:noProof/>
        </w:rPr>
        <w:tab/>
        <w:t xml:space="preserve">H. D. Chiang, A. J. Flueck, K. S. Shah, and N. Balu, “CPFLOW: a practical tool for tracing power system steady-state stationary behavior due to load and generation variations,” </w:t>
      </w:r>
      <w:r w:rsidRPr="00A0417B">
        <w:rPr>
          <w:i/>
          <w:iCs/>
          <w:noProof/>
        </w:rPr>
        <w:t>IEEE Trans. Power Syst.</w:t>
      </w:r>
      <w:r w:rsidRPr="00A0417B">
        <w:rPr>
          <w:noProof/>
        </w:rPr>
        <w:t>, vol. 10, no. 2, pp. 623–634, 1995.</w:t>
      </w:r>
    </w:p>
    <w:p w14:paraId="3A81FBF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[21]</w:t>
      </w:r>
      <w:r w:rsidRPr="00A0417B">
        <w:rPr>
          <w:noProof/>
        </w:rPr>
        <w:tab/>
        <w:t xml:space="preserve">X. Fang, F. Li, Q. Hu, and N. Gao, “System load margin evaluation using mixed-integer conic optimization,” in </w:t>
      </w:r>
      <w:r w:rsidRPr="00A0417B">
        <w:rPr>
          <w:i/>
          <w:iCs/>
          <w:noProof/>
        </w:rPr>
        <w:t>2015 North American Power Symposium, NAPS 2015</w:t>
      </w:r>
      <w:r w:rsidRPr="00A0417B">
        <w:rPr>
          <w:noProof/>
        </w:rPr>
        <w:t>, 2015, pp. 1–6.</w:t>
      </w:r>
    </w:p>
    <w:p w14:paraId="27AAFED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[22]</w:t>
      </w:r>
      <w:r w:rsidRPr="00A0417B">
        <w:rPr>
          <w:noProof/>
        </w:rPr>
        <w:tab/>
        <w:t xml:space="preserve">X. Fang, F. Li, and N. Gao, “Probabilistic Available Transfer Capability Evaluation for Power Systems with High-Penetration Wind Power,” in </w:t>
      </w:r>
      <w:r w:rsidRPr="00A0417B">
        <w:rPr>
          <w:i/>
          <w:iCs/>
          <w:noProof/>
        </w:rPr>
        <w:t>13th International Conference on Probabilistic Methods Applied to Power Systems (PMAPS)</w:t>
      </w:r>
      <w:r w:rsidRPr="00A0417B">
        <w:rPr>
          <w:noProof/>
        </w:rPr>
        <w:t>, 2014, pp. 1–6.</w:t>
      </w:r>
    </w:p>
    <w:p w14:paraId="65FEE048"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[23]</w:t>
      </w:r>
      <w:r w:rsidRPr="00A0417B">
        <w:rPr>
          <w:noProof/>
        </w:rPr>
        <w:tab/>
        <w:t xml:space="preserve">B. Wang, X. Fang, X. Zhao, and H. Chen, “Bi-Level Optimization for Available Transfer Capability Evaluation in Deregulated Electricity Market,” </w:t>
      </w:r>
      <w:r w:rsidRPr="00A0417B">
        <w:rPr>
          <w:i/>
          <w:iCs/>
          <w:noProof/>
        </w:rPr>
        <w:t>Energies</w:t>
      </w:r>
      <w:r w:rsidRPr="00A0417B">
        <w:rPr>
          <w:noProof/>
        </w:rPr>
        <w:t>, vol. 8, no. 12, p. 12370, 2015.</w:t>
      </w:r>
    </w:p>
    <w:p w14:paraId="7DEF1F1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[24]</w:t>
      </w:r>
      <w:r w:rsidRPr="00A0417B">
        <w:rPr>
          <w:noProof/>
        </w:rPr>
        <w:tab/>
        <w:t xml:space="preserve">X. Fang, F. Li, Y. Wei, R. Azim, and Y. Xu, “Reactive power planning under high penetration of wind energy using Benders decomposition,” </w:t>
      </w:r>
      <w:r w:rsidRPr="00A0417B">
        <w:rPr>
          <w:i/>
          <w:iCs/>
          <w:noProof/>
        </w:rPr>
        <w:t>IET Generation, Transmission &amp; Distribution</w:t>
      </w:r>
      <w:r w:rsidRPr="00A0417B">
        <w:rPr>
          <w:noProof/>
        </w:rPr>
        <w:t>, vol. 9, no. 14. pp. 1835–1844, 2015.</w:t>
      </w:r>
    </w:p>
    <w:p w14:paraId="5989B07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[25]</w:t>
      </w:r>
      <w:r w:rsidRPr="00A0417B">
        <w:rPr>
          <w:noProof/>
        </w:rPr>
        <w:tab/>
        <w:t xml:space="preserve">X. Fang, F. Li, and Y. Xu, “Reactive power planning considering high penetration of wind energy,” </w:t>
      </w:r>
      <w:r w:rsidRPr="00A0417B">
        <w:rPr>
          <w:i/>
          <w:iCs/>
          <w:noProof/>
        </w:rPr>
        <w:t>2014 IEEE PES T&amp;D Conference and Exposition</w:t>
      </w:r>
      <w:r w:rsidRPr="00A0417B">
        <w:rPr>
          <w:noProof/>
        </w:rPr>
        <w:t>. pp. 1–5, 2014.</w:t>
      </w:r>
    </w:p>
    <w:p w14:paraId="1244AF83"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[26]</w:t>
      </w:r>
      <w:r w:rsidRPr="00A0417B">
        <w:rPr>
          <w:noProof/>
        </w:rPr>
        <w:tab/>
        <w:t xml:space="preserve">R. Torquato, Q. Shi, W. Xu, and W. Freitas, “A Monte Carlo Simulation Platform for Studying Low Voltage Residential Networks,” </w:t>
      </w:r>
      <w:r w:rsidRPr="00A0417B">
        <w:rPr>
          <w:i/>
          <w:iCs/>
          <w:noProof/>
        </w:rPr>
        <w:t>Smart Grid, IEEE Trans. (Volume5 , Issue 6 )</w:t>
      </w:r>
      <w:r w:rsidRPr="00A0417B">
        <w:rPr>
          <w:noProof/>
        </w:rPr>
        <w:t>, vol. 5, no. 6, pp. 2766–2776, 2014.</w:t>
      </w:r>
    </w:p>
    <w:p w14:paraId="700DF0FB"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lastRenderedPageBreak/>
        <w:t>[27]</w:t>
      </w:r>
      <w:r w:rsidRPr="00A0417B">
        <w:rPr>
          <w:noProof/>
        </w:rPr>
        <w:tab/>
        <w:t xml:space="preserve">X. Fang, F. Li, Y. Wei, and H. Cui, “Strategic scheduling of energy storage for load serving entities in locational marginal pricing market,” </w:t>
      </w:r>
      <w:r w:rsidRPr="00A0417B">
        <w:rPr>
          <w:i/>
          <w:iCs/>
          <w:noProof/>
        </w:rPr>
        <w:t>IET Generation, Transmission &amp; Distribution</w:t>
      </w:r>
      <w:r w:rsidRPr="00A0417B">
        <w:rPr>
          <w:noProof/>
        </w:rPr>
        <w:t>, vol. 10, no. 5. pp. 1258–1267, 2016.</w:t>
      </w:r>
    </w:p>
    <w:p w14:paraId="61E2B675"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[28]</w:t>
      </w:r>
      <w:r w:rsidRPr="00A0417B">
        <w:rPr>
          <w:noProof/>
        </w:rPr>
        <w:tab/>
        <w:t xml:space="preserve">X. Fang, Q. Hu, F. Li, B. Wang, and Y. Li, “Coupon-Based Demand Response Considering Wind Power Uncertainty: A Strategic Bidding Model for Load Serving Entities,” </w:t>
      </w:r>
      <w:r w:rsidRPr="00A0417B">
        <w:rPr>
          <w:i/>
          <w:iCs/>
          <w:noProof/>
        </w:rPr>
        <w:t>IEEE Transactions on Power Systems</w:t>
      </w:r>
      <w:r w:rsidRPr="00A0417B">
        <w:rPr>
          <w:noProof/>
        </w:rPr>
        <w:t>, vol. 31, no. 2. pp. 1025–1037, 2016.</w:t>
      </w:r>
    </w:p>
    <w:p w14:paraId="517E8849"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[29]</w:t>
      </w:r>
      <w:r w:rsidRPr="00A0417B">
        <w:rPr>
          <w:noProof/>
        </w:rPr>
        <w:tab/>
        <w:t xml:space="preserve">J. S. Vardakas, N. Zorba, and C. V. Verikoukis, “A Survey on Demand Response Programs in Smart Grids: Pricing Methods and Optimization Algorithms,” </w:t>
      </w:r>
      <w:r w:rsidRPr="00A0417B">
        <w:rPr>
          <w:i/>
          <w:iCs/>
          <w:noProof/>
        </w:rPr>
        <w:t>IEEE Commun. Surv. Tutorials</w:t>
      </w:r>
      <w:r w:rsidRPr="00A0417B">
        <w:rPr>
          <w:noProof/>
        </w:rPr>
        <w:t>, vol. 17, no. c, pp. 1–1, 2014.</w:t>
      </w:r>
    </w:p>
    <w:p w14:paraId="7E3F33E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[30]</w:t>
      </w:r>
      <w:r w:rsidRPr="00A0417B">
        <w:rPr>
          <w:noProof/>
        </w:rPr>
        <w:tab/>
        <w:t xml:space="preserve">H. Cui, F. Li, Q. Hu, L. Bai, and X. Fang, “Day-ahead coordinated operation of utility-scale electricity and natural gas networks considering demand response based virtual power plants,” </w:t>
      </w:r>
      <w:r w:rsidRPr="00A0417B">
        <w:rPr>
          <w:i/>
          <w:iCs/>
          <w:noProof/>
        </w:rPr>
        <w:t>Appl. Energy</w:t>
      </w:r>
      <w:r w:rsidRPr="00A0417B">
        <w:rPr>
          <w:noProof/>
        </w:rPr>
        <w:t>, vol. 176, pp. 183–195, 2016.</w:t>
      </w:r>
    </w:p>
    <w:p w14:paraId="59B8226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[31]</w:t>
      </w:r>
      <w:r w:rsidRPr="00A0417B">
        <w:rPr>
          <w:noProof/>
        </w:rPr>
        <w:tab/>
        <w:t xml:space="preserve">K. Vu, M. M. Begovic, D. Novosel, and M. M. Saha, “Use of local measurements to estimate voltage-stability margin,” </w:t>
      </w:r>
      <w:r w:rsidRPr="00A0417B">
        <w:rPr>
          <w:i/>
          <w:iCs/>
          <w:noProof/>
        </w:rPr>
        <w:t>IEEE Trans. Power Syst.</w:t>
      </w:r>
      <w:r w:rsidRPr="00A0417B">
        <w:rPr>
          <w:noProof/>
        </w:rPr>
        <w:t>, vol. 14, no. 3, pp. 1029–1035, 1999.</w:t>
      </w:r>
    </w:p>
    <w:p w14:paraId="080BB2E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[32]</w:t>
      </w:r>
      <w:r w:rsidRPr="00A0417B">
        <w:rPr>
          <w:noProof/>
        </w:rPr>
        <w:tab/>
        <w:t>I. Smon, S. Member, and G. Verbiˇ, “Local Voltage-Stability Index Using Tellegen ’ s Theorem,” vol. 21, no. 3, pp. 1267–1275, 2006.</w:t>
      </w:r>
    </w:p>
    <w:p w14:paraId="43DA8B87"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[33]</w:t>
      </w:r>
      <w:r w:rsidRPr="00A0417B">
        <w:rPr>
          <w:noProof/>
        </w:rPr>
        <w:tab/>
        <w:t xml:space="preserve">S. Corsi and G. N. Taranto, “A real-time voltage instability identification algorithm based on local phasor measurements,” </w:t>
      </w:r>
      <w:r w:rsidRPr="00A0417B">
        <w:rPr>
          <w:i/>
          <w:iCs/>
          <w:noProof/>
        </w:rPr>
        <w:t>IEEE Trans. Power Syst.</w:t>
      </w:r>
      <w:r w:rsidRPr="00A0417B">
        <w:rPr>
          <w:noProof/>
        </w:rPr>
        <w:t>, vol. 23, no. 3, pp. 1271–1279, 2008.</w:t>
      </w:r>
    </w:p>
    <w:p w14:paraId="32278473"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[34]</w:t>
      </w:r>
      <w:r w:rsidRPr="00A0417B">
        <w:rPr>
          <w:noProof/>
        </w:rPr>
        <w:tab/>
        <w:t xml:space="preserve">Y. Wang, I. R. Pordanjani, W. Li, W. Xu, T. Chen, E. Vaahedi, and J. Gurney, “Voltage stability monitoring based on the concept of coupled single-port circuit,” </w:t>
      </w:r>
      <w:r w:rsidRPr="00A0417B">
        <w:rPr>
          <w:i/>
          <w:iCs/>
          <w:noProof/>
        </w:rPr>
        <w:t>IEEE Trans. Power Syst.</w:t>
      </w:r>
      <w:r w:rsidRPr="00A0417B">
        <w:rPr>
          <w:noProof/>
        </w:rPr>
        <w:t>, vol. 26, no. 4, pp. 2154–2163, 2011.</w:t>
      </w:r>
    </w:p>
    <w:p w14:paraId="3110F16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[35]</w:t>
      </w:r>
      <w:r w:rsidRPr="00A0417B">
        <w:rPr>
          <w:noProof/>
        </w:rPr>
        <w:tab/>
        <w:t>S. M. Abdelkader and D. J. Morrow, “Online Tracking of Thévenin Equivalent Parameters Using PMU Measurements,” vol. 27, no. 2, pp. 975–983, 2012.</w:t>
      </w:r>
    </w:p>
    <w:p w14:paraId="720A4DD7"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[36]</w:t>
      </w:r>
      <w:r w:rsidRPr="00A0417B">
        <w:rPr>
          <w:noProof/>
        </w:rPr>
        <w:tab/>
        <w:t xml:space="preserve">J. Liu, S. Member, and C. Chu, “Wide-Area Measurement-Based Voltage Stability Indicators by Modified Coupled Single-Port Models,” </w:t>
      </w:r>
      <w:r w:rsidRPr="00A0417B">
        <w:rPr>
          <w:i/>
          <w:iCs/>
          <w:noProof/>
        </w:rPr>
        <w:t>IEEE Trans. Power Syst.</w:t>
      </w:r>
      <w:r w:rsidRPr="00A0417B">
        <w:rPr>
          <w:noProof/>
        </w:rPr>
        <w:t>, vol. 29, no. 2, pp. 756–764, 2014.</w:t>
      </w:r>
    </w:p>
    <w:p w14:paraId="1059253F"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[37]</w:t>
      </w:r>
      <w:r w:rsidRPr="00A0417B">
        <w:rPr>
          <w:noProof/>
        </w:rPr>
        <w:tab/>
        <w:t xml:space="preserve">K. Sun, F. Hu, and N. Bhatt, “A new approach for real-time voltage stability monitoring using PMUs,” </w:t>
      </w:r>
      <w:r w:rsidRPr="00A0417B">
        <w:rPr>
          <w:i/>
          <w:iCs/>
          <w:noProof/>
        </w:rPr>
        <w:t>2014 IEEE Innovative Smart Grid Technologies - Asia (ISGT ASIA)</w:t>
      </w:r>
      <w:r w:rsidRPr="00A0417B">
        <w:rPr>
          <w:noProof/>
        </w:rPr>
        <w:t>. pp. 232–237, 2014.</w:t>
      </w:r>
    </w:p>
    <w:p w14:paraId="46F6AA58"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[38]</w:t>
      </w:r>
      <w:r w:rsidRPr="00A0417B">
        <w:rPr>
          <w:noProof/>
        </w:rPr>
        <w:tab/>
        <w:t xml:space="preserve">D. Zhou, J. Guo, Y. Zhang, J. Chai, H. Liu, Y. Liu, C. Huang, X. Gui, and Y. Liu, “Distributed Data Analytics Platform for Wide-Area Synchrophasor Measurement Systems,” </w:t>
      </w:r>
      <w:r w:rsidRPr="00A0417B">
        <w:rPr>
          <w:i/>
          <w:iCs/>
          <w:noProof/>
        </w:rPr>
        <w:t>IEEE Trans. Smart Grid</w:t>
      </w:r>
      <w:r w:rsidRPr="00A0417B">
        <w:rPr>
          <w:noProof/>
        </w:rPr>
        <w:t>, pp. 1–9, 2016.</w:t>
      </w:r>
    </w:p>
    <w:p w14:paraId="7FF1BE3E"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[39]</w:t>
      </w:r>
      <w:r w:rsidRPr="00A0417B">
        <w:rPr>
          <w:noProof/>
        </w:rPr>
        <w:tab/>
        <w:t xml:space="preserve">Y. Liu, L. Zhan, Y. Zhang, P. N. Markham, D. Zhou, J. Guo, Y. Lei, G. Kou, W. Yao, J. Chai, and Y. Liu, “Wide-Area-Measurement System Development at the Distribution Level: An FNET/GridEye Example,” </w:t>
      </w:r>
      <w:r w:rsidRPr="00A0417B">
        <w:rPr>
          <w:i/>
          <w:iCs/>
          <w:noProof/>
        </w:rPr>
        <w:t>IEEE Trans. Power Deliv.</w:t>
      </w:r>
      <w:r w:rsidRPr="00A0417B">
        <w:rPr>
          <w:noProof/>
        </w:rPr>
        <w:t>, vol. 31, no. 2, pp. 721–731, 2016.</w:t>
      </w:r>
    </w:p>
    <w:p w14:paraId="781C4D47"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[40]</w:t>
      </w:r>
      <w:r w:rsidRPr="00A0417B">
        <w:rPr>
          <w:noProof/>
        </w:rPr>
        <w:tab/>
        <w:t xml:space="preserve">H. Yuan and F. Li, “Hybrid voltage stability assessment (VSA) for N−1 </w:t>
      </w:r>
      <w:r w:rsidRPr="00A0417B">
        <w:rPr>
          <w:noProof/>
        </w:rPr>
        <w:lastRenderedPageBreak/>
        <w:t xml:space="preserve">contingency,” </w:t>
      </w:r>
      <w:r w:rsidRPr="00A0417B">
        <w:rPr>
          <w:i/>
          <w:iCs/>
          <w:noProof/>
        </w:rPr>
        <w:t>Electr. Power Syst. Res.</w:t>
      </w:r>
      <w:r w:rsidRPr="00A0417B">
        <w:rPr>
          <w:noProof/>
        </w:rPr>
        <w:t>, vol. 122, pp. 65–75, 2015.</w:t>
      </w:r>
    </w:p>
    <w:p w14:paraId="70CD8743"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[41]</w:t>
      </w:r>
      <w:r w:rsidRPr="00A0417B">
        <w:rPr>
          <w:noProof/>
        </w:rPr>
        <w:tab/>
        <w:t xml:space="preserve">S. N. Singh and S. C. Srivastava, “Improved voltage and reactive power distribution factors for outage studies,” </w:t>
      </w:r>
      <w:r w:rsidRPr="00A0417B">
        <w:rPr>
          <w:i/>
          <w:iCs/>
          <w:noProof/>
        </w:rPr>
        <w:t>IEEE Trans. Power Syst.</w:t>
      </w:r>
      <w:r w:rsidRPr="00A0417B">
        <w:rPr>
          <w:noProof/>
        </w:rPr>
        <w:t>, vol. 12, no. 3, pp. 1085–1093, 1997.</w:t>
      </w:r>
    </w:p>
    <w:p w14:paraId="17CB19E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[42]</w:t>
      </w:r>
      <w:r w:rsidRPr="00A0417B">
        <w:rPr>
          <w:noProof/>
        </w:rPr>
        <w:tab/>
        <w:t>P. A. Ruiz and P. W. Sauer, “Voltage and Reactive Power Estimation for Contingency Analysis Using Sensitivities,” vol. 22, no. 2, pp. 639–647, 2007.</w:t>
      </w:r>
    </w:p>
    <w:p w14:paraId="65ACFFBD"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[43]</w:t>
      </w:r>
      <w:r w:rsidRPr="00A0417B">
        <w:rPr>
          <w:noProof/>
        </w:rPr>
        <w:tab/>
        <w:t>S. Greene, I. Dobson, and F. L. Alvarado, “Sensitivity Of The Loading Margin To Voltage Collapse With Respect To Arbitrary Parameters - Power Systems, IEEE Transactions on,” vol. 12, no. 1, 1997.</w:t>
      </w:r>
    </w:p>
    <w:p w14:paraId="38DBF38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[44]</w:t>
      </w:r>
      <w:r w:rsidRPr="00A0417B">
        <w:rPr>
          <w:noProof/>
        </w:rPr>
        <w:tab/>
        <w:t xml:space="preserve">H. Li, H.-D. Chiang, H. Yoshida, Y. Fukuyama, and Y. Nakanishi, “The generation of ZIP-V curves for tracing power system steady state stationary behavior due to load and generation variations,” in </w:t>
      </w:r>
      <w:r w:rsidRPr="00A0417B">
        <w:rPr>
          <w:i/>
          <w:iCs/>
          <w:noProof/>
        </w:rPr>
        <w:t>1999 IEEE Power Engineering Society Summer Meeting. Conference Proceedings</w:t>
      </w:r>
      <w:r w:rsidRPr="00A0417B">
        <w:rPr>
          <w:noProof/>
        </w:rPr>
        <w:t>, 1999, vol. 2, pp. 1–5.</w:t>
      </w:r>
    </w:p>
    <w:p w14:paraId="691AD4F7"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[45]</w:t>
      </w:r>
      <w:r w:rsidRPr="00A0417B">
        <w:rPr>
          <w:noProof/>
        </w:rPr>
        <w:tab/>
        <w:t xml:space="preserve">S. H. Li, H. D. Chiang, and S. Liu, “Analysis of composite load models on load margin of voltage stability,” in </w:t>
      </w:r>
      <w:r w:rsidRPr="00A0417B">
        <w:rPr>
          <w:i/>
          <w:iCs/>
          <w:noProof/>
        </w:rPr>
        <w:t>International Conference on Power System Technology,</w:t>
      </w:r>
      <w:r w:rsidRPr="00A0417B">
        <w:rPr>
          <w:noProof/>
        </w:rPr>
        <w:t xml:space="preserve"> 2006, pp. 1–7.</w:t>
      </w:r>
    </w:p>
    <w:p w14:paraId="4568EDC8"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[46]</w:t>
      </w:r>
      <w:r w:rsidRPr="00A0417B">
        <w:rPr>
          <w:noProof/>
        </w:rPr>
        <w:tab/>
        <w:t xml:space="preserve">W. Li, T. Chen, and W. Xu, “On impedance matching and maximum power transfer,” </w:t>
      </w:r>
      <w:r w:rsidRPr="00A0417B">
        <w:rPr>
          <w:i/>
          <w:iCs/>
          <w:noProof/>
        </w:rPr>
        <w:t>Electr. Power Syst. Res.</w:t>
      </w:r>
      <w:r w:rsidRPr="00A0417B">
        <w:rPr>
          <w:noProof/>
        </w:rPr>
        <w:t>, vol. 80, no. 9, pp. 1082–1088, Sep. 2010.</w:t>
      </w:r>
    </w:p>
    <w:p w14:paraId="6576FAA1"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[47]</w:t>
      </w:r>
      <w:r w:rsidRPr="00A0417B">
        <w:rPr>
          <w:noProof/>
        </w:rPr>
        <w:tab/>
        <w:t xml:space="preserve">Y. Wang, W. Li, and J. Lu, “A new node voltage stability index based on local voltage phasors,” </w:t>
      </w:r>
      <w:r w:rsidRPr="00A0417B">
        <w:rPr>
          <w:i/>
          <w:iCs/>
          <w:noProof/>
        </w:rPr>
        <w:t>Electr. Power Syst. Res.</w:t>
      </w:r>
      <w:r w:rsidRPr="00A0417B">
        <w:rPr>
          <w:noProof/>
        </w:rPr>
        <w:t>, vol. 79, no. 1, pp. 265–271, Jan. 2009.</w:t>
      </w:r>
    </w:p>
    <w:p w14:paraId="2079DEB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[48]</w:t>
      </w:r>
      <w:r w:rsidRPr="00A0417B">
        <w:rPr>
          <w:noProof/>
        </w:rPr>
        <w:tab/>
        <w:t xml:space="preserve">G. Verbič, M. Pantoš, and F. Gubina, “On voltage collapse and apparent-power losses,” </w:t>
      </w:r>
      <w:r w:rsidRPr="00A0417B">
        <w:rPr>
          <w:i/>
          <w:iCs/>
          <w:noProof/>
        </w:rPr>
        <w:t>Electr. Power Syst. Res.</w:t>
      </w:r>
      <w:r w:rsidRPr="00A0417B">
        <w:rPr>
          <w:noProof/>
        </w:rPr>
        <w:t>, vol. 76, no. 9–10, pp. 760–767, Jun. 2006.</w:t>
      </w:r>
    </w:p>
    <w:p w14:paraId="7E60C48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[49]</w:t>
      </w:r>
      <w:r w:rsidRPr="00A0417B">
        <w:rPr>
          <w:noProof/>
        </w:rPr>
        <w:tab/>
        <w:t xml:space="preserve">M. Glavic and T. Van Cutsem, “Wide-area detection of voltage instability from synchronized phasor measurements. Part II: Simulation Results,” </w:t>
      </w:r>
      <w:r w:rsidRPr="00A0417B">
        <w:rPr>
          <w:i/>
          <w:iCs/>
          <w:noProof/>
        </w:rPr>
        <w:t>IEEE Trans. Power Syst.</w:t>
      </w:r>
      <w:r w:rsidRPr="00A0417B">
        <w:rPr>
          <w:noProof/>
        </w:rPr>
        <w:t>, vol. 24, no. 3, pp. 1417–1425, 2009.</w:t>
      </w:r>
    </w:p>
    <w:p w14:paraId="615F560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[50]</w:t>
      </w:r>
      <w:r w:rsidRPr="00A0417B">
        <w:rPr>
          <w:noProof/>
        </w:rPr>
        <w:tab/>
        <w:t xml:space="preserve">M. Parniani, J. H. Chow, L. Vanfretti, B. Bhargava, and A. Salazar, “Voltage stability analysis of a multiple-infeed load center using phasor measurement data,” </w:t>
      </w:r>
      <w:r w:rsidRPr="00A0417B">
        <w:rPr>
          <w:i/>
          <w:iCs/>
          <w:noProof/>
        </w:rPr>
        <w:t>2006 IEEE PES Power Syst. Conf. Expo. PSCE 2006 - Proc.</w:t>
      </w:r>
      <w:r w:rsidRPr="00A0417B">
        <w:rPr>
          <w:noProof/>
        </w:rPr>
        <w:t>, pp. 1299–1305, 2006.</w:t>
      </w:r>
    </w:p>
    <w:p w14:paraId="21749B1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[51]</w:t>
      </w:r>
      <w:r w:rsidRPr="00A0417B">
        <w:rPr>
          <w:noProof/>
        </w:rPr>
        <w:tab/>
        <w:t xml:space="preserve">F. Hu, K. Sun, A. Del Rosso, E. Farantatos, and N. Bhatt, “Measurement-Based Real-Time Voltage Stability Monitoring for Load Areas,” </w:t>
      </w:r>
      <w:r w:rsidRPr="00A0417B">
        <w:rPr>
          <w:i/>
          <w:iCs/>
          <w:noProof/>
        </w:rPr>
        <w:t>IEEE Trans. Power Syst.</w:t>
      </w:r>
      <w:r w:rsidRPr="00A0417B">
        <w:rPr>
          <w:noProof/>
        </w:rPr>
        <w:t>, 2015.</w:t>
      </w:r>
    </w:p>
    <w:p w14:paraId="116DC86D"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[52]</w:t>
      </w:r>
      <w:r w:rsidRPr="00A0417B">
        <w:rPr>
          <w:noProof/>
        </w:rPr>
        <w:tab/>
        <w:t>D. Q. Zhou, S. Member, U. D. Annakkage, S. Member, and A. D. Rajapakse, “Online Monitoring of Voltage Stability Margin Using an Artificial Neural Network,” vol. 25, no. 3, pp. 1566–1574, 2010.</w:t>
      </w:r>
    </w:p>
    <w:p w14:paraId="3BAEAAA1"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[53]</w:t>
      </w:r>
      <w:r w:rsidRPr="00A0417B">
        <w:rPr>
          <w:noProof/>
        </w:rPr>
        <w:tab/>
        <w:t xml:space="preserve">M. M. Begovic and A. G. Phadke, “CONTROL OF VOLTAGE STABILITY USING SENSITIVITY ANALYSIS,” </w:t>
      </w:r>
      <w:r w:rsidRPr="00A0417B">
        <w:rPr>
          <w:i/>
          <w:iCs/>
          <w:noProof/>
        </w:rPr>
        <w:t>IEEE Trans. Power Syst.</w:t>
      </w:r>
      <w:r w:rsidRPr="00A0417B">
        <w:rPr>
          <w:noProof/>
        </w:rPr>
        <w:t>, vol. 7, no. 1, 1992.</w:t>
      </w:r>
    </w:p>
    <w:p w14:paraId="36D4C2B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[54]</w:t>
      </w:r>
      <w:r w:rsidRPr="00A0417B">
        <w:rPr>
          <w:noProof/>
        </w:rPr>
        <w:tab/>
        <w:t xml:space="preserve">S. Greene, I. Dobson, S. Member, and F. L. Alvarado, “Sensitivity of Transfer </w:t>
      </w:r>
      <w:r w:rsidRPr="00A0417B">
        <w:rPr>
          <w:noProof/>
        </w:rPr>
        <w:lastRenderedPageBreak/>
        <w:t>Capability Margins With a Fast Formula,” vol. 17, no. 1, pp. 34–40, 2002.</w:t>
      </w:r>
    </w:p>
    <w:p w14:paraId="1B3E0933"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[55]</w:t>
      </w:r>
      <w:r w:rsidRPr="00A0417B">
        <w:rPr>
          <w:noProof/>
        </w:rPr>
        <w:tab/>
        <w:t xml:space="preserve">F. Capitanescu, T. Van Cutsem, and S. Member, “Unified Sensitivity Analysis of Unstable or Low Voltages Caused by Load Increases or Contingencies,” </w:t>
      </w:r>
      <w:r w:rsidRPr="00A0417B">
        <w:rPr>
          <w:i/>
          <w:iCs/>
          <w:noProof/>
        </w:rPr>
        <w:t>IEEE Trans. Power Syst.</w:t>
      </w:r>
      <w:r w:rsidRPr="00A0417B">
        <w:rPr>
          <w:noProof/>
        </w:rPr>
        <w:t>, vol. 20, no. 1, pp. 321–329, 2005.</w:t>
      </w:r>
    </w:p>
    <w:p w14:paraId="35F39789"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[56]</w:t>
      </w:r>
      <w:r w:rsidRPr="00A0417B">
        <w:rPr>
          <w:noProof/>
        </w:rPr>
        <w:tab/>
        <w:t xml:space="preserve">A. J. Flueck, R. Gonella, and J. R. Dondeti, “A new power sensitivity method of ranking branch outage contingencies for voltage collapse,” </w:t>
      </w:r>
      <w:r w:rsidRPr="00A0417B">
        <w:rPr>
          <w:i/>
          <w:iCs/>
          <w:noProof/>
        </w:rPr>
        <w:t>IEEE Trans. Power Syst.</w:t>
      </w:r>
      <w:r w:rsidRPr="00A0417B">
        <w:rPr>
          <w:noProof/>
        </w:rPr>
        <w:t>, vol. 17, no. 2, pp. 265–270, 2002.</w:t>
      </w:r>
    </w:p>
    <w:p w14:paraId="5D092A79"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[57]</w:t>
      </w:r>
      <w:r w:rsidRPr="00A0417B">
        <w:rPr>
          <w:noProof/>
        </w:rPr>
        <w:tab/>
        <w:t xml:space="preserve">N. Amjady and M. Esmaili, “Application of a New Sensitivity Analysis Framework for Voltage Contingency Ranking,” </w:t>
      </w:r>
      <w:r w:rsidRPr="00A0417B">
        <w:rPr>
          <w:i/>
          <w:iCs/>
          <w:noProof/>
        </w:rPr>
        <w:t>IEEE Trans. Power Syst.</w:t>
      </w:r>
      <w:r w:rsidRPr="00A0417B">
        <w:rPr>
          <w:noProof/>
        </w:rPr>
        <w:t>, vol. 20, no. 2, pp. 973–983, May 2005.</w:t>
      </w:r>
    </w:p>
    <w:p w14:paraId="43AF5DA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[58]</w:t>
      </w:r>
      <w:r w:rsidRPr="00A0417B">
        <w:rPr>
          <w:noProof/>
        </w:rPr>
        <w:tab/>
        <w:t xml:space="preserve">F. Capitanescu and T. Van Cutsem, “Preventive control of voltage security margins: a multicontingency sensitivity-based approach,” </w:t>
      </w:r>
      <w:r w:rsidRPr="00A0417B">
        <w:rPr>
          <w:i/>
          <w:iCs/>
          <w:noProof/>
        </w:rPr>
        <w:t>IEEE Trans. Power Syst.</w:t>
      </w:r>
      <w:r w:rsidRPr="00A0417B">
        <w:rPr>
          <w:noProof/>
        </w:rPr>
        <w:t>, vol. 17, no. 2, pp. 358–364, May 2002.</w:t>
      </w:r>
    </w:p>
    <w:p w14:paraId="39A835D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[59]</w:t>
      </w:r>
      <w:r w:rsidRPr="00A0417B">
        <w:rPr>
          <w:noProof/>
        </w:rPr>
        <w:tab/>
        <w:t xml:space="preserve">F. M. Echavarren, E. Lobato, and L. Rouco, “A corrective load shedding scheme to mitigate voltage collapse,” </w:t>
      </w:r>
      <w:r w:rsidRPr="00A0417B">
        <w:rPr>
          <w:i/>
          <w:iCs/>
          <w:noProof/>
        </w:rPr>
        <w:t>Int. J. Electr. Power Energy Syst.</w:t>
      </w:r>
      <w:r w:rsidRPr="00A0417B">
        <w:rPr>
          <w:noProof/>
        </w:rPr>
        <w:t>, vol. 28, no. 1, pp. 58–64, Jan. 2006.</w:t>
      </w:r>
    </w:p>
    <w:p w14:paraId="05257995"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[60]</w:t>
      </w:r>
      <w:r w:rsidRPr="00A0417B">
        <w:rPr>
          <w:noProof/>
        </w:rPr>
        <w:tab/>
        <w:t xml:space="preserve">V. C. Nikolaidis and C. D. Vournas, “Design strategies for load-shedding schemes against voltage collapse in the Hellenic System,” </w:t>
      </w:r>
      <w:r w:rsidRPr="00A0417B">
        <w:rPr>
          <w:i/>
          <w:iCs/>
          <w:noProof/>
        </w:rPr>
        <w:t>IEEE Trans. Power Syst.</w:t>
      </w:r>
      <w:r w:rsidRPr="00A0417B">
        <w:rPr>
          <w:noProof/>
        </w:rPr>
        <w:t>, vol. 23, no. 2, pp. 582–591, 2008.</w:t>
      </w:r>
    </w:p>
    <w:p w14:paraId="09B5F6C4"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[61]</w:t>
      </w:r>
      <w:r w:rsidRPr="00A0417B">
        <w:rPr>
          <w:noProof/>
        </w:rPr>
        <w:tab/>
        <w:t xml:space="preserve">T. Amraee,  a. M. Ranjbar, B. Mozafari, and N. Sadati, “An enhanced under-voltage load-shedding scheme to provide voltage stability,” </w:t>
      </w:r>
      <w:r w:rsidRPr="00A0417B">
        <w:rPr>
          <w:i/>
          <w:iCs/>
          <w:noProof/>
        </w:rPr>
        <w:t>Electr. Power Syst. Res.</w:t>
      </w:r>
      <w:r w:rsidRPr="00A0417B">
        <w:rPr>
          <w:noProof/>
        </w:rPr>
        <w:t>, vol. 77, no. 8, pp. 1038–1046, Jun. 2007.</w:t>
      </w:r>
    </w:p>
    <w:p w14:paraId="24C8621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[62]</w:t>
      </w:r>
      <w:r w:rsidRPr="00A0417B">
        <w:rPr>
          <w:noProof/>
        </w:rPr>
        <w:tab/>
        <w:t xml:space="preserve">W. W. Price, </w:t>
      </w:r>
      <w:r w:rsidRPr="00A0417B">
        <w:rPr>
          <w:i/>
          <w:iCs/>
          <w:noProof/>
        </w:rPr>
        <w:t>Dynamic Equivalents in Transient Stability Studies</w:t>
      </w:r>
      <w:r w:rsidRPr="00A0417B">
        <w:rPr>
          <w:noProof/>
        </w:rPr>
        <w:t>. 1974.</w:t>
      </w:r>
    </w:p>
    <w:p w14:paraId="36670E1A"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[63]</w:t>
      </w:r>
      <w:r w:rsidRPr="00A0417B">
        <w:rPr>
          <w:noProof/>
        </w:rPr>
        <w:tab/>
        <w:t xml:space="preserve"> a. M. Abed, “WSCC voltage stability criteria, undervoltage load sheddingstrategy, and reactive power reserve monitoring methodology,” </w:t>
      </w:r>
      <w:r w:rsidRPr="00A0417B">
        <w:rPr>
          <w:i/>
          <w:iCs/>
          <w:noProof/>
        </w:rPr>
        <w:t>1999 IEEE Power Eng. Soc. Summer Meet. Conf. Proc. (Cat. No.99CH36364)</w:t>
      </w:r>
      <w:r w:rsidRPr="00A0417B">
        <w:rPr>
          <w:noProof/>
        </w:rPr>
        <w:t>, vol. 1, pp. 191–197, 1999.</w:t>
      </w:r>
    </w:p>
    <w:p w14:paraId="2A94D2D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[64]</w:t>
      </w:r>
      <w:r w:rsidRPr="00A0417B">
        <w:rPr>
          <w:noProof/>
        </w:rPr>
        <w:tab/>
        <w:t xml:space="preserve">“Power systems test case archive,” </w:t>
      </w:r>
      <w:r w:rsidRPr="00A0417B">
        <w:rPr>
          <w:i/>
          <w:iCs/>
          <w:noProof/>
        </w:rPr>
        <w:t>University of Washington</w:t>
      </w:r>
      <w:r w:rsidRPr="00A0417B">
        <w:rPr>
          <w:noProof/>
        </w:rPr>
        <w:t>. [Online]. Available: http://www.ee.washington.edu/research/pstca/.</w:t>
      </w:r>
    </w:p>
    <w:p w14:paraId="2A684776"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[65]</w:t>
      </w:r>
      <w:r w:rsidRPr="00A0417B">
        <w:rPr>
          <w:noProof/>
        </w:rPr>
        <w:tab/>
        <w:t xml:space="preserve">M. A. Pai, </w:t>
      </w:r>
      <w:r w:rsidRPr="00A0417B">
        <w:rPr>
          <w:i/>
          <w:iCs/>
          <w:noProof/>
        </w:rPr>
        <w:t>Energy Function Analysis for Power System Stability</w:t>
      </w:r>
      <w:r w:rsidRPr="00A0417B">
        <w:rPr>
          <w:noProof/>
        </w:rPr>
        <w:t>. Norwell, MA: Kluwer, 1989.</w:t>
      </w:r>
    </w:p>
    <w:p w14:paraId="7D8A41CB"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[66]</w:t>
      </w:r>
      <w:r w:rsidRPr="00A0417B">
        <w:rPr>
          <w:noProof/>
        </w:rPr>
        <w:tab/>
        <w:t xml:space="preserve">R. D. Zimmerman, C. E. Murillo Sánchez, and R. J. Thomas, “MATPOWER: Steady-State Operations, Planning, and Analysis Tools for Power Systems Research and Education,” </w:t>
      </w:r>
      <w:r w:rsidRPr="00A0417B">
        <w:rPr>
          <w:i/>
          <w:iCs/>
          <w:noProof/>
        </w:rPr>
        <w:t>IEEE Trans. Power Syst.</w:t>
      </w:r>
      <w:r w:rsidRPr="00A0417B">
        <w:rPr>
          <w:noProof/>
        </w:rPr>
        <w:t>, vol. 26, no. 1, pp. 12–19, 2011.</w:t>
      </w:r>
    </w:p>
    <w:p w14:paraId="3C0B1756"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[67]</w:t>
      </w:r>
      <w:r w:rsidRPr="00A0417B">
        <w:rPr>
          <w:noProof/>
        </w:rPr>
        <w:tab/>
        <w:t xml:space="preserve">C. A. Baone, S. Veda, Y. Pan, W. Premerlani, J. Dai, A. Johnson, and S. Member, “Measurement based static load model identification,” in </w:t>
      </w:r>
      <w:r w:rsidRPr="00A0417B">
        <w:rPr>
          <w:i/>
          <w:iCs/>
          <w:noProof/>
        </w:rPr>
        <w:t>2015 IEEE Power &amp; Energy Society General Meeting</w:t>
      </w:r>
      <w:r w:rsidRPr="00A0417B">
        <w:rPr>
          <w:noProof/>
        </w:rPr>
        <w:t>, 2015, pp. 1–5.</w:t>
      </w:r>
    </w:p>
    <w:p w14:paraId="108B0B3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[68]</w:t>
      </w:r>
      <w:r w:rsidRPr="00A0417B">
        <w:rPr>
          <w:noProof/>
        </w:rPr>
        <w:tab/>
        <w:t xml:space="preserve">Y. Ge, A. J. Flueck, D. K. Kim, J. B. Ahn, J. D. Lee, and D. Y. Kwon, “An Event-Oriented Method for Online Load Modeling Based on Synchrophasor Data,” </w:t>
      </w:r>
      <w:r w:rsidRPr="00A0417B">
        <w:rPr>
          <w:i/>
          <w:iCs/>
          <w:noProof/>
        </w:rPr>
        <w:t xml:space="preserve">IEEE </w:t>
      </w:r>
      <w:r w:rsidRPr="00A0417B">
        <w:rPr>
          <w:i/>
          <w:iCs/>
          <w:noProof/>
        </w:rPr>
        <w:lastRenderedPageBreak/>
        <w:t>Trans. Smart Grid</w:t>
      </w:r>
      <w:r w:rsidRPr="00A0417B">
        <w:rPr>
          <w:noProof/>
        </w:rPr>
        <w:t>, vol. 6, no. 4, pp. 2060–2068, 2015.</w:t>
      </w:r>
    </w:p>
    <w:p w14:paraId="4139458C"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[69]</w:t>
      </w:r>
      <w:r w:rsidRPr="00A0417B">
        <w:rPr>
          <w:noProof/>
        </w:rPr>
        <w:tab/>
        <w:t xml:space="preserve">J. Hongjie, Y. Xiaodan, and Y. Yixin, “An improved voltage stability index and its application,” </w:t>
      </w:r>
      <w:r w:rsidRPr="00A0417B">
        <w:rPr>
          <w:i/>
          <w:iCs/>
          <w:noProof/>
        </w:rPr>
        <w:t>Int. J. Electr. Power Energy Syst.</w:t>
      </w:r>
      <w:r w:rsidRPr="00A0417B">
        <w:rPr>
          <w:noProof/>
        </w:rPr>
        <w:t>, vol. 27, no. 8, pp. 567–574, Oct. 2005.</w:t>
      </w:r>
    </w:p>
    <w:p w14:paraId="4D2DD12B"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[70]</w:t>
      </w:r>
      <w:r w:rsidRPr="00A0417B">
        <w:rPr>
          <w:noProof/>
        </w:rPr>
        <w:tab/>
        <w:t xml:space="preserve">H. Renmu, M. Jin, and D. J. Hill, “Composite load modeling via measurement approach,” </w:t>
      </w:r>
      <w:r w:rsidRPr="00A0417B">
        <w:rPr>
          <w:i/>
          <w:iCs/>
          <w:noProof/>
        </w:rPr>
        <w:t>IEEE Trans. Power Syst.</w:t>
      </w:r>
      <w:r w:rsidRPr="00A0417B">
        <w:rPr>
          <w:noProof/>
        </w:rPr>
        <w:t>, vol. 21, no. 2, pp. 663–672, 2006.</w:t>
      </w:r>
    </w:p>
    <w:p w14:paraId="71BE3922"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[71]</w:t>
      </w:r>
      <w:r w:rsidRPr="00A0417B">
        <w:rPr>
          <w:noProof/>
        </w:rPr>
        <w:tab/>
        <w:t xml:space="preserve">K. Wang, H. Huang, and C. Zang, “Research on Time-Sharing ZIP Load Modeling Based on Linear BP Network,” in </w:t>
      </w:r>
      <w:r w:rsidRPr="00A0417B">
        <w:rPr>
          <w:i/>
          <w:iCs/>
          <w:noProof/>
        </w:rPr>
        <w:t>5th International Conference on Intelligent Human-Machine Systems and Cybernetics</w:t>
      </w:r>
      <w:r w:rsidRPr="00A0417B">
        <w:rPr>
          <w:noProof/>
        </w:rPr>
        <w:t>, 2013, pp. 37–41.</w:t>
      </w:r>
    </w:p>
    <w:p w14:paraId="29A2B76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[72]</w:t>
      </w:r>
      <w:r w:rsidRPr="00A0417B">
        <w:rPr>
          <w:noProof/>
        </w:rPr>
        <w:tab/>
        <w:t xml:space="preserve">V. V., S. Chakrabarti, and S. C. Srivastava, “Power system load modelling under large and small disturbances using phasor measurement units data,” </w:t>
      </w:r>
      <w:r w:rsidRPr="00A0417B">
        <w:rPr>
          <w:i/>
          <w:iCs/>
          <w:noProof/>
        </w:rPr>
        <w:t>IET Gener. Transm. Distrib.</w:t>
      </w:r>
      <w:r w:rsidRPr="00A0417B">
        <w:rPr>
          <w:noProof/>
        </w:rPr>
        <w:t>, vol. 9, no. 12, pp. 1316–1323, 2015.</w:t>
      </w:r>
    </w:p>
    <w:p w14:paraId="6261B89D"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[73]</w:t>
      </w:r>
      <w:r w:rsidRPr="00A0417B">
        <w:rPr>
          <w:noProof/>
        </w:rPr>
        <w:tab/>
        <w:t xml:space="preserve">P. Regulski, P. Wall, Z. Rusidovic, and V. Terzija, “Estimation of load model parameters from PMU measurements,” in </w:t>
      </w:r>
      <w:r w:rsidRPr="00A0417B">
        <w:rPr>
          <w:i/>
          <w:iCs/>
          <w:noProof/>
        </w:rPr>
        <w:t>IEEE PES Innovative Smart Grid Technologies Conference Europe</w:t>
      </w:r>
      <w:r w:rsidRPr="00A0417B">
        <w:rPr>
          <w:noProof/>
        </w:rPr>
        <w:t>, 2015, pp. 1–6.</w:t>
      </w:r>
    </w:p>
    <w:p w14:paraId="59F43799"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[74]</w:t>
      </w:r>
      <w:r w:rsidRPr="00A0417B">
        <w:rPr>
          <w:noProof/>
        </w:rPr>
        <w:tab/>
        <w:t xml:space="preserve">L. Vanfretti and F. Milano, “Experience with PSAT (Power System Analysis Toolbox) as free and open-source software for power system education and research,” </w:t>
      </w:r>
      <w:r w:rsidRPr="00A0417B">
        <w:rPr>
          <w:i/>
          <w:iCs/>
          <w:noProof/>
        </w:rPr>
        <w:t>Int. J. Electr. Eng. Educ.</w:t>
      </w:r>
      <w:r w:rsidRPr="00A0417B">
        <w:rPr>
          <w:noProof/>
        </w:rPr>
        <w:t>, vol. 47, no. September 2015, pp. 47–62, 2010.</w:t>
      </w:r>
    </w:p>
    <w:p w14:paraId="0905DD40"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[75]</w:t>
      </w:r>
      <w:r w:rsidRPr="00A0417B">
        <w:rPr>
          <w:noProof/>
        </w:rPr>
        <w:tab/>
        <w:t xml:space="preserve">L. Vanfretti and F. Milano, “Application of the PSAT, an Open Source Software, for Educational and Research Purposes,” in </w:t>
      </w:r>
      <w:r w:rsidRPr="00A0417B">
        <w:rPr>
          <w:i/>
          <w:iCs/>
          <w:noProof/>
        </w:rPr>
        <w:t>2007 IEEE Power Engineering Society General Meeting</w:t>
      </w:r>
      <w:r w:rsidRPr="00A0417B">
        <w:rPr>
          <w:noProof/>
        </w:rPr>
        <w:t>, 2007, pp. 1–7.</w:t>
      </w:r>
    </w:p>
    <w:p w14:paraId="41058C9C" w14:textId="77777777" w:rsidR="00A0417B" w:rsidRPr="00A0417B" w:rsidRDefault="00A0417B" w:rsidP="00A0417B">
      <w:pPr>
        <w:widowControl w:val="0"/>
        <w:autoSpaceDE w:val="0"/>
        <w:autoSpaceDN w:val="0"/>
        <w:adjustRightInd w:val="0"/>
        <w:spacing w:before="100" w:after="100" w:line="240" w:lineRule="auto"/>
        <w:ind w:left="640" w:hanging="640"/>
        <w:rPr>
          <w:noProof/>
        </w:rPr>
      </w:pPr>
      <w:r w:rsidRPr="00A0417B">
        <w:rPr>
          <w:noProof/>
        </w:rPr>
        <w:t>[76]</w:t>
      </w:r>
      <w:r w:rsidRPr="00A0417B">
        <w:rPr>
          <w:noProof/>
        </w:rPr>
        <w:tab/>
        <w:t xml:space="preserve">J. Milanović, “On unreliability of exponential load models,” </w:t>
      </w:r>
      <w:r w:rsidRPr="00A0417B">
        <w:rPr>
          <w:i/>
          <w:iCs/>
          <w:noProof/>
        </w:rPr>
        <w:t>Electr. power Syst. Res.</w:t>
      </w:r>
      <w:r w:rsidRPr="00A0417B">
        <w:rPr>
          <w:noProof/>
        </w:rPr>
        <w:t>, vol. 49, pp. 1–9, 1999.</w:t>
      </w:r>
    </w:p>
    <w:p w14:paraId="4FA98677" w14:textId="77777777" w:rsidR="00236E6D" w:rsidRPr="00F920F6" w:rsidRDefault="00CA4726" w:rsidP="00726E30">
      <w:pPr>
        <w:widowControl w:val="0"/>
        <w:autoSpaceDE w:val="0"/>
        <w:autoSpaceDN w:val="0"/>
        <w:adjustRightInd w:val="0"/>
        <w:spacing w:before="100" w:after="100" w:line="240" w:lineRule="auto"/>
        <w:ind w:left="640" w:hanging="640"/>
      </w:pPr>
      <w:r>
        <w:rPr>
          <w:rFonts w:eastAsia="Times New Roman"/>
        </w:rPr>
        <w:fldChar w:fldCharType="end"/>
      </w:r>
      <w:r w:rsidRPr="00F920F6">
        <w:t xml:space="preserve"> </w:t>
      </w:r>
      <w:r w:rsidR="00236E6D" w:rsidRPr="00F920F6">
        <w:br w:type="page"/>
      </w:r>
    </w:p>
    <w:p w14:paraId="359870ED" w14:textId="77777777" w:rsidR="00236E6D" w:rsidRPr="00F920F6" w:rsidRDefault="0001493C" w:rsidP="00CC759C">
      <w:pPr>
        <w:pStyle w:val="Heading1"/>
      </w:pPr>
      <w:bookmarkStart w:id="263" w:name="_Toc459076613"/>
      <w:r>
        <w:lastRenderedPageBreak/>
        <w:t>VITA</w:t>
      </w:r>
      <w:bookmarkEnd w:id="263"/>
    </w:p>
    <w:p w14:paraId="34310AF1" w14:textId="6546518E" w:rsidR="00B3594F" w:rsidRPr="00F920F6" w:rsidRDefault="00FB3551" w:rsidP="00B3594F">
      <w:r>
        <w:rPr>
          <w:lang w:eastAsia="zh-CN"/>
        </w:rPr>
        <w:t>Haoyu Yuan</w:t>
      </w:r>
      <w:r w:rsidR="00B3594F">
        <w:rPr>
          <w:rFonts w:hint="eastAsia"/>
          <w:lang w:eastAsia="zh-CN"/>
        </w:rPr>
        <w:t xml:space="preserve"> </w:t>
      </w:r>
      <w:r w:rsidR="00421897">
        <w:rPr>
          <w:lang w:eastAsia="zh-CN"/>
        </w:rPr>
        <w:t>joined The University of Tennessee at Knoxville in August 201</w:t>
      </w:r>
      <w:r>
        <w:rPr>
          <w:lang w:eastAsia="zh-CN"/>
        </w:rPr>
        <w:t>1</w:t>
      </w:r>
      <w:r w:rsidR="00421897">
        <w:rPr>
          <w:lang w:eastAsia="zh-CN"/>
        </w:rPr>
        <w:t xml:space="preserve"> to pursue the Ph.D. degree in Electrical Engineering. </w:t>
      </w:r>
      <w:r w:rsidR="00B3594F">
        <w:rPr>
          <w:lang w:eastAsia="zh-CN"/>
        </w:rPr>
        <w:t xml:space="preserve">He received his </w:t>
      </w:r>
      <w:r w:rsidR="00B3594F">
        <w:t>B.S. degree from Southeast Univ</w:t>
      </w:r>
      <w:r w:rsidR="00421897">
        <w:t>ersity, Nanjing, China, in 201</w:t>
      </w:r>
      <w:r>
        <w:t>1</w:t>
      </w:r>
      <w:r w:rsidR="00421897">
        <w:t xml:space="preserve">, </w:t>
      </w:r>
      <w:r w:rsidR="00B3594F">
        <w:t xml:space="preserve">and </w:t>
      </w:r>
      <w:r w:rsidR="00421897">
        <w:t>concurrent M.S. degree from T</w:t>
      </w:r>
      <w:r w:rsidR="00B3594F">
        <w:t>he University of Tenness</w:t>
      </w:r>
      <w:r w:rsidR="00421897">
        <w:t>ee, Knoxville, TN, USA, in 2013</w:t>
      </w:r>
      <w:r w:rsidR="00B3594F">
        <w:t xml:space="preserve">. His research interests include </w:t>
      </w:r>
      <w:r>
        <w:t xml:space="preserve">power system stability and power </w:t>
      </w:r>
      <w:r w:rsidR="00232FAE">
        <w:t xml:space="preserve">system </w:t>
      </w:r>
      <w:r>
        <w:t>economics</w:t>
      </w:r>
      <w:r w:rsidR="00B3594F">
        <w:t>.</w:t>
      </w:r>
    </w:p>
    <w:p w14:paraId="587D8708" w14:textId="77777777" w:rsidR="00094E1C" w:rsidRPr="00F920F6" w:rsidRDefault="00094E1C" w:rsidP="00B3594F"/>
    <w:sectPr w:rsidR="00094E1C" w:rsidRPr="00F920F6"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1FF7C" w14:textId="77777777" w:rsidR="00925BB3" w:rsidRDefault="00925BB3">
      <w:r>
        <w:separator/>
      </w:r>
    </w:p>
    <w:p w14:paraId="43B2EB39" w14:textId="77777777" w:rsidR="00925BB3" w:rsidRDefault="00925BB3"/>
  </w:endnote>
  <w:endnote w:type="continuationSeparator" w:id="0">
    <w:p w14:paraId="3311BF86" w14:textId="77777777" w:rsidR="00925BB3" w:rsidRDefault="00925BB3">
      <w:r>
        <w:continuationSeparator/>
      </w:r>
    </w:p>
    <w:p w14:paraId="4AED4468" w14:textId="77777777" w:rsidR="00925BB3" w:rsidRDefault="00925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Italic">
    <w:altName w:val="SimSun"/>
    <w:panose1 w:val="00000000000000000000"/>
    <w:charset w:val="86"/>
    <w:family w:val="auto"/>
    <w:notTrueType/>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610F4" w14:textId="77777777" w:rsidR="00925BB3" w:rsidRDefault="00925BB3">
      <w:r>
        <w:separator/>
      </w:r>
    </w:p>
    <w:p w14:paraId="582519F6" w14:textId="77777777" w:rsidR="00925BB3" w:rsidRDefault="00925BB3"/>
  </w:footnote>
  <w:footnote w:type="continuationSeparator" w:id="0">
    <w:p w14:paraId="1CA1C1E7" w14:textId="77777777" w:rsidR="00925BB3" w:rsidRDefault="00925BB3">
      <w:r>
        <w:continuationSeparator/>
      </w:r>
    </w:p>
    <w:p w14:paraId="04988001" w14:textId="77777777" w:rsidR="00925BB3" w:rsidRDefault="00925B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5ACF9" w14:textId="77777777" w:rsidR="00DB0BED" w:rsidRDefault="00DB0BED"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xi</w:t>
    </w:r>
    <w:r>
      <w:rPr>
        <w:rStyle w:val="PageNumber"/>
      </w:rPr>
      <w:fldChar w:fldCharType="end"/>
    </w:r>
  </w:p>
  <w:p w14:paraId="53D9ACBD" w14:textId="77777777" w:rsidR="00DB0BED" w:rsidRDefault="00DB0BED"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9CD24" w14:textId="77777777" w:rsidR="00DB0BED" w:rsidRDefault="00DB0BED"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29FE">
      <w:rPr>
        <w:rStyle w:val="PageNumber"/>
        <w:noProof/>
      </w:rPr>
      <w:t>53</w:t>
    </w:r>
    <w:r>
      <w:rPr>
        <w:rStyle w:val="PageNumber"/>
      </w:rPr>
      <w:fldChar w:fldCharType="end"/>
    </w:r>
  </w:p>
  <w:p w14:paraId="3F9FCC86" w14:textId="77777777" w:rsidR="00DB0BED" w:rsidRDefault="00DB0BED"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4642D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B444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2E6A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529E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FD2A0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5A29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AC29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4F2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A614D50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3F38B79A"/>
    <w:lvl w:ilvl="0">
      <w:start w:val="1"/>
      <w:numFmt w:val="decimal"/>
      <w:lvlText w:val="%1."/>
      <w:lvlJc w:val="left"/>
      <w:pPr>
        <w:ind w:left="1701" w:firstLine="0"/>
      </w:pPr>
      <w:rPr>
        <w:color w:val="auto"/>
      </w:rPr>
    </w:lvl>
    <w:lvl w:ilvl="1">
      <w:start w:val="1"/>
      <w:numFmt w:val="upperLetter"/>
      <w:suff w:val="nothing"/>
      <w:lvlText w:val="%2.  "/>
      <w:lvlJc w:val="left"/>
      <w:pPr>
        <w:ind w:left="3119"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10" w15:restartNumberingAfterBreak="0">
    <w:nsid w:val="00000003"/>
    <w:multiLevelType w:val="multilevel"/>
    <w:tmpl w:val="00000003"/>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1"/>
        </w:tabs>
        <w:ind w:left="4321"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hanging="180"/>
      </w:pPr>
    </w:lvl>
  </w:abstractNum>
  <w:abstractNum w:abstractNumId="11" w15:restartNumberingAfterBreak="0">
    <w:nsid w:val="00000007"/>
    <w:multiLevelType w:val="singleLevel"/>
    <w:tmpl w:val="00000007"/>
    <w:lvl w:ilvl="0">
      <w:start w:val="1"/>
      <w:numFmt w:val="decimal"/>
      <w:lvlText w:val="[%1]"/>
      <w:lvlJc w:val="left"/>
      <w:pPr>
        <w:tabs>
          <w:tab w:val="num" w:pos="360"/>
        </w:tabs>
        <w:ind w:left="360" w:hanging="360"/>
      </w:pPr>
    </w:lvl>
  </w:abstractNum>
  <w:abstractNum w:abstractNumId="12" w15:restartNumberingAfterBreak="0">
    <w:nsid w:val="067E3FEA"/>
    <w:multiLevelType w:val="hybridMultilevel"/>
    <w:tmpl w:val="654A2516"/>
    <w:lvl w:ilvl="0" w:tplc="06F8DB58">
      <w:start w:val="1"/>
      <w:numFmt w:val="lowerLetter"/>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A767F59"/>
    <w:multiLevelType w:val="hybridMultilevel"/>
    <w:tmpl w:val="36C0C2DC"/>
    <w:lvl w:ilvl="0" w:tplc="CE30BC30">
      <w:numFmt w:val="bullet"/>
      <w:lvlText w:val="•"/>
      <w:lvlJc w:val="left"/>
      <w:pPr>
        <w:ind w:left="1080" w:hanging="360"/>
      </w:pPr>
      <w:rPr>
        <w:rFonts w:ascii="宋体" w:eastAsia="宋体" w:hAnsi="宋体" w:cs="Times New Roman"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BD05698"/>
    <w:multiLevelType w:val="hybridMultilevel"/>
    <w:tmpl w:val="A8DA5834"/>
    <w:lvl w:ilvl="0" w:tplc="E5744AD8">
      <w:start w:val="1"/>
      <w:numFmt w:val="decimal"/>
      <w:lvlText w:val="3.%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10C1B5F"/>
    <w:multiLevelType w:val="hybridMultilevel"/>
    <w:tmpl w:val="7DDC0812"/>
    <w:lvl w:ilvl="0" w:tplc="01A8D478">
      <w:start w:val="1"/>
      <w:numFmt w:val="decimal"/>
      <w:lvlText w:val="5.%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8A03A61"/>
    <w:multiLevelType w:val="hybridMultilevel"/>
    <w:tmpl w:val="B8EE33A2"/>
    <w:lvl w:ilvl="0" w:tplc="04090005">
      <w:start w:val="1"/>
      <w:numFmt w:val="bullet"/>
      <w:lvlText w:val=""/>
      <w:lvlJc w:val="left"/>
      <w:pPr>
        <w:ind w:left="922" w:hanging="360"/>
      </w:pPr>
      <w:rPr>
        <w:rFonts w:ascii="Wingdings" w:hAnsi="Wingdings"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7" w15:restartNumberingAfterBreak="0">
    <w:nsid w:val="2BCE3158"/>
    <w:multiLevelType w:val="multilevel"/>
    <w:tmpl w:val="5A68BD68"/>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09A3C9C"/>
    <w:multiLevelType w:val="hybridMultilevel"/>
    <w:tmpl w:val="6D8047C6"/>
    <w:lvl w:ilvl="0" w:tplc="FFFFFFFF">
      <w:start w:val="1"/>
      <w:numFmt w:val="decimal"/>
      <w:pStyle w:val="Figure"/>
      <w:lvlText w:val="Figure %1."/>
      <w:lvlJc w:val="left"/>
      <w:pPr>
        <w:tabs>
          <w:tab w:val="num" w:pos="1080"/>
        </w:tabs>
        <w:ind w:left="0" w:firstLine="0"/>
      </w:pPr>
      <w:rPr>
        <w:rFonts w:ascii="Times New Roman" w:hAnsi="Times New Roman"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A877D64"/>
    <w:multiLevelType w:val="singleLevel"/>
    <w:tmpl w:val="0C8A8128"/>
    <w:lvl w:ilvl="0">
      <w:start w:val="1"/>
      <w:numFmt w:val="decimal"/>
      <w:lvlText w:val="[%1]"/>
      <w:lvlJc w:val="left"/>
      <w:pPr>
        <w:tabs>
          <w:tab w:val="num" w:pos="360"/>
        </w:tabs>
        <w:ind w:left="360" w:hanging="360"/>
      </w:pPr>
      <w:rPr>
        <w:color w:val="auto"/>
      </w:rPr>
    </w:lvl>
  </w:abstractNum>
  <w:abstractNum w:abstractNumId="20" w15:restartNumberingAfterBreak="0">
    <w:nsid w:val="3FFC6E1F"/>
    <w:multiLevelType w:val="multilevel"/>
    <w:tmpl w:val="459CFE48"/>
    <w:lvl w:ilvl="0">
      <w:start w:val="1"/>
      <w:numFmt w:val="decimal"/>
      <w:lvlText w:val="%1."/>
      <w:lvlJc w:val="left"/>
      <w:pPr>
        <w:tabs>
          <w:tab w:val="num" w:pos="360"/>
        </w:tabs>
        <w:ind w:left="360" w:hanging="360"/>
      </w:pPr>
      <w:rPr>
        <w:rFonts w:ascii="Times New Roman" w:hAnsi="Times New Roman" w:hint="default"/>
        <w:b/>
        <w:i w:val="0"/>
        <w:sz w:val="28"/>
        <w:szCs w:val="28"/>
      </w:rPr>
    </w:lvl>
    <w:lvl w:ilvl="1">
      <w:start w:val="1"/>
      <w:numFmt w:val="decimal"/>
      <w:lvlText w:val="%1.%2."/>
      <w:lvlJc w:val="left"/>
      <w:pPr>
        <w:tabs>
          <w:tab w:val="num" w:pos="432"/>
        </w:tabs>
        <w:ind w:left="432" w:hanging="432"/>
      </w:pPr>
      <w:rPr>
        <w:rFonts w:ascii="Times New Roman" w:hAnsi="Times New Roman" w:hint="default"/>
        <w:b/>
        <w:i w:val="0"/>
        <w:strike w:val="0"/>
        <w:dstrike w:val="0"/>
        <w:sz w:val="24"/>
        <w:szCs w:val="24"/>
        <w:vertAlign w:val="base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A2B1884"/>
    <w:multiLevelType w:val="hybridMultilevel"/>
    <w:tmpl w:val="654A2516"/>
    <w:lvl w:ilvl="0" w:tplc="06F8DB58">
      <w:start w:val="1"/>
      <w:numFmt w:val="lowerLetter"/>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F704BF"/>
    <w:multiLevelType w:val="singleLevel"/>
    <w:tmpl w:val="5BF0A152"/>
    <w:lvl w:ilvl="0">
      <w:start w:val="1"/>
      <w:numFmt w:val="decimal"/>
      <w:lvlText w:val="[%1]"/>
      <w:lvlJc w:val="left"/>
      <w:pPr>
        <w:tabs>
          <w:tab w:val="num" w:pos="225"/>
        </w:tabs>
        <w:ind w:left="225" w:hanging="225"/>
      </w:pPr>
      <w:rPr>
        <w:rFonts w:ascii="Times New Roman" w:hAnsi="Times New Roman" w:cs="Times New Roman" w:hint="default"/>
        <w:sz w:val="15"/>
        <w:szCs w:val="15"/>
      </w:rPr>
    </w:lvl>
  </w:abstractNum>
  <w:abstractNum w:abstractNumId="23" w15:restartNumberingAfterBreak="0">
    <w:nsid w:val="50CD1002"/>
    <w:multiLevelType w:val="hybridMultilevel"/>
    <w:tmpl w:val="8C90D292"/>
    <w:lvl w:ilvl="0" w:tplc="60668FBC">
      <w:start w:val="1"/>
      <w:numFmt w:val="decimal"/>
      <w:lvlText w:val="4.%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1BC4FF2"/>
    <w:multiLevelType w:val="multilevel"/>
    <w:tmpl w:val="6D74652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D24C0B"/>
    <w:multiLevelType w:val="hybridMultilevel"/>
    <w:tmpl w:val="23CE19EA"/>
    <w:lvl w:ilvl="0" w:tplc="04090005">
      <w:start w:val="1"/>
      <w:numFmt w:val="bullet"/>
      <w:lvlText w:val=""/>
      <w:lvlJc w:val="left"/>
      <w:pPr>
        <w:ind w:left="922" w:hanging="360"/>
      </w:pPr>
      <w:rPr>
        <w:rFonts w:ascii="Wingdings" w:hAnsi="Wingdings"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6" w15:restartNumberingAfterBreak="0">
    <w:nsid w:val="5A67761B"/>
    <w:multiLevelType w:val="multilevel"/>
    <w:tmpl w:val="83A4BB86"/>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C1312C8"/>
    <w:multiLevelType w:val="hybridMultilevel"/>
    <w:tmpl w:val="72E8CD82"/>
    <w:lvl w:ilvl="0" w:tplc="33385D0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07210C"/>
    <w:multiLevelType w:val="hybridMultilevel"/>
    <w:tmpl w:val="EDD216C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6D534D33"/>
    <w:multiLevelType w:val="hybridMultilevel"/>
    <w:tmpl w:val="519421F8"/>
    <w:lvl w:ilvl="0" w:tplc="80940C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C4099C"/>
    <w:multiLevelType w:val="hybridMultilevel"/>
    <w:tmpl w:val="654A2516"/>
    <w:lvl w:ilvl="0" w:tplc="06F8DB58">
      <w:start w:val="1"/>
      <w:numFmt w:val="lowerLetter"/>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26E26D3"/>
    <w:multiLevelType w:val="hybridMultilevel"/>
    <w:tmpl w:val="725A60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7A4BB1"/>
    <w:multiLevelType w:val="hybridMultilevel"/>
    <w:tmpl w:val="13609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453DF"/>
    <w:multiLevelType w:val="hybridMultilevel"/>
    <w:tmpl w:val="724AF7A0"/>
    <w:lvl w:ilvl="0" w:tplc="F440E66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20"/>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8"/>
  </w:num>
  <w:num w:numId="14">
    <w:abstractNumId w:val="9"/>
  </w:num>
  <w:num w:numId="15">
    <w:abstractNumId w:val="19"/>
  </w:num>
  <w:num w:numId="16">
    <w:abstractNumId w:val="22"/>
  </w:num>
  <w:num w:numId="17">
    <w:abstractNumId w:val="23"/>
  </w:num>
  <w:num w:numId="18">
    <w:abstractNumId w:val="14"/>
  </w:num>
  <w:num w:numId="19">
    <w:abstractNumId w:val="15"/>
  </w:num>
  <w:num w:numId="20">
    <w:abstractNumId w:val="31"/>
  </w:num>
  <w:num w:numId="21">
    <w:abstractNumId w:val="21"/>
  </w:num>
  <w:num w:numId="22">
    <w:abstractNumId w:val="12"/>
  </w:num>
  <w:num w:numId="23">
    <w:abstractNumId w:val="25"/>
  </w:num>
  <w:num w:numId="24">
    <w:abstractNumId w:val="16"/>
  </w:num>
  <w:num w:numId="25">
    <w:abstractNumId w:val="24"/>
  </w:num>
  <w:num w:numId="26">
    <w:abstractNumId w:val="32"/>
  </w:num>
  <w:num w:numId="27">
    <w:abstractNumId w:val="28"/>
  </w:num>
  <w:num w:numId="28">
    <w:abstractNumId w:val="29"/>
  </w:num>
  <w:num w:numId="29">
    <w:abstractNumId w:val="10"/>
  </w:num>
  <w:num w:numId="30">
    <w:abstractNumId w:val="17"/>
  </w:num>
  <w:num w:numId="31">
    <w:abstractNumId w:val="26"/>
  </w:num>
  <w:num w:numId="32">
    <w:abstractNumId w:val="33"/>
  </w:num>
  <w:num w:numId="33">
    <w:abstractNumId w:val="27"/>
  </w:num>
  <w:num w:numId="34">
    <w:abstractNumId w:val="34"/>
  </w:num>
  <w:num w:numId="35">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1B7"/>
    <w:rsid w:val="000058DE"/>
    <w:rsid w:val="00014605"/>
    <w:rsid w:val="0001493C"/>
    <w:rsid w:val="00014A3E"/>
    <w:rsid w:val="00014CBF"/>
    <w:rsid w:val="00016077"/>
    <w:rsid w:val="000166A9"/>
    <w:rsid w:val="0002243E"/>
    <w:rsid w:val="000273F3"/>
    <w:rsid w:val="00031FEF"/>
    <w:rsid w:val="00034666"/>
    <w:rsid w:val="000455A3"/>
    <w:rsid w:val="00057004"/>
    <w:rsid w:val="00064371"/>
    <w:rsid w:val="00066611"/>
    <w:rsid w:val="00074E8A"/>
    <w:rsid w:val="00076A95"/>
    <w:rsid w:val="0008368F"/>
    <w:rsid w:val="000842FB"/>
    <w:rsid w:val="00085510"/>
    <w:rsid w:val="00087BB1"/>
    <w:rsid w:val="00092ACB"/>
    <w:rsid w:val="00093399"/>
    <w:rsid w:val="00094C43"/>
    <w:rsid w:val="00094E1C"/>
    <w:rsid w:val="00097644"/>
    <w:rsid w:val="000A0C53"/>
    <w:rsid w:val="000A24E1"/>
    <w:rsid w:val="000A2F41"/>
    <w:rsid w:val="000A4C6B"/>
    <w:rsid w:val="000B0E1D"/>
    <w:rsid w:val="000B5C42"/>
    <w:rsid w:val="000B7AF9"/>
    <w:rsid w:val="000C146A"/>
    <w:rsid w:val="000C1853"/>
    <w:rsid w:val="000C26C3"/>
    <w:rsid w:val="000C2DE8"/>
    <w:rsid w:val="000C4EAA"/>
    <w:rsid w:val="000C70F6"/>
    <w:rsid w:val="000D4269"/>
    <w:rsid w:val="000D756E"/>
    <w:rsid w:val="000D7898"/>
    <w:rsid w:val="000E06C6"/>
    <w:rsid w:val="000E104C"/>
    <w:rsid w:val="000E14A5"/>
    <w:rsid w:val="000E27CD"/>
    <w:rsid w:val="000E6C96"/>
    <w:rsid w:val="000E78D9"/>
    <w:rsid w:val="000F23E1"/>
    <w:rsid w:val="000F2FCD"/>
    <w:rsid w:val="000F6944"/>
    <w:rsid w:val="0010217F"/>
    <w:rsid w:val="00104A68"/>
    <w:rsid w:val="00105057"/>
    <w:rsid w:val="001070C6"/>
    <w:rsid w:val="0010781D"/>
    <w:rsid w:val="00110A37"/>
    <w:rsid w:val="0011255E"/>
    <w:rsid w:val="00115F60"/>
    <w:rsid w:val="001228AF"/>
    <w:rsid w:val="001252E7"/>
    <w:rsid w:val="001258F0"/>
    <w:rsid w:val="00127F60"/>
    <w:rsid w:val="00141CA6"/>
    <w:rsid w:val="00142A0F"/>
    <w:rsid w:val="00147F06"/>
    <w:rsid w:val="00150E9C"/>
    <w:rsid w:val="0015205C"/>
    <w:rsid w:val="00152C3C"/>
    <w:rsid w:val="00153AD2"/>
    <w:rsid w:val="00161494"/>
    <w:rsid w:val="00164845"/>
    <w:rsid w:val="00182D00"/>
    <w:rsid w:val="001854FB"/>
    <w:rsid w:val="0018574F"/>
    <w:rsid w:val="00187E33"/>
    <w:rsid w:val="00193642"/>
    <w:rsid w:val="00193E53"/>
    <w:rsid w:val="00194D4C"/>
    <w:rsid w:val="00196434"/>
    <w:rsid w:val="001A62FB"/>
    <w:rsid w:val="001A7650"/>
    <w:rsid w:val="001B3E04"/>
    <w:rsid w:val="001B6F14"/>
    <w:rsid w:val="001C09CE"/>
    <w:rsid w:val="001C39F6"/>
    <w:rsid w:val="001C66FE"/>
    <w:rsid w:val="001C75E2"/>
    <w:rsid w:val="001D1391"/>
    <w:rsid w:val="001D2329"/>
    <w:rsid w:val="001D519B"/>
    <w:rsid w:val="001D587F"/>
    <w:rsid w:val="001D6904"/>
    <w:rsid w:val="001D73FA"/>
    <w:rsid w:val="001D7AED"/>
    <w:rsid w:val="001E075F"/>
    <w:rsid w:val="001E2911"/>
    <w:rsid w:val="001E2B67"/>
    <w:rsid w:val="001E3EB2"/>
    <w:rsid w:val="001F30A2"/>
    <w:rsid w:val="001F4B97"/>
    <w:rsid w:val="001F760D"/>
    <w:rsid w:val="001F7C05"/>
    <w:rsid w:val="00201B07"/>
    <w:rsid w:val="00201D2A"/>
    <w:rsid w:val="0020347A"/>
    <w:rsid w:val="0020540D"/>
    <w:rsid w:val="00205542"/>
    <w:rsid w:val="0020570A"/>
    <w:rsid w:val="002076D2"/>
    <w:rsid w:val="00220841"/>
    <w:rsid w:val="00221449"/>
    <w:rsid w:val="00221B7E"/>
    <w:rsid w:val="00232FAE"/>
    <w:rsid w:val="00236E6D"/>
    <w:rsid w:val="002429E5"/>
    <w:rsid w:val="00252572"/>
    <w:rsid w:val="002530E0"/>
    <w:rsid w:val="00253FA7"/>
    <w:rsid w:val="00256108"/>
    <w:rsid w:val="00260151"/>
    <w:rsid w:val="002621B7"/>
    <w:rsid w:val="00262350"/>
    <w:rsid w:val="00265678"/>
    <w:rsid w:val="00280CEF"/>
    <w:rsid w:val="00281433"/>
    <w:rsid w:val="0028757A"/>
    <w:rsid w:val="002876FD"/>
    <w:rsid w:val="00287A9A"/>
    <w:rsid w:val="0029788C"/>
    <w:rsid w:val="002A13B3"/>
    <w:rsid w:val="002A69C2"/>
    <w:rsid w:val="002B3F4B"/>
    <w:rsid w:val="002B4032"/>
    <w:rsid w:val="002C0F58"/>
    <w:rsid w:val="002C51AB"/>
    <w:rsid w:val="002D3CC2"/>
    <w:rsid w:val="002D52B0"/>
    <w:rsid w:val="002D5D53"/>
    <w:rsid w:val="002D7E76"/>
    <w:rsid w:val="002E1518"/>
    <w:rsid w:val="002E2492"/>
    <w:rsid w:val="002E358F"/>
    <w:rsid w:val="002F019F"/>
    <w:rsid w:val="00300EC2"/>
    <w:rsid w:val="00302BF2"/>
    <w:rsid w:val="0030468B"/>
    <w:rsid w:val="00304BD0"/>
    <w:rsid w:val="00305180"/>
    <w:rsid w:val="00305E1B"/>
    <w:rsid w:val="00307D77"/>
    <w:rsid w:val="00313BDF"/>
    <w:rsid w:val="00313E9E"/>
    <w:rsid w:val="003140A9"/>
    <w:rsid w:val="003148C1"/>
    <w:rsid w:val="003150D5"/>
    <w:rsid w:val="003164CD"/>
    <w:rsid w:val="00320F78"/>
    <w:rsid w:val="00327697"/>
    <w:rsid w:val="00330D7C"/>
    <w:rsid w:val="003319A1"/>
    <w:rsid w:val="00335F6C"/>
    <w:rsid w:val="00340A16"/>
    <w:rsid w:val="00344336"/>
    <w:rsid w:val="00345773"/>
    <w:rsid w:val="003508D7"/>
    <w:rsid w:val="00351740"/>
    <w:rsid w:val="00352203"/>
    <w:rsid w:val="0035768F"/>
    <w:rsid w:val="00357744"/>
    <w:rsid w:val="00357E65"/>
    <w:rsid w:val="00361DCA"/>
    <w:rsid w:val="00371BAE"/>
    <w:rsid w:val="00371CD3"/>
    <w:rsid w:val="0037282E"/>
    <w:rsid w:val="003734C9"/>
    <w:rsid w:val="00373BD2"/>
    <w:rsid w:val="00374675"/>
    <w:rsid w:val="00375583"/>
    <w:rsid w:val="0037629E"/>
    <w:rsid w:val="00376F42"/>
    <w:rsid w:val="00377FAB"/>
    <w:rsid w:val="003811F4"/>
    <w:rsid w:val="0038177C"/>
    <w:rsid w:val="00383BC5"/>
    <w:rsid w:val="00384353"/>
    <w:rsid w:val="0038490A"/>
    <w:rsid w:val="00387024"/>
    <w:rsid w:val="00387093"/>
    <w:rsid w:val="003878D0"/>
    <w:rsid w:val="00392535"/>
    <w:rsid w:val="003B0D99"/>
    <w:rsid w:val="003B2646"/>
    <w:rsid w:val="003B6113"/>
    <w:rsid w:val="003C1575"/>
    <w:rsid w:val="003C239D"/>
    <w:rsid w:val="003C4E5A"/>
    <w:rsid w:val="003D0E7E"/>
    <w:rsid w:val="003D1460"/>
    <w:rsid w:val="003D25E7"/>
    <w:rsid w:val="003D27EB"/>
    <w:rsid w:val="003D5275"/>
    <w:rsid w:val="003D63DF"/>
    <w:rsid w:val="003D737F"/>
    <w:rsid w:val="003E3E34"/>
    <w:rsid w:val="003E4266"/>
    <w:rsid w:val="003E758E"/>
    <w:rsid w:val="003F25EB"/>
    <w:rsid w:val="003F29CF"/>
    <w:rsid w:val="003F48EB"/>
    <w:rsid w:val="003F4BEF"/>
    <w:rsid w:val="003F7474"/>
    <w:rsid w:val="003F78D5"/>
    <w:rsid w:val="00400178"/>
    <w:rsid w:val="004006A1"/>
    <w:rsid w:val="00404616"/>
    <w:rsid w:val="00407874"/>
    <w:rsid w:val="00407B6A"/>
    <w:rsid w:val="00407C23"/>
    <w:rsid w:val="00407FCD"/>
    <w:rsid w:val="0041008D"/>
    <w:rsid w:val="004131B2"/>
    <w:rsid w:val="004142A6"/>
    <w:rsid w:val="00414400"/>
    <w:rsid w:val="00415738"/>
    <w:rsid w:val="00417A18"/>
    <w:rsid w:val="00421897"/>
    <w:rsid w:val="00423262"/>
    <w:rsid w:val="004246E7"/>
    <w:rsid w:val="00424DC1"/>
    <w:rsid w:val="004251F9"/>
    <w:rsid w:val="004308DC"/>
    <w:rsid w:val="00437004"/>
    <w:rsid w:val="0044196E"/>
    <w:rsid w:val="004466C9"/>
    <w:rsid w:val="00451ED6"/>
    <w:rsid w:val="00451F06"/>
    <w:rsid w:val="00465EF8"/>
    <w:rsid w:val="00466479"/>
    <w:rsid w:val="004668D1"/>
    <w:rsid w:val="00470CC4"/>
    <w:rsid w:val="0047146B"/>
    <w:rsid w:val="00474210"/>
    <w:rsid w:val="00477579"/>
    <w:rsid w:val="00480B96"/>
    <w:rsid w:val="0048303E"/>
    <w:rsid w:val="00486976"/>
    <w:rsid w:val="004920F6"/>
    <w:rsid w:val="00497892"/>
    <w:rsid w:val="004A288D"/>
    <w:rsid w:val="004A2D51"/>
    <w:rsid w:val="004A3662"/>
    <w:rsid w:val="004A67E8"/>
    <w:rsid w:val="004A693A"/>
    <w:rsid w:val="004B1E7B"/>
    <w:rsid w:val="004B5C30"/>
    <w:rsid w:val="004B7F55"/>
    <w:rsid w:val="004C0804"/>
    <w:rsid w:val="004C18C6"/>
    <w:rsid w:val="004C231B"/>
    <w:rsid w:val="004C3D65"/>
    <w:rsid w:val="004D2638"/>
    <w:rsid w:val="004D3C55"/>
    <w:rsid w:val="004D5C85"/>
    <w:rsid w:val="004D6472"/>
    <w:rsid w:val="004D6E26"/>
    <w:rsid w:val="004D75A3"/>
    <w:rsid w:val="004D7BA4"/>
    <w:rsid w:val="004E3CE3"/>
    <w:rsid w:val="004E43D8"/>
    <w:rsid w:val="004E4B30"/>
    <w:rsid w:val="004F0434"/>
    <w:rsid w:val="004F1867"/>
    <w:rsid w:val="004F205F"/>
    <w:rsid w:val="004F29E5"/>
    <w:rsid w:val="004F336C"/>
    <w:rsid w:val="004F38C3"/>
    <w:rsid w:val="004F49F2"/>
    <w:rsid w:val="004F5721"/>
    <w:rsid w:val="00502D9C"/>
    <w:rsid w:val="00503BA6"/>
    <w:rsid w:val="00505963"/>
    <w:rsid w:val="005169BE"/>
    <w:rsid w:val="00517750"/>
    <w:rsid w:val="00517834"/>
    <w:rsid w:val="00522A76"/>
    <w:rsid w:val="00522F9E"/>
    <w:rsid w:val="005263E6"/>
    <w:rsid w:val="00532748"/>
    <w:rsid w:val="005352E0"/>
    <w:rsid w:val="00536A24"/>
    <w:rsid w:val="00537247"/>
    <w:rsid w:val="00540B1C"/>
    <w:rsid w:val="00547614"/>
    <w:rsid w:val="00552745"/>
    <w:rsid w:val="00552852"/>
    <w:rsid w:val="00553D4F"/>
    <w:rsid w:val="00560056"/>
    <w:rsid w:val="00562F5A"/>
    <w:rsid w:val="005643A0"/>
    <w:rsid w:val="00565946"/>
    <w:rsid w:val="00572C47"/>
    <w:rsid w:val="005746AA"/>
    <w:rsid w:val="0057542F"/>
    <w:rsid w:val="005771E3"/>
    <w:rsid w:val="005803CD"/>
    <w:rsid w:val="005813E4"/>
    <w:rsid w:val="00595875"/>
    <w:rsid w:val="00596104"/>
    <w:rsid w:val="00596AE9"/>
    <w:rsid w:val="00597D3C"/>
    <w:rsid w:val="00597D3F"/>
    <w:rsid w:val="005A1D56"/>
    <w:rsid w:val="005A339E"/>
    <w:rsid w:val="005A39BB"/>
    <w:rsid w:val="005A75D5"/>
    <w:rsid w:val="005A7FCA"/>
    <w:rsid w:val="005B3245"/>
    <w:rsid w:val="005B3440"/>
    <w:rsid w:val="005B71D5"/>
    <w:rsid w:val="005B79E9"/>
    <w:rsid w:val="005C3CE7"/>
    <w:rsid w:val="005C58D5"/>
    <w:rsid w:val="005D0E5F"/>
    <w:rsid w:val="005D68CB"/>
    <w:rsid w:val="005E21AD"/>
    <w:rsid w:val="005E4912"/>
    <w:rsid w:val="005E5C2B"/>
    <w:rsid w:val="005E6791"/>
    <w:rsid w:val="005E6F1F"/>
    <w:rsid w:val="005E70BD"/>
    <w:rsid w:val="005F3375"/>
    <w:rsid w:val="005F44D1"/>
    <w:rsid w:val="005F4642"/>
    <w:rsid w:val="005F6264"/>
    <w:rsid w:val="005F6DF3"/>
    <w:rsid w:val="00604A70"/>
    <w:rsid w:val="00605AD3"/>
    <w:rsid w:val="00612D9D"/>
    <w:rsid w:val="00616B4C"/>
    <w:rsid w:val="00620AB1"/>
    <w:rsid w:val="00621129"/>
    <w:rsid w:val="006274E2"/>
    <w:rsid w:val="00630D8C"/>
    <w:rsid w:val="00633916"/>
    <w:rsid w:val="006359A5"/>
    <w:rsid w:val="00641D2B"/>
    <w:rsid w:val="006508B3"/>
    <w:rsid w:val="00654F50"/>
    <w:rsid w:val="00656B13"/>
    <w:rsid w:val="00661354"/>
    <w:rsid w:val="00662AAA"/>
    <w:rsid w:val="00662D3E"/>
    <w:rsid w:val="00672DDD"/>
    <w:rsid w:val="00673859"/>
    <w:rsid w:val="00676C91"/>
    <w:rsid w:val="00681500"/>
    <w:rsid w:val="006847B5"/>
    <w:rsid w:val="00684FA9"/>
    <w:rsid w:val="006855CA"/>
    <w:rsid w:val="00685FFD"/>
    <w:rsid w:val="0068675E"/>
    <w:rsid w:val="0068707E"/>
    <w:rsid w:val="00690B77"/>
    <w:rsid w:val="00693041"/>
    <w:rsid w:val="00694B42"/>
    <w:rsid w:val="00696D93"/>
    <w:rsid w:val="006B191E"/>
    <w:rsid w:val="006B27F8"/>
    <w:rsid w:val="006B60E2"/>
    <w:rsid w:val="006B65E3"/>
    <w:rsid w:val="006B6CBC"/>
    <w:rsid w:val="006B6F84"/>
    <w:rsid w:val="006C2C32"/>
    <w:rsid w:val="006C4000"/>
    <w:rsid w:val="006D249D"/>
    <w:rsid w:val="006D345C"/>
    <w:rsid w:val="006D376C"/>
    <w:rsid w:val="006D44DB"/>
    <w:rsid w:val="006D48CF"/>
    <w:rsid w:val="006D4B67"/>
    <w:rsid w:val="006D66F0"/>
    <w:rsid w:val="006E266E"/>
    <w:rsid w:val="006E56E8"/>
    <w:rsid w:val="006F1220"/>
    <w:rsid w:val="006F26FD"/>
    <w:rsid w:val="006F2C84"/>
    <w:rsid w:val="006F506B"/>
    <w:rsid w:val="006F633B"/>
    <w:rsid w:val="007002D6"/>
    <w:rsid w:val="00704799"/>
    <w:rsid w:val="007047CC"/>
    <w:rsid w:val="00706EA1"/>
    <w:rsid w:val="00707398"/>
    <w:rsid w:val="00711200"/>
    <w:rsid w:val="00717286"/>
    <w:rsid w:val="00717C49"/>
    <w:rsid w:val="00720985"/>
    <w:rsid w:val="0072397F"/>
    <w:rsid w:val="00725197"/>
    <w:rsid w:val="007252CB"/>
    <w:rsid w:val="00726E30"/>
    <w:rsid w:val="0073131C"/>
    <w:rsid w:val="00731922"/>
    <w:rsid w:val="00731ACB"/>
    <w:rsid w:val="00732996"/>
    <w:rsid w:val="00733DC0"/>
    <w:rsid w:val="00735694"/>
    <w:rsid w:val="007368AD"/>
    <w:rsid w:val="0074133D"/>
    <w:rsid w:val="007433C1"/>
    <w:rsid w:val="00743B08"/>
    <w:rsid w:val="00747BCD"/>
    <w:rsid w:val="00751476"/>
    <w:rsid w:val="0075196D"/>
    <w:rsid w:val="0075558C"/>
    <w:rsid w:val="00755D9E"/>
    <w:rsid w:val="00755F52"/>
    <w:rsid w:val="007614BA"/>
    <w:rsid w:val="007618AB"/>
    <w:rsid w:val="00761EFA"/>
    <w:rsid w:val="00764873"/>
    <w:rsid w:val="00772569"/>
    <w:rsid w:val="007778DD"/>
    <w:rsid w:val="00782735"/>
    <w:rsid w:val="007869B1"/>
    <w:rsid w:val="00786E38"/>
    <w:rsid w:val="00787522"/>
    <w:rsid w:val="007948A7"/>
    <w:rsid w:val="00796693"/>
    <w:rsid w:val="00797BE5"/>
    <w:rsid w:val="007A032F"/>
    <w:rsid w:val="007A0A59"/>
    <w:rsid w:val="007A6509"/>
    <w:rsid w:val="007B35C8"/>
    <w:rsid w:val="007B3AD0"/>
    <w:rsid w:val="007B7405"/>
    <w:rsid w:val="007C0124"/>
    <w:rsid w:val="007C1ACD"/>
    <w:rsid w:val="007C2582"/>
    <w:rsid w:val="007C2BB0"/>
    <w:rsid w:val="007C4363"/>
    <w:rsid w:val="007C4C9B"/>
    <w:rsid w:val="007C4E22"/>
    <w:rsid w:val="007C7591"/>
    <w:rsid w:val="007D1F39"/>
    <w:rsid w:val="007D38B0"/>
    <w:rsid w:val="007D38BD"/>
    <w:rsid w:val="007D4B4B"/>
    <w:rsid w:val="007D5CD5"/>
    <w:rsid w:val="007F15E4"/>
    <w:rsid w:val="007F3E75"/>
    <w:rsid w:val="007F4D56"/>
    <w:rsid w:val="007F6AE9"/>
    <w:rsid w:val="00800282"/>
    <w:rsid w:val="00800BCA"/>
    <w:rsid w:val="0080194B"/>
    <w:rsid w:val="00802F0C"/>
    <w:rsid w:val="0080469B"/>
    <w:rsid w:val="00815B96"/>
    <w:rsid w:val="00817F90"/>
    <w:rsid w:val="00822CF6"/>
    <w:rsid w:val="0082649D"/>
    <w:rsid w:val="00826EDD"/>
    <w:rsid w:val="00827BD5"/>
    <w:rsid w:val="00830673"/>
    <w:rsid w:val="008320A2"/>
    <w:rsid w:val="00832193"/>
    <w:rsid w:val="00836F89"/>
    <w:rsid w:val="00842CD0"/>
    <w:rsid w:val="008430DD"/>
    <w:rsid w:val="00846459"/>
    <w:rsid w:val="00852102"/>
    <w:rsid w:val="008566B4"/>
    <w:rsid w:val="00857EF0"/>
    <w:rsid w:val="008614C7"/>
    <w:rsid w:val="00863435"/>
    <w:rsid w:val="00872827"/>
    <w:rsid w:val="00872AC1"/>
    <w:rsid w:val="0087349A"/>
    <w:rsid w:val="0087632E"/>
    <w:rsid w:val="00880D88"/>
    <w:rsid w:val="00882BE6"/>
    <w:rsid w:val="008842F9"/>
    <w:rsid w:val="00894D8C"/>
    <w:rsid w:val="00895DF4"/>
    <w:rsid w:val="008A2070"/>
    <w:rsid w:val="008A40E7"/>
    <w:rsid w:val="008A7620"/>
    <w:rsid w:val="008B0695"/>
    <w:rsid w:val="008B097D"/>
    <w:rsid w:val="008B1A4D"/>
    <w:rsid w:val="008B73B1"/>
    <w:rsid w:val="008B7710"/>
    <w:rsid w:val="008C2F7C"/>
    <w:rsid w:val="008D204B"/>
    <w:rsid w:val="008D4145"/>
    <w:rsid w:val="008D589C"/>
    <w:rsid w:val="008E7085"/>
    <w:rsid w:val="008F6007"/>
    <w:rsid w:val="008F60C3"/>
    <w:rsid w:val="008F6E44"/>
    <w:rsid w:val="00901C07"/>
    <w:rsid w:val="00904F07"/>
    <w:rsid w:val="009058B1"/>
    <w:rsid w:val="0090629A"/>
    <w:rsid w:val="0090743C"/>
    <w:rsid w:val="00910AE4"/>
    <w:rsid w:val="009156C8"/>
    <w:rsid w:val="00915ACE"/>
    <w:rsid w:val="00915CBC"/>
    <w:rsid w:val="00917F6F"/>
    <w:rsid w:val="00920DFE"/>
    <w:rsid w:val="009232B4"/>
    <w:rsid w:val="00925AEC"/>
    <w:rsid w:val="00925BB3"/>
    <w:rsid w:val="00927816"/>
    <w:rsid w:val="00927A5B"/>
    <w:rsid w:val="0093163E"/>
    <w:rsid w:val="00933A8E"/>
    <w:rsid w:val="00935407"/>
    <w:rsid w:val="00935474"/>
    <w:rsid w:val="00936436"/>
    <w:rsid w:val="00940412"/>
    <w:rsid w:val="009472B2"/>
    <w:rsid w:val="00947EEC"/>
    <w:rsid w:val="0095047C"/>
    <w:rsid w:val="00955F2C"/>
    <w:rsid w:val="00956A4F"/>
    <w:rsid w:val="0096013F"/>
    <w:rsid w:val="00960C04"/>
    <w:rsid w:val="009632EE"/>
    <w:rsid w:val="00966BAC"/>
    <w:rsid w:val="009674B6"/>
    <w:rsid w:val="0097042E"/>
    <w:rsid w:val="00971A05"/>
    <w:rsid w:val="00971E75"/>
    <w:rsid w:val="0097219A"/>
    <w:rsid w:val="00975C61"/>
    <w:rsid w:val="00987C34"/>
    <w:rsid w:val="00992E94"/>
    <w:rsid w:val="00993A58"/>
    <w:rsid w:val="00993B39"/>
    <w:rsid w:val="00995537"/>
    <w:rsid w:val="00996BEA"/>
    <w:rsid w:val="009A1098"/>
    <w:rsid w:val="009A1DEC"/>
    <w:rsid w:val="009A2ABE"/>
    <w:rsid w:val="009A5DC8"/>
    <w:rsid w:val="009A6A2F"/>
    <w:rsid w:val="009A6F23"/>
    <w:rsid w:val="009B372E"/>
    <w:rsid w:val="009B3A91"/>
    <w:rsid w:val="009B4F3C"/>
    <w:rsid w:val="009C1AE5"/>
    <w:rsid w:val="009C2252"/>
    <w:rsid w:val="009C755C"/>
    <w:rsid w:val="009C780F"/>
    <w:rsid w:val="009D0201"/>
    <w:rsid w:val="009D3286"/>
    <w:rsid w:val="009D3652"/>
    <w:rsid w:val="009D425B"/>
    <w:rsid w:val="009D4DF0"/>
    <w:rsid w:val="009D78C2"/>
    <w:rsid w:val="009E1A69"/>
    <w:rsid w:val="009E2B12"/>
    <w:rsid w:val="009E44A5"/>
    <w:rsid w:val="009F0B37"/>
    <w:rsid w:val="009F1227"/>
    <w:rsid w:val="009F1576"/>
    <w:rsid w:val="009F4B0D"/>
    <w:rsid w:val="009F6184"/>
    <w:rsid w:val="00A028AF"/>
    <w:rsid w:val="00A0417B"/>
    <w:rsid w:val="00A046F0"/>
    <w:rsid w:val="00A1586C"/>
    <w:rsid w:val="00A269DD"/>
    <w:rsid w:val="00A26FCF"/>
    <w:rsid w:val="00A3249D"/>
    <w:rsid w:val="00A325DD"/>
    <w:rsid w:val="00A34F5F"/>
    <w:rsid w:val="00A366A4"/>
    <w:rsid w:val="00A4095F"/>
    <w:rsid w:val="00A40B63"/>
    <w:rsid w:val="00A4323B"/>
    <w:rsid w:val="00A463B6"/>
    <w:rsid w:val="00A46A68"/>
    <w:rsid w:val="00A50EE9"/>
    <w:rsid w:val="00A53E65"/>
    <w:rsid w:val="00A55223"/>
    <w:rsid w:val="00A56350"/>
    <w:rsid w:val="00A601A5"/>
    <w:rsid w:val="00A6082E"/>
    <w:rsid w:val="00A61710"/>
    <w:rsid w:val="00A66A2E"/>
    <w:rsid w:val="00A72A59"/>
    <w:rsid w:val="00A72F01"/>
    <w:rsid w:val="00A76AD3"/>
    <w:rsid w:val="00A76B1A"/>
    <w:rsid w:val="00A7750B"/>
    <w:rsid w:val="00A83B73"/>
    <w:rsid w:val="00A86F48"/>
    <w:rsid w:val="00A9289F"/>
    <w:rsid w:val="00A97B14"/>
    <w:rsid w:val="00AB5CA6"/>
    <w:rsid w:val="00AD0928"/>
    <w:rsid w:val="00AD0A33"/>
    <w:rsid w:val="00AD3011"/>
    <w:rsid w:val="00AD64BC"/>
    <w:rsid w:val="00AD74CC"/>
    <w:rsid w:val="00AE0500"/>
    <w:rsid w:val="00AE072F"/>
    <w:rsid w:val="00AE243D"/>
    <w:rsid w:val="00AE36F5"/>
    <w:rsid w:val="00AE765D"/>
    <w:rsid w:val="00AF2EE2"/>
    <w:rsid w:val="00AF5EF3"/>
    <w:rsid w:val="00AF68F4"/>
    <w:rsid w:val="00B01DF6"/>
    <w:rsid w:val="00B0208A"/>
    <w:rsid w:val="00B02DD9"/>
    <w:rsid w:val="00B0357D"/>
    <w:rsid w:val="00B05FE4"/>
    <w:rsid w:val="00B07524"/>
    <w:rsid w:val="00B07667"/>
    <w:rsid w:val="00B115A3"/>
    <w:rsid w:val="00B11828"/>
    <w:rsid w:val="00B15568"/>
    <w:rsid w:val="00B17789"/>
    <w:rsid w:val="00B2176D"/>
    <w:rsid w:val="00B23E86"/>
    <w:rsid w:val="00B25AE3"/>
    <w:rsid w:val="00B278D5"/>
    <w:rsid w:val="00B30234"/>
    <w:rsid w:val="00B3594F"/>
    <w:rsid w:val="00B35B7C"/>
    <w:rsid w:val="00B3635F"/>
    <w:rsid w:val="00B37C2E"/>
    <w:rsid w:val="00B41074"/>
    <w:rsid w:val="00B41FF9"/>
    <w:rsid w:val="00B43A8D"/>
    <w:rsid w:val="00B46E66"/>
    <w:rsid w:val="00B477E9"/>
    <w:rsid w:val="00B5157A"/>
    <w:rsid w:val="00B53C15"/>
    <w:rsid w:val="00B53CF8"/>
    <w:rsid w:val="00B540E5"/>
    <w:rsid w:val="00B54667"/>
    <w:rsid w:val="00B546AB"/>
    <w:rsid w:val="00B553EE"/>
    <w:rsid w:val="00B65330"/>
    <w:rsid w:val="00B66CE5"/>
    <w:rsid w:val="00B72539"/>
    <w:rsid w:val="00B77ACC"/>
    <w:rsid w:val="00B80CBE"/>
    <w:rsid w:val="00B81A71"/>
    <w:rsid w:val="00B84E5B"/>
    <w:rsid w:val="00B87D26"/>
    <w:rsid w:val="00B90C94"/>
    <w:rsid w:val="00B91AE7"/>
    <w:rsid w:val="00B946F4"/>
    <w:rsid w:val="00B957E2"/>
    <w:rsid w:val="00BA3376"/>
    <w:rsid w:val="00BB1666"/>
    <w:rsid w:val="00BB417A"/>
    <w:rsid w:val="00BB4F14"/>
    <w:rsid w:val="00BB70A1"/>
    <w:rsid w:val="00BC38A0"/>
    <w:rsid w:val="00BC478A"/>
    <w:rsid w:val="00BD2DBD"/>
    <w:rsid w:val="00BD3522"/>
    <w:rsid w:val="00BD3F66"/>
    <w:rsid w:val="00BD43E6"/>
    <w:rsid w:val="00BD5CD8"/>
    <w:rsid w:val="00BD78C5"/>
    <w:rsid w:val="00BE38D1"/>
    <w:rsid w:val="00BE6EF0"/>
    <w:rsid w:val="00BE759D"/>
    <w:rsid w:val="00BF1CF5"/>
    <w:rsid w:val="00BF7597"/>
    <w:rsid w:val="00C03E26"/>
    <w:rsid w:val="00C06562"/>
    <w:rsid w:val="00C0799A"/>
    <w:rsid w:val="00C10B2C"/>
    <w:rsid w:val="00C11D0D"/>
    <w:rsid w:val="00C13A1F"/>
    <w:rsid w:val="00C20330"/>
    <w:rsid w:val="00C2090E"/>
    <w:rsid w:val="00C20EEB"/>
    <w:rsid w:val="00C37A45"/>
    <w:rsid w:val="00C37E7D"/>
    <w:rsid w:val="00C4092C"/>
    <w:rsid w:val="00C44B9A"/>
    <w:rsid w:val="00C46D36"/>
    <w:rsid w:val="00C509C3"/>
    <w:rsid w:val="00C50E24"/>
    <w:rsid w:val="00C520F8"/>
    <w:rsid w:val="00C5385F"/>
    <w:rsid w:val="00C54691"/>
    <w:rsid w:val="00C57577"/>
    <w:rsid w:val="00C6397C"/>
    <w:rsid w:val="00C63B6D"/>
    <w:rsid w:val="00C70EAE"/>
    <w:rsid w:val="00C71FE3"/>
    <w:rsid w:val="00C720B3"/>
    <w:rsid w:val="00C750D2"/>
    <w:rsid w:val="00C803D2"/>
    <w:rsid w:val="00C81AF6"/>
    <w:rsid w:val="00C83945"/>
    <w:rsid w:val="00C83A45"/>
    <w:rsid w:val="00C83B65"/>
    <w:rsid w:val="00C916CE"/>
    <w:rsid w:val="00C92346"/>
    <w:rsid w:val="00C95439"/>
    <w:rsid w:val="00C95BFA"/>
    <w:rsid w:val="00CA4726"/>
    <w:rsid w:val="00CB1E0F"/>
    <w:rsid w:val="00CB1E5D"/>
    <w:rsid w:val="00CC0499"/>
    <w:rsid w:val="00CC0A85"/>
    <w:rsid w:val="00CC17A4"/>
    <w:rsid w:val="00CC1B88"/>
    <w:rsid w:val="00CC3648"/>
    <w:rsid w:val="00CC759C"/>
    <w:rsid w:val="00CD29F7"/>
    <w:rsid w:val="00CD50B5"/>
    <w:rsid w:val="00CD54CD"/>
    <w:rsid w:val="00CD73A9"/>
    <w:rsid w:val="00CE0F8D"/>
    <w:rsid w:val="00CE2A0F"/>
    <w:rsid w:val="00CE3138"/>
    <w:rsid w:val="00CE4608"/>
    <w:rsid w:val="00CF0CE2"/>
    <w:rsid w:val="00CF1B37"/>
    <w:rsid w:val="00CF6FFA"/>
    <w:rsid w:val="00CF700B"/>
    <w:rsid w:val="00D067C3"/>
    <w:rsid w:val="00D06846"/>
    <w:rsid w:val="00D06F12"/>
    <w:rsid w:val="00D07003"/>
    <w:rsid w:val="00D07020"/>
    <w:rsid w:val="00D076F2"/>
    <w:rsid w:val="00D11DA2"/>
    <w:rsid w:val="00D1495D"/>
    <w:rsid w:val="00D14EAA"/>
    <w:rsid w:val="00D17ACF"/>
    <w:rsid w:val="00D20B98"/>
    <w:rsid w:val="00D21EF3"/>
    <w:rsid w:val="00D32991"/>
    <w:rsid w:val="00D32C36"/>
    <w:rsid w:val="00D41B71"/>
    <w:rsid w:val="00D42D4B"/>
    <w:rsid w:val="00D46790"/>
    <w:rsid w:val="00D51E56"/>
    <w:rsid w:val="00D529FE"/>
    <w:rsid w:val="00D53413"/>
    <w:rsid w:val="00D62420"/>
    <w:rsid w:val="00D6661F"/>
    <w:rsid w:val="00D67156"/>
    <w:rsid w:val="00D72F27"/>
    <w:rsid w:val="00D746F5"/>
    <w:rsid w:val="00D7679B"/>
    <w:rsid w:val="00D77FB0"/>
    <w:rsid w:val="00D819F8"/>
    <w:rsid w:val="00D826FB"/>
    <w:rsid w:val="00D841AE"/>
    <w:rsid w:val="00D87459"/>
    <w:rsid w:val="00D875DA"/>
    <w:rsid w:val="00D90226"/>
    <w:rsid w:val="00D91A1D"/>
    <w:rsid w:val="00D91C27"/>
    <w:rsid w:val="00D934A7"/>
    <w:rsid w:val="00D96671"/>
    <w:rsid w:val="00DA1337"/>
    <w:rsid w:val="00DA2A5C"/>
    <w:rsid w:val="00DA6ACB"/>
    <w:rsid w:val="00DA7189"/>
    <w:rsid w:val="00DB0BED"/>
    <w:rsid w:val="00DC164D"/>
    <w:rsid w:val="00DC233E"/>
    <w:rsid w:val="00DC3E36"/>
    <w:rsid w:val="00DC4B18"/>
    <w:rsid w:val="00DC5925"/>
    <w:rsid w:val="00DC60FA"/>
    <w:rsid w:val="00DC7776"/>
    <w:rsid w:val="00DD41B5"/>
    <w:rsid w:val="00DD5DB0"/>
    <w:rsid w:val="00DD7036"/>
    <w:rsid w:val="00DE1F84"/>
    <w:rsid w:val="00DE23AF"/>
    <w:rsid w:val="00DE3AA7"/>
    <w:rsid w:val="00DE4C03"/>
    <w:rsid w:val="00DE53AC"/>
    <w:rsid w:val="00DE58EF"/>
    <w:rsid w:val="00DF0DCD"/>
    <w:rsid w:val="00DF42B4"/>
    <w:rsid w:val="00DF4595"/>
    <w:rsid w:val="00DF5D74"/>
    <w:rsid w:val="00DF7635"/>
    <w:rsid w:val="00E008F2"/>
    <w:rsid w:val="00E00A8E"/>
    <w:rsid w:val="00E01A87"/>
    <w:rsid w:val="00E02815"/>
    <w:rsid w:val="00E03AD6"/>
    <w:rsid w:val="00E03C21"/>
    <w:rsid w:val="00E044A9"/>
    <w:rsid w:val="00E133BF"/>
    <w:rsid w:val="00E14598"/>
    <w:rsid w:val="00E1654D"/>
    <w:rsid w:val="00E17018"/>
    <w:rsid w:val="00E17598"/>
    <w:rsid w:val="00E17746"/>
    <w:rsid w:val="00E31334"/>
    <w:rsid w:val="00E34671"/>
    <w:rsid w:val="00E375C1"/>
    <w:rsid w:val="00E40020"/>
    <w:rsid w:val="00E42A24"/>
    <w:rsid w:val="00E43268"/>
    <w:rsid w:val="00E4480B"/>
    <w:rsid w:val="00E5478E"/>
    <w:rsid w:val="00E55206"/>
    <w:rsid w:val="00E55F77"/>
    <w:rsid w:val="00E603D9"/>
    <w:rsid w:val="00E60BA1"/>
    <w:rsid w:val="00E630E4"/>
    <w:rsid w:val="00E67773"/>
    <w:rsid w:val="00E7080E"/>
    <w:rsid w:val="00E76225"/>
    <w:rsid w:val="00E77559"/>
    <w:rsid w:val="00E77B1F"/>
    <w:rsid w:val="00E825BB"/>
    <w:rsid w:val="00E83E06"/>
    <w:rsid w:val="00E91ABD"/>
    <w:rsid w:val="00EA2042"/>
    <w:rsid w:val="00EA2710"/>
    <w:rsid w:val="00EA419E"/>
    <w:rsid w:val="00EA5199"/>
    <w:rsid w:val="00EA6619"/>
    <w:rsid w:val="00EA74E8"/>
    <w:rsid w:val="00EB0F0B"/>
    <w:rsid w:val="00EB1C6C"/>
    <w:rsid w:val="00EB1D04"/>
    <w:rsid w:val="00EB5590"/>
    <w:rsid w:val="00EC46E3"/>
    <w:rsid w:val="00EC59D9"/>
    <w:rsid w:val="00EC5B4F"/>
    <w:rsid w:val="00EC6187"/>
    <w:rsid w:val="00ED0ADF"/>
    <w:rsid w:val="00ED676A"/>
    <w:rsid w:val="00ED7A05"/>
    <w:rsid w:val="00EE13D2"/>
    <w:rsid w:val="00EE334C"/>
    <w:rsid w:val="00EE3860"/>
    <w:rsid w:val="00EF44AF"/>
    <w:rsid w:val="00F02153"/>
    <w:rsid w:val="00F021BB"/>
    <w:rsid w:val="00F06DE8"/>
    <w:rsid w:val="00F1030B"/>
    <w:rsid w:val="00F15675"/>
    <w:rsid w:val="00F16C06"/>
    <w:rsid w:val="00F21250"/>
    <w:rsid w:val="00F2339C"/>
    <w:rsid w:val="00F2398D"/>
    <w:rsid w:val="00F24DF3"/>
    <w:rsid w:val="00F30985"/>
    <w:rsid w:val="00F33F24"/>
    <w:rsid w:val="00F33FD3"/>
    <w:rsid w:val="00F3488D"/>
    <w:rsid w:val="00F36B84"/>
    <w:rsid w:val="00F4101D"/>
    <w:rsid w:val="00F4459D"/>
    <w:rsid w:val="00F53559"/>
    <w:rsid w:val="00F538DD"/>
    <w:rsid w:val="00F549DB"/>
    <w:rsid w:val="00F54C2B"/>
    <w:rsid w:val="00F561DC"/>
    <w:rsid w:val="00F627CB"/>
    <w:rsid w:val="00F631BD"/>
    <w:rsid w:val="00F634A3"/>
    <w:rsid w:val="00F667F6"/>
    <w:rsid w:val="00F67A3B"/>
    <w:rsid w:val="00F710F9"/>
    <w:rsid w:val="00F72901"/>
    <w:rsid w:val="00F74EFD"/>
    <w:rsid w:val="00F82BBE"/>
    <w:rsid w:val="00F841E0"/>
    <w:rsid w:val="00F87F40"/>
    <w:rsid w:val="00F920F6"/>
    <w:rsid w:val="00F97DB8"/>
    <w:rsid w:val="00FA0AE4"/>
    <w:rsid w:val="00FA2C80"/>
    <w:rsid w:val="00FA3AF7"/>
    <w:rsid w:val="00FA716A"/>
    <w:rsid w:val="00FA759F"/>
    <w:rsid w:val="00FB2D31"/>
    <w:rsid w:val="00FB3551"/>
    <w:rsid w:val="00FB4DBA"/>
    <w:rsid w:val="00FB667E"/>
    <w:rsid w:val="00FC35E4"/>
    <w:rsid w:val="00FC72C6"/>
    <w:rsid w:val="00FD1EC6"/>
    <w:rsid w:val="00FD329E"/>
    <w:rsid w:val="00FD3604"/>
    <w:rsid w:val="00FD5896"/>
    <w:rsid w:val="00FD739C"/>
    <w:rsid w:val="00FE0E51"/>
    <w:rsid w:val="00FE47AE"/>
    <w:rsid w:val="00FE552D"/>
    <w:rsid w:val="00FF195C"/>
    <w:rsid w:val="00FF1CDC"/>
    <w:rsid w:val="00FF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EBD3F"/>
  <w15:docId w15:val="{A130147D-DF43-4E9C-AE38-F554B6F5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line="480" w:lineRule="auto"/>
        <w:ind w:firstLine="720"/>
        <w:jc w:val="both"/>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A8D"/>
    <w:rPr>
      <w:sz w:val="24"/>
      <w:szCs w:val="24"/>
    </w:rPr>
  </w:style>
  <w:style w:type="paragraph" w:styleId="Heading1">
    <w:name w:val="heading 1"/>
    <w:basedOn w:val="Normal"/>
    <w:next w:val="Normal"/>
    <w:link w:val="Heading1Char"/>
    <w:autoRedefine/>
    <w:uiPriority w:val="9"/>
    <w:qFormat/>
    <w:rsid w:val="00CC759C"/>
    <w:pPr>
      <w:autoSpaceDE w:val="0"/>
      <w:autoSpaceDN w:val="0"/>
      <w:adjustRightInd w:val="0"/>
      <w:ind w:firstLine="0"/>
      <w:jc w:val="center"/>
      <w:outlineLvl w:val="0"/>
    </w:pPr>
    <w:rPr>
      <w:b/>
      <w:bCs/>
      <w:caps/>
      <w:sz w:val="28"/>
    </w:rPr>
  </w:style>
  <w:style w:type="paragraph" w:styleId="Heading2">
    <w:name w:val="heading 2"/>
    <w:basedOn w:val="Normal"/>
    <w:next w:val="Normal"/>
    <w:link w:val="Heading2Char"/>
    <w:autoRedefine/>
    <w:uiPriority w:val="9"/>
    <w:qFormat/>
    <w:rsid w:val="004B5C30"/>
    <w:pPr>
      <w:keepNext/>
      <w:spacing w:before="120"/>
      <w:ind w:firstLine="0"/>
      <w:jc w:val="left"/>
      <w:outlineLvl w:val="1"/>
    </w:pPr>
    <w:rPr>
      <w:rFonts w:cs="Arial"/>
      <w:b/>
      <w:bCs/>
      <w:iCs/>
      <w:sz w:val="26"/>
      <w:szCs w:val="28"/>
    </w:rPr>
  </w:style>
  <w:style w:type="paragraph" w:styleId="Heading3">
    <w:name w:val="heading 3"/>
    <w:basedOn w:val="Normal"/>
    <w:next w:val="Normal"/>
    <w:link w:val="Heading3Char"/>
    <w:autoRedefine/>
    <w:uiPriority w:val="9"/>
    <w:qFormat/>
    <w:rsid w:val="005E70BD"/>
    <w:pPr>
      <w:keepNext/>
      <w:spacing w:before="120" w:after="120"/>
      <w:ind w:firstLine="0"/>
      <w:outlineLvl w:val="2"/>
    </w:pPr>
    <w:rPr>
      <w:rFonts w:cs="Arial"/>
      <w:b/>
      <w:bCs/>
      <w:szCs w:val="26"/>
    </w:rPr>
  </w:style>
  <w:style w:type="paragraph" w:styleId="Heading4">
    <w:name w:val="heading 4"/>
    <w:basedOn w:val="Normal"/>
    <w:next w:val="Normal"/>
    <w:link w:val="Heading4Char"/>
    <w:uiPriority w:val="9"/>
    <w:qFormat/>
    <w:rsid w:val="00A1586C"/>
    <w:pPr>
      <w:keepNext/>
      <w:ind w:firstLine="0"/>
      <w:outlineLvl w:val="3"/>
    </w:pPr>
    <w:rPr>
      <w:b/>
      <w:i/>
    </w:rPr>
  </w:style>
  <w:style w:type="paragraph" w:styleId="Heading5">
    <w:name w:val="heading 5"/>
    <w:basedOn w:val="Normal"/>
    <w:next w:val="Normal"/>
    <w:link w:val="Heading5Char"/>
    <w:uiPriority w:val="9"/>
    <w:qFormat/>
    <w:rsid w:val="00A1586C"/>
    <w:pPr>
      <w:keepNext/>
      <w:spacing w:line="240" w:lineRule="auto"/>
      <w:ind w:firstLine="0"/>
      <w:outlineLvl w:val="4"/>
    </w:pPr>
    <w:rPr>
      <w:i/>
    </w:rPr>
  </w:style>
  <w:style w:type="paragraph" w:styleId="Heading6">
    <w:name w:val="heading 6"/>
    <w:basedOn w:val="Normal"/>
    <w:next w:val="Normal"/>
    <w:link w:val="Heading6Char"/>
    <w:uiPriority w:val="9"/>
    <w:qFormat/>
    <w:rsid w:val="00A1586C"/>
    <w:pPr>
      <w:keepNext/>
      <w:spacing w:line="240" w:lineRule="auto"/>
      <w:ind w:left="360" w:firstLine="0"/>
      <w:outlineLvl w:val="5"/>
    </w:pPr>
    <w:rPr>
      <w:i/>
    </w:rPr>
  </w:style>
  <w:style w:type="paragraph" w:styleId="Heading7">
    <w:name w:val="heading 7"/>
    <w:basedOn w:val="Normal"/>
    <w:next w:val="Normal"/>
    <w:link w:val="Heading7Char"/>
    <w:uiPriority w:val="9"/>
    <w:qFormat/>
    <w:rsid w:val="00A1586C"/>
    <w:pPr>
      <w:keepNext/>
      <w:spacing w:line="240" w:lineRule="auto"/>
      <w:ind w:left="720" w:firstLine="0"/>
      <w:outlineLvl w:val="6"/>
    </w:pPr>
    <w:rPr>
      <w:i/>
    </w:rPr>
  </w:style>
  <w:style w:type="paragraph" w:styleId="Heading8">
    <w:name w:val="heading 8"/>
    <w:basedOn w:val="Normal"/>
    <w:next w:val="Normal"/>
    <w:link w:val="Heading8Char"/>
    <w:uiPriority w:val="9"/>
    <w:qFormat/>
    <w:rsid w:val="00A1586C"/>
    <w:pPr>
      <w:keepNext/>
      <w:spacing w:line="240" w:lineRule="auto"/>
      <w:ind w:left="1080" w:firstLine="0"/>
      <w:outlineLvl w:val="7"/>
    </w:pPr>
    <w:rPr>
      <w:i/>
    </w:rPr>
  </w:style>
  <w:style w:type="paragraph" w:styleId="Heading9">
    <w:name w:val="heading 9"/>
    <w:basedOn w:val="Normal"/>
    <w:next w:val="Normal"/>
    <w:link w:val="Heading9Char"/>
    <w:uiPriority w:val="9"/>
    <w:qFormat/>
    <w:rsid w:val="00A1586C"/>
    <w:pPr>
      <w:keepNext/>
      <w:spacing w:line="240" w:lineRule="auto"/>
      <w:ind w:left="2160" w:firstLine="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759C"/>
    <w:rPr>
      <w:b/>
      <w:bCs/>
      <w:caps/>
      <w:sz w:val="28"/>
      <w:szCs w:val="24"/>
    </w:rPr>
  </w:style>
  <w:style w:type="character" w:customStyle="1" w:styleId="Heading4Char">
    <w:name w:val="Heading 4 Char"/>
    <w:basedOn w:val="DefaultParagraphFont"/>
    <w:link w:val="Heading4"/>
    <w:uiPriority w:val="9"/>
    <w:rsid w:val="00A1586C"/>
    <w:rPr>
      <w:b/>
      <w:i/>
      <w:sz w:val="24"/>
      <w:szCs w:val="24"/>
    </w:rPr>
  </w:style>
  <w:style w:type="character" w:customStyle="1" w:styleId="Heading5Char">
    <w:name w:val="Heading 5 Char"/>
    <w:basedOn w:val="DefaultParagraphFont"/>
    <w:link w:val="Heading5"/>
    <w:uiPriority w:val="9"/>
    <w:rsid w:val="00A1586C"/>
    <w:rPr>
      <w:i/>
      <w:sz w:val="24"/>
      <w:szCs w:val="24"/>
    </w:rPr>
  </w:style>
  <w:style w:type="character" w:customStyle="1" w:styleId="Heading6Char">
    <w:name w:val="Heading 6 Char"/>
    <w:basedOn w:val="DefaultParagraphFont"/>
    <w:link w:val="Heading6"/>
    <w:uiPriority w:val="9"/>
    <w:rsid w:val="00A1586C"/>
    <w:rPr>
      <w:i/>
      <w:sz w:val="24"/>
      <w:szCs w:val="24"/>
    </w:rPr>
  </w:style>
  <w:style w:type="character" w:customStyle="1" w:styleId="Heading7Char">
    <w:name w:val="Heading 7 Char"/>
    <w:basedOn w:val="DefaultParagraphFont"/>
    <w:link w:val="Heading7"/>
    <w:uiPriority w:val="9"/>
    <w:rsid w:val="00A1586C"/>
    <w:rPr>
      <w:i/>
      <w:sz w:val="24"/>
      <w:szCs w:val="24"/>
    </w:rPr>
  </w:style>
  <w:style w:type="character" w:customStyle="1" w:styleId="Heading8Char">
    <w:name w:val="Heading 8 Char"/>
    <w:basedOn w:val="DefaultParagraphFont"/>
    <w:link w:val="Heading8"/>
    <w:uiPriority w:val="9"/>
    <w:rsid w:val="00A1586C"/>
    <w:rPr>
      <w:i/>
      <w:sz w:val="24"/>
      <w:szCs w:val="24"/>
    </w:rPr>
  </w:style>
  <w:style w:type="character" w:customStyle="1" w:styleId="Heading9Char">
    <w:name w:val="Heading 9 Char"/>
    <w:basedOn w:val="DefaultParagraphFont"/>
    <w:link w:val="Heading9"/>
    <w:uiPriority w:val="9"/>
    <w:rsid w:val="00A1586C"/>
    <w:rPr>
      <w:i/>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A1586C"/>
    <w:rPr>
      <w:sz w:val="24"/>
      <w:szCs w:val="24"/>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A1586C"/>
    <w:rPr>
      <w:sz w:val="24"/>
      <w:szCs w:val="24"/>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qFormat/>
    <w:pPr>
      <w:autoSpaceDE w:val="0"/>
      <w:autoSpaceDN w:val="0"/>
      <w:adjustRightInd w:val="0"/>
      <w:jc w:val="center"/>
    </w:pPr>
    <w:rPr>
      <w:sz w:val="28"/>
      <w:szCs w:val="28"/>
    </w:rPr>
  </w:style>
  <w:style w:type="character" w:customStyle="1" w:styleId="TitleChar">
    <w:name w:val="Title Char"/>
    <w:link w:val="Title"/>
    <w:rsid w:val="00A1586C"/>
    <w:rPr>
      <w:sz w:val="28"/>
      <w:szCs w:val="28"/>
    </w:rPr>
  </w:style>
  <w:style w:type="paragraph" w:styleId="BodyText">
    <w:name w:val="Body Text"/>
    <w:basedOn w:val="Normal"/>
    <w:link w:val="BodyTextChar"/>
    <w:pPr>
      <w:autoSpaceDE w:val="0"/>
      <w:autoSpaceDN w:val="0"/>
      <w:adjustRightInd w:val="0"/>
    </w:pPr>
    <w:rPr>
      <w:sz w:val="22"/>
      <w:szCs w:val="22"/>
    </w:rPr>
  </w:style>
  <w:style w:type="character" w:customStyle="1" w:styleId="BodyTextChar">
    <w:name w:val="Body Text Char"/>
    <w:basedOn w:val="DefaultParagraphFont"/>
    <w:link w:val="BodyText"/>
    <w:rsid w:val="00A1586C"/>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BodyTextIndentChar">
    <w:name w:val="Body Text Indent Char"/>
    <w:basedOn w:val="DefaultParagraphFont"/>
    <w:link w:val="BodyTextIndent"/>
    <w:rsid w:val="00A1586C"/>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link w:val="BodyTex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rFonts w:ascii="Arial" w:hAnsi="Arial" w:cs="Arial"/>
      <w:noProof/>
    </w:rPr>
  </w:style>
  <w:style w:type="character" w:customStyle="1" w:styleId="BodyText2Char">
    <w:name w:val="Body Text 2 Char"/>
    <w:basedOn w:val="DefaultParagraphFont"/>
    <w:link w:val="BodyText2"/>
    <w:rsid w:val="00A1586C"/>
    <w:rPr>
      <w:rFonts w:ascii="Arial" w:hAnsi="Arial" w:cs="Arial"/>
      <w:noProof/>
      <w:sz w:val="24"/>
      <w:szCs w:val="24"/>
    </w:rPr>
  </w:style>
  <w:style w:type="paragraph" w:styleId="BodyTextIndent2">
    <w:name w:val="Body Text Indent 2"/>
    <w:basedOn w:val="Normal"/>
    <w:link w:val="BodyTextIndent2Char"/>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paragraph" w:styleId="Caption">
    <w:name w:val="caption"/>
    <w:aliases w:val="Caption Char,Caption Char Char Char,Caption Char Char Char Char Char Char Char Char Char Char"/>
    <w:basedOn w:val="Normal"/>
    <w:next w:val="Normal"/>
    <w:link w:val="CaptionChar1"/>
    <w:autoRedefine/>
    <w:qFormat/>
    <w:rsid w:val="009D0201"/>
    <w:pPr>
      <w:keepNext/>
      <w:spacing w:after="240" w:line="240" w:lineRule="auto"/>
      <w:ind w:firstLine="0"/>
      <w:jc w:val="center"/>
    </w:pPr>
    <w:rPr>
      <w:bCs/>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C10B2C"/>
    <w:pPr>
      <w:tabs>
        <w:tab w:val="right" w:leader="dot" w:pos="8630"/>
      </w:tabs>
      <w:ind w:left="720" w:firstLine="0"/>
    </w:pPr>
  </w:style>
  <w:style w:type="paragraph" w:styleId="TOC2">
    <w:name w:val="toc 2"/>
    <w:basedOn w:val="Normal"/>
    <w:next w:val="Normal"/>
    <w:autoRedefine/>
    <w:uiPriority w:val="39"/>
    <w:rsid w:val="004F38C3"/>
    <w:pPr>
      <w:tabs>
        <w:tab w:val="right" w:leader="dot" w:pos="8630"/>
      </w:tabs>
      <w:ind w:left="990" w:hanging="30"/>
    </w:pPr>
  </w:style>
  <w:style w:type="paragraph" w:styleId="TOC3">
    <w:name w:val="toc 3"/>
    <w:basedOn w:val="Normal"/>
    <w:next w:val="Normal"/>
    <w:autoRedefine/>
    <w:uiPriority w:val="39"/>
    <w:rsid w:val="007C2582"/>
    <w:pPr>
      <w:tabs>
        <w:tab w:val="right" w:leader="dot" w:pos="8630"/>
      </w:tabs>
      <w:ind w:left="1170" w:firstLine="3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rPr>
  </w:style>
  <w:style w:type="character" w:styleId="FollowedHyperlink">
    <w:name w:val="FollowedHyperlink"/>
    <w:basedOn w:val="DefaultParagraphFont"/>
    <w:uiPriority w:val="99"/>
    <w:unhideWhenUsed/>
    <w:rsid w:val="004668D1"/>
    <w:rPr>
      <w:color w:val="800080" w:themeColor="followedHyperlink"/>
      <w:u w:val="single"/>
    </w:rPr>
  </w:style>
  <w:style w:type="paragraph" w:customStyle="1" w:styleId="Fignote">
    <w:name w:val="Fig note"/>
    <w:basedOn w:val="Normal"/>
    <w:link w:val="FignoteChar"/>
    <w:qFormat/>
    <w:rsid w:val="00FE47AE"/>
    <w:pPr>
      <w:ind w:firstLine="0"/>
      <w:jc w:val="center"/>
    </w:pPr>
    <w:rPr>
      <w:rFonts w:eastAsiaTheme="minorEastAsia" w:cstheme="minorBidi"/>
      <w:color w:val="000000" w:themeColor="text1"/>
      <w:szCs w:val="20"/>
      <w:lang w:eastAsia="zh-CN"/>
    </w:rPr>
  </w:style>
  <w:style w:type="character" w:customStyle="1" w:styleId="FignoteChar">
    <w:name w:val="Fig note Char"/>
    <w:basedOn w:val="DefaultParagraphFont"/>
    <w:link w:val="Fignote"/>
    <w:rsid w:val="00FE47AE"/>
    <w:rPr>
      <w:rFonts w:eastAsiaTheme="minorEastAsia" w:cstheme="minorBidi"/>
      <w:color w:val="000000" w:themeColor="text1"/>
      <w:sz w:val="24"/>
      <w:lang w:eastAsia="zh-CN"/>
    </w:rPr>
  </w:style>
  <w:style w:type="paragraph" w:customStyle="1" w:styleId="Text">
    <w:name w:val="Text"/>
    <w:basedOn w:val="Normal"/>
    <w:link w:val="TextChar"/>
    <w:rsid w:val="004668D1"/>
    <w:pPr>
      <w:widowControl w:val="0"/>
      <w:spacing w:line="252" w:lineRule="auto"/>
      <w:ind w:firstLine="240"/>
    </w:pPr>
    <w:rPr>
      <w:sz w:val="20"/>
      <w:szCs w:val="20"/>
    </w:rPr>
  </w:style>
  <w:style w:type="character" w:customStyle="1" w:styleId="TextChar">
    <w:name w:val="Text Char"/>
    <w:link w:val="Text"/>
    <w:rsid w:val="004668D1"/>
  </w:style>
  <w:style w:type="paragraph" w:styleId="Quote">
    <w:name w:val="Quote"/>
    <w:basedOn w:val="Normal"/>
    <w:next w:val="Normal"/>
    <w:link w:val="QuoteChar"/>
    <w:uiPriority w:val="29"/>
    <w:qFormat/>
    <w:rsid w:val="004F49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F49F2"/>
    <w:rPr>
      <w:i/>
      <w:iCs/>
      <w:color w:val="404040" w:themeColor="text1" w:themeTint="BF"/>
      <w:sz w:val="24"/>
      <w:szCs w:val="24"/>
    </w:rPr>
  </w:style>
  <w:style w:type="paragraph" w:customStyle="1" w:styleId="Default">
    <w:name w:val="Default"/>
    <w:rsid w:val="00A1586C"/>
    <w:pPr>
      <w:autoSpaceDE w:val="0"/>
      <w:autoSpaceDN w:val="0"/>
      <w:adjustRightInd w:val="0"/>
    </w:pPr>
    <w:rPr>
      <w:rFonts w:eastAsiaTheme="minorEastAsia"/>
      <w:color w:val="000000"/>
      <w:sz w:val="24"/>
      <w:szCs w:val="24"/>
      <w:lang w:eastAsia="zh-CN"/>
    </w:rPr>
  </w:style>
  <w:style w:type="paragraph" w:styleId="TOCHeading">
    <w:name w:val="TOC Heading"/>
    <w:basedOn w:val="Heading1"/>
    <w:next w:val="Normal"/>
    <w:uiPriority w:val="39"/>
    <w:unhideWhenUsed/>
    <w:qFormat/>
    <w:rsid w:val="00A1586C"/>
    <w:pPr>
      <w:keepNext/>
      <w:keepLines/>
      <w:autoSpaceDE/>
      <w:autoSpaceDN/>
      <w:adjustRightInd/>
      <w:spacing w:before="240" w:line="360"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NormalWeb">
    <w:name w:val="Normal (Web)"/>
    <w:basedOn w:val="Normal"/>
    <w:uiPriority w:val="99"/>
    <w:unhideWhenUsed/>
    <w:rsid w:val="00A1586C"/>
    <w:pPr>
      <w:spacing w:before="100" w:beforeAutospacing="1" w:after="100" w:afterAutospacing="1" w:line="240" w:lineRule="auto"/>
      <w:ind w:firstLine="0"/>
    </w:pPr>
    <w:rPr>
      <w:lang w:eastAsia="zh-CN"/>
    </w:rPr>
  </w:style>
  <w:style w:type="paragraph" w:styleId="ListNumber">
    <w:name w:val="List Number"/>
    <w:basedOn w:val="Normal"/>
    <w:rsid w:val="00A1586C"/>
    <w:pPr>
      <w:spacing w:line="240" w:lineRule="auto"/>
      <w:ind w:left="360" w:hanging="360"/>
    </w:pPr>
    <w:rPr>
      <w:sz w:val="20"/>
      <w:szCs w:val="20"/>
    </w:rPr>
  </w:style>
  <w:style w:type="paragraph" w:customStyle="1" w:styleId="Abstract">
    <w:name w:val="Abstract"/>
    <w:basedOn w:val="Normal"/>
    <w:next w:val="Normal"/>
    <w:rsid w:val="00A1586C"/>
    <w:pPr>
      <w:spacing w:before="20" w:line="240" w:lineRule="auto"/>
      <w:ind w:firstLine="240"/>
    </w:pPr>
    <w:rPr>
      <w:b/>
      <w:sz w:val="18"/>
    </w:rPr>
  </w:style>
  <w:style w:type="paragraph" w:customStyle="1" w:styleId="Authors">
    <w:name w:val="Authors"/>
    <w:basedOn w:val="Normal"/>
    <w:next w:val="Normal"/>
    <w:rsid w:val="00A1586C"/>
    <w:pPr>
      <w:framePr w:w="9072" w:hSpace="187" w:vSpace="187" w:wrap="notBeside" w:vAnchor="text" w:hAnchor="page" w:xAlign="center" w:y="1"/>
      <w:spacing w:after="320" w:line="240" w:lineRule="auto"/>
      <w:ind w:firstLine="0"/>
      <w:jc w:val="center"/>
    </w:pPr>
  </w:style>
  <w:style w:type="character" w:customStyle="1" w:styleId="MemberType">
    <w:name w:val="MemberType"/>
    <w:rsid w:val="00A1586C"/>
    <w:rPr>
      <w:rFonts w:ascii="Times New Roman" w:hAnsi="Times New Roman"/>
      <w:i/>
      <w:sz w:val="22"/>
    </w:rPr>
  </w:style>
  <w:style w:type="paragraph" w:styleId="FootnoteText">
    <w:name w:val="footnote text"/>
    <w:basedOn w:val="Normal"/>
    <w:link w:val="FootnoteTextChar"/>
    <w:semiHidden/>
    <w:rsid w:val="00A1586C"/>
    <w:pPr>
      <w:spacing w:line="240" w:lineRule="auto"/>
      <w:ind w:firstLine="240"/>
    </w:pPr>
    <w:rPr>
      <w:sz w:val="16"/>
    </w:rPr>
  </w:style>
  <w:style w:type="character" w:customStyle="1" w:styleId="FootnoteTextChar">
    <w:name w:val="Footnote Text Char"/>
    <w:basedOn w:val="DefaultParagraphFont"/>
    <w:link w:val="FootnoteText"/>
    <w:semiHidden/>
    <w:rsid w:val="00A1586C"/>
    <w:rPr>
      <w:sz w:val="16"/>
      <w:szCs w:val="24"/>
    </w:rPr>
  </w:style>
  <w:style w:type="paragraph" w:customStyle="1" w:styleId="References">
    <w:name w:val="References"/>
    <w:basedOn w:val="ListNumber"/>
    <w:rsid w:val="00A1586C"/>
    <w:pPr>
      <w:ind w:left="0" w:firstLine="0"/>
    </w:pPr>
    <w:rPr>
      <w:sz w:val="16"/>
      <w:szCs w:val="24"/>
    </w:rPr>
  </w:style>
  <w:style w:type="paragraph" w:customStyle="1" w:styleId="IndexTerms">
    <w:name w:val="IndexTerms"/>
    <w:basedOn w:val="Normal"/>
    <w:next w:val="Normal"/>
    <w:rsid w:val="00A1586C"/>
    <w:pPr>
      <w:spacing w:line="240" w:lineRule="auto"/>
      <w:ind w:firstLine="240"/>
    </w:pPr>
    <w:rPr>
      <w:b/>
      <w:sz w:val="18"/>
    </w:rPr>
  </w:style>
  <w:style w:type="paragraph" w:customStyle="1" w:styleId="Theorem">
    <w:name w:val="Theorem"/>
    <w:basedOn w:val="Heading3"/>
    <w:rsid w:val="00A1586C"/>
    <w:pPr>
      <w:ind w:firstLine="720"/>
      <w:jc w:val="right"/>
      <w:outlineLvl w:val="9"/>
    </w:pPr>
    <w:rPr>
      <w:rFonts w:cs="Times New Roman"/>
      <w:bCs w:val="0"/>
      <w:sz w:val="26"/>
      <w:szCs w:val="24"/>
    </w:rPr>
  </w:style>
  <w:style w:type="paragraph" w:customStyle="1" w:styleId="Lemma">
    <w:name w:val="Lemma"/>
    <w:basedOn w:val="Heading3"/>
    <w:rsid w:val="00A1586C"/>
    <w:pPr>
      <w:ind w:firstLine="720"/>
      <w:jc w:val="right"/>
      <w:outlineLvl w:val="9"/>
    </w:pPr>
    <w:rPr>
      <w:rFonts w:cs="Times New Roman"/>
      <w:bCs w:val="0"/>
      <w:sz w:val="26"/>
      <w:szCs w:val="24"/>
    </w:rPr>
  </w:style>
  <w:style w:type="character" w:styleId="FootnoteReference">
    <w:name w:val="footnote reference"/>
    <w:semiHidden/>
    <w:rsid w:val="00A1586C"/>
    <w:rPr>
      <w:vertAlign w:val="superscript"/>
    </w:rPr>
  </w:style>
  <w:style w:type="paragraph" w:customStyle="1" w:styleId="FigureCaption0">
    <w:name w:val="Figure Caption"/>
    <w:basedOn w:val="Normal"/>
    <w:link w:val="FigureCaptionChar"/>
    <w:rsid w:val="00A1586C"/>
    <w:pPr>
      <w:spacing w:line="240" w:lineRule="auto"/>
      <w:ind w:firstLine="0"/>
    </w:pPr>
    <w:rPr>
      <w:sz w:val="16"/>
    </w:rPr>
  </w:style>
  <w:style w:type="paragraph" w:customStyle="1" w:styleId="TableTitle">
    <w:name w:val="Table Title"/>
    <w:basedOn w:val="Normal"/>
    <w:rsid w:val="00A1586C"/>
    <w:pPr>
      <w:spacing w:line="240" w:lineRule="auto"/>
      <w:ind w:firstLine="0"/>
      <w:jc w:val="center"/>
    </w:pPr>
    <w:rPr>
      <w:smallCaps/>
      <w:sz w:val="16"/>
    </w:rPr>
  </w:style>
  <w:style w:type="paragraph" w:styleId="PlainText">
    <w:name w:val="Plain Text"/>
    <w:basedOn w:val="Normal"/>
    <w:link w:val="PlainTextChar"/>
    <w:rsid w:val="00A1586C"/>
    <w:pPr>
      <w:spacing w:line="240" w:lineRule="auto"/>
      <w:ind w:firstLine="0"/>
    </w:pPr>
    <w:rPr>
      <w:rFonts w:ascii="Courier New" w:hAnsi="Courier New"/>
    </w:rPr>
  </w:style>
  <w:style w:type="character" w:customStyle="1" w:styleId="PlainTextChar">
    <w:name w:val="Plain Text Char"/>
    <w:basedOn w:val="DefaultParagraphFont"/>
    <w:link w:val="PlainText"/>
    <w:rsid w:val="00A1586C"/>
    <w:rPr>
      <w:rFonts w:ascii="Courier New" w:hAnsi="Courier New"/>
      <w:sz w:val="24"/>
      <w:szCs w:val="24"/>
    </w:rPr>
  </w:style>
  <w:style w:type="paragraph" w:customStyle="1" w:styleId="Biography">
    <w:name w:val="Biography"/>
    <w:basedOn w:val="PlainText"/>
    <w:rsid w:val="00A1586C"/>
    <w:pPr>
      <w:spacing w:before="240"/>
    </w:pPr>
    <w:rPr>
      <w:rFonts w:ascii="Times New Roman" w:hAnsi="Times New Roman"/>
      <w:sz w:val="16"/>
    </w:rPr>
  </w:style>
  <w:style w:type="paragraph" w:customStyle="1" w:styleId="BiographyBody">
    <w:name w:val="Biography Body"/>
    <w:basedOn w:val="Biography"/>
    <w:rsid w:val="00A1586C"/>
    <w:pPr>
      <w:spacing w:before="0"/>
      <w:ind w:firstLine="240"/>
    </w:pPr>
  </w:style>
  <w:style w:type="character" w:styleId="Strong">
    <w:name w:val="Strong"/>
    <w:qFormat/>
    <w:rsid w:val="00A1586C"/>
    <w:rPr>
      <w:b/>
    </w:rPr>
  </w:style>
  <w:style w:type="paragraph" w:styleId="BalloonText">
    <w:name w:val="Balloon Text"/>
    <w:basedOn w:val="Normal"/>
    <w:link w:val="BalloonTextChar"/>
    <w:rsid w:val="00A1586C"/>
    <w:pPr>
      <w:spacing w:line="240" w:lineRule="auto"/>
      <w:ind w:firstLine="0"/>
    </w:pPr>
    <w:rPr>
      <w:rFonts w:ascii="Tahoma" w:hAnsi="Tahoma" w:cs="Tahoma"/>
      <w:sz w:val="16"/>
      <w:szCs w:val="16"/>
    </w:rPr>
  </w:style>
  <w:style w:type="character" w:customStyle="1" w:styleId="BalloonTextChar">
    <w:name w:val="Balloon Text Char"/>
    <w:basedOn w:val="DefaultParagraphFont"/>
    <w:link w:val="BalloonText"/>
    <w:rsid w:val="00A1586C"/>
    <w:rPr>
      <w:rFonts w:ascii="Tahoma" w:hAnsi="Tahoma" w:cs="Tahoma"/>
      <w:sz w:val="16"/>
      <w:szCs w:val="16"/>
    </w:rPr>
  </w:style>
  <w:style w:type="paragraph" w:customStyle="1" w:styleId="text0">
    <w:name w:val="text"/>
    <w:basedOn w:val="Normal"/>
    <w:rsid w:val="00A1586C"/>
    <w:pPr>
      <w:spacing w:line="240" w:lineRule="exact"/>
      <w:ind w:firstLine="187"/>
    </w:pPr>
    <w:rPr>
      <w:lang w:eastAsia="zh-CN"/>
    </w:rPr>
  </w:style>
  <w:style w:type="table" w:styleId="TableGrid">
    <w:name w:val="Table Grid"/>
    <w:basedOn w:val="TableNormal"/>
    <w:rsid w:val="00A15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title"/>
    <w:rsid w:val="00A1586C"/>
    <w:pPr>
      <w:spacing w:after="120"/>
      <w:jc w:val="center"/>
    </w:pPr>
    <w:rPr>
      <w:sz w:val="48"/>
      <w:szCs w:val="24"/>
    </w:rPr>
  </w:style>
  <w:style w:type="character" w:customStyle="1" w:styleId="apple-style-span">
    <w:name w:val="apple-style-span"/>
    <w:basedOn w:val="DefaultParagraphFont"/>
    <w:rsid w:val="00A1586C"/>
  </w:style>
  <w:style w:type="character" w:customStyle="1" w:styleId="apple-converted-space">
    <w:name w:val="apple-converted-space"/>
    <w:basedOn w:val="DefaultParagraphFont"/>
    <w:rsid w:val="00A1586C"/>
  </w:style>
  <w:style w:type="character" w:customStyle="1" w:styleId="1">
    <w:name w:val="副标题1"/>
    <w:basedOn w:val="DefaultParagraphFont"/>
    <w:rsid w:val="00A1586C"/>
  </w:style>
  <w:style w:type="character" w:styleId="CommentReference">
    <w:name w:val="annotation reference"/>
    <w:rsid w:val="00A1586C"/>
    <w:rPr>
      <w:sz w:val="16"/>
      <w:szCs w:val="16"/>
    </w:rPr>
  </w:style>
  <w:style w:type="paragraph" w:styleId="CommentText">
    <w:name w:val="annotation text"/>
    <w:basedOn w:val="Normal"/>
    <w:link w:val="CommentTextChar"/>
    <w:rsid w:val="00A1586C"/>
    <w:pPr>
      <w:spacing w:line="240" w:lineRule="auto"/>
      <w:ind w:firstLine="0"/>
    </w:pPr>
  </w:style>
  <w:style w:type="character" w:customStyle="1" w:styleId="CommentTextChar">
    <w:name w:val="Comment Text Char"/>
    <w:basedOn w:val="DefaultParagraphFont"/>
    <w:link w:val="CommentText"/>
    <w:rsid w:val="00A1586C"/>
    <w:rPr>
      <w:sz w:val="24"/>
      <w:szCs w:val="24"/>
    </w:rPr>
  </w:style>
  <w:style w:type="paragraph" w:styleId="CommentSubject">
    <w:name w:val="annotation subject"/>
    <w:basedOn w:val="CommentText"/>
    <w:next w:val="CommentText"/>
    <w:link w:val="CommentSubjectChar"/>
    <w:rsid w:val="00A1586C"/>
    <w:rPr>
      <w:b/>
      <w:bCs/>
    </w:rPr>
  </w:style>
  <w:style w:type="character" w:customStyle="1" w:styleId="CommentSubjectChar">
    <w:name w:val="Comment Subject Char"/>
    <w:basedOn w:val="CommentTextChar"/>
    <w:link w:val="CommentSubject"/>
    <w:rsid w:val="00A1586C"/>
    <w:rPr>
      <w:b/>
      <w:bCs/>
      <w:sz w:val="24"/>
      <w:szCs w:val="24"/>
    </w:rPr>
  </w:style>
  <w:style w:type="paragraph" w:customStyle="1" w:styleId="ColorfulShading-Accent11">
    <w:name w:val="Colorful Shading - Accent 11"/>
    <w:hidden/>
    <w:uiPriority w:val="99"/>
    <w:semiHidden/>
    <w:rsid w:val="00A1586C"/>
    <w:rPr>
      <w:sz w:val="24"/>
      <w:szCs w:val="24"/>
    </w:rPr>
  </w:style>
  <w:style w:type="paragraph" w:customStyle="1" w:styleId="ColorfulList-Accent11">
    <w:name w:val="Colorful List - Accent 11"/>
    <w:basedOn w:val="Normal"/>
    <w:uiPriority w:val="34"/>
    <w:qFormat/>
    <w:rsid w:val="00A1586C"/>
    <w:pPr>
      <w:spacing w:line="240" w:lineRule="auto"/>
      <w:ind w:left="720" w:firstLine="0"/>
      <w:contextualSpacing/>
    </w:pPr>
  </w:style>
  <w:style w:type="character" w:customStyle="1" w:styleId="MediumGrid11">
    <w:name w:val="Medium Grid 11"/>
    <w:uiPriority w:val="99"/>
    <w:semiHidden/>
    <w:rsid w:val="00A1586C"/>
    <w:rPr>
      <w:color w:val="808080"/>
    </w:rPr>
  </w:style>
  <w:style w:type="paragraph" w:styleId="HTMLPreformatted">
    <w:name w:val="HTML Preformatted"/>
    <w:basedOn w:val="Normal"/>
    <w:link w:val="HTMLPreformattedChar"/>
    <w:unhideWhenUsed/>
    <w:rsid w:val="00A15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宋体" w:hAnsi="宋体" w:cs="宋体"/>
      <w:lang w:eastAsia="zh-CN"/>
    </w:rPr>
  </w:style>
  <w:style w:type="character" w:customStyle="1" w:styleId="HTMLPreformattedChar">
    <w:name w:val="HTML Preformatted Char"/>
    <w:basedOn w:val="DefaultParagraphFont"/>
    <w:link w:val="HTMLPreformatted"/>
    <w:uiPriority w:val="99"/>
    <w:rsid w:val="00A1586C"/>
    <w:rPr>
      <w:rFonts w:ascii="宋体" w:hAnsi="宋体" w:cs="宋体"/>
      <w:sz w:val="24"/>
      <w:szCs w:val="24"/>
      <w:lang w:eastAsia="zh-CN"/>
    </w:rPr>
  </w:style>
  <w:style w:type="paragraph" w:styleId="Revision">
    <w:name w:val="Revision"/>
    <w:hidden/>
    <w:uiPriority w:val="99"/>
    <w:rsid w:val="00A1586C"/>
    <w:rPr>
      <w:sz w:val="24"/>
      <w:szCs w:val="24"/>
    </w:rPr>
  </w:style>
  <w:style w:type="paragraph" w:styleId="ListParagraph">
    <w:name w:val="List Paragraph"/>
    <w:basedOn w:val="Normal"/>
    <w:uiPriority w:val="34"/>
    <w:qFormat/>
    <w:rsid w:val="00CD29F7"/>
    <w:pPr>
      <w:spacing w:after="120"/>
      <w:ind w:left="720" w:firstLine="0"/>
    </w:pPr>
  </w:style>
  <w:style w:type="paragraph" w:customStyle="1" w:styleId="references0">
    <w:name w:val="references"/>
    <w:rsid w:val="00A1586C"/>
    <w:pPr>
      <w:spacing w:after="50" w:line="180" w:lineRule="exact"/>
    </w:pPr>
    <w:rPr>
      <w:rFonts w:eastAsia="MS Mincho"/>
      <w:noProof/>
      <w:sz w:val="16"/>
      <w:szCs w:val="16"/>
    </w:rPr>
  </w:style>
  <w:style w:type="character" w:styleId="Emphasis">
    <w:name w:val="Emphasis"/>
    <w:uiPriority w:val="20"/>
    <w:qFormat/>
    <w:rsid w:val="00A1586C"/>
    <w:rPr>
      <w:i/>
      <w:iCs/>
    </w:rPr>
  </w:style>
  <w:style w:type="table" w:styleId="TableClassic1">
    <w:name w:val="Table Classic 1"/>
    <w:basedOn w:val="TableNormal"/>
    <w:rsid w:val="00A1586C"/>
    <w:rPr>
      <w:rFonts w:eastAsia="Times New Roman,Italic"/>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olumns4">
    <w:name w:val="Table Columns 4"/>
    <w:basedOn w:val="TableNormal"/>
    <w:rsid w:val="00A1586C"/>
    <w:rPr>
      <w:rFonts w:eastAsia="Times New Roman,Italic"/>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3-Accent1">
    <w:name w:val="Medium Grid 3 Accent 1"/>
    <w:basedOn w:val="TableNormal"/>
    <w:uiPriority w:val="60"/>
    <w:rsid w:val="00A1586C"/>
    <w:rPr>
      <w:rFonts w:eastAsia="Times New Roman,Italic"/>
      <w:color w:val="000000"/>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
    <w:name w:val="Table Grid Light1"/>
    <w:basedOn w:val="TableNormal"/>
    <w:uiPriority w:val="40"/>
    <w:rsid w:val="00A1586C"/>
    <w:rPr>
      <w:rFonts w:eastAsia="Times New Roman,Italic"/>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TMLCite">
    <w:name w:val="HTML Cite"/>
    <w:uiPriority w:val="99"/>
    <w:unhideWhenUsed/>
    <w:rsid w:val="00A1586C"/>
    <w:rPr>
      <w:i/>
      <w:iCs/>
    </w:rPr>
  </w:style>
  <w:style w:type="character" w:customStyle="1" w:styleId="interref">
    <w:name w:val="interref"/>
    <w:rsid w:val="00A1586C"/>
  </w:style>
  <w:style w:type="paragraph" w:styleId="Bibliography">
    <w:name w:val="Bibliography"/>
    <w:basedOn w:val="Normal"/>
    <w:next w:val="Normal"/>
    <w:uiPriority w:val="37"/>
    <w:unhideWhenUsed/>
    <w:rsid w:val="008F6007"/>
  </w:style>
  <w:style w:type="paragraph" w:customStyle="1" w:styleId="MediumGrid1-Accent21">
    <w:name w:val="Medium Grid 1 - Accent 21"/>
    <w:basedOn w:val="Normal"/>
    <w:uiPriority w:val="34"/>
    <w:qFormat/>
    <w:rsid w:val="0010781D"/>
    <w:pPr>
      <w:spacing w:line="240" w:lineRule="auto"/>
      <w:ind w:left="720" w:firstLine="0"/>
      <w:contextualSpacing/>
      <w:jc w:val="left"/>
    </w:pPr>
    <w:rPr>
      <w:sz w:val="20"/>
      <w:szCs w:val="20"/>
    </w:rPr>
  </w:style>
  <w:style w:type="paragraph" w:customStyle="1" w:styleId="Affiliation">
    <w:name w:val="Affiliation"/>
    <w:rsid w:val="00AD64BC"/>
    <w:pPr>
      <w:jc w:val="center"/>
    </w:pPr>
    <w:rPr>
      <w:rFonts w:eastAsia="Times New Roman"/>
    </w:rPr>
  </w:style>
  <w:style w:type="paragraph" w:customStyle="1" w:styleId="ReferenceHead">
    <w:name w:val="Reference Head"/>
    <w:basedOn w:val="Heading1"/>
    <w:rsid w:val="00503BA6"/>
    <w:pPr>
      <w:keepNext/>
      <w:adjustRightInd/>
      <w:spacing w:before="240" w:after="80" w:line="240" w:lineRule="auto"/>
    </w:pPr>
    <w:rPr>
      <w:rFonts w:eastAsia="Times New Roman"/>
      <w:b w:val="0"/>
      <w:bCs w:val="0"/>
      <w:caps w:val="0"/>
      <w:smallCaps/>
      <w:kern w:val="28"/>
      <w:sz w:val="20"/>
      <w:szCs w:val="20"/>
      <w:lang w:val="en-GB"/>
    </w:rPr>
  </w:style>
  <w:style w:type="paragraph" w:customStyle="1" w:styleId="Equation">
    <w:name w:val="Equation"/>
    <w:basedOn w:val="Normal"/>
    <w:next w:val="Normal"/>
    <w:rsid w:val="00503BA6"/>
    <w:pPr>
      <w:widowControl w:val="0"/>
      <w:tabs>
        <w:tab w:val="right" w:pos="5040"/>
      </w:tabs>
      <w:autoSpaceDE w:val="0"/>
      <w:autoSpaceDN w:val="0"/>
      <w:spacing w:line="252" w:lineRule="auto"/>
      <w:ind w:firstLine="0"/>
    </w:pPr>
    <w:rPr>
      <w:rFonts w:eastAsia="Times New Roman"/>
      <w:sz w:val="20"/>
      <w:szCs w:val="20"/>
      <w:lang w:val="en-GB"/>
    </w:rPr>
  </w:style>
  <w:style w:type="character" w:customStyle="1" w:styleId="EndnoteTextChar">
    <w:name w:val="Endnote Text Char"/>
    <w:basedOn w:val="DefaultParagraphFont"/>
    <w:link w:val="EndnoteText"/>
    <w:semiHidden/>
    <w:rsid w:val="00503BA6"/>
    <w:rPr>
      <w:rFonts w:eastAsia="Times New Roman"/>
      <w:lang w:val="en-GB"/>
    </w:rPr>
  </w:style>
  <w:style w:type="paragraph" w:styleId="EndnoteText">
    <w:name w:val="endnote text"/>
    <w:basedOn w:val="Normal"/>
    <w:link w:val="EndnoteTextChar"/>
    <w:semiHidden/>
    <w:rsid w:val="00503BA6"/>
    <w:pPr>
      <w:autoSpaceDE w:val="0"/>
      <w:autoSpaceDN w:val="0"/>
      <w:spacing w:line="240" w:lineRule="auto"/>
      <w:ind w:firstLine="0"/>
      <w:jc w:val="left"/>
    </w:pPr>
    <w:rPr>
      <w:rFonts w:eastAsia="Times New Roman"/>
      <w:sz w:val="20"/>
      <w:szCs w:val="20"/>
      <w:lang w:val="en-GB"/>
    </w:rPr>
  </w:style>
  <w:style w:type="paragraph" w:styleId="BodyText3">
    <w:name w:val="Body Text 3"/>
    <w:basedOn w:val="Normal"/>
    <w:link w:val="BodyText3Char"/>
    <w:rsid w:val="00503BA6"/>
    <w:pPr>
      <w:spacing w:after="120" w:line="240" w:lineRule="auto"/>
      <w:ind w:firstLine="0"/>
      <w:jc w:val="left"/>
    </w:pPr>
    <w:rPr>
      <w:sz w:val="16"/>
      <w:szCs w:val="16"/>
      <w:lang w:val="en-GB" w:eastAsia="zh-CN"/>
    </w:rPr>
  </w:style>
  <w:style w:type="character" w:customStyle="1" w:styleId="BodyText3Char">
    <w:name w:val="Body Text 3 Char"/>
    <w:basedOn w:val="DefaultParagraphFont"/>
    <w:link w:val="BodyText3"/>
    <w:rsid w:val="00503BA6"/>
    <w:rPr>
      <w:sz w:val="16"/>
      <w:szCs w:val="16"/>
      <w:lang w:val="en-GB" w:eastAsia="zh-CN"/>
    </w:rPr>
  </w:style>
  <w:style w:type="paragraph" w:styleId="BodyTextFirstIndent">
    <w:name w:val="Body Text First Indent"/>
    <w:basedOn w:val="BodyText"/>
    <w:link w:val="BodyTextFirstIndentChar"/>
    <w:rsid w:val="00503BA6"/>
    <w:pPr>
      <w:autoSpaceDE/>
      <w:autoSpaceDN/>
      <w:adjustRightInd/>
      <w:spacing w:after="120" w:line="240" w:lineRule="auto"/>
      <w:ind w:firstLine="210"/>
      <w:jc w:val="left"/>
    </w:pPr>
    <w:rPr>
      <w:sz w:val="20"/>
      <w:szCs w:val="20"/>
      <w:lang w:val="en-GB"/>
    </w:rPr>
  </w:style>
  <w:style w:type="character" w:customStyle="1" w:styleId="BodyTextFirstIndentChar">
    <w:name w:val="Body Text First Indent Char"/>
    <w:basedOn w:val="BodyTextChar"/>
    <w:link w:val="BodyTextFirstIndent"/>
    <w:rsid w:val="00503BA6"/>
    <w:rPr>
      <w:sz w:val="22"/>
      <w:szCs w:val="22"/>
      <w:lang w:val="en-GB"/>
    </w:rPr>
  </w:style>
  <w:style w:type="paragraph" w:styleId="BodyTextFirstIndent2">
    <w:name w:val="Body Text First Indent 2"/>
    <w:basedOn w:val="BodyTextIndent"/>
    <w:link w:val="BodyTextFirstIndent2Char"/>
    <w:rsid w:val="00503BA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autoSpaceDN/>
      <w:adjustRightInd/>
      <w:spacing w:after="120" w:line="240" w:lineRule="auto"/>
      <w:ind w:left="283" w:firstLine="210"/>
      <w:jc w:val="left"/>
    </w:pPr>
    <w:rPr>
      <w:sz w:val="20"/>
      <w:szCs w:val="20"/>
      <w:lang w:val="en-GB"/>
    </w:rPr>
  </w:style>
  <w:style w:type="character" w:customStyle="1" w:styleId="BodyTextFirstIndent2Char">
    <w:name w:val="Body Text First Indent 2 Char"/>
    <w:basedOn w:val="BodyTextIndentChar"/>
    <w:link w:val="BodyTextFirstIndent2"/>
    <w:rsid w:val="00503BA6"/>
    <w:rPr>
      <w:sz w:val="32"/>
      <w:szCs w:val="32"/>
      <w:lang w:val="en-GB"/>
    </w:rPr>
  </w:style>
  <w:style w:type="paragraph" w:styleId="Closing">
    <w:name w:val="Closing"/>
    <w:basedOn w:val="Normal"/>
    <w:link w:val="ClosingChar"/>
    <w:rsid w:val="00503BA6"/>
    <w:pPr>
      <w:spacing w:line="240" w:lineRule="auto"/>
      <w:ind w:left="4252" w:firstLine="0"/>
      <w:jc w:val="left"/>
    </w:pPr>
    <w:rPr>
      <w:sz w:val="20"/>
      <w:szCs w:val="20"/>
      <w:lang w:val="en-GB"/>
    </w:rPr>
  </w:style>
  <w:style w:type="character" w:customStyle="1" w:styleId="ClosingChar">
    <w:name w:val="Closing Char"/>
    <w:basedOn w:val="DefaultParagraphFont"/>
    <w:link w:val="Closing"/>
    <w:rsid w:val="00503BA6"/>
    <w:rPr>
      <w:lang w:val="en-GB"/>
    </w:rPr>
  </w:style>
  <w:style w:type="paragraph" w:styleId="Date">
    <w:name w:val="Date"/>
    <w:basedOn w:val="Normal"/>
    <w:next w:val="Normal"/>
    <w:link w:val="DateChar"/>
    <w:rsid w:val="00503BA6"/>
    <w:pPr>
      <w:spacing w:line="240" w:lineRule="auto"/>
      <w:ind w:firstLine="0"/>
      <w:jc w:val="left"/>
    </w:pPr>
    <w:rPr>
      <w:sz w:val="20"/>
      <w:szCs w:val="20"/>
      <w:lang w:val="en-GB"/>
    </w:rPr>
  </w:style>
  <w:style w:type="character" w:customStyle="1" w:styleId="DateChar">
    <w:name w:val="Date Char"/>
    <w:basedOn w:val="DefaultParagraphFont"/>
    <w:link w:val="Date"/>
    <w:rsid w:val="00503BA6"/>
    <w:rPr>
      <w:lang w:val="en-GB"/>
    </w:rPr>
  </w:style>
  <w:style w:type="character" w:customStyle="1" w:styleId="DocumentMapChar">
    <w:name w:val="Document Map Char"/>
    <w:basedOn w:val="DefaultParagraphFont"/>
    <w:link w:val="DocumentMap"/>
    <w:rsid w:val="00503BA6"/>
    <w:rPr>
      <w:rFonts w:ascii="Tahoma" w:hAnsi="Tahoma" w:cs="Tahoma"/>
      <w:shd w:val="clear" w:color="auto" w:fill="000080"/>
      <w:lang w:val="en-GB"/>
    </w:rPr>
  </w:style>
  <w:style w:type="paragraph" w:styleId="DocumentMap">
    <w:name w:val="Document Map"/>
    <w:basedOn w:val="Normal"/>
    <w:link w:val="DocumentMapChar"/>
    <w:rsid w:val="00503BA6"/>
    <w:pPr>
      <w:shd w:val="clear" w:color="auto" w:fill="000080"/>
      <w:spacing w:line="240" w:lineRule="auto"/>
      <w:ind w:firstLine="0"/>
      <w:jc w:val="left"/>
    </w:pPr>
    <w:rPr>
      <w:rFonts w:ascii="Tahoma" w:hAnsi="Tahoma" w:cs="Tahoma"/>
      <w:sz w:val="20"/>
      <w:szCs w:val="20"/>
      <w:lang w:val="en-GB"/>
    </w:rPr>
  </w:style>
  <w:style w:type="paragraph" w:styleId="E-mailSignature">
    <w:name w:val="E-mail Signature"/>
    <w:basedOn w:val="Normal"/>
    <w:link w:val="E-mailSignatureChar"/>
    <w:rsid w:val="00503BA6"/>
    <w:pPr>
      <w:spacing w:line="240" w:lineRule="auto"/>
      <w:ind w:firstLine="0"/>
      <w:jc w:val="left"/>
    </w:pPr>
    <w:rPr>
      <w:sz w:val="20"/>
      <w:szCs w:val="20"/>
      <w:lang w:val="en-GB"/>
    </w:rPr>
  </w:style>
  <w:style w:type="character" w:customStyle="1" w:styleId="E-mailSignatureChar">
    <w:name w:val="E-mail Signature Char"/>
    <w:basedOn w:val="DefaultParagraphFont"/>
    <w:link w:val="E-mailSignature"/>
    <w:rsid w:val="00503BA6"/>
    <w:rPr>
      <w:lang w:val="en-GB"/>
    </w:rPr>
  </w:style>
  <w:style w:type="paragraph" w:styleId="EnvelopeAddress">
    <w:name w:val="envelope address"/>
    <w:basedOn w:val="Normal"/>
    <w:rsid w:val="00503BA6"/>
    <w:pPr>
      <w:framePr w:w="7920" w:h="1980" w:hRule="exact" w:hSpace="180" w:wrap="auto" w:hAnchor="page" w:xAlign="center" w:yAlign="bottom"/>
      <w:spacing w:line="240" w:lineRule="auto"/>
      <w:ind w:left="2880" w:firstLine="0"/>
      <w:jc w:val="left"/>
    </w:pPr>
    <w:rPr>
      <w:rFonts w:ascii="Arial" w:hAnsi="Arial" w:cs="Arial"/>
      <w:lang w:val="en-GB"/>
    </w:rPr>
  </w:style>
  <w:style w:type="paragraph" w:styleId="EnvelopeReturn">
    <w:name w:val="envelope return"/>
    <w:basedOn w:val="Normal"/>
    <w:rsid w:val="00503BA6"/>
    <w:pPr>
      <w:spacing w:line="240" w:lineRule="auto"/>
      <w:ind w:firstLine="0"/>
      <w:jc w:val="left"/>
    </w:pPr>
    <w:rPr>
      <w:rFonts w:ascii="Arial" w:hAnsi="Arial" w:cs="Arial"/>
      <w:sz w:val="20"/>
      <w:szCs w:val="20"/>
      <w:lang w:val="en-GB"/>
    </w:rPr>
  </w:style>
  <w:style w:type="paragraph" w:styleId="HTMLAddress">
    <w:name w:val="HTML Address"/>
    <w:basedOn w:val="Normal"/>
    <w:link w:val="HTMLAddressChar"/>
    <w:rsid w:val="00503BA6"/>
    <w:pPr>
      <w:spacing w:line="240" w:lineRule="auto"/>
      <w:ind w:firstLine="0"/>
      <w:jc w:val="left"/>
    </w:pPr>
    <w:rPr>
      <w:i/>
      <w:iCs/>
      <w:sz w:val="20"/>
      <w:szCs w:val="20"/>
      <w:lang w:val="en-GB"/>
    </w:rPr>
  </w:style>
  <w:style w:type="character" w:customStyle="1" w:styleId="HTMLAddressChar">
    <w:name w:val="HTML Address Char"/>
    <w:basedOn w:val="DefaultParagraphFont"/>
    <w:link w:val="HTMLAddress"/>
    <w:rsid w:val="00503BA6"/>
    <w:rPr>
      <w:i/>
      <w:iCs/>
      <w:lang w:val="en-GB"/>
    </w:rPr>
  </w:style>
  <w:style w:type="paragraph" w:styleId="Index1">
    <w:name w:val="index 1"/>
    <w:basedOn w:val="Normal"/>
    <w:next w:val="Normal"/>
    <w:autoRedefine/>
    <w:semiHidden/>
    <w:rsid w:val="00503BA6"/>
    <w:pPr>
      <w:spacing w:line="240" w:lineRule="auto"/>
      <w:ind w:left="200" w:hanging="200"/>
      <w:jc w:val="left"/>
    </w:pPr>
    <w:rPr>
      <w:sz w:val="20"/>
      <w:szCs w:val="20"/>
      <w:lang w:val="en-GB"/>
    </w:rPr>
  </w:style>
  <w:style w:type="paragraph" w:styleId="List">
    <w:name w:val="List"/>
    <w:basedOn w:val="Normal"/>
    <w:rsid w:val="00503BA6"/>
    <w:pPr>
      <w:spacing w:line="240" w:lineRule="auto"/>
      <w:ind w:left="283" w:hanging="283"/>
      <w:jc w:val="left"/>
    </w:pPr>
    <w:rPr>
      <w:sz w:val="20"/>
      <w:szCs w:val="20"/>
      <w:lang w:val="en-GB"/>
    </w:rPr>
  </w:style>
  <w:style w:type="paragraph" w:styleId="List2">
    <w:name w:val="List 2"/>
    <w:basedOn w:val="Normal"/>
    <w:rsid w:val="00503BA6"/>
    <w:pPr>
      <w:spacing w:line="240" w:lineRule="auto"/>
      <w:ind w:left="566" w:hanging="283"/>
      <w:jc w:val="left"/>
    </w:pPr>
    <w:rPr>
      <w:sz w:val="20"/>
      <w:szCs w:val="20"/>
      <w:lang w:val="en-GB"/>
    </w:rPr>
  </w:style>
  <w:style w:type="paragraph" w:styleId="List3">
    <w:name w:val="List 3"/>
    <w:basedOn w:val="Normal"/>
    <w:rsid w:val="00503BA6"/>
    <w:pPr>
      <w:spacing w:line="240" w:lineRule="auto"/>
      <w:ind w:left="849" w:hanging="283"/>
      <w:jc w:val="left"/>
    </w:pPr>
    <w:rPr>
      <w:sz w:val="20"/>
      <w:szCs w:val="20"/>
      <w:lang w:val="en-GB"/>
    </w:rPr>
  </w:style>
  <w:style w:type="paragraph" w:styleId="List4">
    <w:name w:val="List 4"/>
    <w:basedOn w:val="Normal"/>
    <w:rsid w:val="00503BA6"/>
    <w:pPr>
      <w:spacing w:line="240" w:lineRule="auto"/>
      <w:ind w:left="1132" w:hanging="283"/>
      <w:jc w:val="left"/>
    </w:pPr>
    <w:rPr>
      <w:sz w:val="20"/>
      <w:szCs w:val="20"/>
      <w:lang w:val="en-GB"/>
    </w:rPr>
  </w:style>
  <w:style w:type="paragraph" w:styleId="List5">
    <w:name w:val="List 5"/>
    <w:basedOn w:val="Normal"/>
    <w:rsid w:val="00503BA6"/>
    <w:pPr>
      <w:spacing w:line="240" w:lineRule="auto"/>
      <w:ind w:left="1415" w:hanging="283"/>
      <w:jc w:val="left"/>
    </w:pPr>
    <w:rPr>
      <w:sz w:val="20"/>
      <w:szCs w:val="20"/>
      <w:lang w:val="en-GB"/>
    </w:rPr>
  </w:style>
  <w:style w:type="paragraph" w:styleId="ListBullet">
    <w:name w:val="List Bullet"/>
    <w:basedOn w:val="Normal"/>
    <w:autoRedefine/>
    <w:rsid w:val="00503BA6"/>
    <w:pPr>
      <w:numPr>
        <w:numId w:val="4"/>
      </w:numPr>
      <w:spacing w:line="240" w:lineRule="auto"/>
      <w:jc w:val="left"/>
    </w:pPr>
    <w:rPr>
      <w:sz w:val="20"/>
      <w:szCs w:val="20"/>
      <w:lang w:val="en-GB"/>
    </w:rPr>
  </w:style>
  <w:style w:type="paragraph" w:styleId="ListBullet2">
    <w:name w:val="List Bullet 2"/>
    <w:basedOn w:val="Normal"/>
    <w:autoRedefine/>
    <w:rsid w:val="00503BA6"/>
    <w:pPr>
      <w:numPr>
        <w:numId w:val="5"/>
      </w:numPr>
      <w:spacing w:line="240" w:lineRule="auto"/>
      <w:jc w:val="left"/>
    </w:pPr>
    <w:rPr>
      <w:sz w:val="20"/>
      <w:szCs w:val="20"/>
      <w:lang w:val="en-GB"/>
    </w:rPr>
  </w:style>
  <w:style w:type="paragraph" w:styleId="ListBullet3">
    <w:name w:val="List Bullet 3"/>
    <w:basedOn w:val="Normal"/>
    <w:autoRedefine/>
    <w:rsid w:val="00503BA6"/>
    <w:pPr>
      <w:numPr>
        <w:numId w:val="6"/>
      </w:numPr>
      <w:spacing w:line="240" w:lineRule="auto"/>
      <w:jc w:val="left"/>
    </w:pPr>
    <w:rPr>
      <w:sz w:val="20"/>
      <w:szCs w:val="20"/>
      <w:lang w:val="en-GB"/>
    </w:rPr>
  </w:style>
  <w:style w:type="paragraph" w:styleId="ListBullet4">
    <w:name w:val="List Bullet 4"/>
    <w:basedOn w:val="Normal"/>
    <w:autoRedefine/>
    <w:rsid w:val="00503BA6"/>
    <w:pPr>
      <w:numPr>
        <w:numId w:val="7"/>
      </w:numPr>
      <w:spacing w:line="240" w:lineRule="auto"/>
      <w:jc w:val="left"/>
    </w:pPr>
    <w:rPr>
      <w:sz w:val="20"/>
      <w:szCs w:val="20"/>
      <w:lang w:val="en-GB"/>
    </w:rPr>
  </w:style>
  <w:style w:type="paragraph" w:styleId="ListBullet5">
    <w:name w:val="List Bullet 5"/>
    <w:basedOn w:val="Normal"/>
    <w:autoRedefine/>
    <w:rsid w:val="00503BA6"/>
    <w:pPr>
      <w:numPr>
        <w:numId w:val="8"/>
      </w:numPr>
      <w:spacing w:line="240" w:lineRule="auto"/>
      <w:jc w:val="left"/>
    </w:pPr>
    <w:rPr>
      <w:sz w:val="20"/>
      <w:szCs w:val="20"/>
      <w:lang w:val="en-GB"/>
    </w:rPr>
  </w:style>
  <w:style w:type="paragraph" w:styleId="ListContinue">
    <w:name w:val="List Continue"/>
    <w:basedOn w:val="Normal"/>
    <w:rsid w:val="00503BA6"/>
    <w:pPr>
      <w:spacing w:after="120" w:line="240" w:lineRule="auto"/>
      <w:ind w:left="283" w:firstLine="0"/>
      <w:jc w:val="left"/>
    </w:pPr>
    <w:rPr>
      <w:sz w:val="20"/>
      <w:szCs w:val="20"/>
      <w:lang w:val="en-GB"/>
    </w:rPr>
  </w:style>
  <w:style w:type="paragraph" w:styleId="ListContinue2">
    <w:name w:val="List Continue 2"/>
    <w:basedOn w:val="Normal"/>
    <w:rsid w:val="00503BA6"/>
    <w:pPr>
      <w:spacing w:after="120" w:line="240" w:lineRule="auto"/>
      <w:ind w:left="566" w:firstLine="0"/>
      <w:jc w:val="left"/>
    </w:pPr>
    <w:rPr>
      <w:sz w:val="20"/>
      <w:szCs w:val="20"/>
      <w:lang w:val="en-GB"/>
    </w:rPr>
  </w:style>
  <w:style w:type="paragraph" w:styleId="ListContinue3">
    <w:name w:val="List Continue 3"/>
    <w:basedOn w:val="Normal"/>
    <w:rsid w:val="00503BA6"/>
    <w:pPr>
      <w:spacing w:after="120" w:line="240" w:lineRule="auto"/>
      <w:ind w:left="849" w:firstLine="0"/>
      <w:jc w:val="left"/>
    </w:pPr>
    <w:rPr>
      <w:sz w:val="20"/>
      <w:szCs w:val="20"/>
      <w:lang w:val="en-GB"/>
    </w:rPr>
  </w:style>
  <w:style w:type="paragraph" w:styleId="ListContinue4">
    <w:name w:val="List Continue 4"/>
    <w:basedOn w:val="Normal"/>
    <w:rsid w:val="00503BA6"/>
    <w:pPr>
      <w:spacing w:after="120" w:line="240" w:lineRule="auto"/>
      <w:ind w:left="1132" w:firstLine="0"/>
      <w:jc w:val="left"/>
    </w:pPr>
    <w:rPr>
      <w:sz w:val="20"/>
      <w:szCs w:val="20"/>
      <w:lang w:val="en-GB"/>
    </w:rPr>
  </w:style>
  <w:style w:type="paragraph" w:styleId="ListContinue5">
    <w:name w:val="List Continue 5"/>
    <w:basedOn w:val="Normal"/>
    <w:rsid w:val="00503BA6"/>
    <w:pPr>
      <w:spacing w:after="120" w:line="240" w:lineRule="auto"/>
      <w:ind w:left="1415" w:firstLine="0"/>
      <w:jc w:val="left"/>
    </w:pPr>
    <w:rPr>
      <w:sz w:val="20"/>
      <w:szCs w:val="20"/>
      <w:lang w:val="en-GB"/>
    </w:rPr>
  </w:style>
  <w:style w:type="paragraph" w:styleId="ListNumber2">
    <w:name w:val="List Number 2"/>
    <w:basedOn w:val="Normal"/>
    <w:rsid w:val="00503BA6"/>
    <w:pPr>
      <w:numPr>
        <w:numId w:val="9"/>
      </w:numPr>
      <w:spacing w:line="240" w:lineRule="auto"/>
      <w:jc w:val="left"/>
    </w:pPr>
    <w:rPr>
      <w:sz w:val="20"/>
      <w:szCs w:val="20"/>
      <w:lang w:val="en-GB"/>
    </w:rPr>
  </w:style>
  <w:style w:type="paragraph" w:styleId="ListNumber3">
    <w:name w:val="List Number 3"/>
    <w:basedOn w:val="Normal"/>
    <w:rsid w:val="00503BA6"/>
    <w:pPr>
      <w:numPr>
        <w:numId w:val="10"/>
      </w:numPr>
      <w:spacing w:line="240" w:lineRule="auto"/>
      <w:jc w:val="left"/>
    </w:pPr>
    <w:rPr>
      <w:sz w:val="20"/>
      <w:szCs w:val="20"/>
      <w:lang w:val="en-GB"/>
    </w:rPr>
  </w:style>
  <w:style w:type="paragraph" w:styleId="ListNumber4">
    <w:name w:val="List Number 4"/>
    <w:basedOn w:val="Normal"/>
    <w:rsid w:val="00503BA6"/>
    <w:pPr>
      <w:numPr>
        <w:numId w:val="11"/>
      </w:numPr>
      <w:spacing w:line="240" w:lineRule="auto"/>
      <w:jc w:val="left"/>
    </w:pPr>
    <w:rPr>
      <w:sz w:val="20"/>
      <w:szCs w:val="20"/>
      <w:lang w:val="en-GB"/>
    </w:rPr>
  </w:style>
  <w:style w:type="paragraph" w:styleId="ListNumber5">
    <w:name w:val="List Number 5"/>
    <w:basedOn w:val="Normal"/>
    <w:rsid w:val="00503BA6"/>
    <w:pPr>
      <w:numPr>
        <w:numId w:val="12"/>
      </w:numPr>
      <w:spacing w:line="240" w:lineRule="auto"/>
      <w:jc w:val="left"/>
    </w:pPr>
    <w:rPr>
      <w:sz w:val="20"/>
      <w:szCs w:val="20"/>
      <w:lang w:val="en-GB"/>
    </w:rPr>
  </w:style>
  <w:style w:type="character" w:customStyle="1" w:styleId="MacroTextChar">
    <w:name w:val="Macro Text Char"/>
    <w:basedOn w:val="DefaultParagraphFont"/>
    <w:link w:val="MacroText"/>
    <w:semiHidden/>
    <w:rsid w:val="00503BA6"/>
    <w:rPr>
      <w:rFonts w:ascii="Courier New" w:hAnsi="Courier New" w:cs="Courier New"/>
    </w:rPr>
  </w:style>
  <w:style w:type="paragraph" w:styleId="MacroText">
    <w:name w:val="macro"/>
    <w:link w:val="MacroTextChar"/>
    <w:semiHidden/>
    <w:rsid w:val="00503BA6"/>
    <w:pPr>
      <w:tabs>
        <w:tab w:val="left" w:pos="480"/>
        <w:tab w:val="left" w:pos="960"/>
        <w:tab w:val="left" w:pos="1440"/>
        <w:tab w:val="left" w:pos="1920"/>
        <w:tab w:val="left" w:pos="2400"/>
        <w:tab w:val="left" w:pos="2880"/>
        <w:tab w:val="left" w:pos="3360"/>
        <w:tab w:val="left" w:pos="3840"/>
        <w:tab w:val="left" w:pos="4320"/>
      </w:tabs>
      <w:spacing w:line="240" w:lineRule="auto"/>
      <w:ind w:firstLine="0"/>
      <w:jc w:val="left"/>
    </w:pPr>
    <w:rPr>
      <w:rFonts w:ascii="Courier New" w:hAnsi="Courier New" w:cs="Courier New"/>
    </w:rPr>
  </w:style>
  <w:style w:type="paragraph" w:styleId="MessageHeader">
    <w:name w:val="Message Header"/>
    <w:basedOn w:val="Normal"/>
    <w:link w:val="MessageHeaderChar"/>
    <w:rsid w:val="00503BA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left"/>
    </w:pPr>
    <w:rPr>
      <w:rFonts w:ascii="Arial" w:hAnsi="Arial" w:cs="Arial"/>
      <w:lang w:val="en-GB"/>
    </w:rPr>
  </w:style>
  <w:style w:type="character" w:customStyle="1" w:styleId="MessageHeaderChar">
    <w:name w:val="Message Header Char"/>
    <w:basedOn w:val="DefaultParagraphFont"/>
    <w:link w:val="MessageHeader"/>
    <w:rsid w:val="00503BA6"/>
    <w:rPr>
      <w:rFonts w:ascii="Arial" w:hAnsi="Arial" w:cs="Arial"/>
      <w:sz w:val="24"/>
      <w:szCs w:val="24"/>
      <w:shd w:val="pct20" w:color="auto" w:fill="auto"/>
      <w:lang w:val="en-GB"/>
    </w:rPr>
  </w:style>
  <w:style w:type="paragraph" w:styleId="NormalIndent">
    <w:name w:val="Normal Indent"/>
    <w:basedOn w:val="Normal"/>
    <w:rsid w:val="00503BA6"/>
    <w:pPr>
      <w:spacing w:line="240" w:lineRule="auto"/>
      <w:ind w:left="720" w:firstLine="0"/>
      <w:jc w:val="left"/>
    </w:pPr>
    <w:rPr>
      <w:sz w:val="20"/>
      <w:szCs w:val="20"/>
      <w:lang w:val="en-GB"/>
    </w:rPr>
  </w:style>
  <w:style w:type="paragraph" w:styleId="NoteHeading">
    <w:name w:val="Note Heading"/>
    <w:basedOn w:val="Normal"/>
    <w:next w:val="Normal"/>
    <w:link w:val="NoteHeadingChar"/>
    <w:rsid w:val="00503BA6"/>
    <w:pPr>
      <w:spacing w:line="240" w:lineRule="auto"/>
      <w:ind w:firstLine="0"/>
      <w:jc w:val="left"/>
    </w:pPr>
    <w:rPr>
      <w:sz w:val="20"/>
      <w:szCs w:val="20"/>
      <w:lang w:val="en-GB"/>
    </w:rPr>
  </w:style>
  <w:style w:type="character" w:customStyle="1" w:styleId="NoteHeadingChar">
    <w:name w:val="Note Heading Char"/>
    <w:basedOn w:val="DefaultParagraphFont"/>
    <w:link w:val="NoteHeading"/>
    <w:rsid w:val="00503BA6"/>
    <w:rPr>
      <w:lang w:val="en-GB"/>
    </w:rPr>
  </w:style>
  <w:style w:type="paragraph" w:styleId="Salutation">
    <w:name w:val="Salutation"/>
    <w:basedOn w:val="Normal"/>
    <w:next w:val="Normal"/>
    <w:link w:val="SalutationChar"/>
    <w:rsid w:val="00503BA6"/>
    <w:pPr>
      <w:spacing w:line="240" w:lineRule="auto"/>
      <w:ind w:firstLine="0"/>
      <w:jc w:val="left"/>
    </w:pPr>
    <w:rPr>
      <w:sz w:val="20"/>
      <w:szCs w:val="20"/>
      <w:lang w:val="en-GB"/>
    </w:rPr>
  </w:style>
  <w:style w:type="character" w:customStyle="1" w:styleId="SalutationChar">
    <w:name w:val="Salutation Char"/>
    <w:basedOn w:val="DefaultParagraphFont"/>
    <w:link w:val="Salutation"/>
    <w:rsid w:val="00503BA6"/>
    <w:rPr>
      <w:lang w:val="en-GB"/>
    </w:rPr>
  </w:style>
  <w:style w:type="paragraph" w:styleId="Signature">
    <w:name w:val="Signature"/>
    <w:basedOn w:val="Normal"/>
    <w:link w:val="SignatureChar"/>
    <w:rsid w:val="00503BA6"/>
    <w:pPr>
      <w:spacing w:line="240" w:lineRule="auto"/>
      <w:ind w:left="4252" w:firstLine="0"/>
      <w:jc w:val="left"/>
    </w:pPr>
    <w:rPr>
      <w:sz w:val="20"/>
      <w:szCs w:val="20"/>
      <w:lang w:val="en-GB"/>
    </w:rPr>
  </w:style>
  <w:style w:type="character" w:customStyle="1" w:styleId="SignatureChar">
    <w:name w:val="Signature Char"/>
    <w:basedOn w:val="DefaultParagraphFont"/>
    <w:link w:val="Signature"/>
    <w:rsid w:val="00503BA6"/>
    <w:rPr>
      <w:lang w:val="en-GB"/>
    </w:rPr>
  </w:style>
  <w:style w:type="paragraph" w:customStyle="1" w:styleId="Body">
    <w:name w:val="Body"/>
    <w:rsid w:val="00503BA6"/>
    <w:pPr>
      <w:spacing w:after="120" w:line="240" w:lineRule="auto"/>
      <w:ind w:left="1418" w:firstLine="0"/>
      <w:jc w:val="left"/>
    </w:pPr>
    <w:rPr>
      <w:rFonts w:ascii="Arial" w:hAnsi="Arial"/>
      <w:sz w:val="22"/>
    </w:rPr>
  </w:style>
  <w:style w:type="paragraph" w:customStyle="1" w:styleId="Comment">
    <w:name w:val="Comment"/>
    <w:basedOn w:val="CommentText"/>
    <w:rsid w:val="00503BA6"/>
    <w:pPr>
      <w:spacing w:after="120"/>
      <w:ind w:left="1418"/>
    </w:pPr>
    <w:rPr>
      <w:rFonts w:ascii="Arial" w:hAnsi="Arial"/>
      <w:color w:val="0000FF"/>
      <w:sz w:val="22"/>
      <w:szCs w:val="20"/>
      <w:lang w:val="en-GB"/>
    </w:rPr>
  </w:style>
  <w:style w:type="paragraph" w:customStyle="1" w:styleId="zCoNa12p8b6aC">
    <w:name w:val="zCoNa12p8b6aC"/>
    <w:basedOn w:val="Normal"/>
    <w:rsid w:val="00503BA6"/>
    <w:pPr>
      <w:spacing w:before="160" w:after="120" w:line="240" w:lineRule="auto"/>
      <w:ind w:firstLine="0"/>
      <w:jc w:val="center"/>
    </w:pPr>
    <w:rPr>
      <w:rFonts w:ascii="Arial" w:hAnsi="Arial"/>
      <w:sz w:val="22"/>
      <w:szCs w:val="20"/>
      <w:lang w:val="en-GB"/>
    </w:rPr>
  </w:style>
  <w:style w:type="paragraph" w:customStyle="1" w:styleId="zDocNo15p8b6aC">
    <w:name w:val="zDocNo15p8b6aC"/>
    <w:basedOn w:val="Normal"/>
    <w:rsid w:val="00503BA6"/>
    <w:pPr>
      <w:widowControl w:val="0"/>
      <w:spacing w:before="160" w:after="120" w:line="240" w:lineRule="auto"/>
      <w:ind w:left="57" w:right="57" w:firstLine="0"/>
      <w:jc w:val="center"/>
    </w:pPr>
    <w:rPr>
      <w:rFonts w:ascii="Arial" w:hAnsi="Arial"/>
      <w:sz w:val="28"/>
      <w:szCs w:val="20"/>
      <w:lang w:val="en-GB"/>
    </w:rPr>
  </w:style>
  <w:style w:type="paragraph" w:customStyle="1" w:styleId="zLabel6p0bL">
    <w:name w:val="zLabel6p0bL"/>
    <w:rsid w:val="00503BA6"/>
    <w:pPr>
      <w:spacing w:line="240" w:lineRule="auto"/>
      <w:ind w:left="28" w:right="57" w:firstLine="0"/>
      <w:jc w:val="left"/>
    </w:pPr>
    <w:rPr>
      <w:rFonts w:ascii="Arial" w:hAnsi="Arial"/>
      <w:sz w:val="12"/>
    </w:rPr>
  </w:style>
  <w:style w:type="paragraph" w:customStyle="1" w:styleId="zField10p0bL">
    <w:name w:val="zField10p0bL"/>
    <w:rsid w:val="00503BA6"/>
    <w:pPr>
      <w:spacing w:line="240" w:lineRule="auto"/>
      <w:ind w:left="28" w:right="57" w:firstLine="0"/>
      <w:jc w:val="left"/>
    </w:pPr>
    <w:rPr>
      <w:rFonts w:ascii="Arial" w:hAnsi="Arial"/>
      <w:noProof/>
    </w:rPr>
  </w:style>
  <w:style w:type="paragraph" w:customStyle="1" w:styleId="zClause6p0bL">
    <w:name w:val="zClause6p0bL"/>
    <w:rsid w:val="00503BA6"/>
    <w:pPr>
      <w:pBdr>
        <w:bottom w:val="single" w:sz="6" w:space="1" w:color="auto"/>
      </w:pBdr>
      <w:spacing w:line="240" w:lineRule="auto"/>
      <w:ind w:firstLine="0"/>
      <w:jc w:val="left"/>
    </w:pPr>
    <w:rPr>
      <w:rFonts w:ascii="Arial" w:hAnsi="Arial"/>
      <w:sz w:val="12"/>
    </w:rPr>
  </w:style>
  <w:style w:type="paragraph" w:customStyle="1" w:styleId="HelpText">
    <w:name w:val="Help Text"/>
    <w:basedOn w:val="Comment"/>
    <w:next w:val="Body"/>
    <w:rsid w:val="00503BA6"/>
    <w:pPr>
      <w:spacing w:before="40" w:after="40"/>
      <w:ind w:left="720" w:hanging="720"/>
      <w:jc w:val="left"/>
    </w:pPr>
    <w:rPr>
      <w:rFonts w:ascii="Times New Roman" w:hAnsi="Times New Roman"/>
      <w:i/>
      <w:vanish/>
      <w:sz w:val="20"/>
    </w:rPr>
  </w:style>
  <w:style w:type="paragraph" w:customStyle="1" w:styleId="MainTitle">
    <w:name w:val="Main Title"/>
    <w:basedOn w:val="Normal"/>
    <w:rsid w:val="00503BA6"/>
    <w:pPr>
      <w:widowControl w:val="0"/>
      <w:spacing w:before="480" w:after="60" w:line="240" w:lineRule="auto"/>
      <w:ind w:firstLine="0"/>
      <w:jc w:val="center"/>
    </w:pPr>
    <w:rPr>
      <w:rFonts w:ascii="Arial" w:hAnsi="Arial"/>
      <w:b/>
      <w:kern w:val="28"/>
      <w:sz w:val="32"/>
      <w:szCs w:val="20"/>
      <w:lang w:val="en-GB"/>
    </w:rPr>
  </w:style>
  <w:style w:type="character" w:customStyle="1" w:styleId="hit">
    <w:name w:val="hit"/>
    <w:rsid w:val="00503BA6"/>
    <w:rPr>
      <w:b/>
      <w:bCs/>
      <w:color w:val="FF0000"/>
    </w:rPr>
  </w:style>
  <w:style w:type="character" w:customStyle="1" w:styleId="goohl0">
    <w:name w:val="goohl0"/>
    <w:basedOn w:val="DefaultParagraphFont"/>
    <w:rsid w:val="00503BA6"/>
  </w:style>
  <w:style w:type="paragraph" w:customStyle="1" w:styleId="Figure">
    <w:name w:val="Figure"/>
    <w:basedOn w:val="BodyTextIndent"/>
    <w:rsid w:val="00503BA6"/>
    <w:pPr>
      <w:numPr>
        <w:numId w:val="13"/>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autoSpaceDN/>
      <w:adjustRightInd/>
      <w:spacing w:line="240" w:lineRule="auto"/>
      <w:jc w:val="center"/>
    </w:pPr>
    <w:rPr>
      <w:rFonts w:eastAsia="Times New Roman"/>
      <w:b/>
      <w:sz w:val="20"/>
      <w:szCs w:val="22"/>
      <w:lang w:val="en-GB"/>
    </w:rPr>
  </w:style>
  <w:style w:type="character" w:customStyle="1" w:styleId="goohl1">
    <w:name w:val="goohl1"/>
    <w:basedOn w:val="DefaultParagraphFont"/>
    <w:rsid w:val="00503BA6"/>
  </w:style>
  <w:style w:type="character" w:customStyle="1" w:styleId="goohl2">
    <w:name w:val="goohl2"/>
    <w:basedOn w:val="DefaultParagraphFont"/>
    <w:rsid w:val="00503BA6"/>
  </w:style>
  <w:style w:type="character" w:customStyle="1" w:styleId="sectionheaders1">
    <w:name w:val="sectionheaders1"/>
    <w:rsid w:val="00503BA6"/>
    <w:rPr>
      <w:rFonts w:ascii="Arial" w:hAnsi="Arial" w:cs="Arial" w:hint="default"/>
      <w:b/>
      <w:bCs/>
      <w:color w:val="CD6600"/>
      <w:sz w:val="17"/>
      <w:szCs w:val="17"/>
    </w:rPr>
  </w:style>
  <w:style w:type="character" w:customStyle="1" w:styleId="w1">
    <w:name w:val="w1"/>
    <w:rsid w:val="00503BA6"/>
    <w:rPr>
      <w:color w:val="0000CC"/>
    </w:rPr>
  </w:style>
  <w:style w:type="character" w:customStyle="1" w:styleId="a">
    <w:name w:val="a"/>
    <w:basedOn w:val="DefaultParagraphFont"/>
    <w:rsid w:val="00503BA6"/>
  </w:style>
  <w:style w:type="paragraph" w:customStyle="1" w:styleId="MTDisplayEquation">
    <w:name w:val="MTDisplayEquation"/>
    <w:basedOn w:val="Text"/>
    <w:next w:val="Normal"/>
    <w:link w:val="MTDisplayEquationChar"/>
    <w:rsid w:val="00503BA6"/>
    <w:pPr>
      <w:tabs>
        <w:tab w:val="center" w:pos="2520"/>
        <w:tab w:val="right" w:pos="5040"/>
      </w:tabs>
    </w:pPr>
    <w:rPr>
      <w:rFonts w:eastAsia="Times New Roman"/>
    </w:rPr>
  </w:style>
  <w:style w:type="character" w:customStyle="1" w:styleId="MTDisplayEquationChar">
    <w:name w:val="MTDisplayEquation Char"/>
    <w:link w:val="MTDisplayEquation"/>
    <w:rsid w:val="00503BA6"/>
    <w:rPr>
      <w:rFonts w:eastAsia="Times New Roman"/>
    </w:rPr>
  </w:style>
  <w:style w:type="character" w:customStyle="1" w:styleId="MTEquationSection">
    <w:name w:val="MTEquationSection"/>
    <w:rsid w:val="00503BA6"/>
    <w:rPr>
      <w:vanish/>
      <w:color w:val="FF0000"/>
      <w:sz w:val="40"/>
      <w:szCs w:val="40"/>
    </w:rPr>
  </w:style>
  <w:style w:type="character" w:customStyle="1" w:styleId="Heading2Char">
    <w:name w:val="Heading 2 Char"/>
    <w:link w:val="Heading2"/>
    <w:uiPriority w:val="9"/>
    <w:rsid w:val="004B5C30"/>
    <w:rPr>
      <w:rFonts w:cs="Arial"/>
      <w:b/>
      <w:bCs/>
      <w:iCs/>
      <w:sz w:val="26"/>
      <w:szCs w:val="28"/>
    </w:rPr>
  </w:style>
  <w:style w:type="character" w:customStyle="1" w:styleId="Heading3Char">
    <w:name w:val="Heading 3 Char"/>
    <w:link w:val="Heading3"/>
    <w:uiPriority w:val="9"/>
    <w:rsid w:val="007C2582"/>
    <w:rPr>
      <w:rFonts w:cs="Arial"/>
      <w:b/>
      <w:bCs/>
      <w:sz w:val="24"/>
      <w:szCs w:val="26"/>
    </w:rPr>
  </w:style>
  <w:style w:type="character" w:customStyle="1" w:styleId="FigureCaptionChar">
    <w:name w:val="Figure Caption Char"/>
    <w:link w:val="FigureCaption0"/>
    <w:rsid w:val="007C2582"/>
    <w:rPr>
      <w:sz w:val="16"/>
      <w:szCs w:val="24"/>
    </w:rPr>
  </w:style>
  <w:style w:type="character" w:customStyle="1" w:styleId="CaptionChar1">
    <w:name w:val="Caption Char1"/>
    <w:aliases w:val="Caption Char Char,Caption Char Char Char Char,Caption Char Char Char Char Char Char Char Char Char Char Char"/>
    <w:link w:val="Caption"/>
    <w:rsid w:val="009D0201"/>
    <w:rPr>
      <w:bCs/>
      <w:sz w:val="24"/>
    </w:rPr>
  </w:style>
  <w:style w:type="character" w:customStyle="1" w:styleId="rwrro">
    <w:name w:val="rwrro"/>
    <w:rsid w:val="007C2582"/>
    <w:rPr>
      <w:strike w:val="0"/>
      <w:dstrike w:val="0"/>
      <w:color w:val="4A80BC"/>
      <w:u w:val="none"/>
      <w:effect w:val="none"/>
    </w:rPr>
  </w:style>
  <w:style w:type="character" w:customStyle="1" w:styleId="snippet">
    <w:name w:val="snippet"/>
    <w:basedOn w:val="DefaultParagraphFont"/>
    <w:rsid w:val="007C2582"/>
  </w:style>
  <w:style w:type="character" w:customStyle="1" w:styleId="hps">
    <w:name w:val="hps"/>
    <w:basedOn w:val="DefaultParagraphFont"/>
    <w:rsid w:val="007C2582"/>
  </w:style>
  <w:style w:type="character" w:customStyle="1" w:styleId="shorttext">
    <w:name w:val="short_text"/>
    <w:basedOn w:val="DefaultParagraphFont"/>
    <w:rsid w:val="007C2582"/>
  </w:style>
  <w:style w:type="character" w:customStyle="1" w:styleId="BodyTextIndent2Char">
    <w:name w:val="Body Text Indent 2 Char"/>
    <w:link w:val="BodyTextIndent2"/>
    <w:rsid w:val="007C2582"/>
    <w:rPr>
      <w:rFonts w:ascii="Arial" w:hAnsi="Arial" w:cs="Arial"/>
      <w:sz w:val="17"/>
      <w:szCs w:val="17"/>
    </w:rPr>
  </w:style>
  <w:style w:type="character" w:customStyle="1" w:styleId="b">
    <w:name w:val="b"/>
    <w:basedOn w:val="DefaultParagraphFont"/>
    <w:rsid w:val="007C2582"/>
  </w:style>
  <w:style w:type="character" w:customStyle="1" w:styleId="f">
    <w:name w:val="f"/>
    <w:basedOn w:val="DefaultParagraphFont"/>
    <w:rsid w:val="007C2582"/>
  </w:style>
  <w:style w:type="character" w:customStyle="1" w:styleId="displayctbr">
    <w:name w:val="displayctbr"/>
    <w:basedOn w:val="DefaultParagraphFont"/>
    <w:rsid w:val="007C2582"/>
  </w:style>
  <w:style w:type="character" w:customStyle="1" w:styleId="selected">
    <w:name w:val="selected"/>
    <w:basedOn w:val="DefaultParagraphFont"/>
    <w:rsid w:val="007C2582"/>
  </w:style>
  <w:style w:type="character" w:customStyle="1" w:styleId="booktitle">
    <w:name w:val="booktitle"/>
    <w:basedOn w:val="DefaultParagraphFont"/>
    <w:rsid w:val="007C2582"/>
  </w:style>
  <w:style w:type="character" w:customStyle="1" w:styleId="journalvolume">
    <w:name w:val="journalvolume"/>
    <w:basedOn w:val="DefaultParagraphFont"/>
    <w:rsid w:val="007C2582"/>
  </w:style>
  <w:style w:type="character" w:customStyle="1" w:styleId="CharChar17">
    <w:name w:val="Char Char17"/>
    <w:rsid w:val="007C2582"/>
    <w:rPr>
      <w:rFonts w:eastAsia="宋体"/>
      <w:kern w:val="2"/>
      <w:lang w:val="en-US" w:eastAsia="zh-TW" w:bidi="ar-SA"/>
    </w:rPr>
  </w:style>
  <w:style w:type="paragraph" w:customStyle="1" w:styleId="a0">
    <w:name w:val="图标题"/>
    <w:basedOn w:val="Normal"/>
    <w:autoRedefine/>
    <w:rsid w:val="007C2582"/>
    <w:pPr>
      <w:widowControl w:val="0"/>
      <w:adjustRightInd w:val="0"/>
      <w:snapToGrid w:val="0"/>
      <w:spacing w:beforeLines="50" w:before="156" w:line="240" w:lineRule="auto"/>
      <w:ind w:firstLine="0"/>
      <w:jc w:val="center"/>
    </w:pPr>
    <w:rPr>
      <w:rFonts w:cs="宋体"/>
      <w:b/>
      <w:kern w:val="2"/>
      <w:sz w:val="21"/>
      <w:szCs w:val="21"/>
      <w:lang w:eastAsia="zh-CN"/>
    </w:rPr>
  </w:style>
  <w:style w:type="paragraph" w:customStyle="1" w:styleId="15">
    <w:name w:val="样式 表格标题 + 行距: 1.5 倍行距"/>
    <w:basedOn w:val="Normal"/>
    <w:rsid w:val="007C2582"/>
    <w:pPr>
      <w:widowControl w:val="0"/>
      <w:spacing w:line="240" w:lineRule="auto"/>
      <w:ind w:firstLine="0"/>
    </w:pPr>
    <w:rPr>
      <w:rFonts w:cs="宋体"/>
      <w:b/>
      <w:bCs/>
      <w:kern w:val="2"/>
      <w:sz w:val="18"/>
      <w:szCs w:val="20"/>
      <w:lang w:eastAsia="zh-CN"/>
    </w:rPr>
  </w:style>
  <w:style w:type="paragraph" w:customStyle="1" w:styleId="Affiliations">
    <w:name w:val="Affiliations"/>
    <w:basedOn w:val="Normal"/>
    <w:rsid w:val="007C2582"/>
    <w:pPr>
      <w:widowControl w:val="0"/>
      <w:spacing w:line="240" w:lineRule="auto"/>
      <w:ind w:firstLine="193"/>
      <w:jc w:val="center"/>
    </w:pPr>
    <w:rPr>
      <w:rFonts w:eastAsia="MS Mincho"/>
      <w:kern w:val="2"/>
      <w:sz w:val="20"/>
      <w:szCs w:val="20"/>
      <w:lang w:val="en-GB" w:eastAsia="ja-JP"/>
    </w:rPr>
  </w:style>
  <w:style w:type="character" w:customStyle="1" w:styleId="BodyText20">
    <w:name w:val="Body Text2"/>
    <w:uiPriority w:val="99"/>
    <w:rsid w:val="007C2582"/>
    <w:rPr>
      <w:rFonts w:ascii="Verdana" w:hAnsi="Verdana" w:cs="Verdana"/>
      <w:color w:val="000000"/>
      <w:sz w:val="22"/>
      <w:szCs w:val="22"/>
    </w:rPr>
  </w:style>
  <w:style w:type="paragraph" w:customStyle="1" w:styleId="figurecaption">
    <w:name w:val="figure caption"/>
    <w:rsid w:val="002D7E76"/>
    <w:pPr>
      <w:numPr>
        <w:numId w:val="28"/>
      </w:numPr>
      <w:spacing w:before="80" w:after="200" w:line="240" w:lineRule="auto"/>
      <w:ind w:firstLine="0"/>
      <w:jc w:val="center"/>
    </w:pPr>
    <w:rPr>
      <w:noProof/>
      <w:sz w:val="16"/>
      <w:szCs w:val="16"/>
    </w:rPr>
  </w:style>
  <w:style w:type="paragraph" w:styleId="NoSpacing">
    <w:name w:val="No Spacing"/>
    <w:uiPriority w:val="1"/>
    <w:qFormat/>
    <w:rsid w:val="00797BE5"/>
    <w:pPr>
      <w:spacing w:line="240" w:lineRule="auto"/>
    </w:pPr>
    <w:rPr>
      <w:sz w:val="24"/>
      <w:szCs w:val="24"/>
    </w:rPr>
  </w:style>
  <w:style w:type="character" w:styleId="LineNumber">
    <w:name w:val="line number"/>
    <w:basedOn w:val="DefaultParagraphFont"/>
    <w:semiHidden/>
    <w:unhideWhenUsed/>
    <w:rsid w:val="00DA6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3536">
      <w:bodyDiv w:val="1"/>
      <w:marLeft w:val="0"/>
      <w:marRight w:val="0"/>
      <w:marTop w:val="0"/>
      <w:marBottom w:val="0"/>
      <w:divBdr>
        <w:top w:val="none" w:sz="0" w:space="0" w:color="auto"/>
        <w:left w:val="none" w:sz="0" w:space="0" w:color="auto"/>
        <w:bottom w:val="none" w:sz="0" w:space="0" w:color="auto"/>
        <w:right w:val="none" w:sz="0" w:space="0" w:color="auto"/>
      </w:divBdr>
    </w:div>
    <w:div w:id="175272389">
      <w:bodyDiv w:val="1"/>
      <w:marLeft w:val="0"/>
      <w:marRight w:val="0"/>
      <w:marTop w:val="0"/>
      <w:marBottom w:val="0"/>
      <w:divBdr>
        <w:top w:val="none" w:sz="0" w:space="0" w:color="auto"/>
        <w:left w:val="none" w:sz="0" w:space="0" w:color="auto"/>
        <w:bottom w:val="none" w:sz="0" w:space="0" w:color="auto"/>
        <w:right w:val="none" w:sz="0" w:space="0" w:color="auto"/>
      </w:divBdr>
    </w:div>
    <w:div w:id="185337117">
      <w:bodyDiv w:val="1"/>
      <w:marLeft w:val="0"/>
      <w:marRight w:val="0"/>
      <w:marTop w:val="0"/>
      <w:marBottom w:val="0"/>
      <w:divBdr>
        <w:top w:val="none" w:sz="0" w:space="0" w:color="auto"/>
        <w:left w:val="none" w:sz="0" w:space="0" w:color="auto"/>
        <w:bottom w:val="none" w:sz="0" w:space="0" w:color="auto"/>
        <w:right w:val="none" w:sz="0" w:space="0" w:color="auto"/>
      </w:divBdr>
    </w:div>
    <w:div w:id="318655843">
      <w:bodyDiv w:val="1"/>
      <w:marLeft w:val="0"/>
      <w:marRight w:val="0"/>
      <w:marTop w:val="0"/>
      <w:marBottom w:val="0"/>
      <w:divBdr>
        <w:top w:val="none" w:sz="0" w:space="0" w:color="auto"/>
        <w:left w:val="none" w:sz="0" w:space="0" w:color="auto"/>
        <w:bottom w:val="none" w:sz="0" w:space="0" w:color="auto"/>
        <w:right w:val="none" w:sz="0" w:space="0" w:color="auto"/>
      </w:divBdr>
    </w:div>
    <w:div w:id="370419033">
      <w:bodyDiv w:val="1"/>
      <w:marLeft w:val="0"/>
      <w:marRight w:val="0"/>
      <w:marTop w:val="0"/>
      <w:marBottom w:val="0"/>
      <w:divBdr>
        <w:top w:val="none" w:sz="0" w:space="0" w:color="auto"/>
        <w:left w:val="none" w:sz="0" w:space="0" w:color="auto"/>
        <w:bottom w:val="none" w:sz="0" w:space="0" w:color="auto"/>
        <w:right w:val="none" w:sz="0" w:space="0" w:color="auto"/>
      </w:divBdr>
      <w:divsChild>
        <w:div w:id="799146906">
          <w:marLeft w:val="0"/>
          <w:marRight w:val="0"/>
          <w:marTop w:val="0"/>
          <w:marBottom w:val="0"/>
          <w:divBdr>
            <w:top w:val="none" w:sz="0" w:space="0" w:color="auto"/>
            <w:left w:val="none" w:sz="0" w:space="0" w:color="auto"/>
            <w:bottom w:val="none" w:sz="0" w:space="0" w:color="auto"/>
            <w:right w:val="none" w:sz="0" w:space="0" w:color="auto"/>
          </w:divBdr>
          <w:divsChild>
            <w:div w:id="307823784">
              <w:marLeft w:val="0"/>
              <w:marRight w:val="0"/>
              <w:marTop w:val="0"/>
              <w:marBottom w:val="0"/>
              <w:divBdr>
                <w:top w:val="none" w:sz="0" w:space="0" w:color="auto"/>
                <w:left w:val="none" w:sz="0" w:space="0" w:color="auto"/>
                <w:bottom w:val="none" w:sz="0" w:space="0" w:color="auto"/>
                <w:right w:val="none" w:sz="0" w:space="0" w:color="auto"/>
              </w:divBdr>
              <w:divsChild>
                <w:div w:id="1339965928">
                  <w:marLeft w:val="0"/>
                  <w:marRight w:val="0"/>
                  <w:marTop w:val="0"/>
                  <w:marBottom w:val="0"/>
                  <w:divBdr>
                    <w:top w:val="none" w:sz="0" w:space="0" w:color="auto"/>
                    <w:left w:val="none" w:sz="0" w:space="0" w:color="auto"/>
                    <w:bottom w:val="none" w:sz="0" w:space="0" w:color="auto"/>
                    <w:right w:val="none" w:sz="0" w:space="0" w:color="auto"/>
                  </w:divBdr>
                  <w:divsChild>
                    <w:div w:id="1084373286">
                      <w:marLeft w:val="0"/>
                      <w:marRight w:val="0"/>
                      <w:marTop w:val="0"/>
                      <w:marBottom w:val="0"/>
                      <w:divBdr>
                        <w:top w:val="none" w:sz="0" w:space="0" w:color="auto"/>
                        <w:left w:val="none" w:sz="0" w:space="0" w:color="auto"/>
                        <w:bottom w:val="none" w:sz="0" w:space="0" w:color="auto"/>
                        <w:right w:val="none" w:sz="0" w:space="0" w:color="auto"/>
                      </w:divBdr>
                      <w:divsChild>
                        <w:div w:id="1579634754">
                          <w:marLeft w:val="0"/>
                          <w:marRight w:val="0"/>
                          <w:marTop w:val="0"/>
                          <w:marBottom w:val="0"/>
                          <w:divBdr>
                            <w:top w:val="none" w:sz="0" w:space="0" w:color="auto"/>
                            <w:left w:val="none" w:sz="0" w:space="0" w:color="auto"/>
                            <w:bottom w:val="none" w:sz="0" w:space="0" w:color="auto"/>
                            <w:right w:val="none" w:sz="0" w:space="0" w:color="auto"/>
                          </w:divBdr>
                          <w:divsChild>
                            <w:div w:id="1973053669">
                              <w:marLeft w:val="0"/>
                              <w:marRight w:val="0"/>
                              <w:marTop w:val="0"/>
                              <w:marBottom w:val="0"/>
                              <w:divBdr>
                                <w:top w:val="none" w:sz="0" w:space="0" w:color="auto"/>
                                <w:left w:val="none" w:sz="0" w:space="0" w:color="auto"/>
                                <w:bottom w:val="none" w:sz="0" w:space="0" w:color="auto"/>
                                <w:right w:val="none" w:sz="0" w:space="0" w:color="auto"/>
                              </w:divBdr>
                              <w:divsChild>
                                <w:div w:id="941306025">
                                  <w:marLeft w:val="0"/>
                                  <w:marRight w:val="0"/>
                                  <w:marTop w:val="0"/>
                                  <w:marBottom w:val="0"/>
                                  <w:divBdr>
                                    <w:top w:val="none" w:sz="0" w:space="0" w:color="auto"/>
                                    <w:left w:val="none" w:sz="0" w:space="0" w:color="auto"/>
                                    <w:bottom w:val="none" w:sz="0" w:space="0" w:color="auto"/>
                                    <w:right w:val="none" w:sz="0" w:space="0" w:color="auto"/>
                                  </w:divBdr>
                                  <w:divsChild>
                                    <w:div w:id="2078741949">
                                      <w:marLeft w:val="0"/>
                                      <w:marRight w:val="0"/>
                                      <w:marTop w:val="0"/>
                                      <w:marBottom w:val="0"/>
                                      <w:divBdr>
                                        <w:top w:val="none" w:sz="0" w:space="0" w:color="auto"/>
                                        <w:left w:val="none" w:sz="0" w:space="0" w:color="auto"/>
                                        <w:bottom w:val="none" w:sz="0" w:space="0" w:color="auto"/>
                                        <w:right w:val="none" w:sz="0" w:space="0" w:color="auto"/>
                                      </w:divBdr>
                                      <w:divsChild>
                                        <w:div w:id="700279885">
                                          <w:marLeft w:val="0"/>
                                          <w:marRight w:val="0"/>
                                          <w:marTop w:val="0"/>
                                          <w:marBottom w:val="0"/>
                                          <w:divBdr>
                                            <w:top w:val="none" w:sz="0" w:space="0" w:color="auto"/>
                                            <w:left w:val="none" w:sz="0" w:space="0" w:color="auto"/>
                                            <w:bottom w:val="none" w:sz="0" w:space="0" w:color="auto"/>
                                            <w:right w:val="none" w:sz="0" w:space="0" w:color="auto"/>
                                          </w:divBdr>
                                          <w:divsChild>
                                            <w:div w:id="1810973788">
                                              <w:marLeft w:val="0"/>
                                              <w:marRight w:val="0"/>
                                              <w:marTop w:val="0"/>
                                              <w:marBottom w:val="0"/>
                                              <w:divBdr>
                                                <w:top w:val="none" w:sz="0" w:space="0" w:color="auto"/>
                                                <w:left w:val="none" w:sz="0" w:space="0" w:color="auto"/>
                                                <w:bottom w:val="none" w:sz="0" w:space="0" w:color="auto"/>
                                                <w:right w:val="none" w:sz="0" w:space="0" w:color="auto"/>
                                              </w:divBdr>
                                              <w:divsChild>
                                                <w:div w:id="1062563152">
                                                  <w:marLeft w:val="0"/>
                                                  <w:marRight w:val="0"/>
                                                  <w:marTop w:val="0"/>
                                                  <w:marBottom w:val="0"/>
                                                  <w:divBdr>
                                                    <w:top w:val="none" w:sz="0" w:space="0" w:color="auto"/>
                                                    <w:left w:val="none" w:sz="0" w:space="0" w:color="auto"/>
                                                    <w:bottom w:val="none" w:sz="0" w:space="0" w:color="auto"/>
                                                    <w:right w:val="none" w:sz="0" w:space="0" w:color="auto"/>
                                                  </w:divBdr>
                                                  <w:divsChild>
                                                    <w:div w:id="1490292980">
                                                      <w:marLeft w:val="0"/>
                                                      <w:marRight w:val="0"/>
                                                      <w:marTop w:val="0"/>
                                                      <w:marBottom w:val="0"/>
                                                      <w:divBdr>
                                                        <w:top w:val="none" w:sz="0" w:space="0" w:color="auto"/>
                                                        <w:left w:val="none" w:sz="0" w:space="0" w:color="auto"/>
                                                        <w:bottom w:val="none" w:sz="0" w:space="0" w:color="auto"/>
                                                        <w:right w:val="none" w:sz="0" w:space="0" w:color="auto"/>
                                                      </w:divBdr>
                                                      <w:divsChild>
                                                        <w:div w:id="1856724555">
                                                          <w:marLeft w:val="0"/>
                                                          <w:marRight w:val="0"/>
                                                          <w:marTop w:val="0"/>
                                                          <w:marBottom w:val="0"/>
                                                          <w:divBdr>
                                                            <w:top w:val="none" w:sz="0" w:space="0" w:color="auto"/>
                                                            <w:left w:val="none" w:sz="0" w:space="0" w:color="auto"/>
                                                            <w:bottom w:val="none" w:sz="0" w:space="0" w:color="auto"/>
                                                            <w:right w:val="none" w:sz="0" w:space="0" w:color="auto"/>
                                                          </w:divBdr>
                                                          <w:divsChild>
                                                            <w:div w:id="1262690085">
                                                              <w:marLeft w:val="0"/>
                                                              <w:marRight w:val="0"/>
                                                              <w:marTop w:val="0"/>
                                                              <w:marBottom w:val="0"/>
                                                              <w:divBdr>
                                                                <w:top w:val="none" w:sz="0" w:space="0" w:color="auto"/>
                                                                <w:left w:val="none" w:sz="0" w:space="0" w:color="auto"/>
                                                                <w:bottom w:val="none" w:sz="0" w:space="0" w:color="auto"/>
                                                                <w:right w:val="none" w:sz="0" w:space="0" w:color="auto"/>
                                                              </w:divBdr>
                                                              <w:divsChild>
                                                                <w:div w:id="52045213">
                                                                  <w:marLeft w:val="0"/>
                                                                  <w:marRight w:val="0"/>
                                                                  <w:marTop w:val="0"/>
                                                                  <w:marBottom w:val="0"/>
                                                                  <w:divBdr>
                                                                    <w:top w:val="none" w:sz="0" w:space="0" w:color="auto"/>
                                                                    <w:left w:val="none" w:sz="0" w:space="0" w:color="auto"/>
                                                                    <w:bottom w:val="none" w:sz="0" w:space="0" w:color="auto"/>
                                                                    <w:right w:val="none" w:sz="0" w:space="0" w:color="auto"/>
                                                                  </w:divBdr>
                                                                  <w:divsChild>
                                                                    <w:div w:id="823349811">
                                                                      <w:marLeft w:val="0"/>
                                                                      <w:marRight w:val="0"/>
                                                                      <w:marTop w:val="0"/>
                                                                      <w:marBottom w:val="0"/>
                                                                      <w:divBdr>
                                                                        <w:top w:val="none" w:sz="0" w:space="0" w:color="auto"/>
                                                                        <w:left w:val="none" w:sz="0" w:space="0" w:color="auto"/>
                                                                        <w:bottom w:val="none" w:sz="0" w:space="0" w:color="auto"/>
                                                                        <w:right w:val="none" w:sz="0" w:space="0" w:color="auto"/>
                                                                      </w:divBdr>
                                                                      <w:divsChild>
                                                                        <w:div w:id="165482892">
                                                                          <w:marLeft w:val="0"/>
                                                                          <w:marRight w:val="0"/>
                                                                          <w:marTop w:val="0"/>
                                                                          <w:marBottom w:val="0"/>
                                                                          <w:divBdr>
                                                                            <w:top w:val="none" w:sz="0" w:space="0" w:color="auto"/>
                                                                            <w:left w:val="none" w:sz="0" w:space="0" w:color="auto"/>
                                                                            <w:bottom w:val="none" w:sz="0" w:space="0" w:color="auto"/>
                                                                            <w:right w:val="none" w:sz="0" w:space="0" w:color="auto"/>
                                                                          </w:divBdr>
                                                                          <w:divsChild>
                                                                            <w:div w:id="654996843">
                                                                              <w:marLeft w:val="0"/>
                                                                              <w:marRight w:val="0"/>
                                                                              <w:marTop w:val="0"/>
                                                                              <w:marBottom w:val="0"/>
                                                                              <w:divBdr>
                                                                                <w:top w:val="none" w:sz="0" w:space="0" w:color="auto"/>
                                                                                <w:left w:val="none" w:sz="0" w:space="0" w:color="auto"/>
                                                                                <w:bottom w:val="none" w:sz="0" w:space="0" w:color="auto"/>
                                                                                <w:right w:val="none" w:sz="0" w:space="0" w:color="auto"/>
                                                                              </w:divBdr>
                                                                              <w:divsChild>
                                                                                <w:div w:id="1734427271">
                                                                                  <w:marLeft w:val="0"/>
                                                                                  <w:marRight w:val="0"/>
                                                                                  <w:marTop w:val="0"/>
                                                                                  <w:marBottom w:val="0"/>
                                                                                  <w:divBdr>
                                                                                    <w:top w:val="none" w:sz="0" w:space="0" w:color="auto"/>
                                                                                    <w:left w:val="none" w:sz="0" w:space="0" w:color="auto"/>
                                                                                    <w:bottom w:val="none" w:sz="0" w:space="0" w:color="auto"/>
                                                                                    <w:right w:val="none" w:sz="0" w:space="0" w:color="auto"/>
                                                                                  </w:divBdr>
                                                                                  <w:divsChild>
                                                                                    <w:div w:id="1558127820">
                                                                                      <w:marLeft w:val="0"/>
                                                                                      <w:marRight w:val="0"/>
                                                                                      <w:marTop w:val="0"/>
                                                                                      <w:marBottom w:val="0"/>
                                                                                      <w:divBdr>
                                                                                        <w:top w:val="none" w:sz="0" w:space="0" w:color="auto"/>
                                                                                        <w:left w:val="none" w:sz="0" w:space="0" w:color="auto"/>
                                                                                        <w:bottom w:val="none" w:sz="0" w:space="0" w:color="auto"/>
                                                                                        <w:right w:val="none" w:sz="0" w:space="0" w:color="auto"/>
                                                                                      </w:divBdr>
                                                                                      <w:divsChild>
                                                                                        <w:div w:id="2025668104">
                                                                                          <w:marLeft w:val="0"/>
                                                                                          <w:marRight w:val="0"/>
                                                                                          <w:marTop w:val="0"/>
                                                                                          <w:marBottom w:val="0"/>
                                                                                          <w:divBdr>
                                                                                            <w:top w:val="none" w:sz="0" w:space="0" w:color="auto"/>
                                                                                            <w:left w:val="none" w:sz="0" w:space="0" w:color="auto"/>
                                                                                            <w:bottom w:val="none" w:sz="0" w:space="0" w:color="auto"/>
                                                                                            <w:right w:val="none" w:sz="0" w:space="0" w:color="auto"/>
                                                                                          </w:divBdr>
                                                                                          <w:divsChild>
                                                                                            <w:div w:id="638993477">
                                                                                              <w:marLeft w:val="0"/>
                                                                                              <w:marRight w:val="0"/>
                                                                                              <w:marTop w:val="0"/>
                                                                                              <w:marBottom w:val="0"/>
                                                                                              <w:divBdr>
                                                                                                <w:top w:val="none" w:sz="0" w:space="0" w:color="auto"/>
                                                                                                <w:left w:val="none" w:sz="0" w:space="0" w:color="auto"/>
                                                                                                <w:bottom w:val="none" w:sz="0" w:space="0" w:color="auto"/>
                                                                                                <w:right w:val="none" w:sz="0" w:space="0" w:color="auto"/>
                                                                                              </w:divBdr>
                                                                                              <w:divsChild>
                                                                                                <w:div w:id="619461149">
                                                                                                  <w:marLeft w:val="0"/>
                                                                                                  <w:marRight w:val="0"/>
                                                                                                  <w:marTop w:val="0"/>
                                                                                                  <w:marBottom w:val="0"/>
                                                                                                  <w:divBdr>
                                                                                                    <w:top w:val="none" w:sz="0" w:space="0" w:color="auto"/>
                                                                                                    <w:left w:val="none" w:sz="0" w:space="0" w:color="auto"/>
                                                                                                    <w:bottom w:val="none" w:sz="0" w:space="0" w:color="auto"/>
                                                                                                    <w:right w:val="none" w:sz="0" w:space="0" w:color="auto"/>
                                                                                                  </w:divBdr>
                                                                                                  <w:divsChild>
                                                                                                    <w:div w:id="1068263058">
                                                                                                      <w:marLeft w:val="0"/>
                                                                                                      <w:marRight w:val="0"/>
                                                                                                      <w:marTop w:val="0"/>
                                                                                                      <w:marBottom w:val="0"/>
                                                                                                      <w:divBdr>
                                                                                                        <w:top w:val="none" w:sz="0" w:space="0" w:color="auto"/>
                                                                                                        <w:left w:val="none" w:sz="0" w:space="0" w:color="auto"/>
                                                                                                        <w:bottom w:val="none" w:sz="0" w:space="0" w:color="auto"/>
                                                                                                        <w:right w:val="none" w:sz="0" w:space="0" w:color="auto"/>
                                                                                                      </w:divBdr>
                                                                                                      <w:divsChild>
                                                                                                        <w:div w:id="128016848">
                                                                                                          <w:marLeft w:val="0"/>
                                                                                                          <w:marRight w:val="0"/>
                                                                                                          <w:marTop w:val="0"/>
                                                                                                          <w:marBottom w:val="0"/>
                                                                                                          <w:divBdr>
                                                                                                            <w:top w:val="none" w:sz="0" w:space="0" w:color="auto"/>
                                                                                                            <w:left w:val="none" w:sz="0" w:space="0" w:color="auto"/>
                                                                                                            <w:bottom w:val="none" w:sz="0" w:space="0" w:color="auto"/>
                                                                                                            <w:right w:val="none" w:sz="0" w:space="0" w:color="auto"/>
                                                                                                          </w:divBdr>
                                                                                                          <w:divsChild>
                                                                                                            <w:div w:id="946620416">
                                                                                                              <w:marLeft w:val="0"/>
                                                                                                              <w:marRight w:val="0"/>
                                                                                                              <w:marTop w:val="0"/>
                                                                                                              <w:marBottom w:val="0"/>
                                                                                                              <w:divBdr>
                                                                                                                <w:top w:val="none" w:sz="0" w:space="0" w:color="auto"/>
                                                                                                                <w:left w:val="none" w:sz="0" w:space="0" w:color="auto"/>
                                                                                                                <w:bottom w:val="none" w:sz="0" w:space="0" w:color="auto"/>
                                                                                                                <w:right w:val="none" w:sz="0" w:space="0" w:color="auto"/>
                                                                                                              </w:divBdr>
                                                                                                              <w:divsChild>
                                                                                                                <w:div w:id="1905800452">
                                                                                                                  <w:marLeft w:val="0"/>
                                                                                                                  <w:marRight w:val="0"/>
                                                                                                                  <w:marTop w:val="0"/>
                                                                                                                  <w:marBottom w:val="0"/>
                                                                                                                  <w:divBdr>
                                                                                                                    <w:top w:val="none" w:sz="0" w:space="0" w:color="auto"/>
                                                                                                                    <w:left w:val="none" w:sz="0" w:space="0" w:color="auto"/>
                                                                                                                    <w:bottom w:val="none" w:sz="0" w:space="0" w:color="auto"/>
                                                                                                                    <w:right w:val="none" w:sz="0" w:space="0" w:color="auto"/>
                                                                                                                  </w:divBdr>
                                                                                                                  <w:divsChild>
                                                                                                                    <w:div w:id="1102147963">
                                                                                                                      <w:marLeft w:val="0"/>
                                                                                                                      <w:marRight w:val="0"/>
                                                                                                                      <w:marTop w:val="0"/>
                                                                                                                      <w:marBottom w:val="0"/>
                                                                                                                      <w:divBdr>
                                                                                                                        <w:top w:val="none" w:sz="0" w:space="0" w:color="auto"/>
                                                                                                                        <w:left w:val="none" w:sz="0" w:space="0" w:color="auto"/>
                                                                                                                        <w:bottom w:val="none" w:sz="0" w:space="0" w:color="auto"/>
                                                                                                                        <w:right w:val="none" w:sz="0" w:space="0" w:color="auto"/>
                                                                                                                      </w:divBdr>
                                                                                                                      <w:divsChild>
                                                                                                                        <w:div w:id="1886020575">
                                                                                                                          <w:marLeft w:val="0"/>
                                                                                                                          <w:marRight w:val="0"/>
                                                                                                                          <w:marTop w:val="0"/>
                                                                                                                          <w:marBottom w:val="0"/>
                                                                                                                          <w:divBdr>
                                                                                                                            <w:top w:val="none" w:sz="0" w:space="0" w:color="auto"/>
                                                                                                                            <w:left w:val="none" w:sz="0" w:space="0" w:color="auto"/>
                                                                                                                            <w:bottom w:val="none" w:sz="0" w:space="0" w:color="auto"/>
                                                                                                                            <w:right w:val="none" w:sz="0" w:space="0" w:color="auto"/>
                                                                                                                          </w:divBdr>
                                                                                                                          <w:divsChild>
                                                                                                                            <w:div w:id="853156807">
                                                                                                                              <w:marLeft w:val="0"/>
                                                                                                                              <w:marRight w:val="0"/>
                                                                                                                              <w:marTop w:val="0"/>
                                                                                                                              <w:marBottom w:val="0"/>
                                                                                                                              <w:divBdr>
                                                                                                                                <w:top w:val="none" w:sz="0" w:space="0" w:color="auto"/>
                                                                                                                                <w:left w:val="none" w:sz="0" w:space="0" w:color="auto"/>
                                                                                                                                <w:bottom w:val="none" w:sz="0" w:space="0" w:color="auto"/>
                                                                                                                                <w:right w:val="none" w:sz="0" w:space="0" w:color="auto"/>
                                                                                                                              </w:divBdr>
                                                                                                                              <w:divsChild>
                                                                                                                                <w:div w:id="1698114236">
                                                                                                                                  <w:marLeft w:val="0"/>
                                                                                                                                  <w:marRight w:val="0"/>
                                                                                                                                  <w:marTop w:val="0"/>
                                                                                                                                  <w:marBottom w:val="0"/>
                                                                                                                                  <w:divBdr>
                                                                                                                                    <w:top w:val="none" w:sz="0" w:space="0" w:color="auto"/>
                                                                                                                                    <w:left w:val="none" w:sz="0" w:space="0" w:color="auto"/>
                                                                                                                                    <w:bottom w:val="none" w:sz="0" w:space="0" w:color="auto"/>
                                                                                                                                    <w:right w:val="none" w:sz="0" w:space="0" w:color="auto"/>
                                                                                                                                  </w:divBdr>
                                                                                                                                  <w:divsChild>
                                                                                                                                    <w:div w:id="904486520">
                                                                                                                                      <w:marLeft w:val="0"/>
                                                                                                                                      <w:marRight w:val="0"/>
                                                                                                                                      <w:marTop w:val="0"/>
                                                                                                                                      <w:marBottom w:val="0"/>
                                                                                                                                      <w:divBdr>
                                                                                                                                        <w:top w:val="none" w:sz="0" w:space="0" w:color="auto"/>
                                                                                                                                        <w:left w:val="none" w:sz="0" w:space="0" w:color="auto"/>
                                                                                                                                        <w:bottom w:val="none" w:sz="0" w:space="0" w:color="auto"/>
                                                                                                                                        <w:right w:val="none" w:sz="0" w:space="0" w:color="auto"/>
                                                                                                                                      </w:divBdr>
                                                                                                                                      <w:divsChild>
                                                                                                                                        <w:div w:id="459693241">
                                                                                                                                          <w:marLeft w:val="0"/>
                                                                                                                                          <w:marRight w:val="0"/>
                                                                                                                                          <w:marTop w:val="0"/>
                                                                                                                                          <w:marBottom w:val="0"/>
                                                                                                                                          <w:divBdr>
                                                                                                                                            <w:top w:val="none" w:sz="0" w:space="0" w:color="auto"/>
                                                                                                                                            <w:left w:val="none" w:sz="0" w:space="0" w:color="auto"/>
                                                                                                                                            <w:bottom w:val="none" w:sz="0" w:space="0" w:color="auto"/>
                                                                                                                                            <w:right w:val="none" w:sz="0" w:space="0" w:color="auto"/>
                                                                                                                                          </w:divBdr>
                                                                                                                                          <w:divsChild>
                                                                                                                                            <w:div w:id="891385628">
                                                                                                                                              <w:marLeft w:val="0"/>
                                                                                                                                              <w:marRight w:val="0"/>
                                                                                                                                              <w:marTop w:val="0"/>
                                                                                                                                              <w:marBottom w:val="0"/>
                                                                                                                                              <w:divBdr>
                                                                                                                                                <w:top w:val="none" w:sz="0" w:space="0" w:color="auto"/>
                                                                                                                                                <w:left w:val="none" w:sz="0" w:space="0" w:color="auto"/>
                                                                                                                                                <w:bottom w:val="none" w:sz="0" w:space="0" w:color="auto"/>
                                                                                                                                                <w:right w:val="none" w:sz="0" w:space="0" w:color="auto"/>
                                                                                                                                              </w:divBdr>
                                                                                                                                              <w:divsChild>
                                                                                                                                                <w:div w:id="1252010636">
                                                                                                                                                  <w:marLeft w:val="0"/>
                                                                                                                                                  <w:marRight w:val="0"/>
                                                                                                                                                  <w:marTop w:val="0"/>
                                                                                                                                                  <w:marBottom w:val="0"/>
                                                                                                                                                  <w:divBdr>
                                                                                                                                                    <w:top w:val="none" w:sz="0" w:space="0" w:color="auto"/>
                                                                                                                                                    <w:left w:val="none" w:sz="0" w:space="0" w:color="auto"/>
                                                                                                                                                    <w:bottom w:val="none" w:sz="0" w:space="0" w:color="auto"/>
                                                                                                                                                    <w:right w:val="none" w:sz="0" w:space="0" w:color="auto"/>
                                                                                                                                                  </w:divBdr>
                                                                                                                                                  <w:divsChild>
                                                                                                                                                    <w:div w:id="2105152592">
                                                                                                                                                      <w:marLeft w:val="0"/>
                                                                                                                                                      <w:marRight w:val="0"/>
                                                                                                                                                      <w:marTop w:val="0"/>
                                                                                                                                                      <w:marBottom w:val="0"/>
                                                                                                                                                      <w:divBdr>
                                                                                                                                                        <w:top w:val="none" w:sz="0" w:space="0" w:color="auto"/>
                                                                                                                                                        <w:left w:val="none" w:sz="0" w:space="0" w:color="auto"/>
                                                                                                                                                        <w:bottom w:val="none" w:sz="0" w:space="0" w:color="auto"/>
                                                                                                                                                        <w:right w:val="none" w:sz="0" w:space="0" w:color="auto"/>
                                                                                                                                                      </w:divBdr>
                                                                                                                                                      <w:divsChild>
                                                                                                                                                        <w:div w:id="1428424344">
                                                                                                                                                          <w:marLeft w:val="0"/>
                                                                                                                                                          <w:marRight w:val="0"/>
                                                                                                                                                          <w:marTop w:val="0"/>
                                                                                                                                                          <w:marBottom w:val="0"/>
                                                                                                                                                          <w:divBdr>
                                                                                                                                                            <w:top w:val="none" w:sz="0" w:space="0" w:color="auto"/>
                                                                                                                                                            <w:left w:val="none" w:sz="0" w:space="0" w:color="auto"/>
                                                                                                                                                            <w:bottom w:val="none" w:sz="0" w:space="0" w:color="auto"/>
                                                                                                                                                            <w:right w:val="none" w:sz="0" w:space="0" w:color="auto"/>
                                                                                                                                                          </w:divBdr>
                                                                                                                                                          <w:divsChild>
                                                                                                                                                            <w:div w:id="1182627920">
                                                                                                                                                              <w:marLeft w:val="0"/>
                                                                                                                                                              <w:marRight w:val="0"/>
                                                                                                                                                              <w:marTop w:val="0"/>
                                                                                                                                                              <w:marBottom w:val="0"/>
                                                                                                                                                              <w:divBdr>
                                                                                                                                                                <w:top w:val="none" w:sz="0" w:space="0" w:color="auto"/>
                                                                                                                                                                <w:left w:val="none" w:sz="0" w:space="0" w:color="auto"/>
                                                                                                                                                                <w:bottom w:val="none" w:sz="0" w:space="0" w:color="auto"/>
                                                                                                                                                                <w:right w:val="none" w:sz="0" w:space="0" w:color="auto"/>
                                                                                                                                                              </w:divBdr>
                                                                                                                                                              <w:divsChild>
                                                                                                                                                                <w:div w:id="1153524257">
                                                                                                                                                                  <w:marLeft w:val="0"/>
                                                                                                                                                                  <w:marRight w:val="0"/>
                                                                                                                                                                  <w:marTop w:val="0"/>
                                                                                                                                                                  <w:marBottom w:val="0"/>
                                                                                                                                                                  <w:divBdr>
                                                                                                                                                                    <w:top w:val="none" w:sz="0" w:space="0" w:color="auto"/>
                                                                                                                                                                    <w:left w:val="none" w:sz="0" w:space="0" w:color="auto"/>
                                                                                                                                                                    <w:bottom w:val="none" w:sz="0" w:space="0" w:color="auto"/>
                                                                                                                                                                    <w:right w:val="none" w:sz="0" w:space="0" w:color="auto"/>
                                                                                                                                                                  </w:divBdr>
                                                                                                                                                                  <w:divsChild>
                                                                                                                                                                    <w:div w:id="1889682908">
                                                                                                                                                                      <w:marLeft w:val="0"/>
                                                                                                                                                                      <w:marRight w:val="0"/>
                                                                                                                                                                      <w:marTop w:val="0"/>
                                                                                                                                                                      <w:marBottom w:val="0"/>
                                                                                                                                                                      <w:divBdr>
                                                                                                                                                                        <w:top w:val="none" w:sz="0" w:space="0" w:color="auto"/>
                                                                                                                                                                        <w:left w:val="none" w:sz="0" w:space="0" w:color="auto"/>
                                                                                                                                                                        <w:bottom w:val="none" w:sz="0" w:space="0" w:color="auto"/>
                                                                                                                                                                        <w:right w:val="none" w:sz="0" w:space="0" w:color="auto"/>
                                                                                                                                                                      </w:divBdr>
                                                                                                                                                                      <w:divsChild>
                                                                                                                                                                        <w:div w:id="1733769964">
                                                                                                                                                                          <w:marLeft w:val="0"/>
                                                                                                                                                                          <w:marRight w:val="0"/>
                                                                                                                                                                          <w:marTop w:val="0"/>
                                                                                                                                                                          <w:marBottom w:val="0"/>
                                                                                                                                                                          <w:divBdr>
                                                                                                                                                                            <w:top w:val="none" w:sz="0" w:space="0" w:color="auto"/>
                                                                                                                                                                            <w:left w:val="none" w:sz="0" w:space="0" w:color="auto"/>
                                                                                                                                                                            <w:bottom w:val="none" w:sz="0" w:space="0" w:color="auto"/>
                                                                                                                                                                            <w:right w:val="none" w:sz="0" w:space="0" w:color="auto"/>
                                                                                                                                                                          </w:divBdr>
                                                                                                                                                                          <w:divsChild>
                                                                                                                                                                            <w:div w:id="204610375">
                                                                                                                                                                              <w:marLeft w:val="0"/>
                                                                                                                                                                              <w:marRight w:val="0"/>
                                                                                                                                                                              <w:marTop w:val="0"/>
                                                                                                                                                                              <w:marBottom w:val="0"/>
                                                                                                                                                                              <w:divBdr>
                                                                                                                                                                                <w:top w:val="none" w:sz="0" w:space="0" w:color="auto"/>
                                                                                                                                                                                <w:left w:val="none" w:sz="0" w:space="0" w:color="auto"/>
                                                                                                                                                                                <w:bottom w:val="none" w:sz="0" w:space="0" w:color="auto"/>
                                                                                                                                                                                <w:right w:val="none" w:sz="0" w:space="0" w:color="auto"/>
                                                                                                                                                                              </w:divBdr>
                                                                                                                                                                              <w:divsChild>
                                                                                                                                                                                <w:div w:id="328606048">
                                                                                                                                                                                  <w:marLeft w:val="0"/>
                                                                                                                                                                                  <w:marRight w:val="0"/>
                                                                                                                                                                                  <w:marTop w:val="0"/>
                                                                                                                                                                                  <w:marBottom w:val="0"/>
                                                                                                                                                                                  <w:divBdr>
                                                                                                                                                                                    <w:top w:val="none" w:sz="0" w:space="0" w:color="auto"/>
                                                                                                                                                                                    <w:left w:val="none" w:sz="0" w:space="0" w:color="auto"/>
                                                                                                                                                                                    <w:bottom w:val="none" w:sz="0" w:space="0" w:color="auto"/>
                                                                                                                                                                                    <w:right w:val="none" w:sz="0" w:space="0" w:color="auto"/>
                                                                                                                                                                                  </w:divBdr>
                                                                                                                                                                                  <w:divsChild>
                                                                                                                                                                                    <w:div w:id="1361052886">
                                                                                                                                                                                      <w:marLeft w:val="0"/>
                                                                                                                                                                                      <w:marRight w:val="0"/>
                                                                                                                                                                                      <w:marTop w:val="0"/>
                                                                                                                                                                                      <w:marBottom w:val="0"/>
                                                                                                                                                                                      <w:divBdr>
                                                                                                                                                                                        <w:top w:val="none" w:sz="0" w:space="0" w:color="auto"/>
                                                                                                                                                                                        <w:left w:val="none" w:sz="0" w:space="0" w:color="auto"/>
                                                                                                                                                                                        <w:bottom w:val="none" w:sz="0" w:space="0" w:color="auto"/>
                                                                                                                                                                                        <w:right w:val="none" w:sz="0" w:space="0" w:color="auto"/>
                                                                                                                                                                                      </w:divBdr>
                                                                                                                                                                                      <w:divsChild>
                                                                                                                                                                                        <w:div w:id="956986057">
                                                                                                                                                                                          <w:marLeft w:val="0"/>
                                                                                                                                                                                          <w:marRight w:val="0"/>
                                                                                                                                                                                          <w:marTop w:val="0"/>
                                                                                                                                                                                          <w:marBottom w:val="0"/>
                                                                                                                                                                                          <w:divBdr>
                                                                                                                                                                                            <w:top w:val="none" w:sz="0" w:space="0" w:color="auto"/>
                                                                                                                                                                                            <w:left w:val="none" w:sz="0" w:space="0" w:color="auto"/>
                                                                                                                                                                                            <w:bottom w:val="none" w:sz="0" w:space="0" w:color="auto"/>
                                                                                                                                                                                            <w:right w:val="none" w:sz="0" w:space="0" w:color="auto"/>
                                                                                                                                                                                          </w:divBdr>
                                                                                                                                                                                          <w:divsChild>
                                                                                                                                                                                            <w:div w:id="1582372383">
                                                                                                                                                                                              <w:marLeft w:val="0"/>
                                                                                                                                                                                              <w:marRight w:val="0"/>
                                                                                                                                                                                              <w:marTop w:val="0"/>
                                                                                                                                                                                              <w:marBottom w:val="0"/>
                                                                                                                                                                                              <w:divBdr>
                                                                                                                                                                                                <w:top w:val="none" w:sz="0" w:space="0" w:color="auto"/>
                                                                                                                                                                                                <w:left w:val="none" w:sz="0" w:space="0" w:color="auto"/>
                                                                                                                                                                                                <w:bottom w:val="none" w:sz="0" w:space="0" w:color="auto"/>
                                                                                                                                                                                                <w:right w:val="none" w:sz="0" w:space="0" w:color="auto"/>
                                                                                                                                                                                              </w:divBdr>
                                                                                                                                                                                              <w:divsChild>
                                                                                                                                                                                                <w:div w:id="173495553">
                                                                                                                                                                                                  <w:marLeft w:val="0"/>
                                                                                                                                                                                                  <w:marRight w:val="0"/>
                                                                                                                                                                                                  <w:marTop w:val="0"/>
                                                                                                                                                                                                  <w:marBottom w:val="0"/>
                                                                                                                                                                                                  <w:divBdr>
                                                                                                                                                                                                    <w:top w:val="none" w:sz="0" w:space="0" w:color="auto"/>
                                                                                                                                                                                                    <w:left w:val="none" w:sz="0" w:space="0" w:color="auto"/>
                                                                                                                                                                                                    <w:bottom w:val="none" w:sz="0" w:space="0" w:color="auto"/>
                                                                                                                                                                                                    <w:right w:val="none" w:sz="0" w:space="0" w:color="auto"/>
                                                                                                                                                                                                  </w:divBdr>
                                                                                                                                                                                                  <w:divsChild>
                                                                                                                                                                                                    <w:div w:id="522405124">
                                                                                                                                                                                                      <w:marLeft w:val="0"/>
                                                                                                                                                                                                      <w:marRight w:val="0"/>
                                                                                                                                                                                                      <w:marTop w:val="0"/>
                                                                                                                                                                                                      <w:marBottom w:val="0"/>
                                                                                                                                                                                                      <w:divBdr>
                                                                                                                                                                                                        <w:top w:val="none" w:sz="0" w:space="0" w:color="auto"/>
                                                                                                                                                                                                        <w:left w:val="none" w:sz="0" w:space="0" w:color="auto"/>
                                                                                                                                                                                                        <w:bottom w:val="none" w:sz="0" w:space="0" w:color="auto"/>
                                                                                                                                                                                                        <w:right w:val="none" w:sz="0" w:space="0" w:color="auto"/>
                                                                                                                                                                                                      </w:divBdr>
                                                                                                                                                                                                      <w:divsChild>
                                                                                                                                                                                                        <w:div w:id="1444688108">
                                                                                                                                                                                                          <w:marLeft w:val="0"/>
                                                                                                                                                                                                          <w:marRight w:val="0"/>
                                                                                                                                                                                                          <w:marTop w:val="0"/>
                                                                                                                                                                                                          <w:marBottom w:val="0"/>
                                                                                                                                                                                                          <w:divBdr>
                                                                                                                                                                                                            <w:top w:val="none" w:sz="0" w:space="0" w:color="auto"/>
                                                                                                                                                                                                            <w:left w:val="none" w:sz="0" w:space="0" w:color="auto"/>
                                                                                                                                                                                                            <w:bottom w:val="none" w:sz="0" w:space="0" w:color="auto"/>
                                                                                                                                                                                                            <w:right w:val="none" w:sz="0" w:space="0" w:color="auto"/>
                                                                                                                                                                                                          </w:divBdr>
                                                                                                                                                                                                          <w:divsChild>
                                                                                                                                                                                                            <w:div w:id="786697260">
                                                                                                                                                                                                              <w:marLeft w:val="0"/>
                                                                                                                                                                                                              <w:marRight w:val="0"/>
                                                                                                                                                                                                              <w:marTop w:val="0"/>
                                                                                                                                                                                                              <w:marBottom w:val="0"/>
                                                                                                                                                                                                              <w:divBdr>
                                                                                                                                                                                                                <w:top w:val="none" w:sz="0" w:space="0" w:color="auto"/>
                                                                                                                                                                                                                <w:left w:val="none" w:sz="0" w:space="0" w:color="auto"/>
                                                                                                                                                                                                                <w:bottom w:val="none" w:sz="0" w:space="0" w:color="auto"/>
                                                                                                                                                                                                                <w:right w:val="none" w:sz="0" w:space="0" w:color="auto"/>
                                                                                                                                                                                                              </w:divBdr>
                                                                                                                                                                                                              <w:divsChild>
                                                                                                                                                                                                                <w:div w:id="1576428137">
                                                                                                                                                                                                                  <w:marLeft w:val="0"/>
                                                                                                                                                                                                                  <w:marRight w:val="0"/>
                                                                                                                                                                                                                  <w:marTop w:val="0"/>
                                                                                                                                                                                                                  <w:marBottom w:val="0"/>
                                                                                                                                                                                                                  <w:divBdr>
                                                                                                                                                                                                                    <w:top w:val="none" w:sz="0" w:space="0" w:color="auto"/>
                                                                                                                                                                                                                    <w:left w:val="none" w:sz="0" w:space="0" w:color="auto"/>
                                                                                                                                                                                                                    <w:bottom w:val="none" w:sz="0" w:space="0" w:color="auto"/>
                                                                                                                                                                                                                    <w:right w:val="none" w:sz="0" w:space="0" w:color="auto"/>
                                                                                                                                                                                                                  </w:divBdr>
                                                                                                                                                                                                                  <w:divsChild>
                                                                                                                                                                                                                    <w:div w:id="495222300">
                                                                                                                                                                                                                      <w:marLeft w:val="0"/>
                                                                                                                                                                                                                      <w:marRight w:val="0"/>
                                                                                                                                                                                                                      <w:marTop w:val="0"/>
                                                                                                                                                                                                                      <w:marBottom w:val="0"/>
                                                                                                                                                                                                                      <w:divBdr>
                                                                                                                                                                                                                        <w:top w:val="none" w:sz="0" w:space="0" w:color="auto"/>
                                                                                                                                                                                                                        <w:left w:val="none" w:sz="0" w:space="0" w:color="auto"/>
                                                                                                                                                                                                                        <w:bottom w:val="none" w:sz="0" w:space="0" w:color="auto"/>
                                                                                                                                                                                                                        <w:right w:val="none" w:sz="0" w:space="0" w:color="auto"/>
                                                                                                                                                                                                                      </w:divBdr>
                                                                                                                                                                                                                      <w:divsChild>
                                                                                                                                                                                                                        <w:div w:id="1893227876">
                                                                                                                                                                                                                          <w:marLeft w:val="0"/>
                                                                                                                                                                                                                          <w:marRight w:val="0"/>
                                                                                                                                                                                                                          <w:marTop w:val="0"/>
                                                                                                                                                                                                                          <w:marBottom w:val="0"/>
                                                                                                                                                                                                                          <w:divBdr>
                                                                                                                                                                                                                            <w:top w:val="none" w:sz="0" w:space="0" w:color="auto"/>
                                                                                                                                                                                                                            <w:left w:val="none" w:sz="0" w:space="0" w:color="auto"/>
                                                                                                                                                                                                                            <w:bottom w:val="none" w:sz="0" w:space="0" w:color="auto"/>
                                                                                                                                                                                                                            <w:right w:val="none" w:sz="0" w:space="0" w:color="auto"/>
                                                                                                                                                                                                                          </w:divBdr>
                                                                                                                                                                                                                          <w:divsChild>
                                                                                                                                                                                                                            <w:div w:id="1376584398">
                                                                                                                                                                                                                              <w:marLeft w:val="0"/>
                                                                                                                                                                                                                              <w:marRight w:val="0"/>
                                                                                                                                                                                                                              <w:marTop w:val="0"/>
                                                                                                                                                                                                                              <w:marBottom w:val="0"/>
                                                                                                                                                                                                                              <w:divBdr>
                                                                                                                                                                                                                                <w:top w:val="none" w:sz="0" w:space="0" w:color="auto"/>
                                                                                                                                                                                                                                <w:left w:val="none" w:sz="0" w:space="0" w:color="auto"/>
                                                                                                                                                                                                                                <w:bottom w:val="none" w:sz="0" w:space="0" w:color="auto"/>
                                                                                                                                                                                                                                <w:right w:val="none" w:sz="0" w:space="0" w:color="auto"/>
                                                                                                                                                                                                                              </w:divBdr>
                                                                                                                                                                                                                              <w:divsChild>
                                                                                                                                                                                                                                <w:div w:id="402263393">
                                                                                                                                                                                                                                  <w:marLeft w:val="0"/>
                                                                                                                                                                                                                                  <w:marRight w:val="0"/>
                                                                                                                                                                                                                                  <w:marTop w:val="0"/>
                                                                                                                                                                                                                                  <w:marBottom w:val="0"/>
                                                                                                                                                                                                                                  <w:divBdr>
                                                                                                                                                                                                                                    <w:top w:val="none" w:sz="0" w:space="0" w:color="auto"/>
                                                                                                                                                                                                                                    <w:left w:val="none" w:sz="0" w:space="0" w:color="auto"/>
                                                                                                                                                                                                                                    <w:bottom w:val="none" w:sz="0" w:space="0" w:color="auto"/>
                                                                                                                                                                                                                                    <w:right w:val="none" w:sz="0" w:space="0" w:color="auto"/>
                                                                                                                                                                                                                                  </w:divBdr>
                                                                                                                                                                                                                                  <w:divsChild>
                                                                                                                                                                                                                                    <w:div w:id="1078207435">
                                                                                                                                                                                                                                      <w:marLeft w:val="0"/>
                                                                                                                                                                                                                                      <w:marRight w:val="0"/>
                                                                                                                                                                                                                                      <w:marTop w:val="0"/>
                                                                                                                                                                                                                                      <w:marBottom w:val="0"/>
                                                                                                                                                                                                                                      <w:divBdr>
                                                                                                                                                                                                                                        <w:top w:val="none" w:sz="0" w:space="0" w:color="auto"/>
                                                                                                                                                                                                                                        <w:left w:val="none" w:sz="0" w:space="0" w:color="auto"/>
                                                                                                                                                                                                                                        <w:bottom w:val="none" w:sz="0" w:space="0" w:color="auto"/>
                                                                                                                                                                                                                                        <w:right w:val="none" w:sz="0" w:space="0" w:color="auto"/>
                                                                                                                                                                                                                                      </w:divBdr>
                                                                                                                                                                                                                                      <w:divsChild>
                                                                                                                                                                                                                                        <w:div w:id="296490603">
                                                                                                                                                                                                                                          <w:marLeft w:val="0"/>
                                                                                                                                                                                                                                          <w:marRight w:val="0"/>
                                                                                                                                                                                                                                          <w:marTop w:val="0"/>
                                                                                                                                                                                                                                          <w:marBottom w:val="0"/>
                                                                                                                                                                                                                                          <w:divBdr>
                                                                                                                                                                                                                                            <w:top w:val="none" w:sz="0" w:space="0" w:color="auto"/>
                                                                                                                                                                                                                                            <w:left w:val="none" w:sz="0" w:space="0" w:color="auto"/>
                                                                                                                                                                                                                                            <w:bottom w:val="none" w:sz="0" w:space="0" w:color="auto"/>
                                                                                                                                                                                                                                            <w:right w:val="none" w:sz="0" w:space="0" w:color="auto"/>
                                                                                                                                                                                                                                          </w:divBdr>
                                                                                                                                                                                                                                          <w:divsChild>
                                                                                                                                                                                                                                            <w:div w:id="1980768195">
                                                                                                                                                                                                                                              <w:marLeft w:val="0"/>
                                                                                                                                                                                                                                              <w:marRight w:val="0"/>
                                                                                                                                                                                                                                              <w:marTop w:val="0"/>
                                                                                                                                                                                                                                              <w:marBottom w:val="0"/>
                                                                                                                                                                                                                                              <w:divBdr>
                                                                                                                                                                                                                                                <w:top w:val="none" w:sz="0" w:space="0" w:color="auto"/>
                                                                                                                                                                                                                                                <w:left w:val="none" w:sz="0" w:space="0" w:color="auto"/>
                                                                                                                                                                                                                                                <w:bottom w:val="none" w:sz="0" w:space="0" w:color="auto"/>
                                                                                                                                                                                                                                                <w:right w:val="none" w:sz="0" w:space="0" w:color="auto"/>
                                                                                                                                                                                                                                              </w:divBdr>
                                                                                                                                                                                                                                              <w:divsChild>
                                                                                                                                                                                                                                                <w:div w:id="421143319">
                                                                                                                                                                                                                                                  <w:marLeft w:val="0"/>
                                                                                                                                                                                                                                                  <w:marRight w:val="0"/>
                                                                                                                                                                                                                                                  <w:marTop w:val="0"/>
                                                                                                                                                                                                                                                  <w:marBottom w:val="0"/>
                                                                                                                                                                                                                                                  <w:divBdr>
                                                                                                                                                                                                                                                    <w:top w:val="none" w:sz="0" w:space="0" w:color="auto"/>
                                                                                                                                                                                                                                                    <w:left w:val="none" w:sz="0" w:space="0" w:color="auto"/>
                                                                                                                                                                                                                                                    <w:bottom w:val="none" w:sz="0" w:space="0" w:color="auto"/>
                                                                                                                                                                                                                                                    <w:right w:val="none" w:sz="0" w:space="0" w:color="auto"/>
                                                                                                                                                                                                                                                  </w:divBdr>
                                                                                                                                                                                                                                                  <w:divsChild>
                                                                                                                                                                                                                                                    <w:div w:id="761298232">
                                                                                                                                                                                                                                                      <w:marLeft w:val="0"/>
                                                                                                                                                                                                                                                      <w:marRight w:val="0"/>
                                                                                                                                                                                                                                                      <w:marTop w:val="0"/>
                                                                                                                                                                                                                                                      <w:marBottom w:val="0"/>
                                                                                                                                                                                                                                                      <w:divBdr>
                                                                                                                                                                                                                                                        <w:top w:val="none" w:sz="0" w:space="0" w:color="auto"/>
                                                                                                                                                                                                                                                        <w:left w:val="none" w:sz="0" w:space="0" w:color="auto"/>
                                                                                                                                                                                                                                                        <w:bottom w:val="none" w:sz="0" w:space="0" w:color="auto"/>
                                                                                                                                                                                                                                                        <w:right w:val="none" w:sz="0" w:space="0" w:color="auto"/>
                                                                                                                                                                                                                                                      </w:divBdr>
                                                                                                                                                                                                                                                      <w:divsChild>
                                                                                                                                                                                                                                                        <w:div w:id="1707490473">
                                                                                                                                                                                                                                                          <w:marLeft w:val="0"/>
                                                                                                                                                                                                                                                          <w:marRight w:val="0"/>
                                                                                                                                                                                                                                                          <w:marTop w:val="0"/>
                                                                                                                                                                                                                                                          <w:marBottom w:val="0"/>
                                                                                                                                                                                                                                                          <w:divBdr>
                                                                                                                                                                                                                                                            <w:top w:val="none" w:sz="0" w:space="0" w:color="auto"/>
                                                                                                                                                                                                                                                            <w:left w:val="none" w:sz="0" w:space="0" w:color="auto"/>
                                                                                                                                                                                                                                                            <w:bottom w:val="none" w:sz="0" w:space="0" w:color="auto"/>
                                                                                                                                                                                                                                                            <w:right w:val="none" w:sz="0" w:space="0" w:color="auto"/>
                                                                                                                                                                                                                                                          </w:divBdr>
                                                                                                                                                                                                                                                          <w:divsChild>
                                                                                                                                                                                                                                                            <w:div w:id="559900806">
                                                                                                                                                                                                                                                              <w:marLeft w:val="0"/>
                                                                                                                                                                                                                                                              <w:marRight w:val="0"/>
                                                                                                                                                                                                                                                              <w:marTop w:val="0"/>
                                                                                                                                                                                                                                                              <w:marBottom w:val="0"/>
                                                                                                                                                                                                                                                              <w:divBdr>
                                                                                                                                                                                                                                                                <w:top w:val="none" w:sz="0" w:space="0" w:color="auto"/>
                                                                                                                                                                                                                                                                <w:left w:val="none" w:sz="0" w:space="0" w:color="auto"/>
                                                                                                                                                                                                                                                                <w:bottom w:val="none" w:sz="0" w:space="0" w:color="auto"/>
                                                                                                                                                                                                                                                                <w:right w:val="none" w:sz="0" w:space="0" w:color="auto"/>
                                                                                                                                                                                                                                                              </w:divBdr>
                                                                                                                                                                                                                                                              <w:divsChild>
                                                                                                                                                                                                                                                                <w:div w:id="1016274862">
                                                                                                                                                                                                                                                                  <w:marLeft w:val="0"/>
                                                                                                                                                                                                                                                                  <w:marRight w:val="0"/>
                                                                                                                                                                                                                                                                  <w:marTop w:val="0"/>
                                                                                                                                                                                                                                                                  <w:marBottom w:val="0"/>
                                                                                                                                                                                                                                                                  <w:divBdr>
                                                                                                                                                                                                                                                                    <w:top w:val="none" w:sz="0" w:space="0" w:color="auto"/>
                                                                                                                                                                                                                                                                    <w:left w:val="none" w:sz="0" w:space="0" w:color="auto"/>
                                                                                                                                                                                                                                                                    <w:bottom w:val="none" w:sz="0" w:space="0" w:color="auto"/>
                                                                                                                                                                                                                                                                    <w:right w:val="none" w:sz="0" w:space="0" w:color="auto"/>
                                                                                                                                                                                                                                                                  </w:divBdr>
                                                                                                                                                                                                                                                                  <w:divsChild>
                                                                                                                                                                                                                                                                    <w:div w:id="1525093504">
                                                                                                                                                                                                                                                                      <w:marLeft w:val="0"/>
                                                                                                                                                                                                                                                                      <w:marRight w:val="0"/>
                                                                                                                                                                                                                                                                      <w:marTop w:val="0"/>
                                                                                                                                                                                                                                                                      <w:marBottom w:val="0"/>
                                                                                                                                                                                                                                                                      <w:divBdr>
                                                                                                                                                                                                                                                                        <w:top w:val="none" w:sz="0" w:space="0" w:color="auto"/>
                                                                                                                                                                                                                                                                        <w:left w:val="none" w:sz="0" w:space="0" w:color="auto"/>
                                                                                                                                                                                                                                                                        <w:bottom w:val="none" w:sz="0" w:space="0" w:color="auto"/>
                                                                                                                                                                                                                                                                        <w:right w:val="none" w:sz="0" w:space="0" w:color="auto"/>
                                                                                                                                                                                                                                                                      </w:divBdr>
                                                                                                                                                                                                                                                                      <w:divsChild>
                                                                                                                                                                                                                                                                        <w:div w:id="373698390">
                                                                                                                                                                                                                                                                          <w:marLeft w:val="0"/>
                                                                                                                                                                                                                                                                          <w:marRight w:val="0"/>
                                                                                                                                                                                                                                                                          <w:marTop w:val="0"/>
                                                                                                                                                                                                                                                                          <w:marBottom w:val="0"/>
                                                                                                                                                                                                                                                                          <w:divBdr>
                                                                                                                                                                                                                                                                            <w:top w:val="none" w:sz="0" w:space="0" w:color="auto"/>
                                                                                                                                                                                                                                                                            <w:left w:val="none" w:sz="0" w:space="0" w:color="auto"/>
                                                                                                                                                                                                                                                                            <w:bottom w:val="none" w:sz="0" w:space="0" w:color="auto"/>
                                                                                                                                                                                                                                                                            <w:right w:val="none" w:sz="0" w:space="0" w:color="auto"/>
                                                                                                                                                                                                                                                                          </w:divBdr>
                                                                                                                                                                                                                                                                          <w:divsChild>
                                                                                                                                                                                                                                                                            <w:div w:id="1106920397">
                                                                                                                                                                                                                                                                              <w:marLeft w:val="0"/>
                                                                                                                                                                                                                                                                              <w:marRight w:val="0"/>
                                                                                                                                                                                                                                                                              <w:marTop w:val="0"/>
                                                                                                                                                                                                                                                                              <w:marBottom w:val="0"/>
                                                                                                                                                                                                                                                                              <w:divBdr>
                                                                                                                                                                                                                                                                                <w:top w:val="none" w:sz="0" w:space="0" w:color="auto"/>
                                                                                                                                                                                                                                                                                <w:left w:val="none" w:sz="0" w:space="0" w:color="auto"/>
                                                                                                                                                                                                                                                                                <w:bottom w:val="none" w:sz="0" w:space="0" w:color="auto"/>
                                                                                                                                                                                                                                                                                <w:right w:val="none" w:sz="0" w:space="0" w:color="auto"/>
                                                                                                                                                                                                                                                                              </w:divBdr>
                                                                                                                                                                                                                                                                              <w:divsChild>
                                                                                                                                                                                                                                                                                <w:div w:id="1491604651">
                                                                                                                                                                                                                                                                                  <w:marLeft w:val="0"/>
                                                                                                                                                                                                                                                                                  <w:marRight w:val="0"/>
                                                                                                                                                                                                                                                                                  <w:marTop w:val="0"/>
                                                                                                                                                                                                                                                                                  <w:marBottom w:val="0"/>
                                                                                                                                                                                                                                                                                  <w:divBdr>
                                                                                                                                                                                                                                                                                    <w:top w:val="none" w:sz="0" w:space="0" w:color="auto"/>
                                                                                                                                                                                                                                                                                    <w:left w:val="none" w:sz="0" w:space="0" w:color="auto"/>
                                                                                                                                                                                                                                                                                    <w:bottom w:val="none" w:sz="0" w:space="0" w:color="auto"/>
                                                                                                                                                                                                                                                                                    <w:right w:val="none" w:sz="0" w:space="0" w:color="auto"/>
                                                                                                                                                                                                                                                                                  </w:divBdr>
                                                                                                                                                                                                                                                                                  <w:divsChild>
                                                                                                                                                                                                                                                                                    <w:div w:id="131485277">
                                                                                                                                                                                                                                                                                      <w:marLeft w:val="0"/>
                                                                                                                                                                                                                                                                                      <w:marRight w:val="0"/>
                                                                                                                                                                                                                                                                                      <w:marTop w:val="0"/>
                                                                                                                                                                                                                                                                                      <w:marBottom w:val="0"/>
                                                                                                                                                                                                                                                                                      <w:divBdr>
                                                                                                                                                                                                                                                                                        <w:top w:val="none" w:sz="0" w:space="0" w:color="auto"/>
                                                                                                                                                                                                                                                                                        <w:left w:val="none" w:sz="0" w:space="0" w:color="auto"/>
                                                                                                                                                                                                                                                                                        <w:bottom w:val="none" w:sz="0" w:space="0" w:color="auto"/>
                                                                                                                                                                                                                                                                                        <w:right w:val="none" w:sz="0" w:space="0" w:color="auto"/>
                                                                                                                                                                                                                                                                                      </w:divBdr>
                                                                                                                                                                                                                                                                                      <w:divsChild>
                                                                                                                                                                                                                                                                                        <w:div w:id="1498233128">
                                                                                                                                                                                                                                                                                          <w:marLeft w:val="0"/>
                                                                                                                                                                                                                                                                                          <w:marRight w:val="0"/>
                                                                                                                                                                                                                                                                                          <w:marTop w:val="0"/>
                                                                                                                                                                                                                                                                                          <w:marBottom w:val="0"/>
                                                                                                                                                                                                                                                                                          <w:divBdr>
                                                                                                                                                                                                                                                                                            <w:top w:val="none" w:sz="0" w:space="0" w:color="auto"/>
                                                                                                                                                                                                                                                                                            <w:left w:val="none" w:sz="0" w:space="0" w:color="auto"/>
                                                                                                                                                                                                                                                                                            <w:bottom w:val="none" w:sz="0" w:space="0" w:color="auto"/>
                                                                                                                                                                                                                                                                                            <w:right w:val="none" w:sz="0" w:space="0" w:color="auto"/>
                                                                                                                                                                                                                                                                                          </w:divBdr>
                                                                                                                                                                                                                                                                                          <w:divsChild>
                                                                                                                                                                                                                                                                                            <w:div w:id="690953201">
                                                                                                                                                                                                                                                                                              <w:marLeft w:val="0"/>
                                                                                                                                                                                                                                                                                              <w:marRight w:val="0"/>
                                                                                                                                                                                                                                                                                              <w:marTop w:val="0"/>
                                                                                                                                                                                                                                                                                              <w:marBottom w:val="0"/>
                                                                                                                                                                                                                                                                                              <w:divBdr>
                                                                                                                                                                                                                                                                                                <w:top w:val="none" w:sz="0" w:space="0" w:color="auto"/>
                                                                                                                                                                                                                                                                                                <w:left w:val="none" w:sz="0" w:space="0" w:color="auto"/>
                                                                                                                                                                                                                                                                                                <w:bottom w:val="none" w:sz="0" w:space="0" w:color="auto"/>
                                                                                                                                                                                                                                                                                                <w:right w:val="none" w:sz="0" w:space="0" w:color="auto"/>
                                                                                                                                                                                                                                                                                              </w:divBdr>
                                                                                                                                                                                                                                                                                              <w:divsChild>
                                                                                                                                                                                                                                                                                                <w:div w:id="1860509986">
                                                                                                                                                                                                                                                                                                  <w:marLeft w:val="0"/>
                                                                                                                                                                                                                                                                                                  <w:marRight w:val="0"/>
                                                                                                                                                                                                                                                                                                  <w:marTop w:val="0"/>
                                                                                                                                                                                                                                                                                                  <w:marBottom w:val="0"/>
                                                                                                                                                                                                                                                                                                  <w:divBdr>
                                                                                                                                                                                                                                                                                                    <w:top w:val="none" w:sz="0" w:space="0" w:color="auto"/>
                                                                                                                                                                                                                                                                                                    <w:left w:val="none" w:sz="0" w:space="0" w:color="auto"/>
                                                                                                                                                                                                                                                                                                    <w:bottom w:val="none" w:sz="0" w:space="0" w:color="auto"/>
                                                                                                                                                                                                                                                                                                    <w:right w:val="none" w:sz="0" w:space="0" w:color="auto"/>
                                                                                                                                                                                                                                                                                                  </w:divBdr>
                                                                                                                                                                                                                                                                                                  <w:divsChild>
                                                                                                                                                                                                                                                                                                    <w:div w:id="1828326713">
                                                                                                                                                                                                                                                                                                      <w:marLeft w:val="0"/>
                                                                                                                                                                                                                                                                                                      <w:marRight w:val="0"/>
                                                                                                                                                                                                                                                                                                      <w:marTop w:val="0"/>
                                                                                                                                                                                                                                                                                                      <w:marBottom w:val="0"/>
                                                                                                                                                                                                                                                                                                      <w:divBdr>
                                                                                                                                                                                                                                                                                                        <w:top w:val="none" w:sz="0" w:space="0" w:color="auto"/>
                                                                                                                                                                                                                                                                                                        <w:left w:val="none" w:sz="0" w:space="0" w:color="auto"/>
                                                                                                                                                                                                                                                                                                        <w:bottom w:val="none" w:sz="0" w:space="0" w:color="auto"/>
                                                                                                                                                                                                                                                                                                        <w:right w:val="none" w:sz="0" w:space="0" w:color="auto"/>
                                                                                                                                                                                                                                                                                                      </w:divBdr>
                                                                                                                                                                                                                                                                                                      <w:divsChild>
                                                                                                                                                                                                                                                                                                        <w:div w:id="7950280">
                                                                                                                                                                                                                                                                                                          <w:marLeft w:val="0"/>
                                                                                                                                                                                                                                                                                                          <w:marRight w:val="0"/>
                                                                                                                                                                                                                                                                                                          <w:marTop w:val="0"/>
                                                                                                                                                                                                                                                                                                          <w:marBottom w:val="0"/>
                                                                                                                                                                                                                                                                                                          <w:divBdr>
                                                                                                                                                                                                                                                                                                            <w:top w:val="none" w:sz="0" w:space="0" w:color="auto"/>
                                                                                                                                                                                                                                                                                                            <w:left w:val="none" w:sz="0" w:space="0" w:color="auto"/>
                                                                                                                                                                                                                                                                                                            <w:bottom w:val="none" w:sz="0" w:space="0" w:color="auto"/>
                                                                                                                                                                                                                                                                                                            <w:right w:val="none" w:sz="0" w:space="0" w:color="auto"/>
                                                                                                                                                                                                                                                                                                          </w:divBdr>
                                                                                                                                                                                                                                                                                                          <w:divsChild>
                                                                                                                                                                                                                                                                                                            <w:div w:id="1235703588">
                                                                                                                                                                                                                                                                                                              <w:marLeft w:val="0"/>
                                                                                                                                                                                                                                                                                                              <w:marRight w:val="0"/>
                                                                                                                                                                                                                                                                                                              <w:marTop w:val="0"/>
                                                                                                                                                                                                                                                                                                              <w:marBottom w:val="0"/>
                                                                                                                                                                                                                                                                                                              <w:divBdr>
                                                                                                                                                                                                                                                                                                                <w:top w:val="none" w:sz="0" w:space="0" w:color="auto"/>
                                                                                                                                                                                                                                                                                                                <w:left w:val="none" w:sz="0" w:space="0" w:color="auto"/>
                                                                                                                                                                                                                                                                                                                <w:bottom w:val="none" w:sz="0" w:space="0" w:color="auto"/>
                                                                                                                                                                                                                                                                                                                <w:right w:val="none" w:sz="0" w:space="0" w:color="auto"/>
                                                                                                                                                                                                                                                                                                              </w:divBdr>
                                                                                                                                                                                                                                                                                                              <w:divsChild>
                                                                                                                                                                                                                                                                                                                <w:div w:id="49429204">
                                                                                                                                                                                                                                                                                                                  <w:marLeft w:val="0"/>
                                                                                                                                                                                                                                                                                                                  <w:marRight w:val="0"/>
                                                                                                                                                                                                                                                                                                                  <w:marTop w:val="0"/>
                                                                                                                                                                                                                                                                                                                  <w:marBottom w:val="0"/>
                                                                                                                                                                                                                                                                                                                  <w:divBdr>
                                                                                                                                                                                                                                                                                                                    <w:top w:val="none" w:sz="0" w:space="0" w:color="auto"/>
                                                                                                                                                                                                                                                                                                                    <w:left w:val="none" w:sz="0" w:space="0" w:color="auto"/>
                                                                                                                                                                                                                                                                                                                    <w:bottom w:val="none" w:sz="0" w:space="0" w:color="auto"/>
                                                                                                                                                                                                                                                                                                                    <w:right w:val="none" w:sz="0" w:space="0" w:color="auto"/>
                                                                                                                                                                                                                                                                                                                  </w:divBdr>
                                                                                                                                                                                                                                                                                                                  <w:divsChild>
                                                                                                                                                                                                                                                                                                                    <w:div w:id="477573751">
                                                                                                                                                                                                                                                                                                                      <w:marLeft w:val="0"/>
                                                                                                                                                                                                                                                                                                                      <w:marRight w:val="0"/>
                                                                                                                                                                                                                                                                                                                      <w:marTop w:val="0"/>
                                                                                                                                                                                                                                                                                                                      <w:marBottom w:val="0"/>
                                                                                                                                                                                                                                                                                                                      <w:divBdr>
                                                                                                                                                                                                                                                                                                                        <w:top w:val="none" w:sz="0" w:space="0" w:color="auto"/>
                                                                                                                                                                                                                                                                                                                        <w:left w:val="none" w:sz="0" w:space="0" w:color="auto"/>
                                                                                                                                                                                                                                                                                                                        <w:bottom w:val="none" w:sz="0" w:space="0" w:color="auto"/>
                                                                                                                                                                                                                                                                                                                        <w:right w:val="none" w:sz="0" w:space="0" w:color="auto"/>
                                                                                                                                                                                                                                                                                                                      </w:divBdr>
                                                                                                                                                                                                                                                                                                                      <w:divsChild>
                                                                                                                                                                                                                                                                                                                        <w:div w:id="145707294">
                                                                                                                                                                                                                                                                                                                          <w:marLeft w:val="0"/>
                                                                                                                                                                                                                                                                                                                          <w:marRight w:val="0"/>
                                                                                                                                                                                                                                                                                                                          <w:marTop w:val="0"/>
                                                                                                                                                                                                                                                                                                                          <w:marBottom w:val="0"/>
                                                                                                                                                                                                                                                                                                                          <w:divBdr>
                                                                                                                                                                                                                                                                                                                            <w:top w:val="none" w:sz="0" w:space="0" w:color="auto"/>
                                                                                                                                                                                                                                                                                                                            <w:left w:val="none" w:sz="0" w:space="0" w:color="auto"/>
                                                                                                                                                                                                                                                                                                                            <w:bottom w:val="none" w:sz="0" w:space="0" w:color="auto"/>
                                                                                                                                                                                                                                                                                                                            <w:right w:val="none" w:sz="0" w:space="0" w:color="auto"/>
                                                                                                                                                                                                                                                                                                                          </w:divBdr>
                                                                                                                                                                                                                                                                                                                          <w:divsChild>
                                                                                                                                                                                                                                                                                                                            <w:div w:id="917133234">
                                                                                                                                                                                                                                                                                                                              <w:marLeft w:val="0"/>
                                                                                                                                                                                                                                                                                                                              <w:marRight w:val="0"/>
                                                                                                                                                                                                                                                                                                                              <w:marTop w:val="0"/>
                                                                                                                                                                                                                                                                                                                              <w:marBottom w:val="0"/>
                                                                                                                                                                                                                                                                                                                              <w:divBdr>
                                                                                                                                                                                                                                                                                                                                <w:top w:val="none" w:sz="0" w:space="0" w:color="auto"/>
                                                                                                                                                                                                                                                                                                                                <w:left w:val="none" w:sz="0" w:space="0" w:color="auto"/>
                                                                                                                                                                                                                                                                                                                                <w:bottom w:val="none" w:sz="0" w:space="0" w:color="auto"/>
                                                                                                                                                                                                                                                                                                                                <w:right w:val="none" w:sz="0" w:space="0" w:color="auto"/>
                                                                                                                                                                                                                                                                                                                              </w:divBdr>
                                                                                                                                                                                                                                                                                                                              <w:divsChild>
                                                                                                                                                                                                                                                                                                                                <w:div w:id="2082823333">
                                                                                                                                                                                                                                                                                                                                  <w:marLeft w:val="0"/>
                                                                                                                                                                                                                                                                                                                                  <w:marRight w:val="0"/>
                                                                                                                                                                                                                                                                                                                                  <w:marTop w:val="0"/>
                                                                                                                                                                                                                                                                                                                                  <w:marBottom w:val="0"/>
                                                                                                                                                                                                                                                                                                                                  <w:divBdr>
                                                                                                                                                                                                                                                                                                                                    <w:top w:val="none" w:sz="0" w:space="0" w:color="auto"/>
                                                                                                                                                                                                                                                                                                                                    <w:left w:val="none" w:sz="0" w:space="0" w:color="auto"/>
                                                                                                                                                                                                                                                                                                                                    <w:bottom w:val="none" w:sz="0" w:space="0" w:color="auto"/>
                                                                                                                                                                                                                                                                                                                                    <w:right w:val="none" w:sz="0" w:space="0" w:color="auto"/>
                                                                                                                                                                                                                                                                                                                                  </w:divBdr>
                                                                                                                                                                                                                                                                                                                                  <w:divsChild>
                                                                                                                                                                                                                                                                                                                                    <w:div w:id="998122143">
                                                                                                                                                                                                                                                                                                                                      <w:marLeft w:val="0"/>
                                                                                                                                                                                                                                                                                                                                      <w:marRight w:val="0"/>
                                                                                                                                                                                                                                                                                                                                      <w:marTop w:val="0"/>
                                                                                                                                                                                                                                                                                                                                      <w:marBottom w:val="0"/>
                                                                                                                                                                                                                                                                                                                                      <w:divBdr>
                                                                                                                                                                                                                                                                                                                                        <w:top w:val="none" w:sz="0" w:space="0" w:color="auto"/>
                                                                                                                                                                                                                                                                                                                                        <w:left w:val="none" w:sz="0" w:space="0" w:color="auto"/>
                                                                                                                                                                                                                                                                                                                                        <w:bottom w:val="none" w:sz="0" w:space="0" w:color="auto"/>
                                                                                                                                                                                                                                                                                                                                        <w:right w:val="none" w:sz="0" w:space="0" w:color="auto"/>
                                                                                                                                                                                                                                                                                                                                      </w:divBdr>
                                                                                                                                                                                                                                                                                                                                      <w:divsChild>
                                                                                                                                                                                                                                                                                                                                        <w:div w:id="667827351">
                                                                                                                                                                                                                                                                                                                                          <w:marLeft w:val="0"/>
                                                                                                                                                                                                                                                                                                                                          <w:marRight w:val="0"/>
                                                                                                                                                                                                                                                                                                                                          <w:marTop w:val="0"/>
                                                                                                                                                                                                                                                                                                                                          <w:marBottom w:val="0"/>
                                                                                                                                                                                                                                                                                                                                          <w:divBdr>
                                                                                                                                                                                                                                                                                                                                            <w:top w:val="none" w:sz="0" w:space="0" w:color="auto"/>
                                                                                                                                                                                                                                                                                                                                            <w:left w:val="none" w:sz="0" w:space="0" w:color="auto"/>
                                                                                                                                                                                                                                                                                                                                            <w:bottom w:val="none" w:sz="0" w:space="0" w:color="auto"/>
                                                                                                                                                                                                                                                                                                                                            <w:right w:val="none" w:sz="0" w:space="0" w:color="auto"/>
                                                                                                                                                                                                                                                                                                                                          </w:divBdr>
                                                                                                                                                                                                                                                                                                                                          <w:divsChild>
                                                                                                                                                                                                                                                                                                                                            <w:div w:id="211310910">
                                                                                                                                                                                                                                                                                                                                              <w:marLeft w:val="0"/>
                                                                                                                                                                                                                                                                                                                                              <w:marRight w:val="0"/>
                                                                                                                                                                                                                                                                                                                                              <w:marTop w:val="0"/>
                                                                                                                                                                                                                                                                                                                                              <w:marBottom w:val="0"/>
                                                                                                                                                                                                                                                                                                                                              <w:divBdr>
                                                                                                                                                                                                                                                                                                                                                <w:top w:val="none" w:sz="0" w:space="0" w:color="auto"/>
                                                                                                                                                                                                                                                                                                                                                <w:left w:val="none" w:sz="0" w:space="0" w:color="auto"/>
                                                                                                                                                                                                                                                                                                                                                <w:bottom w:val="none" w:sz="0" w:space="0" w:color="auto"/>
                                                                                                                                                                                                                                                                                                                                                <w:right w:val="none" w:sz="0" w:space="0" w:color="auto"/>
                                                                                                                                                                                                                                                                                                                                              </w:divBdr>
                                                                                                                                                                                                                                                                                                                                              <w:divsChild>
                                                                                                                                                                                                                                                                                                                                                <w:div w:id="1779182164">
                                                                                                                                                                                                                                                                                                                                                  <w:marLeft w:val="0"/>
                                                                                                                                                                                                                                                                                                                                                  <w:marRight w:val="0"/>
                                                                                                                                                                                                                                                                                                                                                  <w:marTop w:val="0"/>
                                                                                                                                                                                                                                                                                                                                                  <w:marBottom w:val="0"/>
                                                                                                                                                                                                                                                                                                                                                  <w:divBdr>
                                                                                                                                                                                                                                                                                                                                                    <w:top w:val="none" w:sz="0" w:space="0" w:color="auto"/>
                                                                                                                                                                                                                                                                                                                                                    <w:left w:val="none" w:sz="0" w:space="0" w:color="auto"/>
                                                                                                                                                                                                                                                                                                                                                    <w:bottom w:val="none" w:sz="0" w:space="0" w:color="auto"/>
                                                                                                                                                                                                                                                                                                                                                    <w:right w:val="none" w:sz="0" w:space="0" w:color="auto"/>
                                                                                                                                                                                                                                                                                                                                                  </w:divBdr>
                                                                                                                                                                                                                                                                                                                                                  <w:divsChild>
                                                                                                                                                                                                                                                                                                                                                    <w:div w:id="724530655">
                                                                                                                                                                                                                                                                                                                                                      <w:marLeft w:val="0"/>
                                                                                                                                                                                                                                                                                                                                                      <w:marRight w:val="0"/>
                                                                                                                                                                                                                                                                                                                                                      <w:marTop w:val="0"/>
                                                                                                                                                                                                                                                                                                                                                      <w:marBottom w:val="0"/>
                                                                                                                                                                                                                                                                                                                                                      <w:divBdr>
                                                                                                                                                                                                                                                                                                                                                        <w:top w:val="none" w:sz="0" w:space="0" w:color="auto"/>
                                                                                                                                                                                                                                                                                                                                                        <w:left w:val="none" w:sz="0" w:space="0" w:color="auto"/>
                                                                                                                                                                                                                                                                                                                                                        <w:bottom w:val="none" w:sz="0" w:space="0" w:color="auto"/>
                                                                                                                                                                                                                                                                                                                                                        <w:right w:val="none" w:sz="0" w:space="0" w:color="auto"/>
                                                                                                                                                                                                                                                                                                                                                      </w:divBdr>
                                                                                                                                                                                                                                                                                                                                                      <w:divsChild>
                                                                                                                                                                                                                                                                                                                                                        <w:div w:id="2092508086">
                                                                                                                                                                                                                                                                                                                                                          <w:marLeft w:val="0"/>
                                                                                                                                                                                                                                                                                                                                                          <w:marRight w:val="0"/>
                                                                                                                                                                                                                                                                                                                                                          <w:marTop w:val="0"/>
                                                                                                                                                                                                                                                                                                                                                          <w:marBottom w:val="0"/>
                                                                                                                                                                                                                                                                                                                                                          <w:divBdr>
                                                                                                                                                                                                                                                                                                                                                            <w:top w:val="none" w:sz="0" w:space="0" w:color="auto"/>
                                                                                                                                                                                                                                                                                                                                                            <w:left w:val="none" w:sz="0" w:space="0" w:color="auto"/>
                                                                                                                                                                                                                                                                                                                                                            <w:bottom w:val="none" w:sz="0" w:space="0" w:color="auto"/>
                                                                                                                                                                                                                                                                                                                                                            <w:right w:val="none" w:sz="0" w:space="0" w:color="auto"/>
                                                                                                                                                                                                                                                                                                                                                          </w:divBdr>
                                                                                                                                                                                                                                                                                                                                                          <w:divsChild>
                                                                                                                                                                                                                                                                                                                                                            <w:div w:id="1300266104">
                                                                                                                                                                                                                                                                                                                                                              <w:marLeft w:val="0"/>
                                                                                                                                                                                                                                                                                                                                                              <w:marRight w:val="0"/>
                                                                                                                                                                                                                                                                                                                                                              <w:marTop w:val="0"/>
                                                                                                                                                                                                                                                                                                                                                              <w:marBottom w:val="0"/>
                                                                                                                                                                                                                                                                                                                                                              <w:divBdr>
                                                                                                                                                                                                                                                                                                                                                                <w:top w:val="none" w:sz="0" w:space="0" w:color="auto"/>
                                                                                                                                                                                                                                                                                                                                                                <w:left w:val="none" w:sz="0" w:space="0" w:color="auto"/>
                                                                                                                                                                                                                                                                                                                                                                <w:bottom w:val="none" w:sz="0" w:space="0" w:color="auto"/>
                                                                                                                                                                                                                                                                                                                                                                <w:right w:val="none" w:sz="0" w:space="0" w:color="auto"/>
                                                                                                                                                                                                                                                                                                                                                              </w:divBdr>
                                                                                                                                                                                                                                                                                                                                                              <w:divsChild>
                                                                                                                                                                                                                                                                                                                                                                <w:div w:id="1420834960">
                                                                                                                                                                                                                                                                                                                                                                  <w:marLeft w:val="0"/>
                                                                                                                                                                                                                                                                                                                                                                  <w:marRight w:val="0"/>
                                                                                                                                                                                                                                                                                                                                                                  <w:marTop w:val="0"/>
                                                                                                                                                                                                                                                                                                                                                                  <w:marBottom w:val="0"/>
                                                                                                                                                                                                                                                                                                                                                                  <w:divBdr>
                                                                                                                                                                                                                                                                                                                                                                    <w:top w:val="none" w:sz="0" w:space="0" w:color="auto"/>
                                                                                                                                                                                                                                                                                                                                                                    <w:left w:val="none" w:sz="0" w:space="0" w:color="auto"/>
                                                                                                                                                                                                                                                                                                                                                                    <w:bottom w:val="none" w:sz="0" w:space="0" w:color="auto"/>
                                                                                                                                                                                                                                                                                                                                                                    <w:right w:val="none" w:sz="0" w:space="0" w:color="auto"/>
                                                                                                                                                                                                                                                                                                                                                                  </w:divBdr>
                                                                                                                                                                                                                                                                                                                                                                  <w:divsChild>
                                                                                                                                                                                                                                                                                                                                                                    <w:div w:id="13807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746325">
      <w:bodyDiv w:val="1"/>
      <w:marLeft w:val="0"/>
      <w:marRight w:val="0"/>
      <w:marTop w:val="0"/>
      <w:marBottom w:val="0"/>
      <w:divBdr>
        <w:top w:val="none" w:sz="0" w:space="0" w:color="auto"/>
        <w:left w:val="none" w:sz="0" w:space="0" w:color="auto"/>
        <w:bottom w:val="none" w:sz="0" w:space="0" w:color="auto"/>
        <w:right w:val="none" w:sz="0" w:space="0" w:color="auto"/>
      </w:divBdr>
    </w:div>
    <w:div w:id="464393628">
      <w:bodyDiv w:val="1"/>
      <w:marLeft w:val="0"/>
      <w:marRight w:val="0"/>
      <w:marTop w:val="0"/>
      <w:marBottom w:val="0"/>
      <w:divBdr>
        <w:top w:val="none" w:sz="0" w:space="0" w:color="auto"/>
        <w:left w:val="none" w:sz="0" w:space="0" w:color="auto"/>
        <w:bottom w:val="none" w:sz="0" w:space="0" w:color="auto"/>
        <w:right w:val="none" w:sz="0" w:space="0" w:color="auto"/>
      </w:divBdr>
    </w:div>
    <w:div w:id="485128873">
      <w:bodyDiv w:val="1"/>
      <w:marLeft w:val="0"/>
      <w:marRight w:val="0"/>
      <w:marTop w:val="0"/>
      <w:marBottom w:val="0"/>
      <w:divBdr>
        <w:top w:val="none" w:sz="0" w:space="0" w:color="auto"/>
        <w:left w:val="none" w:sz="0" w:space="0" w:color="auto"/>
        <w:bottom w:val="none" w:sz="0" w:space="0" w:color="auto"/>
        <w:right w:val="none" w:sz="0" w:space="0" w:color="auto"/>
      </w:divBdr>
    </w:div>
    <w:div w:id="535968258">
      <w:bodyDiv w:val="1"/>
      <w:marLeft w:val="0"/>
      <w:marRight w:val="0"/>
      <w:marTop w:val="0"/>
      <w:marBottom w:val="0"/>
      <w:divBdr>
        <w:top w:val="none" w:sz="0" w:space="0" w:color="auto"/>
        <w:left w:val="none" w:sz="0" w:space="0" w:color="auto"/>
        <w:bottom w:val="none" w:sz="0" w:space="0" w:color="auto"/>
        <w:right w:val="none" w:sz="0" w:space="0" w:color="auto"/>
      </w:divBdr>
    </w:div>
    <w:div w:id="576089350">
      <w:bodyDiv w:val="1"/>
      <w:marLeft w:val="0"/>
      <w:marRight w:val="0"/>
      <w:marTop w:val="0"/>
      <w:marBottom w:val="0"/>
      <w:divBdr>
        <w:top w:val="none" w:sz="0" w:space="0" w:color="auto"/>
        <w:left w:val="none" w:sz="0" w:space="0" w:color="auto"/>
        <w:bottom w:val="none" w:sz="0" w:space="0" w:color="auto"/>
        <w:right w:val="none" w:sz="0" w:space="0" w:color="auto"/>
      </w:divBdr>
    </w:div>
    <w:div w:id="617415149">
      <w:bodyDiv w:val="1"/>
      <w:marLeft w:val="0"/>
      <w:marRight w:val="0"/>
      <w:marTop w:val="0"/>
      <w:marBottom w:val="0"/>
      <w:divBdr>
        <w:top w:val="none" w:sz="0" w:space="0" w:color="auto"/>
        <w:left w:val="none" w:sz="0" w:space="0" w:color="auto"/>
        <w:bottom w:val="none" w:sz="0" w:space="0" w:color="auto"/>
        <w:right w:val="none" w:sz="0" w:space="0" w:color="auto"/>
      </w:divBdr>
    </w:div>
    <w:div w:id="632097374">
      <w:bodyDiv w:val="1"/>
      <w:marLeft w:val="0"/>
      <w:marRight w:val="0"/>
      <w:marTop w:val="0"/>
      <w:marBottom w:val="0"/>
      <w:divBdr>
        <w:top w:val="none" w:sz="0" w:space="0" w:color="auto"/>
        <w:left w:val="none" w:sz="0" w:space="0" w:color="auto"/>
        <w:bottom w:val="none" w:sz="0" w:space="0" w:color="auto"/>
        <w:right w:val="none" w:sz="0" w:space="0" w:color="auto"/>
      </w:divBdr>
    </w:div>
    <w:div w:id="63422075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6905888">
      <w:bodyDiv w:val="1"/>
      <w:marLeft w:val="0"/>
      <w:marRight w:val="0"/>
      <w:marTop w:val="0"/>
      <w:marBottom w:val="0"/>
      <w:divBdr>
        <w:top w:val="none" w:sz="0" w:space="0" w:color="auto"/>
        <w:left w:val="none" w:sz="0" w:space="0" w:color="auto"/>
        <w:bottom w:val="none" w:sz="0" w:space="0" w:color="auto"/>
        <w:right w:val="none" w:sz="0" w:space="0" w:color="auto"/>
      </w:divBdr>
    </w:div>
    <w:div w:id="830868422">
      <w:bodyDiv w:val="1"/>
      <w:marLeft w:val="0"/>
      <w:marRight w:val="0"/>
      <w:marTop w:val="0"/>
      <w:marBottom w:val="0"/>
      <w:divBdr>
        <w:top w:val="none" w:sz="0" w:space="0" w:color="auto"/>
        <w:left w:val="none" w:sz="0" w:space="0" w:color="auto"/>
        <w:bottom w:val="none" w:sz="0" w:space="0" w:color="auto"/>
        <w:right w:val="none" w:sz="0" w:space="0" w:color="auto"/>
      </w:divBdr>
    </w:div>
    <w:div w:id="924920157">
      <w:bodyDiv w:val="1"/>
      <w:marLeft w:val="0"/>
      <w:marRight w:val="0"/>
      <w:marTop w:val="0"/>
      <w:marBottom w:val="0"/>
      <w:divBdr>
        <w:top w:val="none" w:sz="0" w:space="0" w:color="auto"/>
        <w:left w:val="none" w:sz="0" w:space="0" w:color="auto"/>
        <w:bottom w:val="none" w:sz="0" w:space="0" w:color="auto"/>
        <w:right w:val="none" w:sz="0" w:space="0" w:color="auto"/>
      </w:divBdr>
    </w:div>
    <w:div w:id="925462817">
      <w:bodyDiv w:val="1"/>
      <w:marLeft w:val="0"/>
      <w:marRight w:val="0"/>
      <w:marTop w:val="0"/>
      <w:marBottom w:val="0"/>
      <w:divBdr>
        <w:top w:val="none" w:sz="0" w:space="0" w:color="auto"/>
        <w:left w:val="none" w:sz="0" w:space="0" w:color="auto"/>
        <w:bottom w:val="none" w:sz="0" w:space="0" w:color="auto"/>
        <w:right w:val="none" w:sz="0" w:space="0" w:color="auto"/>
      </w:divBdr>
      <w:divsChild>
        <w:div w:id="1876041334">
          <w:marLeft w:val="0"/>
          <w:marRight w:val="0"/>
          <w:marTop w:val="0"/>
          <w:marBottom w:val="0"/>
          <w:divBdr>
            <w:top w:val="none" w:sz="0" w:space="0" w:color="auto"/>
            <w:left w:val="none" w:sz="0" w:space="0" w:color="auto"/>
            <w:bottom w:val="none" w:sz="0" w:space="0" w:color="auto"/>
            <w:right w:val="none" w:sz="0" w:space="0" w:color="auto"/>
          </w:divBdr>
        </w:div>
      </w:divsChild>
    </w:div>
    <w:div w:id="1011101339">
      <w:bodyDiv w:val="1"/>
      <w:marLeft w:val="0"/>
      <w:marRight w:val="0"/>
      <w:marTop w:val="0"/>
      <w:marBottom w:val="0"/>
      <w:divBdr>
        <w:top w:val="none" w:sz="0" w:space="0" w:color="auto"/>
        <w:left w:val="none" w:sz="0" w:space="0" w:color="auto"/>
        <w:bottom w:val="none" w:sz="0" w:space="0" w:color="auto"/>
        <w:right w:val="none" w:sz="0" w:space="0" w:color="auto"/>
      </w:divBdr>
    </w:div>
    <w:div w:id="1200127969">
      <w:bodyDiv w:val="1"/>
      <w:marLeft w:val="0"/>
      <w:marRight w:val="0"/>
      <w:marTop w:val="0"/>
      <w:marBottom w:val="0"/>
      <w:divBdr>
        <w:top w:val="none" w:sz="0" w:space="0" w:color="auto"/>
        <w:left w:val="none" w:sz="0" w:space="0" w:color="auto"/>
        <w:bottom w:val="none" w:sz="0" w:space="0" w:color="auto"/>
        <w:right w:val="none" w:sz="0" w:space="0" w:color="auto"/>
      </w:divBdr>
    </w:div>
    <w:div w:id="1201238401">
      <w:bodyDiv w:val="1"/>
      <w:marLeft w:val="0"/>
      <w:marRight w:val="0"/>
      <w:marTop w:val="0"/>
      <w:marBottom w:val="0"/>
      <w:divBdr>
        <w:top w:val="none" w:sz="0" w:space="0" w:color="auto"/>
        <w:left w:val="none" w:sz="0" w:space="0" w:color="auto"/>
        <w:bottom w:val="none" w:sz="0" w:space="0" w:color="auto"/>
        <w:right w:val="none" w:sz="0" w:space="0" w:color="auto"/>
      </w:divBdr>
    </w:div>
    <w:div w:id="1590385390">
      <w:bodyDiv w:val="1"/>
      <w:marLeft w:val="0"/>
      <w:marRight w:val="0"/>
      <w:marTop w:val="0"/>
      <w:marBottom w:val="0"/>
      <w:divBdr>
        <w:top w:val="none" w:sz="0" w:space="0" w:color="auto"/>
        <w:left w:val="none" w:sz="0" w:space="0" w:color="auto"/>
        <w:bottom w:val="none" w:sz="0" w:space="0" w:color="auto"/>
        <w:right w:val="none" w:sz="0" w:space="0" w:color="auto"/>
      </w:divBdr>
    </w:div>
    <w:div w:id="1622107389">
      <w:bodyDiv w:val="1"/>
      <w:marLeft w:val="0"/>
      <w:marRight w:val="0"/>
      <w:marTop w:val="0"/>
      <w:marBottom w:val="0"/>
      <w:divBdr>
        <w:top w:val="none" w:sz="0" w:space="0" w:color="auto"/>
        <w:left w:val="none" w:sz="0" w:space="0" w:color="auto"/>
        <w:bottom w:val="none" w:sz="0" w:space="0" w:color="auto"/>
        <w:right w:val="none" w:sz="0" w:space="0" w:color="auto"/>
      </w:divBdr>
    </w:div>
    <w:div w:id="1656563068">
      <w:bodyDiv w:val="1"/>
      <w:marLeft w:val="0"/>
      <w:marRight w:val="0"/>
      <w:marTop w:val="0"/>
      <w:marBottom w:val="0"/>
      <w:divBdr>
        <w:top w:val="none" w:sz="0" w:space="0" w:color="auto"/>
        <w:left w:val="none" w:sz="0" w:space="0" w:color="auto"/>
        <w:bottom w:val="none" w:sz="0" w:space="0" w:color="auto"/>
        <w:right w:val="none" w:sz="0" w:space="0" w:color="auto"/>
      </w:divBdr>
    </w:div>
    <w:div w:id="1676034146">
      <w:bodyDiv w:val="1"/>
      <w:marLeft w:val="0"/>
      <w:marRight w:val="0"/>
      <w:marTop w:val="0"/>
      <w:marBottom w:val="0"/>
      <w:divBdr>
        <w:top w:val="none" w:sz="0" w:space="0" w:color="auto"/>
        <w:left w:val="none" w:sz="0" w:space="0" w:color="auto"/>
        <w:bottom w:val="none" w:sz="0" w:space="0" w:color="auto"/>
        <w:right w:val="none" w:sz="0" w:space="0" w:color="auto"/>
      </w:divBdr>
    </w:div>
    <w:div w:id="1690571315">
      <w:bodyDiv w:val="1"/>
      <w:marLeft w:val="0"/>
      <w:marRight w:val="0"/>
      <w:marTop w:val="0"/>
      <w:marBottom w:val="0"/>
      <w:divBdr>
        <w:top w:val="none" w:sz="0" w:space="0" w:color="auto"/>
        <w:left w:val="none" w:sz="0" w:space="0" w:color="auto"/>
        <w:bottom w:val="none" w:sz="0" w:space="0" w:color="auto"/>
        <w:right w:val="none" w:sz="0" w:space="0" w:color="auto"/>
      </w:divBdr>
    </w:div>
    <w:div w:id="1780293566">
      <w:bodyDiv w:val="1"/>
      <w:marLeft w:val="0"/>
      <w:marRight w:val="0"/>
      <w:marTop w:val="0"/>
      <w:marBottom w:val="0"/>
      <w:divBdr>
        <w:top w:val="none" w:sz="0" w:space="0" w:color="auto"/>
        <w:left w:val="none" w:sz="0" w:space="0" w:color="auto"/>
        <w:bottom w:val="none" w:sz="0" w:space="0" w:color="auto"/>
        <w:right w:val="none" w:sz="0" w:space="0" w:color="auto"/>
      </w:divBdr>
    </w:div>
    <w:div w:id="1824740237">
      <w:bodyDiv w:val="1"/>
      <w:marLeft w:val="0"/>
      <w:marRight w:val="0"/>
      <w:marTop w:val="0"/>
      <w:marBottom w:val="0"/>
      <w:divBdr>
        <w:top w:val="none" w:sz="0" w:space="0" w:color="auto"/>
        <w:left w:val="none" w:sz="0" w:space="0" w:color="auto"/>
        <w:bottom w:val="none" w:sz="0" w:space="0" w:color="auto"/>
        <w:right w:val="none" w:sz="0" w:space="0" w:color="auto"/>
      </w:divBdr>
    </w:div>
    <w:div w:id="1900046917">
      <w:bodyDiv w:val="1"/>
      <w:marLeft w:val="0"/>
      <w:marRight w:val="0"/>
      <w:marTop w:val="0"/>
      <w:marBottom w:val="0"/>
      <w:divBdr>
        <w:top w:val="none" w:sz="0" w:space="0" w:color="auto"/>
        <w:left w:val="none" w:sz="0" w:space="0" w:color="auto"/>
        <w:bottom w:val="none" w:sz="0" w:space="0" w:color="auto"/>
        <w:right w:val="none" w:sz="0" w:space="0" w:color="auto"/>
      </w:divBdr>
    </w:div>
    <w:div w:id="2019698644">
      <w:bodyDiv w:val="1"/>
      <w:marLeft w:val="0"/>
      <w:marRight w:val="0"/>
      <w:marTop w:val="0"/>
      <w:marBottom w:val="0"/>
      <w:divBdr>
        <w:top w:val="none" w:sz="0" w:space="0" w:color="auto"/>
        <w:left w:val="none" w:sz="0" w:space="0" w:color="auto"/>
        <w:bottom w:val="none" w:sz="0" w:space="0" w:color="auto"/>
        <w:right w:val="none" w:sz="0" w:space="0" w:color="auto"/>
      </w:divBdr>
    </w:div>
    <w:div w:id="211278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9.wmf"/><Relationship Id="rId21" Type="http://schemas.openxmlformats.org/officeDocument/2006/relationships/oleObject" Target="embeddings/oleObject5.bin"/><Relationship Id="rId63" Type="http://schemas.openxmlformats.org/officeDocument/2006/relationships/oleObject" Target="embeddings/oleObject28.bin"/><Relationship Id="rId159" Type="http://schemas.openxmlformats.org/officeDocument/2006/relationships/oleObject" Target="embeddings/oleObject70.bin"/><Relationship Id="rId324" Type="http://schemas.openxmlformats.org/officeDocument/2006/relationships/oleObject" Target="embeddings/oleObject147.bin"/><Relationship Id="rId366" Type="http://schemas.openxmlformats.org/officeDocument/2006/relationships/oleObject" Target="embeddings/oleObject156.bin"/><Relationship Id="rId170" Type="http://schemas.openxmlformats.org/officeDocument/2006/relationships/image" Target="media/image85.wmf"/><Relationship Id="rId226" Type="http://schemas.openxmlformats.org/officeDocument/2006/relationships/oleObject" Target="embeddings/oleObject107.bin"/><Relationship Id="rId433" Type="http://schemas.openxmlformats.org/officeDocument/2006/relationships/image" Target="media/image226.emf"/><Relationship Id="rId268" Type="http://schemas.openxmlformats.org/officeDocument/2006/relationships/oleObject" Target="embeddings/oleObject120.bin"/><Relationship Id="rId32" Type="http://schemas.openxmlformats.org/officeDocument/2006/relationships/image" Target="media/image12.wmf"/><Relationship Id="rId74" Type="http://schemas.openxmlformats.org/officeDocument/2006/relationships/image" Target="media/image32.wmf"/><Relationship Id="rId128" Type="http://schemas.openxmlformats.org/officeDocument/2006/relationships/image" Target="media/image59.wmf"/><Relationship Id="rId335" Type="http://schemas.openxmlformats.org/officeDocument/2006/relationships/image" Target="media/image170.emf"/><Relationship Id="rId377" Type="http://schemas.openxmlformats.org/officeDocument/2006/relationships/oleObject" Target="embeddings/oleObject161.bin"/><Relationship Id="rId5" Type="http://schemas.openxmlformats.org/officeDocument/2006/relationships/webSettings" Target="webSettings.xml"/><Relationship Id="rId181" Type="http://schemas.openxmlformats.org/officeDocument/2006/relationships/oleObject" Target="embeddings/oleObject81.bin"/><Relationship Id="rId237" Type="http://schemas.openxmlformats.org/officeDocument/2006/relationships/image" Target="media/image115.emf"/><Relationship Id="rId402" Type="http://schemas.openxmlformats.org/officeDocument/2006/relationships/image" Target="media/image204.wmf"/><Relationship Id="rId279" Type="http://schemas.openxmlformats.org/officeDocument/2006/relationships/image" Target="media/image139.wmf"/><Relationship Id="rId43" Type="http://schemas.openxmlformats.org/officeDocument/2006/relationships/oleObject" Target="embeddings/oleObject17.bin"/><Relationship Id="rId139" Type="http://schemas.openxmlformats.org/officeDocument/2006/relationships/oleObject" Target="embeddings/oleObject63.bin"/><Relationship Id="rId290" Type="http://schemas.openxmlformats.org/officeDocument/2006/relationships/oleObject" Target="embeddings/oleObject131.bin"/><Relationship Id="rId304" Type="http://schemas.openxmlformats.org/officeDocument/2006/relationships/oleObject" Target="embeddings/oleObject138.bin"/><Relationship Id="rId346" Type="http://schemas.openxmlformats.org/officeDocument/2006/relationships/oleObject" Target="embeddings/oleObject152.bin"/><Relationship Id="rId388" Type="http://schemas.openxmlformats.org/officeDocument/2006/relationships/oleObject" Target="embeddings/oleObject168.bin"/><Relationship Id="rId85" Type="http://schemas.openxmlformats.org/officeDocument/2006/relationships/oleObject" Target="embeddings/oleObject39.bin"/><Relationship Id="rId150" Type="http://schemas.openxmlformats.org/officeDocument/2006/relationships/image" Target="media/image75.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11.emf"/><Relationship Id="rId248" Type="http://schemas.openxmlformats.org/officeDocument/2006/relationships/oleObject" Target="embeddings/oleObject111.bin"/><Relationship Id="rId269" Type="http://schemas.openxmlformats.org/officeDocument/2006/relationships/image" Target="media/image134.wmf"/><Relationship Id="rId434" Type="http://schemas.openxmlformats.org/officeDocument/2006/relationships/image" Target="media/image227.emf"/><Relationship Id="rId12" Type="http://schemas.openxmlformats.org/officeDocument/2006/relationships/image" Target="media/image3.wmf"/><Relationship Id="rId33" Type="http://schemas.openxmlformats.org/officeDocument/2006/relationships/oleObject" Target="embeddings/oleObject12.bin"/><Relationship Id="rId108" Type="http://schemas.openxmlformats.org/officeDocument/2006/relationships/image" Target="media/image49.wmf"/><Relationship Id="rId129" Type="http://schemas.openxmlformats.org/officeDocument/2006/relationships/oleObject" Target="embeddings/oleObject61.bin"/><Relationship Id="rId280" Type="http://schemas.openxmlformats.org/officeDocument/2006/relationships/oleObject" Target="embeddings/oleObject126.bin"/><Relationship Id="rId315" Type="http://schemas.openxmlformats.org/officeDocument/2006/relationships/image" Target="media/image157.wmf"/><Relationship Id="rId336" Type="http://schemas.openxmlformats.org/officeDocument/2006/relationships/image" Target="media/image171.emf"/><Relationship Id="rId357" Type="http://schemas.openxmlformats.org/officeDocument/2006/relationships/package" Target="embeddings/Microsoft_Visio_Drawing2.vsdx"/><Relationship Id="rId54" Type="http://schemas.openxmlformats.org/officeDocument/2006/relationships/image" Target="media/image23.wmf"/><Relationship Id="rId75" Type="http://schemas.openxmlformats.org/officeDocument/2006/relationships/oleObject" Target="embeddings/oleObject34.bin"/><Relationship Id="rId96" Type="http://schemas.openxmlformats.org/officeDocument/2006/relationships/image" Target="media/image43.wmf"/><Relationship Id="rId140" Type="http://schemas.openxmlformats.org/officeDocument/2006/relationships/oleObject" Target="embeddings/oleObject64.bin"/><Relationship Id="rId161" Type="http://schemas.openxmlformats.org/officeDocument/2006/relationships/oleObject" Target="embeddings/oleObject71.bin"/><Relationship Id="rId182" Type="http://schemas.openxmlformats.org/officeDocument/2006/relationships/image" Target="media/image91.wmf"/><Relationship Id="rId217" Type="http://schemas.openxmlformats.org/officeDocument/2006/relationships/oleObject" Target="embeddings/oleObject102.bin"/><Relationship Id="rId378" Type="http://schemas.openxmlformats.org/officeDocument/2006/relationships/oleObject" Target="embeddings/oleObject162.bin"/><Relationship Id="rId399" Type="http://schemas.openxmlformats.org/officeDocument/2006/relationships/image" Target="media/image203.wmf"/><Relationship Id="rId403" Type="http://schemas.openxmlformats.org/officeDocument/2006/relationships/oleObject" Target="embeddings/oleObject178.bin"/><Relationship Id="rId6" Type="http://schemas.openxmlformats.org/officeDocument/2006/relationships/footnotes" Target="footnotes.xml"/><Relationship Id="rId238" Type="http://schemas.openxmlformats.org/officeDocument/2006/relationships/oleObject" Target="embeddings/Microsoft_Visio_2003-2010_Drawing5.vsd"/><Relationship Id="rId259" Type="http://schemas.openxmlformats.org/officeDocument/2006/relationships/image" Target="media/image129.wmf"/><Relationship Id="rId424" Type="http://schemas.openxmlformats.org/officeDocument/2006/relationships/image" Target="media/image220.emf"/><Relationship Id="rId23" Type="http://schemas.openxmlformats.org/officeDocument/2006/relationships/oleObject" Target="embeddings/oleObject6.bin"/><Relationship Id="rId119" Type="http://schemas.openxmlformats.org/officeDocument/2006/relationships/oleObject" Target="embeddings/oleObject56.bin"/><Relationship Id="rId270" Type="http://schemas.openxmlformats.org/officeDocument/2006/relationships/oleObject" Target="embeddings/oleObject121.bin"/><Relationship Id="rId291" Type="http://schemas.openxmlformats.org/officeDocument/2006/relationships/image" Target="media/image145.wmf"/><Relationship Id="rId305" Type="http://schemas.openxmlformats.org/officeDocument/2006/relationships/image" Target="media/image152.wmf"/><Relationship Id="rId326" Type="http://schemas.openxmlformats.org/officeDocument/2006/relationships/oleObject" Target="embeddings/oleObject148.bin"/><Relationship Id="rId347" Type="http://schemas.openxmlformats.org/officeDocument/2006/relationships/image" Target="media/image179.emf"/><Relationship Id="rId44" Type="http://schemas.openxmlformats.org/officeDocument/2006/relationships/image" Target="media/image18.wmf"/><Relationship Id="rId65" Type="http://schemas.openxmlformats.org/officeDocument/2006/relationships/oleObject" Target="embeddings/oleObject29.bin"/><Relationship Id="rId86" Type="http://schemas.openxmlformats.org/officeDocument/2006/relationships/image" Target="media/image38.wmf"/><Relationship Id="rId130" Type="http://schemas.openxmlformats.org/officeDocument/2006/relationships/image" Target="media/image60.tif"/><Relationship Id="rId151" Type="http://schemas.openxmlformats.org/officeDocument/2006/relationships/oleObject" Target="embeddings/oleObject66.bin"/><Relationship Id="rId368" Type="http://schemas.openxmlformats.org/officeDocument/2006/relationships/package" Target="embeddings/Microsoft_Visio_Drawing5.vsdx"/><Relationship Id="rId389" Type="http://schemas.openxmlformats.org/officeDocument/2006/relationships/oleObject" Target="embeddings/oleObject169.bin"/><Relationship Id="rId172" Type="http://schemas.openxmlformats.org/officeDocument/2006/relationships/image" Target="media/image86.wmf"/><Relationship Id="rId193" Type="http://schemas.openxmlformats.org/officeDocument/2006/relationships/oleObject" Target="embeddings/oleObject89.bin"/><Relationship Id="rId207" Type="http://schemas.openxmlformats.org/officeDocument/2006/relationships/oleObject" Target="embeddings/oleObject96.bin"/><Relationship Id="rId228" Type="http://schemas.openxmlformats.org/officeDocument/2006/relationships/oleObject" Target="embeddings/oleObject108.bin"/><Relationship Id="rId249" Type="http://schemas.openxmlformats.org/officeDocument/2006/relationships/image" Target="media/image124.wmf"/><Relationship Id="rId414" Type="http://schemas.openxmlformats.org/officeDocument/2006/relationships/image" Target="media/image212.emf"/><Relationship Id="rId435" Type="http://schemas.openxmlformats.org/officeDocument/2006/relationships/image" Target="media/image228.emf"/><Relationship Id="rId13" Type="http://schemas.openxmlformats.org/officeDocument/2006/relationships/oleObject" Target="embeddings/oleObject1.bin"/><Relationship Id="rId109" Type="http://schemas.openxmlformats.org/officeDocument/2006/relationships/oleObject" Target="embeddings/oleObject51.bin"/><Relationship Id="rId260" Type="http://schemas.openxmlformats.org/officeDocument/2006/relationships/oleObject" Target="embeddings/oleObject116.bin"/><Relationship Id="rId281" Type="http://schemas.openxmlformats.org/officeDocument/2006/relationships/image" Target="media/image140.wmf"/><Relationship Id="rId316" Type="http://schemas.openxmlformats.org/officeDocument/2006/relationships/oleObject" Target="embeddings/oleObject144.bin"/><Relationship Id="rId337" Type="http://schemas.openxmlformats.org/officeDocument/2006/relationships/image" Target="media/image172.emf"/><Relationship Id="rId34" Type="http://schemas.openxmlformats.org/officeDocument/2006/relationships/image" Target="media/image13.wmf"/><Relationship Id="rId55" Type="http://schemas.openxmlformats.org/officeDocument/2006/relationships/oleObject" Target="embeddings/oleObject23.bin"/><Relationship Id="rId76" Type="http://schemas.openxmlformats.org/officeDocument/2006/relationships/image" Target="media/image33.wmf"/><Relationship Id="rId97" Type="http://schemas.openxmlformats.org/officeDocument/2006/relationships/oleObject" Target="embeddings/oleObject45.bin"/><Relationship Id="rId120" Type="http://schemas.openxmlformats.org/officeDocument/2006/relationships/image" Target="media/image55.wmf"/><Relationship Id="rId141" Type="http://schemas.openxmlformats.org/officeDocument/2006/relationships/oleObject" Target="embeddings/oleObject65.bin"/><Relationship Id="rId358" Type="http://schemas.openxmlformats.org/officeDocument/2006/relationships/image" Target="media/image187.emf"/><Relationship Id="rId379" Type="http://schemas.openxmlformats.org/officeDocument/2006/relationships/oleObject" Target="embeddings/oleObject163.bin"/><Relationship Id="rId7" Type="http://schemas.openxmlformats.org/officeDocument/2006/relationships/endnotes" Target="endnotes.xml"/><Relationship Id="rId162" Type="http://schemas.openxmlformats.org/officeDocument/2006/relationships/image" Target="media/image81.wmf"/><Relationship Id="rId183" Type="http://schemas.openxmlformats.org/officeDocument/2006/relationships/oleObject" Target="embeddings/oleObject82.bin"/><Relationship Id="rId218" Type="http://schemas.openxmlformats.org/officeDocument/2006/relationships/oleObject" Target="embeddings/oleObject103.bin"/><Relationship Id="rId239" Type="http://schemas.openxmlformats.org/officeDocument/2006/relationships/image" Target="media/image116.png"/><Relationship Id="rId390" Type="http://schemas.openxmlformats.org/officeDocument/2006/relationships/oleObject" Target="embeddings/oleObject170.bin"/><Relationship Id="rId404" Type="http://schemas.openxmlformats.org/officeDocument/2006/relationships/oleObject" Target="embeddings/oleObject179.bin"/><Relationship Id="rId425" Type="http://schemas.openxmlformats.org/officeDocument/2006/relationships/package" Target="embeddings/Microsoft_Visio_Drawing7.vsdx"/><Relationship Id="rId250" Type="http://schemas.openxmlformats.org/officeDocument/2006/relationships/oleObject" Target="embeddings/oleObject112.bin"/><Relationship Id="rId271" Type="http://schemas.openxmlformats.org/officeDocument/2006/relationships/image" Target="media/image135.wmf"/><Relationship Id="rId292" Type="http://schemas.openxmlformats.org/officeDocument/2006/relationships/oleObject" Target="embeddings/oleObject132.bin"/><Relationship Id="rId306" Type="http://schemas.openxmlformats.org/officeDocument/2006/relationships/oleObject" Target="embeddings/oleObject139.bin"/><Relationship Id="rId24" Type="http://schemas.openxmlformats.org/officeDocument/2006/relationships/image" Target="media/image9.wmf"/><Relationship Id="rId45" Type="http://schemas.openxmlformats.org/officeDocument/2006/relationships/oleObject" Target="embeddings/oleObject18.bin"/><Relationship Id="rId66" Type="http://schemas.openxmlformats.org/officeDocument/2006/relationships/image" Target="media/image28.wmf"/><Relationship Id="rId87" Type="http://schemas.openxmlformats.org/officeDocument/2006/relationships/oleObject" Target="embeddings/oleObject40.bin"/><Relationship Id="rId110" Type="http://schemas.openxmlformats.org/officeDocument/2006/relationships/image" Target="media/image50.wmf"/><Relationship Id="rId131" Type="http://schemas.openxmlformats.org/officeDocument/2006/relationships/image" Target="media/image61.tif"/><Relationship Id="rId327" Type="http://schemas.openxmlformats.org/officeDocument/2006/relationships/image" Target="media/image163.wmf"/><Relationship Id="rId348" Type="http://schemas.openxmlformats.org/officeDocument/2006/relationships/image" Target="media/image180.emf"/><Relationship Id="rId369" Type="http://schemas.openxmlformats.org/officeDocument/2006/relationships/image" Target="media/image193.wmf"/><Relationship Id="rId152" Type="http://schemas.openxmlformats.org/officeDocument/2006/relationships/image" Target="media/image76.wmf"/><Relationship Id="rId173" Type="http://schemas.openxmlformats.org/officeDocument/2006/relationships/oleObject" Target="embeddings/oleObject77.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image" Target="media/image111.emf"/><Relationship Id="rId380" Type="http://schemas.openxmlformats.org/officeDocument/2006/relationships/image" Target="media/image197.emf"/><Relationship Id="rId415" Type="http://schemas.openxmlformats.org/officeDocument/2006/relationships/image" Target="media/image213.emf"/><Relationship Id="rId436" Type="http://schemas.openxmlformats.org/officeDocument/2006/relationships/fontTable" Target="fontTable.xml"/><Relationship Id="rId240" Type="http://schemas.openxmlformats.org/officeDocument/2006/relationships/image" Target="media/image117.png"/><Relationship Id="rId261" Type="http://schemas.openxmlformats.org/officeDocument/2006/relationships/image" Target="media/image130.wmf"/><Relationship Id="rId14" Type="http://schemas.openxmlformats.org/officeDocument/2006/relationships/image" Target="media/image4.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oleObject" Target="embeddings/oleObject35.bin"/><Relationship Id="rId100" Type="http://schemas.openxmlformats.org/officeDocument/2006/relationships/image" Target="media/image45.wmf"/><Relationship Id="rId282" Type="http://schemas.openxmlformats.org/officeDocument/2006/relationships/oleObject" Target="embeddings/oleObject127.bin"/><Relationship Id="rId317" Type="http://schemas.openxmlformats.org/officeDocument/2006/relationships/image" Target="media/image158.wmf"/><Relationship Id="rId338" Type="http://schemas.openxmlformats.org/officeDocument/2006/relationships/image" Target="media/image173.emf"/><Relationship Id="rId359" Type="http://schemas.openxmlformats.org/officeDocument/2006/relationships/image" Target="media/image188.emf"/><Relationship Id="rId8" Type="http://schemas.openxmlformats.org/officeDocument/2006/relationships/header" Target="header1.xml"/><Relationship Id="rId98" Type="http://schemas.openxmlformats.org/officeDocument/2006/relationships/image" Target="media/image44.wmf"/><Relationship Id="rId121" Type="http://schemas.openxmlformats.org/officeDocument/2006/relationships/oleObject" Target="embeddings/oleObject57.bin"/><Relationship Id="rId142" Type="http://schemas.openxmlformats.org/officeDocument/2006/relationships/image" Target="media/image68.tif"/><Relationship Id="rId163" Type="http://schemas.openxmlformats.org/officeDocument/2006/relationships/oleObject" Target="embeddings/oleObject72.bin"/><Relationship Id="rId184" Type="http://schemas.openxmlformats.org/officeDocument/2006/relationships/image" Target="media/image92.wmf"/><Relationship Id="rId219" Type="http://schemas.openxmlformats.org/officeDocument/2006/relationships/image" Target="media/image106.wmf"/><Relationship Id="rId370" Type="http://schemas.openxmlformats.org/officeDocument/2006/relationships/oleObject" Target="embeddings/oleObject157.bin"/><Relationship Id="rId391" Type="http://schemas.openxmlformats.org/officeDocument/2006/relationships/oleObject" Target="embeddings/oleObject171.bin"/><Relationship Id="rId405" Type="http://schemas.openxmlformats.org/officeDocument/2006/relationships/image" Target="media/image205.wmf"/><Relationship Id="rId426" Type="http://schemas.openxmlformats.org/officeDocument/2006/relationships/image" Target="media/image221.emf"/><Relationship Id="rId230" Type="http://schemas.openxmlformats.org/officeDocument/2006/relationships/oleObject" Target="embeddings/Microsoft_Visio_2003-2010_Drawing2.vsd"/><Relationship Id="rId251" Type="http://schemas.openxmlformats.org/officeDocument/2006/relationships/image" Target="media/image125.wmf"/><Relationship Id="rId25" Type="http://schemas.openxmlformats.org/officeDocument/2006/relationships/oleObject" Target="embeddings/oleObject7.bin"/><Relationship Id="rId46" Type="http://schemas.openxmlformats.org/officeDocument/2006/relationships/image" Target="media/image19.wmf"/><Relationship Id="rId67" Type="http://schemas.openxmlformats.org/officeDocument/2006/relationships/oleObject" Target="embeddings/oleObject30.bin"/><Relationship Id="rId272" Type="http://schemas.openxmlformats.org/officeDocument/2006/relationships/oleObject" Target="embeddings/oleObject122.bin"/><Relationship Id="rId293" Type="http://schemas.openxmlformats.org/officeDocument/2006/relationships/image" Target="media/image146.wmf"/><Relationship Id="rId307" Type="http://schemas.openxmlformats.org/officeDocument/2006/relationships/image" Target="media/image153.wmf"/><Relationship Id="rId328" Type="http://schemas.openxmlformats.org/officeDocument/2006/relationships/oleObject" Target="embeddings/oleObject149.bin"/><Relationship Id="rId349" Type="http://schemas.openxmlformats.org/officeDocument/2006/relationships/image" Target="media/image181.emf"/><Relationship Id="rId88" Type="http://schemas.openxmlformats.org/officeDocument/2006/relationships/image" Target="media/image39.wmf"/><Relationship Id="rId111" Type="http://schemas.openxmlformats.org/officeDocument/2006/relationships/oleObject" Target="embeddings/oleObject52.bin"/><Relationship Id="rId132" Type="http://schemas.openxmlformats.org/officeDocument/2006/relationships/image" Target="media/image62.tif"/><Relationship Id="rId153" Type="http://schemas.openxmlformats.org/officeDocument/2006/relationships/oleObject" Target="embeddings/oleObject67.bin"/><Relationship Id="rId174" Type="http://schemas.openxmlformats.org/officeDocument/2006/relationships/image" Target="media/image87.wmf"/><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package" Target="embeddings/Microsoft_Visio_Drawing3.vsdx"/><Relationship Id="rId381" Type="http://schemas.openxmlformats.org/officeDocument/2006/relationships/image" Target="media/image198.emf"/><Relationship Id="rId416" Type="http://schemas.openxmlformats.org/officeDocument/2006/relationships/oleObject" Target="embeddings/oleObject182.bin"/><Relationship Id="rId220" Type="http://schemas.openxmlformats.org/officeDocument/2006/relationships/oleObject" Target="embeddings/oleObject104.bin"/><Relationship Id="rId241" Type="http://schemas.openxmlformats.org/officeDocument/2006/relationships/image" Target="media/image118.png"/><Relationship Id="rId437" Type="http://schemas.openxmlformats.org/officeDocument/2006/relationships/theme" Target="theme/theme1.xml"/><Relationship Id="rId15" Type="http://schemas.openxmlformats.org/officeDocument/2006/relationships/oleObject" Target="embeddings/oleObject2.bin"/><Relationship Id="rId36" Type="http://schemas.openxmlformats.org/officeDocument/2006/relationships/image" Target="media/image14.wmf"/><Relationship Id="rId57" Type="http://schemas.openxmlformats.org/officeDocument/2006/relationships/oleObject" Target="embeddings/oleObject24.bin"/><Relationship Id="rId262" Type="http://schemas.openxmlformats.org/officeDocument/2006/relationships/oleObject" Target="embeddings/oleObject117.bin"/><Relationship Id="rId283" Type="http://schemas.openxmlformats.org/officeDocument/2006/relationships/image" Target="media/image141.wmf"/><Relationship Id="rId318" Type="http://schemas.openxmlformats.org/officeDocument/2006/relationships/oleObject" Target="embeddings/oleObject145.bin"/><Relationship Id="rId339" Type="http://schemas.openxmlformats.org/officeDocument/2006/relationships/image" Target="media/image174.emf"/><Relationship Id="rId78" Type="http://schemas.openxmlformats.org/officeDocument/2006/relationships/image" Target="media/image3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6.wmf"/><Relationship Id="rId143" Type="http://schemas.openxmlformats.org/officeDocument/2006/relationships/image" Target="media/image69.tif"/><Relationship Id="rId164" Type="http://schemas.openxmlformats.org/officeDocument/2006/relationships/image" Target="media/image82.wmf"/><Relationship Id="rId185" Type="http://schemas.openxmlformats.org/officeDocument/2006/relationships/oleObject" Target="embeddings/oleObject83.bin"/><Relationship Id="rId350" Type="http://schemas.openxmlformats.org/officeDocument/2006/relationships/image" Target="media/image182.emf"/><Relationship Id="rId371" Type="http://schemas.openxmlformats.org/officeDocument/2006/relationships/image" Target="media/image194.wmf"/><Relationship Id="rId406" Type="http://schemas.openxmlformats.org/officeDocument/2006/relationships/oleObject" Target="embeddings/oleObject180.bin"/><Relationship Id="rId9" Type="http://schemas.openxmlformats.org/officeDocument/2006/relationships/header" Target="header2.xml"/><Relationship Id="rId210" Type="http://schemas.openxmlformats.org/officeDocument/2006/relationships/image" Target="media/image103.wmf"/><Relationship Id="rId392" Type="http://schemas.openxmlformats.org/officeDocument/2006/relationships/oleObject" Target="embeddings/oleObject172.bin"/><Relationship Id="rId427" Type="http://schemas.openxmlformats.org/officeDocument/2006/relationships/image" Target="media/image222.emf"/><Relationship Id="rId26" Type="http://schemas.openxmlformats.org/officeDocument/2006/relationships/image" Target="media/image10.wmf"/><Relationship Id="rId231" Type="http://schemas.openxmlformats.org/officeDocument/2006/relationships/image" Target="media/image112.emf"/><Relationship Id="rId252" Type="http://schemas.openxmlformats.org/officeDocument/2006/relationships/oleObject" Target="embeddings/oleObject113.bin"/><Relationship Id="rId273" Type="http://schemas.openxmlformats.org/officeDocument/2006/relationships/image" Target="media/image136.wmf"/><Relationship Id="rId294" Type="http://schemas.openxmlformats.org/officeDocument/2006/relationships/oleObject" Target="embeddings/oleObject133.bin"/><Relationship Id="rId308" Type="http://schemas.openxmlformats.org/officeDocument/2006/relationships/oleObject" Target="embeddings/oleObject140.bin"/><Relationship Id="rId329" Type="http://schemas.openxmlformats.org/officeDocument/2006/relationships/image" Target="media/image164.emf"/><Relationship Id="rId47" Type="http://schemas.openxmlformats.org/officeDocument/2006/relationships/oleObject" Target="embeddings/oleObject19.bin"/><Relationship Id="rId68" Type="http://schemas.openxmlformats.org/officeDocument/2006/relationships/image" Target="media/image29.wmf"/><Relationship Id="rId89" Type="http://schemas.openxmlformats.org/officeDocument/2006/relationships/oleObject" Target="embeddings/oleObject41.bin"/><Relationship Id="rId112" Type="http://schemas.openxmlformats.org/officeDocument/2006/relationships/image" Target="media/image51.wmf"/><Relationship Id="rId133" Type="http://schemas.openxmlformats.org/officeDocument/2006/relationships/image" Target="media/image63.tif"/><Relationship Id="rId154" Type="http://schemas.openxmlformats.org/officeDocument/2006/relationships/image" Target="media/image77.wmf"/><Relationship Id="rId175" Type="http://schemas.openxmlformats.org/officeDocument/2006/relationships/oleObject" Target="embeddings/oleObject78.bin"/><Relationship Id="rId340" Type="http://schemas.openxmlformats.org/officeDocument/2006/relationships/oleObject" Target="embeddings/oleObject150.bin"/><Relationship Id="rId361" Type="http://schemas.openxmlformats.org/officeDocument/2006/relationships/image" Target="media/image189.emf"/><Relationship Id="rId196" Type="http://schemas.openxmlformats.org/officeDocument/2006/relationships/image" Target="media/image96.wmf"/><Relationship Id="rId200" Type="http://schemas.openxmlformats.org/officeDocument/2006/relationships/image" Target="media/image98.wmf"/><Relationship Id="rId382" Type="http://schemas.openxmlformats.org/officeDocument/2006/relationships/oleObject" Target="embeddings/oleObject164.bin"/><Relationship Id="rId417" Type="http://schemas.openxmlformats.org/officeDocument/2006/relationships/image" Target="media/image214.wmf"/><Relationship Id="rId16" Type="http://schemas.openxmlformats.org/officeDocument/2006/relationships/image" Target="media/image5.wmf"/><Relationship Id="rId221" Type="http://schemas.openxmlformats.org/officeDocument/2006/relationships/image" Target="media/image107.wmf"/><Relationship Id="rId242" Type="http://schemas.openxmlformats.org/officeDocument/2006/relationships/image" Target="media/image119.png"/><Relationship Id="rId263" Type="http://schemas.openxmlformats.org/officeDocument/2006/relationships/image" Target="media/image131.wmf"/><Relationship Id="rId284" Type="http://schemas.openxmlformats.org/officeDocument/2006/relationships/oleObject" Target="embeddings/oleObject128.bin"/><Relationship Id="rId319" Type="http://schemas.openxmlformats.org/officeDocument/2006/relationships/image" Target="media/image159.wmf"/><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oleObject" Target="embeddings/oleObject36.bin"/><Relationship Id="rId102" Type="http://schemas.openxmlformats.org/officeDocument/2006/relationships/image" Target="media/image46.wmf"/><Relationship Id="rId123" Type="http://schemas.openxmlformats.org/officeDocument/2006/relationships/oleObject" Target="embeddings/oleObject58.bin"/><Relationship Id="rId144" Type="http://schemas.openxmlformats.org/officeDocument/2006/relationships/image" Target="media/image70.tif"/><Relationship Id="rId330" Type="http://schemas.openxmlformats.org/officeDocument/2006/relationships/image" Target="media/image165.emf"/><Relationship Id="rId90" Type="http://schemas.openxmlformats.org/officeDocument/2006/relationships/image" Target="media/image40.wmf"/><Relationship Id="rId165" Type="http://schemas.openxmlformats.org/officeDocument/2006/relationships/oleObject" Target="embeddings/oleObject73.bin"/><Relationship Id="rId186" Type="http://schemas.openxmlformats.org/officeDocument/2006/relationships/oleObject" Target="embeddings/oleObject84.bin"/><Relationship Id="rId351" Type="http://schemas.openxmlformats.org/officeDocument/2006/relationships/image" Target="media/image183.emf"/><Relationship Id="rId372" Type="http://schemas.openxmlformats.org/officeDocument/2006/relationships/oleObject" Target="embeddings/oleObject158.bin"/><Relationship Id="rId393" Type="http://schemas.openxmlformats.org/officeDocument/2006/relationships/oleObject" Target="embeddings/oleObject173.bin"/><Relationship Id="rId407" Type="http://schemas.openxmlformats.org/officeDocument/2006/relationships/image" Target="media/image206.wmf"/><Relationship Id="rId428" Type="http://schemas.openxmlformats.org/officeDocument/2006/relationships/image" Target="media/image223.emf"/><Relationship Id="rId211" Type="http://schemas.openxmlformats.org/officeDocument/2006/relationships/oleObject" Target="embeddings/oleObject98.bin"/><Relationship Id="rId232" Type="http://schemas.openxmlformats.org/officeDocument/2006/relationships/oleObject" Target="embeddings/Microsoft_Visio_2003-2010_Drawing3.vsd"/><Relationship Id="rId253" Type="http://schemas.openxmlformats.org/officeDocument/2006/relationships/image" Target="media/image126.wmf"/><Relationship Id="rId274" Type="http://schemas.openxmlformats.org/officeDocument/2006/relationships/oleObject" Target="embeddings/oleObject123.bin"/><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oleObject" Target="embeddings/oleObject8.bin"/><Relationship Id="rId48" Type="http://schemas.openxmlformats.org/officeDocument/2006/relationships/image" Target="media/image20.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tif"/><Relationship Id="rId320" Type="http://schemas.openxmlformats.org/officeDocument/2006/relationships/oleObject" Target="embeddings/oleObject146.bin"/><Relationship Id="rId80" Type="http://schemas.openxmlformats.org/officeDocument/2006/relationships/image" Target="media/image35.wmf"/><Relationship Id="rId155" Type="http://schemas.openxmlformats.org/officeDocument/2006/relationships/oleObject" Target="embeddings/oleObject68.bin"/><Relationship Id="rId176" Type="http://schemas.openxmlformats.org/officeDocument/2006/relationships/image" Target="media/image88.wmf"/><Relationship Id="rId197" Type="http://schemas.openxmlformats.org/officeDocument/2006/relationships/oleObject" Target="embeddings/oleObject91.bin"/><Relationship Id="rId341" Type="http://schemas.openxmlformats.org/officeDocument/2006/relationships/image" Target="media/image175.emf"/><Relationship Id="rId362" Type="http://schemas.openxmlformats.org/officeDocument/2006/relationships/image" Target="media/image190.emf"/><Relationship Id="rId383" Type="http://schemas.openxmlformats.org/officeDocument/2006/relationships/oleObject" Target="embeddings/oleObject165.bin"/><Relationship Id="rId418" Type="http://schemas.openxmlformats.org/officeDocument/2006/relationships/oleObject" Target="embeddings/oleObject183.bin"/><Relationship Id="rId201" Type="http://schemas.openxmlformats.org/officeDocument/2006/relationships/oleObject" Target="embeddings/oleObject93.bin"/><Relationship Id="rId222" Type="http://schemas.openxmlformats.org/officeDocument/2006/relationships/oleObject" Target="embeddings/oleObject105.bin"/><Relationship Id="rId243" Type="http://schemas.openxmlformats.org/officeDocument/2006/relationships/image" Target="media/image120.png"/><Relationship Id="rId264" Type="http://schemas.openxmlformats.org/officeDocument/2006/relationships/oleObject" Target="embeddings/oleObject118.bin"/><Relationship Id="rId285" Type="http://schemas.openxmlformats.org/officeDocument/2006/relationships/image" Target="media/image142.wmf"/><Relationship Id="rId17" Type="http://schemas.openxmlformats.org/officeDocument/2006/relationships/oleObject" Target="embeddings/oleObject3.bin"/><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7.wmf"/><Relationship Id="rId310" Type="http://schemas.openxmlformats.org/officeDocument/2006/relationships/oleObject" Target="embeddings/oleObject141.bin"/><Relationship Id="rId70" Type="http://schemas.openxmlformats.org/officeDocument/2006/relationships/image" Target="media/image30.wmf"/><Relationship Id="rId91" Type="http://schemas.openxmlformats.org/officeDocument/2006/relationships/oleObject" Target="embeddings/oleObject42.bin"/><Relationship Id="rId145" Type="http://schemas.openxmlformats.org/officeDocument/2006/relationships/image" Target="media/image71.tif"/><Relationship Id="rId166" Type="http://schemas.openxmlformats.org/officeDocument/2006/relationships/image" Target="media/image83.wmf"/><Relationship Id="rId187" Type="http://schemas.openxmlformats.org/officeDocument/2006/relationships/oleObject" Target="embeddings/oleObject85.bin"/><Relationship Id="rId331" Type="http://schemas.openxmlformats.org/officeDocument/2006/relationships/image" Target="media/image166.emf"/><Relationship Id="rId352" Type="http://schemas.openxmlformats.org/officeDocument/2006/relationships/image" Target="media/image184.wmf"/><Relationship Id="rId373" Type="http://schemas.openxmlformats.org/officeDocument/2006/relationships/image" Target="media/image195.wmf"/><Relationship Id="rId394" Type="http://schemas.openxmlformats.org/officeDocument/2006/relationships/image" Target="media/image201.emf"/><Relationship Id="rId408" Type="http://schemas.openxmlformats.org/officeDocument/2006/relationships/oleObject" Target="embeddings/oleObject181.bin"/><Relationship Id="rId429" Type="http://schemas.openxmlformats.org/officeDocument/2006/relationships/image" Target="media/image224.emf"/><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image" Target="media/image113.emf"/><Relationship Id="rId254" Type="http://schemas.openxmlformats.org/officeDocument/2006/relationships/oleObject" Target="embeddings/oleObject114.bin"/><Relationship Id="rId28" Type="http://schemas.openxmlformats.org/officeDocument/2006/relationships/oleObject" Target="embeddings/oleObject9.bin"/><Relationship Id="rId49" Type="http://schemas.openxmlformats.org/officeDocument/2006/relationships/oleObject" Target="embeddings/oleObject20.bin"/><Relationship Id="rId114" Type="http://schemas.openxmlformats.org/officeDocument/2006/relationships/image" Target="media/image52.wmf"/><Relationship Id="rId275" Type="http://schemas.openxmlformats.org/officeDocument/2006/relationships/image" Target="media/image137.wmf"/><Relationship Id="rId296" Type="http://schemas.openxmlformats.org/officeDocument/2006/relationships/oleObject" Target="embeddings/oleObject134.bin"/><Relationship Id="rId300" Type="http://schemas.openxmlformats.org/officeDocument/2006/relationships/oleObject" Target="embeddings/oleObject136.bin"/><Relationship Id="rId60" Type="http://schemas.openxmlformats.org/officeDocument/2006/relationships/image" Target="media/image25.wmf"/><Relationship Id="rId81" Type="http://schemas.openxmlformats.org/officeDocument/2006/relationships/oleObject" Target="embeddings/oleObject37.bin"/><Relationship Id="rId135" Type="http://schemas.openxmlformats.org/officeDocument/2006/relationships/image" Target="media/image65.tif"/><Relationship Id="rId156" Type="http://schemas.openxmlformats.org/officeDocument/2006/relationships/image" Target="media/image78.wmf"/><Relationship Id="rId177" Type="http://schemas.openxmlformats.org/officeDocument/2006/relationships/oleObject" Target="embeddings/oleObject79.bin"/><Relationship Id="rId198" Type="http://schemas.openxmlformats.org/officeDocument/2006/relationships/image" Target="media/image97.wmf"/><Relationship Id="rId321" Type="http://schemas.openxmlformats.org/officeDocument/2006/relationships/image" Target="media/image160.emf"/><Relationship Id="rId342" Type="http://schemas.openxmlformats.org/officeDocument/2006/relationships/oleObject" Target="embeddings/oleObject151.bin"/><Relationship Id="rId363" Type="http://schemas.openxmlformats.org/officeDocument/2006/relationships/package" Target="embeddings/Microsoft_Visio_Drawing4.vsdx"/><Relationship Id="rId384" Type="http://schemas.openxmlformats.org/officeDocument/2006/relationships/oleObject" Target="embeddings/oleObject166.bin"/><Relationship Id="rId419" Type="http://schemas.openxmlformats.org/officeDocument/2006/relationships/image" Target="media/image215.emf"/><Relationship Id="rId202" Type="http://schemas.openxmlformats.org/officeDocument/2006/relationships/image" Target="media/image99.wmf"/><Relationship Id="rId223" Type="http://schemas.openxmlformats.org/officeDocument/2006/relationships/image" Target="media/image108.wmf"/><Relationship Id="rId244" Type="http://schemas.openxmlformats.org/officeDocument/2006/relationships/image" Target="media/image121.png"/><Relationship Id="rId430" Type="http://schemas.openxmlformats.org/officeDocument/2006/relationships/oleObject" Target="embeddings/oleObject184.bin"/><Relationship Id="rId18" Type="http://schemas.openxmlformats.org/officeDocument/2006/relationships/image" Target="media/image6.wmf"/><Relationship Id="rId39" Type="http://schemas.openxmlformats.org/officeDocument/2006/relationships/oleObject" Target="embeddings/oleObject15.bin"/><Relationship Id="rId265" Type="http://schemas.openxmlformats.org/officeDocument/2006/relationships/image" Target="media/image132.wmf"/><Relationship Id="rId286" Type="http://schemas.openxmlformats.org/officeDocument/2006/relationships/oleObject" Target="embeddings/oleObject129.bin"/><Relationship Id="rId50" Type="http://schemas.openxmlformats.org/officeDocument/2006/relationships/image" Target="media/image21.wmf"/><Relationship Id="rId104" Type="http://schemas.openxmlformats.org/officeDocument/2006/relationships/image" Target="media/image47.wmf"/><Relationship Id="rId125" Type="http://schemas.openxmlformats.org/officeDocument/2006/relationships/oleObject" Target="embeddings/oleObject59.bin"/><Relationship Id="rId146" Type="http://schemas.openxmlformats.org/officeDocument/2006/relationships/image" Target="media/image72.tif"/><Relationship Id="rId167" Type="http://schemas.openxmlformats.org/officeDocument/2006/relationships/oleObject" Target="embeddings/oleObject74.bin"/><Relationship Id="rId188" Type="http://schemas.openxmlformats.org/officeDocument/2006/relationships/oleObject" Target="embeddings/oleObject86.bin"/><Relationship Id="rId311" Type="http://schemas.openxmlformats.org/officeDocument/2006/relationships/image" Target="media/image155.wmf"/><Relationship Id="rId332" Type="http://schemas.openxmlformats.org/officeDocument/2006/relationships/image" Target="media/image167.emf"/><Relationship Id="rId353" Type="http://schemas.openxmlformats.org/officeDocument/2006/relationships/oleObject" Target="embeddings/oleObject153.bin"/><Relationship Id="rId374" Type="http://schemas.openxmlformats.org/officeDocument/2006/relationships/oleObject" Target="embeddings/oleObject159.bin"/><Relationship Id="rId395" Type="http://schemas.openxmlformats.org/officeDocument/2006/relationships/package" Target="embeddings/Microsoft_Visio_Drawing6.vsdx"/><Relationship Id="rId409" Type="http://schemas.openxmlformats.org/officeDocument/2006/relationships/image" Target="media/image207.tiff"/><Relationship Id="rId71" Type="http://schemas.openxmlformats.org/officeDocument/2006/relationships/oleObject" Target="embeddings/oleObject32.bin"/><Relationship Id="rId92" Type="http://schemas.openxmlformats.org/officeDocument/2006/relationships/image" Target="media/image41.wmf"/><Relationship Id="rId213" Type="http://schemas.openxmlformats.org/officeDocument/2006/relationships/oleObject" Target="embeddings/oleObject99.bin"/><Relationship Id="rId234" Type="http://schemas.openxmlformats.org/officeDocument/2006/relationships/oleObject" Target="embeddings/Microsoft_Visio_2003-2010_Drawing4.vsd"/><Relationship Id="rId420" Type="http://schemas.openxmlformats.org/officeDocument/2006/relationships/image" Target="media/image216.emf"/><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image" Target="media/image127.wmf"/><Relationship Id="rId276" Type="http://schemas.openxmlformats.org/officeDocument/2006/relationships/oleObject" Target="embeddings/oleObject124.bin"/><Relationship Id="rId297" Type="http://schemas.openxmlformats.org/officeDocument/2006/relationships/image" Target="media/image148.wmf"/><Relationship Id="rId40" Type="http://schemas.openxmlformats.org/officeDocument/2006/relationships/image" Target="media/image16.wmf"/><Relationship Id="rId115" Type="http://schemas.openxmlformats.org/officeDocument/2006/relationships/oleObject" Target="embeddings/oleObject54.bin"/><Relationship Id="rId136" Type="http://schemas.openxmlformats.org/officeDocument/2006/relationships/image" Target="media/image66.wmf"/><Relationship Id="rId157" Type="http://schemas.openxmlformats.org/officeDocument/2006/relationships/oleObject" Target="embeddings/oleObject69.bin"/><Relationship Id="rId178" Type="http://schemas.openxmlformats.org/officeDocument/2006/relationships/image" Target="media/image89.wmf"/><Relationship Id="rId301" Type="http://schemas.openxmlformats.org/officeDocument/2006/relationships/image" Target="media/image150.wmf"/><Relationship Id="rId322" Type="http://schemas.openxmlformats.org/officeDocument/2006/relationships/package" Target="embeddings/Microsoft_Visio_Drawing1.vsdx"/><Relationship Id="rId343" Type="http://schemas.openxmlformats.org/officeDocument/2006/relationships/image" Target="media/image176.emf"/><Relationship Id="rId364" Type="http://schemas.openxmlformats.org/officeDocument/2006/relationships/image" Target="media/image191.wmf"/><Relationship Id="rId61" Type="http://schemas.openxmlformats.org/officeDocument/2006/relationships/oleObject" Target="embeddings/oleObject27.bin"/><Relationship Id="rId82" Type="http://schemas.openxmlformats.org/officeDocument/2006/relationships/image" Target="media/image36.wmf"/><Relationship Id="rId199" Type="http://schemas.openxmlformats.org/officeDocument/2006/relationships/oleObject" Target="embeddings/oleObject92.bin"/><Relationship Id="rId203" Type="http://schemas.openxmlformats.org/officeDocument/2006/relationships/oleObject" Target="embeddings/oleObject94.bin"/><Relationship Id="rId385" Type="http://schemas.openxmlformats.org/officeDocument/2006/relationships/image" Target="media/image199.wmf"/><Relationship Id="rId19" Type="http://schemas.openxmlformats.org/officeDocument/2006/relationships/oleObject" Target="embeddings/oleObject4.bin"/><Relationship Id="rId224" Type="http://schemas.openxmlformats.org/officeDocument/2006/relationships/oleObject" Target="embeddings/oleObject106.bin"/><Relationship Id="rId245" Type="http://schemas.openxmlformats.org/officeDocument/2006/relationships/image" Target="media/image122.emf"/><Relationship Id="rId266" Type="http://schemas.openxmlformats.org/officeDocument/2006/relationships/oleObject" Target="embeddings/oleObject119.bin"/><Relationship Id="rId287" Type="http://schemas.openxmlformats.org/officeDocument/2006/relationships/image" Target="media/image143.wmf"/><Relationship Id="rId410" Type="http://schemas.openxmlformats.org/officeDocument/2006/relationships/image" Target="media/image208.emf"/><Relationship Id="rId431" Type="http://schemas.openxmlformats.org/officeDocument/2006/relationships/oleObject" Target="embeddings/oleObject185.bin"/><Relationship Id="rId30" Type="http://schemas.openxmlformats.org/officeDocument/2006/relationships/oleObject" Target="embeddings/oleObject10.bin"/><Relationship Id="rId105" Type="http://schemas.openxmlformats.org/officeDocument/2006/relationships/oleObject" Target="embeddings/oleObject49.bin"/><Relationship Id="rId126" Type="http://schemas.openxmlformats.org/officeDocument/2006/relationships/image" Target="media/image58.wmf"/><Relationship Id="rId147" Type="http://schemas.openxmlformats.org/officeDocument/2006/relationships/image" Target="media/image73.tif"/><Relationship Id="rId168" Type="http://schemas.openxmlformats.org/officeDocument/2006/relationships/image" Target="media/image84.wmf"/><Relationship Id="rId312" Type="http://schemas.openxmlformats.org/officeDocument/2006/relationships/oleObject" Target="embeddings/oleObject142.bin"/><Relationship Id="rId333" Type="http://schemas.openxmlformats.org/officeDocument/2006/relationships/image" Target="media/image168.emf"/><Relationship Id="rId354" Type="http://schemas.openxmlformats.org/officeDocument/2006/relationships/image" Target="media/image185.wmf"/><Relationship Id="rId51" Type="http://schemas.openxmlformats.org/officeDocument/2006/relationships/oleObject" Target="embeddings/oleObject21.bin"/><Relationship Id="rId72" Type="http://schemas.openxmlformats.org/officeDocument/2006/relationships/image" Target="media/image31.wmf"/><Relationship Id="rId93" Type="http://schemas.openxmlformats.org/officeDocument/2006/relationships/oleObject" Target="embeddings/oleObject43.bin"/><Relationship Id="rId189" Type="http://schemas.openxmlformats.org/officeDocument/2006/relationships/oleObject" Target="embeddings/oleObject87.bin"/><Relationship Id="rId375" Type="http://schemas.openxmlformats.org/officeDocument/2006/relationships/image" Target="media/image196.wmf"/><Relationship Id="rId396" Type="http://schemas.openxmlformats.org/officeDocument/2006/relationships/image" Target="media/image202.wmf"/><Relationship Id="rId3" Type="http://schemas.openxmlformats.org/officeDocument/2006/relationships/styles" Target="styles.xml"/><Relationship Id="rId214" Type="http://schemas.openxmlformats.org/officeDocument/2006/relationships/image" Target="media/image105.wmf"/><Relationship Id="rId235" Type="http://schemas.openxmlformats.org/officeDocument/2006/relationships/image" Target="media/image114.wmf"/><Relationship Id="rId256" Type="http://schemas.openxmlformats.org/officeDocument/2006/relationships/oleObject" Target="embeddings/oleObject115.bin"/><Relationship Id="rId277" Type="http://schemas.openxmlformats.org/officeDocument/2006/relationships/image" Target="media/image138.wmf"/><Relationship Id="rId298" Type="http://schemas.openxmlformats.org/officeDocument/2006/relationships/oleObject" Target="embeddings/oleObject135.bin"/><Relationship Id="rId400" Type="http://schemas.openxmlformats.org/officeDocument/2006/relationships/oleObject" Target="embeddings/oleObject176.bin"/><Relationship Id="rId421" Type="http://schemas.openxmlformats.org/officeDocument/2006/relationships/image" Target="media/image217.emf"/><Relationship Id="rId116" Type="http://schemas.openxmlformats.org/officeDocument/2006/relationships/image" Target="media/image53.wmf"/><Relationship Id="rId137" Type="http://schemas.openxmlformats.org/officeDocument/2006/relationships/oleObject" Target="embeddings/oleObject62.bin"/><Relationship Id="rId158" Type="http://schemas.openxmlformats.org/officeDocument/2006/relationships/image" Target="media/image79.wmf"/><Relationship Id="rId302" Type="http://schemas.openxmlformats.org/officeDocument/2006/relationships/oleObject" Target="embeddings/oleObject137.bin"/><Relationship Id="rId323" Type="http://schemas.openxmlformats.org/officeDocument/2006/relationships/image" Target="media/image161.wmf"/><Relationship Id="rId344" Type="http://schemas.openxmlformats.org/officeDocument/2006/relationships/image" Target="media/image177.emf"/><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6.wmf"/><Relationship Id="rId83" Type="http://schemas.openxmlformats.org/officeDocument/2006/relationships/oleObject" Target="embeddings/oleObject38.bin"/><Relationship Id="rId179" Type="http://schemas.openxmlformats.org/officeDocument/2006/relationships/oleObject" Target="embeddings/oleObject80.bin"/><Relationship Id="rId365" Type="http://schemas.openxmlformats.org/officeDocument/2006/relationships/oleObject" Target="embeddings/oleObject155.bin"/><Relationship Id="rId386" Type="http://schemas.openxmlformats.org/officeDocument/2006/relationships/oleObject" Target="embeddings/oleObject167.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image" Target="media/image109.wmf"/><Relationship Id="rId246" Type="http://schemas.openxmlformats.org/officeDocument/2006/relationships/oleObject" Target="embeddings/oleObject110.bin"/><Relationship Id="rId267" Type="http://schemas.openxmlformats.org/officeDocument/2006/relationships/image" Target="media/image133.wmf"/><Relationship Id="rId288" Type="http://schemas.openxmlformats.org/officeDocument/2006/relationships/oleObject" Target="embeddings/oleObject130.bin"/><Relationship Id="rId411" Type="http://schemas.openxmlformats.org/officeDocument/2006/relationships/image" Target="media/image209.emf"/><Relationship Id="rId432" Type="http://schemas.openxmlformats.org/officeDocument/2006/relationships/image" Target="media/image225.emf"/><Relationship Id="rId106" Type="http://schemas.openxmlformats.org/officeDocument/2006/relationships/image" Target="media/image48.wmf"/><Relationship Id="rId127" Type="http://schemas.openxmlformats.org/officeDocument/2006/relationships/oleObject" Target="embeddings/oleObject60.bin"/><Relationship Id="rId313" Type="http://schemas.openxmlformats.org/officeDocument/2006/relationships/image" Target="media/image156.wmf"/><Relationship Id="rId10" Type="http://schemas.openxmlformats.org/officeDocument/2006/relationships/image" Target="media/image1.e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3.bin"/><Relationship Id="rId94" Type="http://schemas.openxmlformats.org/officeDocument/2006/relationships/image" Target="media/image42.wmf"/><Relationship Id="rId148" Type="http://schemas.openxmlformats.org/officeDocument/2006/relationships/image" Target="media/image74.emf"/><Relationship Id="rId169" Type="http://schemas.openxmlformats.org/officeDocument/2006/relationships/oleObject" Target="embeddings/oleObject75.bin"/><Relationship Id="rId334" Type="http://schemas.openxmlformats.org/officeDocument/2006/relationships/image" Target="media/image169.emf"/><Relationship Id="rId355" Type="http://schemas.openxmlformats.org/officeDocument/2006/relationships/oleObject" Target="embeddings/oleObject154.bin"/><Relationship Id="rId376" Type="http://schemas.openxmlformats.org/officeDocument/2006/relationships/oleObject" Target="embeddings/oleObject160.bin"/><Relationship Id="rId397" Type="http://schemas.openxmlformats.org/officeDocument/2006/relationships/oleObject" Target="embeddings/oleObject174.bin"/><Relationship Id="rId4" Type="http://schemas.openxmlformats.org/officeDocument/2006/relationships/settings" Target="settings.xml"/><Relationship Id="rId180" Type="http://schemas.openxmlformats.org/officeDocument/2006/relationships/image" Target="media/image90.wmf"/><Relationship Id="rId215" Type="http://schemas.openxmlformats.org/officeDocument/2006/relationships/oleObject" Target="embeddings/oleObject100.bin"/><Relationship Id="rId236" Type="http://schemas.openxmlformats.org/officeDocument/2006/relationships/oleObject" Target="embeddings/oleObject109.bin"/><Relationship Id="rId257" Type="http://schemas.openxmlformats.org/officeDocument/2006/relationships/image" Target="media/image128.emf"/><Relationship Id="rId278" Type="http://schemas.openxmlformats.org/officeDocument/2006/relationships/oleObject" Target="embeddings/oleObject125.bin"/><Relationship Id="rId401" Type="http://schemas.openxmlformats.org/officeDocument/2006/relationships/oleObject" Target="embeddings/oleObject177.bin"/><Relationship Id="rId422" Type="http://schemas.openxmlformats.org/officeDocument/2006/relationships/image" Target="media/image218.emf"/><Relationship Id="rId303" Type="http://schemas.openxmlformats.org/officeDocument/2006/relationships/image" Target="media/image151.wmf"/><Relationship Id="rId42" Type="http://schemas.openxmlformats.org/officeDocument/2006/relationships/image" Target="media/image17.wmf"/><Relationship Id="rId84" Type="http://schemas.openxmlformats.org/officeDocument/2006/relationships/image" Target="media/image37.wmf"/><Relationship Id="rId138" Type="http://schemas.openxmlformats.org/officeDocument/2006/relationships/image" Target="media/image67.wmf"/><Relationship Id="rId345" Type="http://schemas.openxmlformats.org/officeDocument/2006/relationships/image" Target="media/image178.emf"/><Relationship Id="rId387" Type="http://schemas.openxmlformats.org/officeDocument/2006/relationships/image" Target="media/image200.wmf"/><Relationship Id="rId191" Type="http://schemas.openxmlformats.org/officeDocument/2006/relationships/oleObject" Target="embeddings/oleObject88.bin"/><Relationship Id="rId205" Type="http://schemas.openxmlformats.org/officeDocument/2006/relationships/oleObject" Target="embeddings/oleObject95.bin"/><Relationship Id="rId247" Type="http://schemas.openxmlformats.org/officeDocument/2006/relationships/image" Target="media/image123.wmf"/><Relationship Id="rId412" Type="http://schemas.openxmlformats.org/officeDocument/2006/relationships/image" Target="media/image210.emf"/><Relationship Id="rId107" Type="http://schemas.openxmlformats.org/officeDocument/2006/relationships/oleObject" Target="embeddings/oleObject50.bin"/><Relationship Id="rId289" Type="http://schemas.openxmlformats.org/officeDocument/2006/relationships/image" Target="media/image144.wmf"/><Relationship Id="rId11" Type="http://schemas.openxmlformats.org/officeDocument/2006/relationships/image" Target="media/image2.emf"/><Relationship Id="rId53" Type="http://schemas.openxmlformats.org/officeDocument/2006/relationships/oleObject" Target="embeddings/oleObject22.bin"/><Relationship Id="rId149" Type="http://schemas.openxmlformats.org/officeDocument/2006/relationships/oleObject" Target="embeddings/Microsoft_Visio_2003-2010_Drawing1.vsd"/><Relationship Id="rId314" Type="http://schemas.openxmlformats.org/officeDocument/2006/relationships/oleObject" Target="embeddings/oleObject143.bin"/><Relationship Id="rId356" Type="http://schemas.openxmlformats.org/officeDocument/2006/relationships/image" Target="media/image186.emf"/><Relationship Id="rId398" Type="http://schemas.openxmlformats.org/officeDocument/2006/relationships/oleObject" Target="embeddings/oleObject175.bin"/><Relationship Id="rId95" Type="http://schemas.openxmlformats.org/officeDocument/2006/relationships/oleObject" Target="embeddings/oleObject44.bin"/><Relationship Id="rId160" Type="http://schemas.openxmlformats.org/officeDocument/2006/relationships/image" Target="media/image80.wmf"/><Relationship Id="rId216" Type="http://schemas.openxmlformats.org/officeDocument/2006/relationships/oleObject" Target="embeddings/oleObject101.bin"/><Relationship Id="rId423" Type="http://schemas.openxmlformats.org/officeDocument/2006/relationships/image" Target="media/image219.emf"/><Relationship Id="rId258" Type="http://schemas.openxmlformats.org/officeDocument/2006/relationships/oleObject" Target="embeddings/Microsoft_Visio_2003-2010_Drawing6.vsd"/><Relationship Id="rId22" Type="http://schemas.openxmlformats.org/officeDocument/2006/relationships/image" Target="media/image8.wmf"/><Relationship Id="rId64" Type="http://schemas.openxmlformats.org/officeDocument/2006/relationships/image" Target="media/image27.wmf"/><Relationship Id="rId118" Type="http://schemas.openxmlformats.org/officeDocument/2006/relationships/image" Target="media/image54.wmf"/><Relationship Id="rId325" Type="http://schemas.openxmlformats.org/officeDocument/2006/relationships/image" Target="media/image162.wmf"/><Relationship Id="rId367" Type="http://schemas.openxmlformats.org/officeDocument/2006/relationships/image" Target="media/image192.emf"/><Relationship Id="rId171" Type="http://schemas.openxmlformats.org/officeDocument/2006/relationships/oleObject" Target="embeddings/oleObject76.bin"/><Relationship Id="rId227" Type="http://schemas.openxmlformats.org/officeDocument/2006/relationships/image" Target="media/image110.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Hu\Downloads\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5C8DBF5-CEFC-4D3B-B771-C54F22273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164</TotalTime>
  <Pages>150</Pages>
  <Words>67566</Words>
  <Characters>385127</Characters>
  <Application>Microsoft Office Word</Application>
  <DocSecurity>0</DocSecurity>
  <Lines>3209</Lines>
  <Paragraphs>903</Paragraphs>
  <ScaleCrop>false</ScaleCrop>
  <HeadingPairs>
    <vt:vector size="2" baseType="variant">
      <vt:variant>
        <vt:lpstr>Title</vt:lpstr>
      </vt:variant>
      <vt:variant>
        <vt:i4>1</vt:i4>
      </vt:variant>
    </vt:vector>
  </HeadingPairs>
  <TitlesOfParts>
    <vt:vector size="1" baseType="lpstr">
      <vt:lpstr>A Study on Wide-area Meausrement-based approaches for VSA</vt:lpstr>
    </vt:vector>
  </TitlesOfParts>
  <Company>University of Tennessee</Company>
  <LinksUpToDate>false</LinksUpToDate>
  <CharactersWithSpaces>451790</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Study on Wide-area Meausrement-based approaches for VSA</dc:title>
  <dc:creator>HYuan</dc:creator>
  <cp:lastModifiedBy>haoyu yuan</cp:lastModifiedBy>
  <cp:revision>36</cp:revision>
  <cp:lastPrinted>2016-08-16T08:10:00Z</cp:lastPrinted>
  <dcterms:created xsi:type="dcterms:W3CDTF">2016-08-16T05:29:00Z</dcterms:created>
  <dcterms:modified xsi:type="dcterms:W3CDTF">2016-08-16T08:14:00Z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haoyu_yuan@hotmail.com@www.mendeley.com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